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8256276"/>
        <w:docPartObj>
          <w:docPartGallery w:val="Cover Pages"/>
          <w:docPartUnique/>
        </w:docPartObj>
      </w:sdtPr>
      <w:sdtEndPr>
        <w:rPr>
          <w:i/>
          <w:lang w:val="en-GB"/>
        </w:rPr>
      </w:sdtEndPr>
      <w:sdtContent>
        <w:tbl>
          <w:tblPr>
            <w:tblpPr w:leftFromText="187" w:rightFromText="187" w:vertAnchor="page" w:horzAnchor="page" w:tblpX="1" w:tblpYSpec="top"/>
            <w:tblW w:w="0" w:type="auto"/>
            <w:tblLook w:val="04A0"/>
          </w:tblPr>
          <w:tblGrid>
            <w:gridCol w:w="1907"/>
            <w:gridCol w:w="4438"/>
          </w:tblGrid>
          <w:tr w:rsidR="009114AE" w:rsidTr="009A12B1">
            <w:trPr>
              <w:trHeight w:val="1541"/>
            </w:trPr>
            <w:tc>
              <w:tcPr>
                <w:tcW w:w="1907" w:type="dxa"/>
                <w:tcBorders>
                  <w:right w:val="single" w:sz="4" w:space="0" w:color="FFFFFF" w:themeColor="background1"/>
                </w:tcBorders>
                <w:shd w:val="clear" w:color="auto" w:fill="943634" w:themeFill="accent2" w:themeFillShade="BF"/>
              </w:tcPr>
              <w:p w:rsidR="009114AE" w:rsidRDefault="009966E0" w:rsidP="00D22658">
                <w:r w:rsidRPr="009966E0">
                  <w:rPr>
                    <w:noProof/>
                    <w:color w:val="76923C" w:themeColor="accent3" w:themeShade="BF"/>
                  </w:rPr>
                  <w:pict>
                    <v:shapetype id="_x0000_t202" coordsize="21600,21600" o:spt="202" path="m,l,21600r21600,l21600,xe">
                      <v:stroke joinstyle="miter"/>
                      <v:path gradientshapeok="t" o:connecttype="rect"/>
                    </v:shapetype>
                    <v:shape id="_x0000_s1074" type="#_x0000_t202" style="position:absolute;margin-left:92.1pt;margin-top:84pt;width:241.25pt;height:210.7pt;z-index:251677696;mso-position-horizontal-relative:text;mso-position-vertical-relative:text;mso-width-relative:margin;mso-height-relative:margin" stroked="f">
                      <v:textbox style="mso-next-textbox:#_x0000_s1074">
                        <w:txbxContent>
                          <w:p w:rsidR="004A48E4" w:rsidRDefault="004A48E4" w:rsidP="009114AE">
                            <w:pPr>
                              <w:ind w:left="1410" w:hanging="1410"/>
                              <w:rPr>
                                <w:lang w:val="en-GB"/>
                              </w:rPr>
                            </w:pPr>
                            <w:r w:rsidRPr="009114AE">
                              <w:rPr>
                                <w:b/>
                                <w:lang w:val="en-GB"/>
                              </w:rPr>
                              <w:t>Author:</w:t>
                            </w:r>
                            <w:r>
                              <w:rPr>
                                <w:lang w:val="en-GB"/>
                              </w:rPr>
                              <w:tab/>
                            </w:r>
                            <w:r>
                              <w:rPr>
                                <w:lang w:val="en-GB"/>
                              </w:rPr>
                              <w:tab/>
                              <w:t>Pieter Vermaas, 358804</w:t>
                            </w:r>
                          </w:p>
                          <w:p w:rsidR="004A48E4" w:rsidRDefault="004A48E4" w:rsidP="009114AE">
                            <w:pPr>
                              <w:rPr>
                                <w:lang w:val="en-GB"/>
                              </w:rPr>
                            </w:pPr>
                            <w:r w:rsidRPr="009114AE">
                              <w:rPr>
                                <w:b/>
                                <w:lang w:val="en-GB"/>
                              </w:rPr>
                              <w:t>Supervisor:</w:t>
                            </w:r>
                            <w:r>
                              <w:rPr>
                                <w:lang w:val="en-GB"/>
                              </w:rPr>
                              <w:tab/>
                              <w:t>Prof. dr. J.T.J. Smit</w:t>
                            </w:r>
                          </w:p>
                          <w:p w:rsidR="004A48E4" w:rsidRDefault="004A48E4" w:rsidP="009114AE">
                            <w:pPr>
                              <w:rPr>
                                <w:lang w:val="en-GB"/>
                              </w:rPr>
                            </w:pPr>
                            <w:r w:rsidRPr="009114AE">
                              <w:rPr>
                                <w:b/>
                                <w:lang w:val="en-GB"/>
                              </w:rPr>
                              <w:t>University:</w:t>
                            </w:r>
                            <w:r>
                              <w:rPr>
                                <w:lang w:val="en-GB"/>
                              </w:rPr>
                              <w:t xml:space="preserve"> </w:t>
                            </w:r>
                            <w:r>
                              <w:rPr>
                                <w:lang w:val="en-GB"/>
                              </w:rPr>
                              <w:tab/>
                              <w:t>Erasmus University Rotterdam</w:t>
                            </w:r>
                          </w:p>
                          <w:p w:rsidR="004A48E4" w:rsidRDefault="004A48E4" w:rsidP="009114AE">
                            <w:pPr>
                              <w:rPr>
                                <w:lang w:val="en-GB"/>
                              </w:rPr>
                            </w:pPr>
                            <w:r w:rsidRPr="009114AE">
                              <w:rPr>
                                <w:b/>
                                <w:lang w:val="en-GB"/>
                              </w:rPr>
                              <w:t>Faculty:</w:t>
                            </w:r>
                            <w:r w:rsidRPr="009114AE">
                              <w:rPr>
                                <w:b/>
                                <w:lang w:val="en-GB"/>
                              </w:rPr>
                              <w:tab/>
                            </w:r>
                            <w:r>
                              <w:rPr>
                                <w:lang w:val="en-GB"/>
                              </w:rPr>
                              <w:t>Erasmus School of Economics</w:t>
                            </w:r>
                          </w:p>
                          <w:p w:rsidR="004A48E4" w:rsidRPr="000B3EA6" w:rsidRDefault="004A48E4" w:rsidP="009114AE">
                            <w:pPr>
                              <w:rPr>
                                <w:lang w:val="en-GB"/>
                              </w:rPr>
                            </w:pPr>
                            <w:r w:rsidRPr="009114AE">
                              <w:rPr>
                                <w:b/>
                                <w:lang w:val="en-GB"/>
                              </w:rPr>
                              <w:t>Year</w:t>
                            </w:r>
                            <w:r w:rsidRPr="000B3EA6">
                              <w:rPr>
                                <w:lang w:val="en-GB"/>
                              </w:rPr>
                              <w:t>:</w:t>
                            </w:r>
                            <w:r w:rsidRPr="000B3EA6">
                              <w:rPr>
                                <w:lang w:val="en-GB"/>
                              </w:rPr>
                              <w:tab/>
                            </w:r>
                            <w:r w:rsidRPr="000B3EA6">
                              <w:rPr>
                                <w:lang w:val="en-GB"/>
                              </w:rPr>
                              <w:tab/>
                              <w:t>2014</w:t>
                            </w:r>
                          </w:p>
                          <w:p w:rsidR="004A48E4" w:rsidRPr="00082B85" w:rsidRDefault="004A48E4" w:rsidP="009114AE">
                            <w:pPr>
                              <w:rPr>
                                <w:lang w:val="en-GB"/>
                              </w:rPr>
                            </w:pPr>
                          </w:p>
                        </w:txbxContent>
                      </v:textbox>
                    </v:shape>
                  </w:pict>
                </w:r>
              </w:p>
            </w:tc>
            <w:sdt>
              <w:sdtPr>
                <w:rPr>
                  <w:rFonts w:asciiTheme="majorHAnsi" w:eastAsiaTheme="majorEastAsia" w:hAnsiTheme="majorHAnsi" w:cstheme="majorBidi"/>
                  <w:b/>
                  <w:bCs/>
                  <w:color w:val="FFFFFF" w:themeColor="background1"/>
                  <w:sz w:val="72"/>
                  <w:szCs w:val="72"/>
                </w:rPr>
                <w:alias w:val="Jaar"/>
                <w:id w:val="15676118"/>
                <w:dataBinding w:prefixMappings="xmlns:ns0='http://schemas.microsoft.com/office/2006/coverPageProps'" w:xpath="/ns0:CoverPageProperties[1]/ns0:PublishDate[1]" w:storeItemID="{55AF091B-3C7A-41E3-B477-F2FDAA23CFDA}"/>
                <w:date>
                  <w:dateFormat w:val="yyyy"/>
                  <w:lid w:val="nl-NL"/>
                  <w:storeMappedDataAs w:val="dateTime"/>
                  <w:calendar w:val="gregorian"/>
                </w:date>
              </w:sdtPr>
              <w:sdtContent>
                <w:tc>
                  <w:tcPr>
                    <w:tcW w:w="4438" w:type="dxa"/>
                    <w:tcBorders>
                      <w:left w:val="single" w:sz="4" w:space="0" w:color="FFFFFF" w:themeColor="background1"/>
                    </w:tcBorders>
                    <w:shd w:val="clear" w:color="auto" w:fill="943634" w:themeFill="accent2" w:themeFillShade="BF"/>
                    <w:vAlign w:val="bottom"/>
                  </w:tcPr>
                  <w:p w:rsidR="009114AE" w:rsidRDefault="009114AE" w:rsidP="00D22658">
                    <w:pPr>
                      <w:pStyle w:val="NoSpacing"/>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b/>
                        <w:bCs/>
                        <w:color w:val="FFFFFF" w:themeColor="background1"/>
                        <w:sz w:val="72"/>
                        <w:szCs w:val="72"/>
                      </w:rPr>
                      <w:t xml:space="preserve">Bachelor Thesis    </w:t>
                    </w:r>
                    <w:r w:rsidR="00D22658">
                      <w:rPr>
                        <w:rFonts w:asciiTheme="majorHAnsi" w:eastAsiaTheme="majorEastAsia" w:hAnsiTheme="majorHAnsi" w:cstheme="majorBidi"/>
                        <w:b/>
                        <w:bCs/>
                        <w:color w:val="FFFFFF" w:themeColor="background1"/>
                        <w:sz w:val="72"/>
                        <w:szCs w:val="72"/>
                      </w:rPr>
                      <w:t xml:space="preserve"> </w:t>
                    </w:r>
                    <w:r>
                      <w:rPr>
                        <w:rFonts w:asciiTheme="majorHAnsi" w:eastAsiaTheme="majorEastAsia" w:hAnsiTheme="majorHAnsi" w:cstheme="majorBidi"/>
                        <w:b/>
                        <w:bCs/>
                        <w:color w:val="FFFFFF" w:themeColor="background1"/>
                        <w:sz w:val="72"/>
                        <w:szCs w:val="72"/>
                      </w:rPr>
                      <w:t xml:space="preserve">      </w:t>
                    </w:r>
                  </w:p>
                </w:tc>
              </w:sdtContent>
            </w:sdt>
          </w:tr>
          <w:tr w:rsidR="009114AE" w:rsidTr="009A12B1">
            <w:trPr>
              <w:trHeight w:val="3083"/>
            </w:trPr>
            <w:tc>
              <w:tcPr>
                <w:tcW w:w="1907" w:type="dxa"/>
                <w:tcBorders>
                  <w:right w:val="single" w:sz="4" w:space="0" w:color="000000" w:themeColor="text1"/>
                </w:tcBorders>
              </w:tcPr>
              <w:p w:rsidR="009114AE" w:rsidRDefault="009114AE" w:rsidP="00D22658"/>
            </w:tc>
            <w:tc>
              <w:tcPr>
                <w:tcW w:w="4438" w:type="dxa"/>
                <w:tcBorders>
                  <w:left w:val="single" w:sz="4" w:space="0" w:color="000000" w:themeColor="text1"/>
                </w:tcBorders>
                <w:vAlign w:val="center"/>
              </w:tcPr>
              <w:p w:rsidR="009114AE" w:rsidRDefault="009114AE" w:rsidP="00D22658">
                <w:pPr>
                  <w:pStyle w:val="NoSpacing"/>
                  <w:rPr>
                    <w:color w:val="76923C" w:themeColor="accent3" w:themeShade="BF"/>
                  </w:rPr>
                </w:pPr>
              </w:p>
            </w:tc>
          </w:tr>
        </w:tbl>
        <w:p w:rsidR="009114AE" w:rsidRDefault="009114AE"/>
        <w:p w:rsidR="009114AE" w:rsidRDefault="009114AE"/>
        <w:p w:rsidR="009114AE" w:rsidRPr="009114AE" w:rsidRDefault="009114AE">
          <w:pPr>
            <w:rPr>
              <w:lang w:val="en-GB"/>
            </w:rPr>
          </w:pPr>
        </w:p>
        <w:tbl>
          <w:tblPr>
            <w:tblpPr w:leftFromText="187" w:rightFromText="187" w:vertAnchor="page" w:horzAnchor="margin" w:tblpY="7050"/>
            <w:tblW w:w="5171" w:type="pct"/>
            <w:tblLook w:val="04A0"/>
          </w:tblPr>
          <w:tblGrid>
            <w:gridCol w:w="9606"/>
          </w:tblGrid>
          <w:tr w:rsidR="00D22658" w:rsidRPr="00DA707D" w:rsidTr="009A12B1">
            <w:trPr>
              <w:trHeight w:val="2689"/>
            </w:trPr>
            <w:tc>
              <w:tcPr>
                <w:tcW w:w="5000" w:type="pct"/>
              </w:tcPr>
              <w:p w:rsidR="00D22658" w:rsidRPr="000C60D2" w:rsidRDefault="00D22658" w:rsidP="00D22658">
                <w:pPr>
                  <w:pStyle w:val="NoSpacing"/>
                  <w:rPr>
                    <w:b/>
                    <w:bCs/>
                    <w:caps/>
                    <w:color w:val="76923C" w:themeColor="accent3" w:themeShade="BF"/>
                    <w:sz w:val="72"/>
                    <w:szCs w:val="72"/>
                  </w:rPr>
                </w:pPr>
                <w:r>
                  <w:rPr>
                    <w:b/>
                    <w:bCs/>
                    <w:caps/>
                    <w:color w:val="76923C" w:themeColor="accent3" w:themeShade="BF"/>
                    <w:sz w:val="72"/>
                    <w:szCs w:val="72"/>
                  </w:rPr>
                  <w:t>[</w:t>
                </w:r>
                <w:sdt>
                  <w:sdtPr>
                    <w:rPr>
                      <w:b/>
                      <w:bCs/>
                      <w:caps/>
                      <w:sz w:val="52"/>
                      <w:szCs w:val="52"/>
                      <w:lang w:val="en-GB"/>
                    </w:rPr>
                    <w:alias w:val="Titel"/>
                    <w:id w:val="15676137"/>
                    <w:dataBinding w:prefixMappings="xmlns:ns0='http://schemas.openxmlformats.org/package/2006/metadata/core-properties' xmlns:ns1='http://purl.org/dc/elements/1.1/'" w:xpath="/ns0:coreProperties[1]/ns1:title[1]" w:storeItemID="{6C3C8BC8-F283-45AE-878A-BAB7291924A1}"/>
                    <w:text/>
                  </w:sdtPr>
                  <w:sdtContent>
                    <w:r w:rsidR="00383607">
                      <w:rPr>
                        <w:b/>
                        <w:bCs/>
                        <w:caps/>
                        <w:sz w:val="52"/>
                        <w:szCs w:val="52"/>
                        <w:lang w:val="nl-NL"/>
                      </w:rPr>
                      <w:t>Could real options be the solution for over- and undervaluation in hot and cold deal markets?</w:t>
                    </w:r>
                  </w:sdtContent>
                </w:sdt>
                <w:r>
                  <w:rPr>
                    <w:b/>
                    <w:bCs/>
                    <w:caps/>
                    <w:color w:val="76923C" w:themeColor="accent3" w:themeShade="BF"/>
                    <w:sz w:val="72"/>
                    <w:szCs w:val="72"/>
                  </w:rPr>
                  <w:t>]</w:t>
                </w:r>
              </w:p>
            </w:tc>
          </w:tr>
          <w:tr w:rsidR="00D22658" w:rsidRPr="00DA707D" w:rsidTr="009A12B1">
            <w:trPr>
              <w:trHeight w:val="561"/>
            </w:trPr>
            <w:sdt>
              <w:sdtPr>
                <w:rPr>
                  <w:i/>
                  <w:lang w:val="en-GB"/>
                </w:rPr>
                <w:alias w:val="Samenvatting"/>
                <w:id w:val="15676143"/>
                <w:dataBinding w:prefixMappings="xmlns:ns0='http://schemas.microsoft.com/office/2006/coverPageProps'" w:xpath="/ns0:CoverPageProperties[1]/ns0:Abstract[1]" w:storeItemID="{55AF091B-3C7A-41E3-B477-F2FDAA23CFDA}"/>
                <w:text/>
              </w:sdtPr>
              <w:sdtContent>
                <w:tc>
                  <w:tcPr>
                    <w:tcW w:w="5000" w:type="pct"/>
                  </w:tcPr>
                  <w:p w:rsidR="00D22658" w:rsidRPr="009114AE" w:rsidRDefault="00D22658" w:rsidP="00D22658">
                    <w:pPr>
                      <w:pStyle w:val="NoSpacing"/>
                      <w:rPr>
                        <w:color w:val="7F7F7F" w:themeColor="background1" w:themeShade="7F"/>
                        <w:lang w:val="en-GB"/>
                      </w:rPr>
                    </w:pPr>
                    <w:r w:rsidRPr="009114AE">
                      <w:rPr>
                        <w:i/>
                        <w:lang w:val="en-GB"/>
                      </w:rPr>
                      <w:t xml:space="preserve"> An experiment to test whether prior business experiences influence valuations due to cognitive biases and whether receptivity for the use of real exists </w:t>
                    </w:r>
                  </w:p>
                </w:tc>
              </w:sdtContent>
            </w:sdt>
          </w:tr>
        </w:tbl>
        <w:p w:rsidR="00DA707D" w:rsidRDefault="009114AE">
          <w:pPr>
            <w:rPr>
              <w:i/>
              <w:lang w:val="en-GB"/>
            </w:rPr>
          </w:pPr>
          <w:r w:rsidRPr="009114AE">
            <w:rPr>
              <w:i/>
              <w:lang w:val="en-GB"/>
            </w:rPr>
            <w:t xml:space="preserve"> </w:t>
          </w: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DA707D" w:rsidRDefault="00DA707D">
          <w:pPr>
            <w:rPr>
              <w:i/>
              <w:lang w:val="en-GB"/>
            </w:rPr>
          </w:pPr>
        </w:p>
        <w:p w:rsidR="009114AE" w:rsidRDefault="00DA707D">
          <w:pPr>
            <w:rPr>
              <w:i/>
              <w:lang w:val="en-GB"/>
            </w:rPr>
          </w:pPr>
          <w:r>
            <w:rPr>
              <w:sz w:val="18"/>
              <w:szCs w:val="18"/>
              <w:lang w:val="en-GB"/>
            </w:rPr>
            <w:t xml:space="preserve">Key words: </w:t>
          </w:r>
          <w:r w:rsidRPr="00DA707D">
            <w:rPr>
              <w:i/>
              <w:sz w:val="18"/>
              <w:szCs w:val="18"/>
              <w:lang w:val="en-GB"/>
            </w:rPr>
            <w:t>M&amp;A, Biases, Debiasing, Real options</w:t>
          </w:r>
          <w:r>
            <w:rPr>
              <w:i/>
              <w:lang w:val="en-GB"/>
            </w:rPr>
            <w:t xml:space="preserve">, </w:t>
          </w:r>
          <w:r>
            <w:rPr>
              <w:i/>
              <w:sz w:val="18"/>
              <w:szCs w:val="18"/>
              <w:lang w:val="en-GB"/>
            </w:rPr>
            <w:t>Experiment</w:t>
          </w:r>
          <w:r w:rsidR="009114AE" w:rsidRPr="009114AE">
            <w:rPr>
              <w:i/>
              <w:lang w:val="en-GB"/>
            </w:rPr>
            <w:br w:type="page"/>
          </w:r>
        </w:p>
      </w:sdtContent>
    </w:sdt>
    <w:sdt>
      <w:sdtPr>
        <w:rPr>
          <w:rFonts w:asciiTheme="minorHAnsi" w:eastAsiaTheme="minorHAnsi" w:hAnsiTheme="minorHAnsi" w:cstheme="minorBidi"/>
          <w:b w:val="0"/>
          <w:bCs w:val="0"/>
          <w:color w:val="auto"/>
          <w:sz w:val="22"/>
          <w:szCs w:val="22"/>
        </w:rPr>
        <w:id w:val="237608509"/>
        <w:docPartObj>
          <w:docPartGallery w:val="Table of Contents"/>
          <w:docPartUnique/>
        </w:docPartObj>
      </w:sdtPr>
      <w:sdtContent>
        <w:p w:rsidR="00182A6D" w:rsidRPr="000B3EA6" w:rsidRDefault="00A8566E">
          <w:pPr>
            <w:pStyle w:val="TOCHeading"/>
            <w:rPr>
              <w:lang w:val="en-GB"/>
            </w:rPr>
          </w:pPr>
          <w:r w:rsidRPr="00082B85">
            <w:rPr>
              <w:color w:val="76923C" w:themeColor="accent3" w:themeShade="BF"/>
              <w:lang w:val="en-GB"/>
            </w:rPr>
            <w:t>Table of Contents</w:t>
          </w:r>
        </w:p>
        <w:p w:rsidR="00082B85" w:rsidRPr="00082B85" w:rsidRDefault="009966E0" w:rsidP="00082B85">
          <w:pPr>
            <w:pStyle w:val="TOC1"/>
            <w:rPr>
              <w:rFonts w:eastAsiaTheme="minorEastAsia"/>
              <w:sz w:val="24"/>
              <w:szCs w:val="24"/>
              <w:lang w:eastAsia="nl-NL"/>
            </w:rPr>
          </w:pPr>
          <w:r w:rsidRPr="009966E0">
            <w:fldChar w:fldCharType="begin"/>
          </w:r>
          <w:r w:rsidR="00182A6D" w:rsidRPr="000B3EA6">
            <w:instrText xml:space="preserve"> TOC \o "1-3" \h \z \u </w:instrText>
          </w:r>
          <w:r w:rsidRPr="009966E0">
            <w:fldChar w:fldCharType="separate"/>
          </w:r>
          <w:hyperlink w:anchor="_Toc397238580" w:history="1">
            <w:r w:rsidR="00082B85" w:rsidRPr="00082B85">
              <w:rPr>
                <w:rStyle w:val="Hyperlink"/>
                <w:sz w:val="24"/>
                <w:szCs w:val="24"/>
              </w:rPr>
              <w:t>Introduction</w:t>
            </w:r>
            <w:r w:rsidR="00082B85" w:rsidRPr="00082B85">
              <w:rPr>
                <w:webHidden/>
                <w:sz w:val="24"/>
                <w:szCs w:val="24"/>
              </w:rPr>
              <w:tab/>
            </w:r>
            <w:r w:rsidRPr="00082B85">
              <w:rPr>
                <w:webHidden/>
                <w:sz w:val="24"/>
                <w:szCs w:val="24"/>
              </w:rPr>
              <w:fldChar w:fldCharType="begin"/>
            </w:r>
            <w:r w:rsidR="00082B85" w:rsidRPr="00082B85">
              <w:rPr>
                <w:webHidden/>
                <w:sz w:val="24"/>
                <w:szCs w:val="24"/>
              </w:rPr>
              <w:instrText xml:space="preserve"> PAGEREF _Toc397238580 \h </w:instrText>
            </w:r>
            <w:r w:rsidRPr="00082B85">
              <w:rPr>
                <w:webHidden/>
                <w:sz w:val="24"/>
                <w:szCs w:val="24"/>
              </w:rPr>
            </w:r>
            <w:r w:rsidRPr="00082B85">
              <w:rPr>
                <w:webHidden/>
                <w:sz w:val="24"/>
                <w:szCs w:val="24"/>
              </w:rPr>
              <w:fldChar w:fldCharType="separate"/>
            </w:r>
            <w:r w:rsidR="00C97010">
              <w:rPr>
                <w:webHidden/>
                <w:sz w:val="24"/>
                <w:szCs w:val="24"/>
              </w:rPr>
              <w:t>3</w:t>
            </w:r>
            <w:r w:rsidRPr="00082B85">
              <w:rPr>
                <w:webHidden/>
                <w:sz w:val="24"/>
                <w:szCs w:val="24"/>
              </w:rPr>
              <w:fldChar w:fldCharType="end"/>
            </w:r>
          </w:hyperlink>
        </w:p>
        <w:p w:rsidR="00082B85" w:rsidRPr="00082B85" w:rsidRDefault="009966E0" w:rsidP="00082B85">
          <w:pPr>
            <w:pStyle w:val="TOC1"/>
            <w:rPr>
              <w:rFonts w:eastAsiaTheme="minorEastAsia"/>
              <w:sz w:val="24"/>
              <w:szCs w:val="24"/>
              <w:lang w:eastAsia="nl-NL"/>
            </w:rPr>
          </w:pPr>
          <w:hyperlink w:anchor="_Toc397238581" w:history="1">
            <w:r w:rsidR="00082B85" w:rsidRPr="00082B85">
              <w:rPr>
                <w:rStyle w:val="Hyperlink"/>
                <w:sz w:val="24"/>
                <w:szCs w:val="24"/>
              </w:rPr>
              <w:t>Theoretical Framework</w:t>
            </w:r>
            <w:r w:rsidR="00082B85" w:rsidRPr="00082B85">
              <w:rPr>
                <w:webHidden/>
                <w:sz w:val="24"/>
                <w:szCs w:val="24"/>
              </w:rPr>
              <w:tab/>
            </w:r>
            <w:r w:rsidRPr="00082B85">
              <w:rPr>
                <w:webHidden/>
                <w:sz w:val="24"/>
                <w:szCs w:val="24"/>
              </w:rPr>
              <w:fldChar w:fldCharType="begin"/>
            </w:r>
            <w:r w:rsidR="00082B85" w:rsidRPr="00082B85">
              <w:rPr>
                <w:webHidden/>
                <w:sz w:val="24"/>
                <w:szCs w:val="24"/>
              </w:rPr>
              <w:instrText xml:space="preserve"> PAGEREF _Toc397238581 \h </w:instrText>
            </w:r>
            <w:r w:rsidRPr="00082B85">
              <w:rPr>
                <w:webHidden/>
                <w:sz w:val="24"/>
                <w:szCs w:val="24"/>
              </w:rPr>
            </w:r>
            <w:r w:rsidRPr="00082B85">
              <w:rPr>
                <w:webHidden/>
                <w:sz w:val="24"/>
                <w:szCs w:val="24"/>
              </w:rPr>
              <w:fldChar w:fldCharType="separate"/>
            </w:r>
            <w:r w:rsidR="00C97010">
              <w:rPr>
                <w:webHidden/>
                <w:sz w:val="24"/>
                <w:szCs w:val="24"/>
              </w:rPr>
              <w:t>6</w:t>
            </w:r>
            <w:r w:rsidRPr="00082B85">
              <w:rPr>
                <w:webHidden/>
                <w:sz w:val="24"/>
                <w:szCs w:val="24"/>
              </w:rPr>
              <w:fldChar w:fldCharType="end"/>
            </w:r>
          </w:hyperlink>
        </w:p>
        <w:p w:rsidR="00082B85" w:rsidRPr="00082B85" w:rsidRDefault="009966E0">
          <w:pPr>
            <w:pStyle w:val="TOC2"/>
            <w:tabs>
              <w:tab w:val="right" w:leader="dot" w:pos="9062"/>
            </w:tabs>
            <w:rPr>
              <w:noProof/>
            </w:rPr>
          </w:pPr>
          <w:hyperlink w:anchor="_Toc397238582" w:history="1">
            <w:r w:rsidR="00082B85" w:rsidRPr="00082B85">
              <w:rPr>
                <w:rStyle w:val="Hyperlink"/>
                <w:noProof/>
                <w:lang w:val="en-GB"/>
              </w:rPr>
              <w:t>Valuation Methods</w:t>
            </w:r>
            <w:r w:rsidR="00082B85" w:rsidRPr="00082B85">
              <w:rPr>
                <w:noProof/>
                <w:webHidden/>
              </w:rPr>
              <w:tab/>
            </w:r>
            <w:r w:rsidRPr="00082B85">
              <w:rPr>
                <w:noProof/>
                <w:webHidden/>
              </w:rPr>
              <w:fldChar w:fldCharType="begin"/>
            </w:r>
            <w:r w:rsidR="00082B85" w:rsidRPr="00082B85">
              <w:rPr>
                <w:noProof/>
                <w:webHidden/>
              </w:rPr>
              <w:instrText xml:space="preserve"> PAGEREF _Toc397238582 \h </w:instrText>
            </w:r>
            <w:r w:rsidRPr="00082B85">
              <w:rPr>
                <w:noProof/>
                <w:webHidden/>
              </w:rPr>
            </w:r>
            <w:r w:rsidRPr="00082B85">
              <w:rPr>
                <w:noProof/>
                <w:webHidden/>
              </w:rPr>
              <w:fldChar w:fldCharType="separate"/>
            </w:r>
            <w:r w:rsidR="00C97010">
              <w:rPr>
                <w:noProof/>
                <w:webHidden/>
              </w:rPr>
              <w:t>7</w:t>
            </w:r>
            <w:r w:rsidRPr="00082B85">
              <w:rPr>
                <w:noProof/>
                <w:webHidden/>
              </w:rPr>
              <w:fldChar w:fldCharType="end"/>
            </w:r>
          </w:hyperlink>
        </w:p>
        <w:p w:rsidR="00082B85" w:rsidRPr="00082B85" w:rsidRDefault="009966E0">
          <w:pPr>
            <w:pStyle w:val="TOC2"/>
            <w:tabs>
              <w:tab w:val="right" w:leader="dot" w:pos="9062"/>
            </w:tabs>
            <w:rPr>
              <w:noProof/>
            </w:rPr>
          </w:pPr>
          <w:hyperlink w:anchor="_Toc397238583" w:history="1">
            <w:r w:rsidR="00082B85" w:rsidRPr="00082B85">
              <w:rPr>
                <w:rStyle w:val="Hyperlink"/>
                <w:noProof/>
                <w:lang w:val="en-GB"/>
              </w:rPr>
              <w:t>Cognitive Biases</w:t>
            </w:r>
            <w:r w:rsidR="00082B85" w:rsidRPr="00082B85">
              <w:rPr>
                <w:noProof/>
                <w:webHidden/>
              </w:rPr>
              <w:tab/>
            </w:r>
            <w:r w:rsidRPr="00082B85">
              <w:rPr>
                <w:noProof/>
                <w:webHidden/>
              </w:rPr>
              <w:fldChar w:fldCharType="begin"/>
            </w:r>
            <w:r w:rsidR="00082B85" w:rsidRPr="00082B85">
              <w:rPr>
                <w:noProof/>
                <w:webHidden/>
              </w:rPr>
              <w:instrText xml:space="preserve"> PAGEREF _Toc397238583 \h </w:instrText>
            </w:r>
            <w:r w:rsidRPr="00082B85">
              <w:rPr>
                <w:noProof/>
                <w:webHidden/>
              </w:rPr>
            </w:r>
            <w:r w:rsidRPr="00082B85">
              <w:rPr>
                <w:noProof/>
                <w:webHidden/>
              </w:rPr>
              <w:fldChar w:fldCharType="separate"/>
            </w:r>
            <w:r w:rsidR="00C97010">
              <w:rPr>
                <w:noProof/>
                <w:webHidden/>
              </w:rPr>
              <w:t>9</w:t>
            </w:r>
            <w:r w:rsidRPr="00082B85">
              <w:rPr>
                <w:noProof/>
                <w:webHidden/>
              </w:rPr>
              <w:fldChar w:fldCharType="end"/>
            </w:r>
          </w:hyperlink>
        </w:p>
        <w:p w:rsidR="00082B85" w:rsidRPr="00082B85" w:rsidRDefault="009966E0">
          <w:pPr>
            <w:pStyle w:val="TOC3"/>
            <w:tabs>
              <w:tab w:val="right" w:leader="dot" w:pos="9062"/>
            </w:tabs>
            <w:rPr>
              <w:noProof/>
            </w:rPr>
          </w:pPr>
          <w:hyperlink w:anchor="_Toc397238584" w:history="1">
            <w:r w:rsidR="00082B85" w:rsidRPr="00082B85">
              <w:rPr>
                <w:rStyle w:val="Hyperlink"/>
                <w:i/>
                <w:noProof/>
                <w:lang w:val="en-GB"/>
              </w:rPr>
              <w:t>Anchoring</w:t>
            </w:r>
            <w:r w:rsidR="00082B85" w:rsidRPr="00082B85">
              <w:rPr>
                <w:noProof/>
                <w:webHidden/>
              </w:rPr>
              <w:tab/>
            </w:r>
            <w:r w:rsidRPr="00082B85">
              <w:rPr>
                <w:noProof/>
                <w:webHidden/>
              </w:rPr>
              <w:fldChar w:fldCharType="begin"/>
            </w:r>
            <w:r w:rsidR="00082B85" w:rsidRPr="00082B85">
              <w:rPr>
                <w:noProof/>
                <w:webHidden/>
              </w:rPr>
              <w:instrText xml:space="preserve"> PAGEREF _Toc397238584 \h </w:instrText>
            </w:r>
            <w:r w:rsidRPr="00082B85">
              <w:rPr>
                <w:noProof/>
                <w:webHidden/>
              </w:rPr>
            </w:r>
            <w:r w:rsidRPr="00082B85">
              <w:rPr>
                <w:noProof/>
                <w:webHidden/>
              </w:rPr>
              <w:fldChar w:fldCharType="separate"/>
            </w:r>
            <w:r w:rsidR="00C97010">
              <w:rPr>
                <w:noProof/>
                <w:webHidden/>
              </w:rPr>
              <w:t>9</w:t>
            </w:r>
            <w:r w:rsidRPr="00082B85">
              <w:rPr>
                <w:noProof/>
                <w:webHidden/>
              </w:rPr>
              <w:fldChar w:fldCharType="end"/>
            </w:r>
          </w:hyperlink>
        </w:p>
        <w:p w:rsidR="00082B85" w:rsidRPr="00082B85" w:rsidRDefault="009966E0">
          <w:pPr>
            <w:pStyle w:val="TOC3"/>
            <w:tabs>
              <w:tab w:val="right" w:leader="dot" w:pos="9062"/>
            </w:tabs>
            <w:rPr>
              <w:noProof/>
            </w:rPr>
          </w:pPr>
          <w:hyperlink w:anchor="_Toc397238585" w:history="1">
            <w:r w:rsidR="00082B85" w:rsidRPr="00082B85">
              <w:rPr>
                <w:rStyle w:val="Hyperlink"/>
                <w:i/>
                <w:noProof/>
                <w:lang w:val="en-GB"/>
              </w:rPr>
              <w:t>Over-optimism/Overconfidence</w:t>
            </w:r>
            <w:r w:rsidR="00082B85" w:rsidRPr="00082B85">
              <w:rPr>
                <w:noProof/>
                <w:webHidden/>
              </w:rPr>
              <w:tab/>
            </w:r>
            <w:r w:rsidRPr="00082B85">
              <w:rPr>
                <w:noProof/>
                <w:webHidden/>
              </w:rPr>
              <w:fldChar w:fldCharType="begin"/>
            </w:r>
            <w:r w:rsidR="00082B85" w:rsidRPr="00082B85">
              <w:rPr>
                <w:noProof/>
                <w:webHidden/>
              </w:rPr>
              <w:instrText xml:space="preserve"> PAGEREF _Toc397238585 \h </w:instrText>
            </w:r>
            <w:r w:rsidRPr="00082B85">
              <w:rPr>
                <w:noProof/>
                <w:webHidden/>
              </w:rPr>
            </w:r>
            <w:r w:rsidRPr="00082B85">
              <w:rPr>
                <w:noProof/>
                <w:webHidden/>
              </w:rPr>
              <w:fldChar w:fldCharType="separate"/>
            </w:r>
            <w:r w:rsidR="00C97010">
              <w:rPr>
                <w:noProof/>
                <w:webHidden/>
              </w:rPr>
              <w:t>11</w:t>
            </w:r>
            <w:r w:rsidRPr="00082B85">
              <w:rPr>
                <w:noProof/>
                <w:webHidden/>
              </w:rPr>
              <w:fldChar w:fldCharType="end"/>
            </w:r>
          </w:hyperlink>
        </w:p>
        <w:p w:rsidR="00082B85" w:rsidRPr="00082B85" w:rsidRDefault="009966E0">
          <w:pPr>
            <w:pStyle w:val="TOC3"/>
            <w:tabs>
              <w:tab w:val="right" w:leader="dot" w:pos="9062"/>
            </w:tabs>
            <w:rPr>
              <w:noProof/>
            </w:rPr>
          </w:pPr>
          <w:hyperlink w:anchor="_Toc397238586" w:history="1">
            <w:r w:rsidR="00082B85" w:rsidRPr="00082B85">
              <w:rPr>
                <w:rStyle w:val="Hyperlink"/>
                <w:i/>
                <w:noProof/>
                <w:lang w:val="en-GB"/>
              </w:rPr>
              <w:t>Relation temperature of the market and overconfidence</w:t>
            </w:r>
            <w:r w:rsidR="00082B85" w:rsidRPr="00082B85">
              <w:rPr>
                <w:noProof/>
                <w:webHidden/>
              </w:rPr>
              <w:tab/>
            </w:r>
            <w:r w:rsidRPr="00082B85">
              <w:rPr>
                <w:noProof/>
                <w:webHidden/>
              </w:rPr>
              <w:fldChar w:fldCharType="begin"/>
            </w:r>
            <w:r w:rsidR="00082B85" w:rsidRPr="00082B85">
              <w:rPr>
                <w:noProof/>
                <w:webHidden/>
              </w:rPr>
              <w:instrText xml:space="preserve"> PAGEREF _Toc397238586 \h </w:instrText>
            </w:r>
            <w:r w:rsidRPr="00082B85">
              <w:rPr>
                <w:noProof/>
                <w:webHidden/>
              </w:rPr>
            </w:r>
            <w:r w:rsidRPr="00082B85">
              <w:rPr>
                <w:noProof/>
                <w:webHidden/>
              </w:rPr>
              <w:fldChar w:fldCharType="separate"/>
            </w:r>
            <w:r w:rsidR="00C97010">
              <w:rPr>
                <w:noProof/>
                <w:webHidden/>
              </w:rPr>
              <w:t>17</w:t>
            </w:r>
            <w:r w:rsidRPr="00082B85">
              <w:rPr>
                <w:noProof/>
                <w:webHidden/>
              </w:rPr>
              <w:fldChar w:fldCharType="end"/>
            </w:r>
          </w:hyperlink>
        </w:p>
        <w:p w:rsidR="00082B85" w:rsidRPr="00082B85" w:rsidRDefault="009966E0">
          <w:pPr>
            <w:pStyle w:val="TOC3"/>
            <w:tabs>
              <w:tab w:val="right" w:leader="dot" w:pos="9062"/>
            </w:tabs>
            <w:rPr>
              <w:noProof/>
            </w:rPr>
          </w:pPr>
          <w:hyperlink w:anchor="_Toc397238587" w:history="1">
            <w:r w:rsidR="00082B85" w:rsidRPr="00082B85">
              <w:rPr>
                <w:rStyle w:val="Hyperlink"/>
                <w:i/>
                <w:noProof/>
                <w:lang w:val="en-GB"/>
              </w:rPr>
              <w:t>Loss Aversion</w:t>
            </w:r>
            <w:r w:rsidR="00082B85" w:rsidRPr="00082B85">
              <w:rPr>
                <w:noProof/>
                <w:webHidden/>
              </w:rPr>
              <w:tab/>
            </w:r>
            <w:r w:rsidRPr="00082B85">
              <w:rPr>
                <w:noProof/>
                <w:webHidden/>
              </w:rPr>
              <w:fldChar w:fldCharType="begin"/>
            </w:r>
            <w:r w:rsidR="00082B85" w:rsidRPr="00082B85">
              <w:rPr>
                <w:noProof/>
                <w:webHidden/>
              </w:rPr>
              <w:instrText xml:space="preserve"> PAGEREF _Toc397238587 \h </w:instrText>
            </w:r>
            <w:r w:rsidRPr="00082B85">
              <w:rPr>
                <w:noProof/>
                <w:webHidden/>
              </w:rPr>
            </w:r>
            <w:r w:rsidRPr="00082B85">
              <w:rPr>
                <w:noProof/>
                <w:webHidden/>
              </w:rPr>
              <w:fldChar w:fldCharType="separate"/>
            </w:r>
            <w:r w:rsidR="00C97010">
              <w:rPr>
                <w:noProof/>
                <w:webHidden/>
              </w:rPr>
              <w:t>19</w:t>
            </w:r>
            <w:r w:rsidRPr="00082B85">
              <w:rPr>
                <w:noProof/>
                <w:webHidden/>
              </w:rPr>
              <w:fldChar w:fldCharType="end"/>
            </w:r>
          </w:hyperlink>
        </w:p>
        <w:p w:rsidR="00082B85" w:rsidRPr="00082B85" w:rsidRDefault="009966E0">
          <w:pPr>
            <w:pStyle w:val="TOC3"/>
            <w:tabs>
              <w:tab w:val="right" w:leader="dot" w:pos="9062"/>
            </w:tabs>
            <w:rPr>
              <w:noProof/>
            </w:rPr>
          </w:pPr>
          <w:hyperlink w:anchor="_Toc397238588" w:history="1">
            <w:r w:rsidR="00082B85" w:rsidRPr="00082B85">
              <w:rPr>
                <w:rStyle w:val="Hyperlink"/>
                <w:i/>
                <w:noProof/>
                <w:lang w:val="en-GB"/>
              </w:rPr>
              <w:t>Relationship temperature of the market and loss aversion</w:t>
            </w:r>
            <w:r w:rsidR="00082B85" w:rsidRPr="00082B85">
              <w:rPr>
                <w:noProof/>
                <w:webHidden/>
              </w:rPr>
              <w:tab/>
            </w:r>
            <w:r w:rsidRPr="00082B85">
              <w:rPr>
                <w:noProof/>
                <w:webHidden/>
              </w:rPr>
              <w:fldChar w:fldCharType="begin"/>
            </w:r>
            <w:r w:rsidR="00082B85" w:rsidRPr="00082B85">
              <w:rPr>
                <w:noProof/>
                <w:webHidden/>
              </w:rPr>
              <w:instrText xml:space="preserve"> PAGEREF _Toc397238588 \h </w:instrText>
            </w:r>
            <w:r w:rsidRPr="00082B85">
              <w:rPr>
                <w:noProof/>
                <w:webHidden/>
              </w:rPr>
            </w:r>
            <w:r w:rsidRPr="00082B85">
              <w:rPr>
                <w:noProof/>
                <w:webHidden/>
              </w:rPr>
              <w:fldChar w:fldCharType="separate"/>
            </w:r>
            <w:r w:rsidR="00C97010">
              <w:rPr>
                <w:noProof/>
                <w:webHidden/>
              </w:rPr>
              <w:t>20</w:t>
            </w:r>
            <w:r w:rsidRPr="00082B85">
              <w:rPr>
                <w:noProof/>
                <w:webHidden/>
              </w:rPr>
              <w:fldChar w:fldCharType="end"/>
            </w:r>
          </w:hyperlink>
        </w:p>
        <w:p w:rsidR="00082B85" w:rsidRPr="00082B85" w:rsidRDefault="009966E0">
          <w:pPr>
            <w:pStyle w:val="TOC3"/>
            <w:tabs>
              <w:tab w:val="right" w:leader="dot" w:pos="9062"/>
            </w:tabs>
            <w:rPr>
              <w:noProof/>
            </w:rPr>
          </w:pPr>
          <w:hyperlink w:anchor="_Toc397238589" w:history="1">
            <w:r w:rsidR="00082B85" w:rsidRPr="00082B85">
              <w:rPr>
                <w:rStyle w:val="Hyperlink"/>
                <w:i/>
                <w:noProof/>
                <w:lang w:val="en-GB"/>
              </w:rPr>
              <w:t>Narrow framing</w:t>
            </w:r>
            <w:r w:rsidR="00082B85" w:rsidRPr="00082B85">
              <w:rPr>
                <w:noProof/>
                <w:webHidden/>
              </w:rPr>
              <w:tab/>
            </w:r>
            <w:r w:rsidRPr="00082B85">
              <w:rPr>
                <w:noProof/>
                <w:webHidden/>
              </w:rPr>
              <w:fldChar w:fldCharType="begin"/>
            </w:r>
            <w:r w:rsidR="00082B85" w:rsidRPr="00082B85">
              <w:rPr>
                <w:noProof/>
                <w:webHidden/>
              </w:rPr>
              <w:instrText xml:space="preserve"> PAGEREF _Toc397238589 \h </w:instrText>
            </w:r>
            <w:r w:rsidRPr="00082B85">
              <w:rPr>
                <w:noProof/>
                <w:webHidden/>
              </w:rPr>
            </w:r>
            <w:r w:rsidRPr="00082B85">
              <w:rPr>
                <w:noProof/>
                <w:webHidden/>
              </w:rPr>
              <w:fldChar w:fldCharType="separate"/>
            </w:r>
            <w:r w:rsidR="00C97010">
              <w:rPr>
                <w:noProof/>
                <w:webHidden/>
              </w:rPr>
              <w:t>22</w:t>
            </w:r>
            <w:r w:rsidRPr="00082B85">
              <w:rPr>
                <w:noProof/>
                <w:webHidden/>
              </w:rPr>
              <w:fldChar w:fldCharType="end"/>
            </w:r>
          </w:hyperlink>
        </w:p>
        <w:p w:rsidR="00082B85" w:rsidRPr="00082B85" w:rsidRDefault="009966E0">
          <w:pPr>
            <w:pStyle w:val="TOC3"/>
            <w:tabs>
              <w:tab w:val="right" w:leader="dot" w:pos="9062"/>
            </w:tabs>
            <w:rPr>
              <w:noProof/>
            </w:rPr>
          </w:pPr>
          <w:hyperlink w:anchor="_Toc397238590" w:history="1">
            <w:r w:rsidR="00082B85" w:rsidRPr="00620C65">
              <w:rPr>
                <w:rStyle w:val="Hyperlink"/>
                <w:i/>
                <w:noProof/>
                <w:lang w:val="en-GB"/>
              </w:rPr>
              <w:t>Summary – Hypothetical relation between market temperature and valuations</w:t>
            </w:r>
            <w:r w:rsidR="00082B85" w:rsidRPr="00082B85">
              <w:rPr>
                <w:noProof/>
                <w:webHidden/>
              </w:rPr>
              <w:tab/>
            </w:r>
            <w:r w:rsidRPr="00082B85">
              <w:rPr>
                <w:noProof/>
                <w:webHidden/>
              </w:rPr>
              <w:fldChar w:fldCharType="begin"/>
            </w:r>
            <w:r w:rsidR="00082B85" w:rsidRPr="00082B85">
              <w:rPr>
                <w:noProof/>
                <w:webHidden/>
              </w:rPr>
              <w:instrText xml:space="preserve"> PAGEREF _Toc397238590 \h </w:instrText>
            </w:r>
            <w:r w:rsidRPr="00082B85">
              <w:rPr>
                <w:noProof/>
                <w:webHidden/>
              </w:rPr>
            </w:r>
            <w:r w:rsidRPr="00082B85">
              <w:rPr>
                <w:noProof/>
                <w:webHidden/>
              </w:rPr>
              <w:fldChar w:fldCharType="separate"/>
            </w:r>
            <w:r w:rsidR="00C97010">
              <w:rPr>
                <w:noProof/>
                <w:webHidden/>
              </w:rPr>
              <w:t>24</w:t>
            </w:r>
            <w:r w:rsidRPr="00082B85">
              <w:rPr>
                <w:noProof/>
                <w:webHidden/>
              </w:rPr>
              <w:fldChar w:fldCharType="end"/>
            </w:r>
          </w:hyperlink>
        </w:p>
        <w:p w:rsidR="00082B85" w:rsidRPr="00082B85" w:rsidRDefault="009966E0">
          <w:pPr>
            <w:pStyle w:val="TOC2"/>
            <w:tabs>
              <w:tab w:val="right" w:leader="dot" w:pos="9062"/>
            </w:tabs>
            <w:rPr>
              <w:noProof/>
            </w:rPr>
          </w:pPr>
          <w:hyperlink w:anchor="_Toc397238591" w:history="1">
            <w:r w:rsidR="00082B85" w:rsidRPr="00082B85">
              <w:rPr>
                <w:rStyle w:val="Hyperlink"/>
                <w:noProof/>
                <w:lang w:val="en-GB"/>
              </w:rPr>
              <w:t>Real options as a solution for static DCF valuations</w:t>
            </w:r>
            <w:r w:rsidR="00082B85" w:rsidRPr="00082B85">
              <w:rPr>
                <w:noProof/>
                <w:webHidden/>
              </w:rPr>
              <w:tab/>
            </w:r>
            <w:r w:rsidRPr="00082B85">
              <w:rPr>
                <w:noProof/>
                <w:webHidden/>
              </w:rPr>
              <w:fldChar w:fldCharType="begin"/>
            </w:r>
            <w:r w:rsidR="00082B85" w:rsidRPr="00082B85">
              <w:rPr>
                <w:noProof/>
                <w:webHidden/>
              </w:rPr>
              <w:instrText xml:space="preserve"> PAGEREF _Toc397238591 \h </w:instrText>
            </w:r>
            <w:r w:rsidRPr="00082B85">
              <w:rPr>
                <w:noProof/>
                <w:webHidden/>
              </w:rPr>
            </w:r>
            <w:r w:rsidRPr="00082B85">
              <w:rPr>
                <w:noProof/>
                <w:webHidden/>
              </w:rPr>
              <w:fldChar w:fldCharType="separate"/>
            </w:r>
            <w:r w:rsidR="00C97010">
              <w:rPr>
                <w:noProof/>
                <w:webHidden/>
              </w:rPr>
              <w:t>28</w:t>
            </w:r>
            <w:r w:rsidRPr="00082B85">
              <w:rPr>
                <w:noProof/>
                <w:webHidden/>
              </w:rPr>
              <w:fldChar w:fldCharType="end"/>
            </w:r>
          </w:hyperlink>
        </w:p>
        <w:p w:rsidR="00082B85" w:rsidRPr="00082B85" w:rsidRDefault="009966E0">
          <w:pPr>
            <w:pStyle w:val="TOC3"/>
            <w:tabs>
              <w:tab w:val="right" w:leader="dot" w:pos="9062"/>
            </w:tabs>
            <w:rPr>
              <w:noProof/>
            </w:rPr>
          </w:pPr>
          <w:hyperlink w:anchor="_Toc397238592" w:history="1">
            <w:r w:rsidR="00082B85" w:rsidRPr="00082B85">
              <w:rPr>
                <w:rStyle w:val="Hyperlink"/>
                <w:i/>
                <w:noProof/>
                <w:lang w:val="en-GB"/>
              </w:rPr>
              <w:t>Real options</w:t>
            </w:r>
            <w:r w:rsidR="00082B85" w:rsidRPr="00082B85">
              <w:rPr>
                <w:noProof/>
                <w:webHidden/>
              </w:rPr>
              <w:tab/>
            </w:r>
            <w:r w:rsidRPr="00082B85">
              <w:rPr>
                <w:noProof/>
                <w:webHidden/>
              </w:rPr>
              <w:fldChar w:fldCharType="begin"/>
            </w:r>
            <w:r w:rsidR="00082B85" w:rsidRPr="00082B85">
              <w:rPr>
                <w:noProof/>
                <w:webHidden/>
              </w:rPr>
              <w:instrText xml:space="preserve"> PAGEREF _Toc397238592 \h </w:instrText>
            </w:r>
            <w:r w:rsidRPr="00082B85">
              <w:rPr>
                <w:noProof/>
                <w:webHidden/>
              </w:rPr>
            </w:r>
            <w:r w:rsidRPr="00082B85">
              <w:rPr>
                <w:noProof/>
                <w:webHidden/>
              </w:rPr>
              <w:fldChar w:fldCharType="separate"/>
            </w:r>
            <w:r w:rsidR="00C97010">
              <w:rPr>
                <w:noProof/>
                <w:webHidden/>
              </w:rPr>
              <w:t>31</w:t>
            </w:r>
            <w:r w:rsidRPr="00082B85">
              <w:rPr>
                <w:noProof/>
                <w:webHidden/>
              </w:rPr>
              <w:fldChar w:fldCharType="end"/>
            </w:r>
          </w:hyperlink>
        </w:p>
        <w:p w:rsidR="00082B85" w:rsidRPr="00082B85" w:rsidRDefault="009966E0" w:rsidP="00082B85">
          <w:pPr>
            <w:pStyle w:val="TOC1"/>
            <w:rPr>
              <w:rFonts w:eastAsiaTheme="minorEastAsia"/>
              <w:sz w:val="24"/>
              <w:szCs w:val="24"/>
              <w:lang w:eastAsia="nl-NL"/>
            </w:rPr>
          </w:pPr>
          <w:hyperlink w:anchor="_Toc397238593" w:history="1">
            <w:r w:rsidR="00082B85" w:rsidRPr="00082B85">
              <w:rPr>
                <w:rStyle w:val="Hyperlink"/>
                <w:sz w:val="24"/>
                <w:szCs w:val="24"/>
              </w:rPr>
              <w:t>Experiment</w:t>
            </w:r>
            <w:r w:rsidR="00082B85" w:rsidRPr="00082B85">
              <w:rPr>
                <w:webHidden/>
                <w:sz w:val="24"/>
                <w:szCs w:val="24"/>
              </w:rPr>
              <w:tab/>
            </w:r>
            <w:r w:rsidRPr="00082B85">
              <w:rPr>
                <w:webHidden/>
                <w:sz w:val="24"/>
                <w:szCs w:val="24"/>
              </w:rPr>
              <w:fldChar w:fldCharType="begin"/>
            </w:r>
            <w:r w:rsidR="00082B85" w:rsidRPr="00082B85">
              <w:rPr>
                <w:webHidden/>
                <w:sz w:val="24"/>
                <w:szCs w:val="24"/>
              </w:rPr>
              <w:instrText xml:space="preserve"> PAGEREF _Toc397238593 \h </w:instrText>
            </w:r>
            <w:r w:rsidRPr="00082B85">
              <w:rPr>
                <w:webHidden/>
                <w:sz w:val="24"/>
                <w:szCs w:val="24"/>
              </w:rPr>
            </w:r>
            <w:r w:rsidRPr="00082B85">
              <w:rPr>
                <w:webHidden/>
                <w:sz w:val="24"/>
                <w:szCs w:val="24"/>
              </w:rPr>
              <w:fldChar w:fldCharType="separate"/>
            </w:r>
            <w:r w:rsidR="00C97010">
              <w:rPr>
                <w:webHidden/>
                <w:sz w:val="24"/>
                <w:szCs w:val="24"/>
              </w:rPr>
              <w:t>33</w:t>
            </w:r>
            <w:r w:rsidRPr="00082B85">
              <w:rPr>
                <w:webHidden/>
                <w:sz w:val="24"/>
                <w:szCs w:val="24"/>
              </w:rPr>
              <w:fldChar w:fldCharType="end"/>
            </w:r>
          </w:hyperlink>
        </w:p>
        <w:p w:rsidR="00082B85" w:rsidRPr="00082B85" w:rsidRDefault="009966E0" w:rsidP="00082B85">
          <w:pPr>
            <w:pStyle w:val="TOC1"/>
            <w:rPr>
              <w:rFonts w:eastAsiaTheme="minorEastAsia"/>
              <w:sz w:val="24"/>
              <w:szCs w:val="24"/>
              <w:lang w:eastAsia="nl-NL"/>
            </w:rPr>
          </w:pPr>
          <w:hyperlink w:anchor="_Toc397238594" w:history="1">
            <w:r w:rsidR="00082B85" w:rsidRPr="00082B85">
              <w:rPr>
                <w:rStyle w:val="Hyperlink"/>
                <w:sz w:val="24"/>
                <w:szCs w:val="24"/>
              </w:rPr>
              <w:t>Conclusion</w:t>
            </w:r>
            <w:r w:rsidR="00082B85" w:rsidRPr="00082B85">
              <w:rPr>
                <w:webHidden/>
                <w:sz w:val="24"/>
                <w:szCs w:val="24"/>
              </w:rPr>
              <w:tab/>
            </w:r>
            <w:r w:rsidRPr="00082B85">
              <w:rPr>
                <w:webHidden/>
                <w:sz w:val="24"/>
                <w:szCs w:val="24"/>
              </w:rPr>
              <w:fldChar w:fldCharType="begin"/>
            </w:r>
            <w:r w:rsidR="00082B85" w:rsidRPr="00082B85">
              <w:rPr>
                <w:webHidden/>
                <w:sz w:val="24"/>
                <w:szCs w:val="24"/>
              </w:rPr>
              <w:instrText xml:space="preserve"> PAGEREF _Toc397238594 \h </w:instrText>
            </w:r>
            <w:r w:rsidRPr="00082B85">
              <w:rPr>
                <w:webHidden/>
                <w:sz w:val="24"/>
                <w:szCs w:val="24"/>
              </w:rPr>
            </w:r>
            <w:r w:rsidRPr="00082B85">
              <w:rPr>
                <w:webHidden/>
                <w:sz w:val="24"/>
                <w:szCs w:val="24"/>
              </w:rPr>
              <w:fldChar w:fldCharType="separate"/>
            </w:r>
            <w:r w:rsidR="00C97010">
              <w:rPr>
                <w:webHidden/>
                <w:sz w:val="24"/>
                <w:szCs w:val="24"/>
              </w:rPr>
              <w:t>40</w:t>
            </w:r>
            <w:r w:rsidRPr="00082B85">
              <w:rPr>
                <w:webHidden/>
                <w:sz w:val="24"/>
                <w:szCs w:val="24"/>
              </w:rPr>
              <w:fldChar w:fldCharType="end"/>
            </w:r>
          </w:hyperlink>
        </w:p>
        <w:p w:rsidR="00082B85" w:rsidRPr="00082B85" w:rsidRDefault="009966E0" w:rsidP="00082B85">
          <w:pPr>
            <w:pStyle w:val="TOC1"/>
            <w:rPr>
              <w:rFonts w:eastAsiaTheme="minorEastAsia"/>
              <w:b w:val="0"/>
              <w:lang w:eastAsia="nl-NL"/>
            </w:rPr>
          </w:pPr>
          <w:hyperlink w:anchor="_Toc397238595" w:history="1">
            <w:r w:rsidR="00082B85" w:rsidRPr="00082B85">
              <w:rPr>
                <w:rStyle w:val="Hyperlink"/>
                <w:b w:val="0"/>
              </w:rPr>
              <w:t>Appendix : Experiment</w:t>
            </w:r>
            <w:r w:rsidR="00082B85" w:rsidRPr="00082B85">
              <w:rPr>
                <w:b w:val="0"/>
                <w:webHidden/>
              </w:rPr>
              <w:tab/>
            </w:r>
            <w:r w:rsidRPr="00082B85">
              <w:rPr>
                <w:b w:val="0"/>
                <w:webHidden/>
              </w:rPr>
              <w:fldChar w:fldCharType="begin"/>
            </w:r>
            <w:r w:rsidR="00082B85" w:rsidRPr="00082B85">
              <w:rPr>
                <w:b w:val="0"/>
                <w:webHidden/>
              </w:rPr>
              <w:instrText xml:space="preserve"> PAGEREF _Toc397238595 \h </w:instrText>
            </w:r>
            <w:r w:rsidRPr="00082B85">
              <w:rPr>
                <w:b w:val="0"/>
                <w:webHidden/>
              </w:rPr>
            </w:r>
            <w:r w:rsidRPr="00082B85">
              <w:rPr>
                <w:b w:val="0"/>
                <w:webHidden/>
              </w:rPr>
              <w:fldChar w:fldCharType="separate"/>
            </w:r>
            <w:r w:rsidR="00C97010">
              <w:rPr>
                <w:b w:val="0"/>
                <w:webHidden/>
              </w:rPr>
              <w:t>43</w:t>
            </w:r>
            <w:r w:rsidRPr="00082B85">
              <w:rPr>
                <w:b w:val="0"/>
                <w:webHidden/>
              </w:rPr>
              <w:fldChar w:fldCharType="end"/>
            </w:r>
          </w:hyperlink>
        </w:p>
        <w:p w:rsidR="00082B85" w:rsidRPr="00082B85" w:rsidRDefault="009966E0" w:rsidP="00082B85">
          <w:pPr>
            <w:pStyle w:val="TOC1"/>
            <w:rPr>
              <w:rFonts w:eastAsiaTheme="minorEastAsia"/>
              <w:b w:val="0"/>
              <w:lang w:eastAsia="nl-NL"/>
            </w:rPr>
          </w:pPr>
          <w:hyperlink w:anchor="_Toc397238596" w:history="1">
            <w:r w:rsidR="00082B85" w:rsidRPr="00082B85">
              <w:rPr>
                <w:rStyle w:val="Hyperlink"/>
                <w:b w:val="0"/>
              </w:rPr>
              <w:t>Bibliography</w:t>
            </w:r>
            <w:r w:rsidR="00082B85" w:rsidRPr="00082B85">
              <w:rPr>
                <w:b w:val="0"/>
                <w:webHidden/>
              </w:rPr>
              <w:tab/>
            </w:r>
            <w:r w:rsidRPr="00082B85">
              <w:rPr>
                <w:b w:val="0"/>
                <w:webHidden/>
              </w:rPr>
              <w:fldChar w:fldCharType="begin"/>
            </w:r>
            <w:r w:rsidR="00082B85" w:rsidRPr="00082B85">
              <w:rPr>
                <w:b w:val="0"/>
                <w:webHidden/>
              </w:rPr>
              <w:instrText xml:space="preserve"> PAGEREF _Toc397238596 \h </w:instrText>
            </w:r>
            <w:r w:rsidRPr="00082B85">
              <w:rPr>
                <w:b w:val="0"/>
                <w:webHidden/>
              </w:rPr>
            </w:r>
            <w:r w:rsidRPr="00082B85">
              <w:rPr>
                <w:b w:val="0"/>
                <w:webHidden/>
              </w:rPr>
              <w:fldChar w:fldCharType="separate"/>
            </w:r>
            <w:r w:rsidR="00C97010">
              <w:rPr>
                <w:b w:val="0"/>
                <w:webHidden/>
              </w:rPr>
              <w:t>51</w:t>
            </w:r>
            <w:r w:rsidRPr="00082B85">
              <w:rPr>
                <w:b w:val="0"/>
                <w:webHidden/>
              </w:rPr>
              <w:fldChar w:fldCharType="end"/>
            </w:r>
          </w:hyperlink>
        </w:p>
        <w:p w:rsidR="00182A6D" w:rsidRDefault="009966E0">
          <w:r>
            <w:fldChar w:fldCharType="end"/>
          </w:r>
        </w:p>
      </w:sdtContent>
    </w:sdt>
    <w:p w:rsidR="006266DF" w:rsidRDefault="006266DF">
      <w:pPr>
        <w:rPr>
          <w:b/>
          <w:lang w:val="en-GB"/>
        </w:rPr>
      </w:pPr>
    </w:p>
    <w:p w:rsidR="006266DF" w:rsidRDefault="006266DF">
      <w:pPr>
        <w:rPr>
          <w:b/>
          <w:lang w:val="en-GB"/>
        </w:rPr>
      </w:pPr>
      <w:r>
        <w:rPr>
          <w:b/>
          <w:lang w:val="en-GB"/>
        </w:rPr>
        <w:br w:type="page"/>
      </w:r>
    </w:p>
    <w:p w:rsidR="0008538C" w:rsidRPr="000C60D2" w:rsidRDefault="006266DF" w:rsidP="006266DF">
      <w:pPr>
        <w:pStyle w:val="Heading1"/>
        <w:rPr>
          <w:b w:val="0"/>
          <w:color w:val="76923C" w:themeColor="accent3" w:themeShade="BF"/>
          <w:sz w:val="22"/>
          <w:szCs w:val="22"/>
          <w:lang w:val="en-GB"/>
        </w:rPr>
      </w:pPr>
      <w:bookmarkStart w:id="0" w:name="_Toc397238580"/>
      <w:r w:rsidRPr="000C60D2">
        <w:rPr>
          <w:color w:val="76923C" w:themeColor="accent3" w:themeShade="BF"/>
          <w:lang w:val="en-GB"/>
        </w:rPr>
        <w:lastRenderedPageBreak/>
        <w:t>Introduction</w:t>
      </w:r>
      <w:bookmarkEnd w:id="0"/>
    </w:p>
    <w:p w:rsidR="0008538C" w:rsidRDefault="008555A5" w:rsidP="003051E3">
      <w:pPr>
        <w:spacing w:line="360" w:lineRule="auto"/>
        <w:jc w:val="both"/>
        <w:rPr>
          <w:lang w:val="en-GB"/>
        </w:rPr>
      </w:pPr>
      <w:r>
        <w:rPr>
          <w:lang w:val="en-GB"/>
        </w:rPr>
        <w:br/>
        <w:t xml:space="preserve">How could one explain that </w:t>
      </w:r>
      <w:r w:rsidR="0008538C">
        <w:rPr>
          <w:lang w:val="en-GB"/>
        </w:rPr>
        <w:t xml:space="preserve">CEOs of competing companies are queuing up to acquire the same targets when they know that prices are high, whilst the same CEOs shy away from comparable targets when prices are low? Does the underlying value of these targets really differ that much over different points in time, or </w:t>
      </w:r>
      <w:r w:rsidR="008B7384">
        <w:rPr>
          <w:lang w:val="en-GB"/>
        </w:rPr>
        <w:t>is it possible that valuations are</w:t>
      </w:r>
      <w:r w:rsidR="0008538C">
        <w:rPr>
          <w:lang w:val="en-GB"/>
        </w:rPr>
        <w:t xml:space="preserve"> biased? If so,</w:t>
      </w:r>
      <w:r>
        <w:rPr>
          <w:lang w:val="en-GB"/>
        </w:rPr>
        <w:t xml:space="preserve"> is this not paradoxical since</w:t>
      </w:r>
      <w:r w:rsidR="0008538C">
        <w:rPr>
          <w:lang w:val="en-GB"/>
        </w:rPr>
        <w:t xml:space="preserve"> CEO</w:t>
      </w:r>
      <w:r w:rsidR="00C646F5">
        <w:rPr>
          <w:lang w:val="en-GB"/>
        </w:rPr>
        <w:t>s are in that position because they are supposed to value</w:t>
      </w:r>
      <w:r w:rsidR="008B7384">
        <w:rPr>
          <w:lang w:val="en-GB"/>
        </w:rPr>
        <w:t xml:space="preserve"> potential investment opportunities</w:t>
      </w:r>
      <w:r w:rsidR="00C646F5">
        <w:rPr>
          <w:lang w:val="en-GB"/>
        </w:rPr>
        <w:t xml:space="preserve"> objectively and independently? Research has shown that</w:t>
      </w:r>
      <w:r w:rsidR="001851DF">
        <w:rPr>
          <w:lang w:val="en-GB"/>
        </w:rPr>
        <w:t xml:space="preserve"> because of framing effects on the valuation of </w:t>
      </w:r>
      <w:r w:rsidR="00C2527F">
        <w:rPr>
          <w:lang w:val="en-GB"/>
        </w:rPr>
        <w:t>investment opportunities by executives,</w:t>
      </w:r>
      <w:r w:rsidR="00C646F5">
        <w:rPr>
          <w:lang w:val="en-GB"/>
        </w:rPr>
        <w:t xml:space="preserve"> valuations indeed appear to be biased in different phases of the business </w:t>
      </w:r>
      <w:r w:rsidR="003D14D0">
        <w:rPr>
          <w:lang w:val="en-GB"/>
        </w:rPr>
        <w:t xml:space="preserve">and M&amp;A </w:t>
      </w:r>
      <w:r w:rsidR="00C646F5">
        <w:rPr>
          <w:lang w:val="en-GB"/>
        </w:rPr>
        <w:t>cycle. Apparently exe</w:t>
      </w:r>
      <w:r w:rsidR="008B7384">
        <w:rPr>
          <w:lang w:val="en-GB"/>
        </w:rPr>
        <w:t xml:space="preserve">cutives tend to be optimistic </w:t>
      </w:r>
      <w:r>
        <w:rPr>
          <w:lang w:val="en-GB"/>
        </w:rPr>
        <w:t xml:space="preserve">about a target’s potential </w:t>
      </w:r>
      <w:r w:rsidR="008B7384">
        <w:rPr>
          <w:lang w:val="en-GB"/>
        </w:rPr>
        <w:t>during</w:t>
      </w:r>
      <w:r w:rsidR="00C646F5">
        <w:rPr>
          <w:lang w:val="en-GB"/>
        </w:rPr>
        <w:t xml:space="preserve"> upward fluctuations in the business cycle</w:t>
      </w:r>
      <w:r w:rsidR="008B7384">
        <w:rPr>
          <w:lang w:val="en-GB"/>
        </w:rPr>
        <w:t>,</w:t>
      </w:r>
      <w:r w:rsidR="00C646F5">
        <w:rPr>
          <w:lang w:val="en-GB"/>
        </w:rPr>
        <w:t xml:space="preserve"> </w:t>
      </w:r>
      <w:r w:rsidR="009E31EA">
        <w:rPr>
          <w:lang w:val="en-GB"/>
        </w:rPr>
        <w:t>which results in heavy competition for take-over targets with high prices and ultimately ma</w:t>
      </w:r>
      <w:r w:rsidR="008B7384">
        <w:rPr>
          <w:lang w:val="en-GB"/>
        </w:rPr>
        <w:t>ny deals being done. Inversely,</w:t>
      </w:r>
      <w:r w:rsidR="006E4669">
        <w:rPr>
          <w:lang w:val="en-GB"/>
        </w:rPr>
        <w:t xml:space="preserve"> executives seem to be reticent</w:t>
      </w:r>
      <w:r w:rsidR="008B7384">
        <w:rPr>
          <w:lang w:val="en-GB"/>
        </w:rPr>
        <w:t xml:space="preserve"> during downward fluctuations, which results in few deals being done whilst prices are relatively low. </w:t>
      </w:r>
      <w:r w:rsidR="00104745">
        <w:rPr>
          <w:lang w:val="en-GB"/>
        </w:rPr>
        <w:t>These market situations can be described as ‘hot’ and ‘cold’ deal markets</w:t>
      </w:r>
      <w:r w:rsidR="00C70A20">
        <w:rPr>
          <w:lang w:val="en-GB"/>
        </w:rPr>
        <w:t xml:space="preserve"> </w:t>
      </w:r>
      <w:r w:rsidR="006E4669">
        <w:rPr>
          <w:lang w:val="en-GB"/>
        </w:rPr>
        <w:t>(</w:t>
      </w:r>
      <w:r w:rsidR="00C70A20">
        <w:rPr>
          <w:lang w:val="en-GB"/>
        </w:rPr>
        <w:t>as proposed by Smit &amp; Lovallo (2014))</w:t>
      </w:r>
      <w:r w:rsidR="00104745">
        <w:rPr>
          <w:lang w:val="en-GB"/>
        </w:rPr>
        <w:t xml:space="preserve">. </w:t>
      </w:r>
      <w:r w:rsidR="00AD418D">
        <w:rPr>
          <w:lang w:val="en-GB"/>
        </w:rPr>
        <w:t>One of the problems which may</w:t>
      </w:r>
      <w:r w:rsidR="00795493">
        <w:rPr>
          <w:lang w:val="en-GB"/>
        </w:rPr>
        <w:t xml:space="preserve"> partially</w:t>
      </w:r>
      <w:r w:rsidR="00AD418D">
        <w:rPr>
          <w:lang w:val="en-GB"/>
        </w:rPr>
        <w:t xml:space="preserve"> be</w:t>
      </w:r>
      <w:r w:rsidR="00795493">
        <w:rPr>
          <w:lang w:val="en-GB"/>
        </w:rPr>
        <w:t xml:space="preserve"> a result of deals done in a hot</w:t>
      </w:r>
      <w:r w:rsidR="00092AB4">
        <w:rPr>
          <w:lang w:val="en-GB"/>
        </w:rPr>
        <w:t xml:space="preserve"> deal</w:t>
      </w:r>
      <w:r w:rsidR="00795493">
        <w:rPr>
          <w:lang w:val="en-GB"/>
        </w:rPr>
        <w:t xml:space="preserve"> market, is the vast amount of deals that later turn out to be failures</w:t>
      </w:r>
      <w:r w:rsidR="002D03FA">
        <w:rPr>
          <w:lang w:val="en-GB"/>
        </w:rPr>
        <w:t>,</w:t>
      </w:r>
      <w:r w:rsidR="00AD418D">
        <w:rPr>
          <w:lang w:val="en-GB"/>
        </w:rPr>
        <w:t xml:space="preserve"> with substantial problems for society</w:t>
      </w:r>
      <w:r w:rsidR="00795493">
        <w:rPr>
          <w:lang w:val="en-GB"/>
        </w:rPr>
        <w:t xml:space="preserve"> </w:t>
      </w:r>
      <w:r w:rsidR="00D520DF">
        <w:rPr>
          <w:lang w:val="en-GB"/>
        </w:rPr>
        <w:t xml:space="preserve"> </w:t>
      </w:r>
      <w:sdt>
        <w:sdtPr>
          <w:rPr>
            <w:lang w:val="en-GB"/>
          </w:rPr>
          <w:id w:val="6706811"/>
          <w:citation/>
        </w:sdtPr>
        <w:sdtContent>
          <w:r w:rsidR="009966E0">
            <w:rPr>
              <w:lang w:val="en-GB"/>
            </w:rPr>
            <w:fldChar w:fldCharType="begin"/>
          </w:r>
          <w:r w:rsidR="00D520DF" w:rsidRPr="00D520DF">
            <w:rPr>
              <w:lang w:val="en-GB"/>
            </w:rPr>
            <w:instrText xml:space="preserve"> CITATION Cam99 \l 1043 </w:instrText>
          </w:r>
          <w:r w:rsidR="009966E0">
            <w:rPr>
              <w:lang w:val="en-GB"/>
            </w:rPr>
            <w:fldChar w:fldCharType="separate"/>
          </w:r>
          <w:r w:rsidR="00C32B5A" w:rsidRPr="00C32B5A">
            <w:rPr>
              <w:noProof/>
              <w:lang w:val="en-GB"/>
            </w:rPr>
            <w:t>(Camerer &amp; Lovallo, 1999)</w:t>
          </w:r>
          <w:r w:rsidR="009966E0">
            <w:rPr>
              <w:lang w:val="en-GB"/>
            </w:rPr>
            <w:fldChar w:fldCharType="end"/>
          </w:r>
        </w:sdtContent>
      </w:sdt>
      <w:r w:rsidR="00BE4DCB">
        <w:rPr>
          <w:lang w:val="en-GB"/>
        </w:rPr>
        <w:t xml:space="preserve"> &amp; </w:t>
      </w:r>
      <w:sdt>
        <w:sdtPr>
          <w:rPr>
            <w:lang w:val="en-GB"/>
          </w:rPr>
          <w:id w:val="237608514"/>
          <w:citation/>
        </w:sdtPr>
        <w:sdtContent>
          <w:r w:rsidR="009966E0">
            <w:rPr>
              <w:lang w:val="en-GB"/>
            </w:rPr>
            <w:fldChar w:fldCharType="begin"/>
          </w:r>
          <w:r w:rsidR="00BE4DCB" w:rsidRPr="00795493">
            <w:rPr>
              <w:lang w:val="en-GB"/>
            </w:rPr>
            <w:instrText xml:space="preserve"> CITATION Fin14 \l 1043 </w:instrText>
          </w:r>
          <w:r w:rsidR="009966E0">
            <w:rPr>
              <w:lang w:val="en-GB"/>
            </w:rPr>
            <w:fldChar w:fldCharType="separate"/>
          </w:r>
          <w:r w:rsidR="00C32B5A" w:rsidRPr="00C32B5A">
            <w:rPr>
              <w:noProof/>
              <w:lang w:val="en-GB"/>
            </w:rPr>
            <w:t>(Financieel Dagblad, 2014)</w:t>
          </w:r>
          <w:r w:rsidR="009966E0">
            <w:rPr>
              <w:lang w:val="en-GB"/>
            </w:rPr>
            <w:fldChar w:fldCharType="end"/>
          </w:r>
        </w:sdtContent>
      </w:sdt>
      <w:r w:rsidR="00AD418D">
        <w:rPr>
          <w:lang w:val="en-GB"/>
        </w:rPr>
        <w:t xml:space="preserve">. </w:t>
      </w:r>
      <w:r w:rsidR="009E31EA">
        <w:rPr>
          <w:lang w:val="en-GB"/>
        </w:rPr>
        <w:t xml:space="preserve"> </w:t>
      </w:r>
      <w:r w:rsidR="00AD418D">
        <w:rPr>
          <w:lang w:val="en-GB"/>
        </w:rPr>
        <w:t>However, this is not the sole problem related to fluctuations in the amount of deals. When executives decide to acquire targets because of over</w:t>
      </w:r>
      <w:r w:rsidR="00C2527F">
        <w:rPr>
          <w:lang w:val="en-GB"/>
        </w:rPr>
        <w:t>-</w:t>
      </w:r>
      <w:r w:rsidR="00AD418D">
        <w:rPr>
          <w:lang w:val="en-GB"/>
        </w:rPr>
        <w:t>optimism, and this is done on a large scale, this might lead to a</w:t>
      </w:r>
      <w:r w:rsidR="009C6D22">
        <w:rPr>
          <w:lang w:val="en-GB"/>
        </w:rPr>
        <w:t xml:space="preserve"> </w:t>
      </w:r>
      <w:r w:rsidR="00AD418D">
        <w:rPr>
          <w:lang w:val="en-GB"/>
        </w:rPr>
        <w:t xml:space="preserve"> market which is </w:t>
      </w:r>
      <w:r w:rsidR="009C6D22">
        <w:rPr>
          <w:lang w:val="en-GB"/>
        </w:rPr>
        <w:t xml:space="preserve">excessively </w:t>
      </w:r>
      <w:r w:rsidR="00AD418D">
        <w:rPr>
          <w:lang w:val="en-GB"/>
        </w:rPr>
        <w:t>concentrated. The related consequences are</w:t>
      </w:r>
      <w:r w:rsidR="006E4669">
        <w:rPr>
          <w:lang w:val="en-GB"/>
        </w:rPr>
        <w:t xml:space="preserve"> widely</w:t>
      </w:r>
      <w:r w:rsidR="00AD418D">
        <w:rPr>
          <w:lang w:val="en-GB"/>
        </w:rPr>
        <w:t xml:space="preserve"> known: less competition and potential lasting changes in the market structure. </w:t>
      </w:r>
      <w:r w:rsidR="00CF4A13">
        <w:rPr>
          <w:lang w:val="en-GB"/>
        </w:rPr>
        <w:t xml:space="preserve">For society, competition leads to more efficient outcomes. </w:t>
      </w:r>
      <w:r w:rsidR="006E4669">
        <w:rPr>
          <w:lang w:val="en-GB"/>
        </w:rPr>
        <w:t xml:space="preserve">A cold market also </w:t>
      </w:r>
      <w:r w:rsidR="00AD418D">
        <w:rPr>
          <w:lang w:val="en-GB"/>
        </w:rPr>
        <w:t xml:space="preserve">gives rise to various problems, the most predominant of which is </w:t>
      </w:r>
      <w:r w:rsidR="00B72901">
        <w:rPr>
          <w:lang w:val="en-GB"/>
        </w:rPr>
        <w:t xml:space="preserve">forfeited economic value due to good deals going to waste. </w:t>
      </w:r>
    </w:p>
    <w:p w:rsidR="003051E3" w:rsidRDefault="003051E3" w:rsidP="003051E3">
      <w:pPr>
        <w:spacing w:line="360" w:lineRule="auto"/>
        <w:jc w:val="both"/>
        <w:rPr>
          <w:lang w:val="en-GB"/>
        </w:rPr>
      </w:pPr>
      <w:r>
        <w:rPr>
          <w:lang w:val="en-GB"/>
        </w:rPr>
        <w:t xml:space="preserve">Given the problems described above it is evident that solutions to this hot and cold deal market phenomena should be subject to research. </w:t>
      </w:r>
      <w:r w:rsidR="006E4669">
        <w:rPr>
          <w:lang w:val="en-GB"/>
        </w:rPr>
        <w:t xml:space="preserve">Among others, </w:t>
      </w:r>
      <w:r>
        <w:rPr>
          <w:lang w:val="en-GB"/>
        </w:rPr>
        <w:t xml:space="preserve">Smit &amp; Lovallo (2014) </w:t>
      </w:r>
      <w:r w:rsidR="006E4669">
        <w:rPr>
          <w:lang w:val="en-GB"/>
        </w:rPr>
        <w:t xml:space="preserve">and Smit &amp; Moraitis (2010) </w:t>
      </w:r>
      <w:r>
        <w:rPr>
          <w:lang w:val="en-GB"/>
        </w:rPr>
        <w:t>have treated this subject and provide a possible solution in the form of</w:t>
      </w:r>
      <w:r w:rsidR="000F7A2D">
        <w:rPr>
          <w:lang w:val="en-GB"/>
        </w:rPr>
        <w:t xml:space="preserve"> real</w:t>
      </w:r>
      <w:r>
        <w:rPr>
          <w:lang w:val="en-GB"/>
        </w:rPr>
        <w:t xml:space="preserve"> options.</w:t>
      </w:r>
      <w:r w:rsidR="000F7A2D">
        <w:rPr>
          <w:lang w:val="en-GB"/>
        </w:rPr>
        <w:t xml:space="preserve"> By using the real options approach as an </w:t>
      </w:r>
      <w:r w:rsidR="009C6D22">
        <w:rPr>
          <w:lang w:val="en-GB"/>
        </w:rPr>
        <w:t>addition to</w:t>
      </w:r>
      <w:r w:rsidR="000F7A2D">
        <w:rPr>
          <w:lang w:val="en-GB"/>
        </w:rPr>
        <w:t xml:space="preserve"> conventional valuation methods, they see a way of correction for over- and undervaluation in respectively hot and cold deal market situations. As earlier mentioned</w:t>
      </w:r>
      <w:r w:rsidR="002D03FA">
        <w:rPr>
          <w:lang w:val="en-GB"/>
        </w:rPr>
        <w:t>,</w:t>
      </w:r>
      <w:r w:rsidR="000F7A2D">
        <w:rPr>
          <w:lang w:val="en-GB"/>
        </w:rPr>
        <w:t xml:space="preserve"> over- and undervaluation could be the result of executives’ </w:t>
      </w:r>
      <w:r w:rsidR="00253BE9">
        <w:rPr>
          <w:lang w:val="en-GB"/>
        </w:rPr>
        <w:t>over-optimism</w:t>
      </w:r>
      <w:r w:rsidR="00BE4DCB">
        <w:rPr>
          <w:lang w:val="en-GB"/>
        </w:rPr>
        <w:t xml:space="preserve"> and overconfidence</w:t>
      </w:r>
      <w:r w:rsidR="000F7A2D">
        <w:rPr>
          <w:lang w:val="en-GB"/>
        </w:rPr>
        <w:t xml:space="preserve"> in a hot market </w:t>
      </w:r>
      <w:r w:rsidR="00215FED">
        <w:rPr>
          <w:lang w:val="en-GB"/>
        </w:rPr>
        <w:t>situation and</w:t>
      </w:r>
      <w:r w:rsidR="00F87B06">
        <w:rPr>
          <w:lang w:val="en-GB"/>
        </w:rPr>
        <w:t xml:space="preserve"> reticence</w:t>
      </w:r>
      <w:r w:rsidR="00A15CAC">
        <w:rPr>
          <w:lang w:val="en-GB"/>
        </w:rPr>
        <w:t xml:space="preserve"> in cold deal markets</w:t>
      </w:r>
      <w:r w:rsidR="00215FED">
        <w:rPr>
          <w:lang w:val="en-GB"/>
        </w:rPr>
        <w:t>, which, in turn, may be</w:t>
      </w:r>
      <w:r w:rsidR="00BE4DCB">
        <w:rPr>
          <w:lang w:val="en-GB"/>
        </w:rPr>
        <w:t xml:space="preserve"> the</w:t>
      </w:r>
      <w:r w:rsidR="00215FED">
        <w:rPr>
          <w:lang w:val="en-GB"/>
        </w:rPr>
        <w:t xml:space="preserve"> </w:t>
      </w:r>
      <w:r w:rsidR="00BE4DCB">
        <w:rPr>
          <w:lang w:val="en-GB"/>
        </w:rPr>
        <w:t>consequence</w:t>
      </w:r>
      <w:r w:rsidR="00253BE9">
        <w:rPr>
          <w:lang w:val="en-GB"/>
        </w:rPr>
        <w:t xml:space="preserve"> of earlier experiences</w:t>
      </w:r>
      <w:r w:rsidR="00A15CAC">
        <w:rPr>
          <w:lang w:val="en-GB"/>
        </w:rPr>
        <w:t>. When using the DCF method</w:t>
      </w:r>
      <w:r w:rsidR="009C6D22">
        <w:rPr>
          <w:lang w:val="en-GB"/>
        </w:rPr>
        <w:t>,</w:t>
      </w:r>
      <w:r w:rsidR="00BE4DCB">
        <w:rPr>
          <w:lang w:val="en-GB"/>
        </w:rPr>
        <w:t xml:space="preserve"> the above is illustrated by</w:t>
      </w:r>
      <w:r w:rsidR="00A15CAC">
        <w:rPr>
          <w:lang w:val="en-GB"/>
        </w:rPr>
        <w:t xml:space="preserve"> execut</w:t>
      </w:r>
      <w:r w:rsidR="00BE4DCB">
        <w:rPr>
          <w:lang w:val="en-GB"/>
        </w:rPr>
        <w:t>ives’ potential exuberance of the horizon value in a hot deal market</w:t>
      </w:r>
      <w:r w:rsidR="00A15CAC">
        <w:rPr>
          <w:lang w:val="en-GB"/>
        </w:rPr>
        <w:t>, as they focus too much on growth possibilities. In a cold deal market, executives focus too much on the risk</w:t>
      </w:r>
      <w:r w:rsidR="009C6D22">
        <w:rPr>
          <w:lang w:val="en-GB"/>
        </w:rPr>
        <w:t xml:space="preserve"> of an investment</w:t>
      </w:r>
      <w:r w:rsidR="00A15CAC">
        <w:rPr>
          <w:lang w:val="en-GB"/>
        </w:rPr>
        <w:t xml:space="preserve"> and therefore the initial outlay, whilst </w:t>
      </w:r>
      <w:r w:rsidR="00CF4A13">
        <w:rPr>
          <w:lang w:val="en-GB"/>
        </w:rPr>
        <w:t>little attention</w:t>
      </w:r>
      <w:r w:rsidR="00A15CAC">
        <w:rPr>
          <w:lang w:val="en-GB"/>
        </w:rPr>
        <w:t xml:space="preserve"> is paid to the horizon value. </w:t>
      </w:r>
      <w:r w:rsidR="00C70A20">
        <w:rPr>
          <w:lang w:val="en-GB"/>
        </w:rPr>
        <w:t xml:space="preserve">Combined </w:t>
      </w:r>
      <w:r w:rsidR="00CF4A13">
        <w:rPr>
          <w:lang w:val="en-GB"/>
        </w:rPr>
        <w:t xml:space="preserve">with </w:t>
      </w:r>
      <w:r w:rsidR="00CF4A13">
        <w:rPr>
          <w:lang w:val="en-GB"/>
        </w:rPr>
        <w:lastRenderedPageBreak/>
        <w:t>executives’</w:t>
      </w:r>
      <w:r w:rsidR="00F87B06">
        <w:rPr>
          <w:lang w:val="en-GB"/>
        </w:rPr>
        <w:t xml:space="preserve"> perception</w:t>
      </w:r>
      <w:r w:rsidR="00C70A20">
        <w:rPr>
          <w:lang w:val="en-GB"/>
        </w:rPr>
        <w:t>s</w:t>
      </w:r>
      <w:r w:rsidR="00F87B06">
        <w:rPr>
          <w:lang w:val="en-GB"/>
        </w:rPr>
        <w:t xml:space="preserve"> of the </w:t>
      </w:r>
      <w:r w:rsidR="009C6D22">
        <w:rPr>
          <w:lang w:val="en-GB"/>
        </w:rPr>
        <w:t>possible investment</w:t>
      </w:r>
      <w:r w:rsidR="00FF08C3">
        <w:rPr>
          <w:lang w:val="en-GB"/>
        </w:rPr>
        <w:t xml:space="preserve"> </w:t>
      </w:r>
      <w:r w:rsidR="00215FED">
        <w:rPr>
          <w:lang w:val="en-GB"/>
        </w:rPr>
        <w:t>as a ‘Go-or-n</w:t>
      </w:r>
      <w:r w:rsidR="00F87B06">
        <w:rPr>
          <w:lang w:val="en-GB"/>
        </w:rPr>
        <w:t>o-Go decision’</w:t>
      </w:r>
      <w:r w:rsidR="00FF08C3">
        <w:rPr>
          <w:lang w:val="en-GB"/>
        </w:rPr>
        <w:t>, this results in a static valuation which could lead to biases in the valuation of this possible acquisition.</w:t>
      </w:r>
      <w:r w:rsidR="00A15CAC">
        <w:rPr>
          <w:lang w:val="en-GB"/>
        </w:rPr>
        <w:t xml:space="preserve"> </w:t>
      </w:r>
    </w:p>
    <w:p w:rsidR="00A15CAC" w:rsidRDefault="00235FED" w:rsidP="003051E3">
      <w:pPr>
        <w:spacing w:line="360" w:lineRule="auto"/>
        <w:jc w:val="both"/>
        <w:rPr>
          <w:lang w:val="en-GB"/>
        </w:rPr>
      </w:pPr>
      <w:r>
        <w:rPr>
          <w:lang w:val="en-GB"/>
        </w:rPr>
        <w:t>Smit &amp; Moraitis (2010</w:t>
      </w:r>
      <w:r w:rsidR="00A15CAC">
        <w:rPr>
          <w:lang w:val="en-GB"/>
        </w:rPr>
        <w:t>) distinguish various ways</w:t>
      </w:r>
      <w:r w:rsidR="001420B0">
        <w:rPr>
          <w:lang w:val="en-GB"/>
        </w:rPr>
        <w:t xml:space="preserve"> of how</w:t>
      </w:r>
      <w:r w:rsidR="00A15CAC">
        <w:rPr>
          <w:lang w:val="en-GB"/>
        </w:rPr>
        <w:t xml:space="preserve"> these biases could influence the valuation. </w:t>
      </w:r>
      <w:r w:rsidR="001420B0">
        <w:rPr>
          <w:lang w:val="en-GB"/>
        </w:rPr>
        <w:t>Anchoring and over</w:t>
      </w:r>
      <w:r w:rsidR="00BE4DCB">
        <w:rPr>
          <w:lang w:val="en-GB"/>
        </w:rPr>
        <w:t>confidence</w:t>
      </w:r>
      <w:r w:rsidR="001420B0">
        <w:rPr>
          <w:lang w:val="en-GB"/>
        </w:rPr>
        <w:t xml:space="preserve"> could be reasons for overvaluation in hot deal markets. In cold deal markets </w:t>
      </w:r>
      <w:r w:rsidR="009063E0">
        <w:rPr>
          <w:lang w:val="en-GB"/>
        </w:rPr>
        <w:t xml:space="preserve">anchoring, </w:t>
      </w:r>
      <w:r w:rsidR="001420B0">
        <w:rPr>
          <w:lang w:val="en-GB"/>
        </w:rPr>
        <w:t>narrow framing and loss aversion could explain why executives are reluctant to invest or underval</w:t>
      </w:r>
      <w:r w:rsidR="00BE4DCB">
        <w:rPr>
          <w:lang w:val="en-GB"/>
        </w:rPr>
        <w:t xml:space="preserve">ue targets. The experiment solely </w:t>
      </w:r>
      <w:r w:rsidR="001420B0">
        <w:rPr>
          <w:lang w:val="en-GB"/>
        </w:rPr>
        <w:t xml:space="preserve">tests if potential differences in the valuation during hot and cold deal market settings are the result of </w:t>
      </w:r>
      <w:r w:rsidR="00253BE9">
        <w:rPr>
          <w:lang w:val="en-GB"/>
        </w:rPr>
        <w:t>over</w:t>
      </w:r>
      <w:r w:rsidR="00BE4DCB">
        <w:rPr>
          <w:lang w:val="en-GB"/>
        </w:rPr>
        <w:t>confidence</w:t>
      </w:r>
      <w:r w:rsidR="001420B0">
        <w:rPr>
          <w:lang w:val="en-GB"/>
        </w:rPr>
        <w:t xml:space="preserve"> and </w:t>
      </w:r>
      <w:r w:rsidR="007D4331">
        <w:rPr>
          <w:lang w:val="en-GB"/>
        </w:rPr>
        <w:t xml:space="preserve">a combination of </w:t>
      </w:r>
      <w:r w:rsidR="009C6D22">
        <w:rPr>
          <w:lang w:val="en-GB"/>
        </w:rPr>
        <w:t>narrow framing</w:t>
      </w:r>
      <w:r w:rsidR="007D4331">
        <w:rPr>
          <w:lang w:val="en-GB"/>
        </w:rPr>
        <w:t xml:space="preserve"> and loss aversion</w:t>
      </w:r>
      <w:r w:rsidR="001420B0">
        <w:rPr>
          <w:lang w:val="en-GB"/>
        </w:rPr>
        <w:t xml:space="preserve">. </w:t>
      </w:r>
      <w:r w:rsidR="001851DF">
        <w:rPr>
          <w:lang w:val="en-GB"/>
        </w:rPr>
        <w:t>More specific,</w:t>
      </w:r>
      <w:r w:rsidR="00CD6E8C">
        <w:rPr>
          <w:lang w:val="en-GB"/>
        </w:rPr>
        <w:t xml:space="preserve"> the goal of the</w:t>
      </w:r>
      <w:r w:rsidR="001420B0">
        <w:rPr>
          <w:lang w:val="en-GB"/>
        </w:rPr>
        <w:t xml:space="preserve"> experiment is to test whether a difference</w:t>
      </w:r>
      <w:r w:rsidR="009063E0">
        <w:rPr>
          <w:lang w:val="en-GB"/>
        </w:rPr>
        <w:t xml:space="preserve"> in valuation</w:t>
      </w:r>
      <w:r w:rsidR="00BE4DCB">
        <w:rPr>
          <w:lang w:val="en-GB"/>
        </w:rPr>
        <w:t xml:space="preserve"> following a divergent prior</w:t>
      </w:r>
      <w:r w:rsidR="001851DF">
        <w:rPr>
          <w:lang w:val="en-GB"/>
        </w:rPr>
        <w:t xml:space="preserve"> business</w:t>
      </w:r>
      <w:r w:rsidR="00BE4DCB">
        <w:rPr>
          <w:lang w:val="en-GB"/>
        </w:rPr>
        <w:t xml:space="preserve"> experience</w:t>
      </w:r>
      <w:r w:rsidR="001420B0">
        <w:rPr>
          <w:lang w:val="en-GB"/>
        </w:rPr>
        <w:t xml:space="preserve"> occurs </w:t>
      </w:r>
      <w:r w:rsidR="009063E0">
        <w:rPr>
          <w:lang w:val="en-GB"/>
        </w:rPr>
        <w:t>and whether</w:t>
      </w:r>
      <w:r w:rsidR="001420B0">
        <w:rPr>
          <w:lang w:val="en-GB"/>
        </w:rPr>
        <w:t xml:space="preserve"> the</w:t>
      </w:r>
      <w:r w:rsidR="00BE4DCB">
        <w:rPr>
          <w:lang w:val="en-GB"/>
        </w:rPr>
        <w:t xml:space="preserve"> </w:t>
      </w:r>
      <w:r w:rsidR="001420B0">
        <w:rPr>
          <w:lang w:val="en-GB"/>
        </w:rPr>
        <w:t xml:space="preserve"> implementation of real options </w:t>
      </w:r>
      <w:r w:rsidR="007D4331">
        <w:rPr>
          <w:lang w:val="en-GB"/>
        </w:rPr>
        <w:t>could provide</w:t>
      </w:r>
      <w:r w:rsidR="001420B0">
        <w:rPr>
          <w:lang w:val="en-GB"/>
        </w:rPr>
        <w:t xml:space="preserve"> a solution</w:t>
      </w:r>
      <w:r w:rsidR="007D4331">
        <w:rPr>
          <w:lang w:val="en-GB"/>
        </w:rPr>
        <w:t xml:space="preserve">, </w:t>
      </w:r>
      <w:r w:rsidR="009C6D22">
        <w:rPr>
          <w:lang w:val="en-GB"/>
        </w:rPr>
        <w:t xml:space="preserve">which is manifested if </w:t>
      </w:r>
      <w:r w:rsidR="00BE4DCB">
        <w:rPr>
          <w:lang w:val="en-GB"/>
        </w:rPr>
        <w:t>participants are able</w:t>
      </w:r>
      <w:r w:rsidR="00F51BFD">
        <w:rPr>
          <w:lang w:val="en-GB"/>
        </w:rPr>
        <w:t xml:space="preserve"> to recognize the setting in which real options are embedded</w:t>
      </w:r>
      <w:r w:rsidR="001420B0">
        <w:rPr>
          <w:lang w:val="en-GB"/>
        </w:rPr>
        <w:t xml:space="preserve">. </w:t>
      </w:r>
      <w:r w:rsidR="009063E0">
        <w:rPr>
          <w:lang w:val="en-GB"/>
        </w:rPr>
        <w:t>The question w</w:t>
      </w:r>
      <w:r w:rsidR="001420B0">
        <w:rPr>
          <w:lang w:val="en-GB"/>
        </w:rPr>
        <w:t>hich bias is the</w:t>
      </w:r>
      <w:r w:rsidR="002D03FA">
        <w:rPr>
          <w:lang w:val="en-GB"/>
        </w:rPr>
        <w:t xml:space="preserve"> real</w:t>
      </w:r>
      <w:r w:rsidR="001420B0">
        <w:rPr>
          <w:lang w:val="en-GB"/>
        </w:rPr>
        <w:t xml:space="preserve"> cause of the potential difference</w:t>
      </w:r>
      <w:r w:rsidR="009063E0">
        <w:rPr>
          <w:lang w:val="en-GB"/>
        </w:rPr>
        <w:t xml:space="preserve"> in the valuation between executives in a hot and cold deal market, or which one outweighs</w:t>
      </w:r>
      <w:r w:rsidR="00F51BFD">
        <w:rPr>
          <w:lang w:val="en-GB"/>
        </w:rPr>
        <w:t xml:space="preserve"> the other potential bias, is therefore also </w:t>
      </w:r>
      <w:r w:rsidR="009063E0">
        <w:rPr>
          <w:lang w:val="en-GB"/>
        </w:rPr>
        <w:t>relevant.</w:t>
      </w:r>
      <w:r w:rsidR="002D03FA">
        <w:rPr>
          <w:lang w:val="en-GB"/>
        </w:rPr>
        <w:t xml:space="preserve"> </w:t>
      </w:r>
      <w:r w:rsidR="009C6D22">
        <w:rPr>
          <w:lang w:val="en-GB"/>
        </w:rPr>
        <w:t>In order to answer these</w:t>
      </w:r>
      <w:r w:rsidR="00F51BFD">
        <w:rPr>
          <w:lang w:val="en-GB"/>
        </w:rPr>
        <w:t xml:space="preserve"> question</w:t>
      </w:r>
      <w:r w:rsidR="009C6D22">
        <w:rPr>
          <w:lang w:val="en-GB"/>
        </w:rPr>
        <w:t>s</w:t>
      </w:r>
      <w:r w:rsidR="00430359">
        <w:rPr>
          <w:lang w:val="en-GB"/>
        </w:rPr>
        <w:t>,</w:t>
      </w:r>
      <w:r w:rsidR="009C6D22">
        <w:rPr>
          <w:lang w:val="en-GB"/>
        </w:rPr>
        <w:t xml:space="preserve"> an important assumption has to be made: M&amp;A </w:t>
      </w:r>
      <w:r w:rsidR="00430359">
        <w:rPr>
          <w:lang w:val="en-GB"/>
        </w:rPr>
        <w:t xml:space="preserve">market activity (in the rest of this paper </w:t>
      </w:r>
      <w:r w:rsidR="009C6D22">
        <w:rPr>
          <w:lang w:val="en-GB"/>
        </w:rPr>
        <w:t xml:space="preserve">also referred to as the temperature of the M&amp;A market) is related to </w:t>
      </w:r>
      <w:r w:rsidR="002D03FA">
        <w:rPr>
          <w:lang w:val="en-GB"/>
        </w:rPr>
        <w:t>the</w:t>
      </w:r>
      <w:r w:rsidR="0083115A">
        <w:rPr>
          <w:lang w:val="en-GB"/>
        </w:rPr>
        <w:t xml:space="preserve"> </w:t>
      </w:r>
      <w:r w:rsidR="002D03FA">
        <w:rPr>
          <w:lang w:val="en-GB"/>
        </w:rPr>
        <w:t>state of the economy</w:t>
      </w:r>
      <w:r w:rsidR="00430359">
        <w:rPr>
          <w:lang w:val="en-GB"/>
        </w:rPr>
        <w:t>/business cycle</w:t>
      </w:r>
      <w:r w:rsidR="001851DF">
        <w:rPr>
          <w:lang w:val="en-GB"/>
        </w:rPr>
        <w:t xml:space="preserve"> </w:t>
      </w:r>
      <w:sdt>
        <w:sdtPr>
          <w:id w:val="-520701048"/>
          <w:citation/>
        </w:sdtPr>
        <w:sdtContent>
          <w:r w:rsidR="009966E0">
            <w:fldChar w:fldCharType="begin"/>
          </w:r>
          <w:r w:rsidR="006B5530" w:rsidRPr="006B5530">
            <w:rPr>
              <w:lang w:val="en-GB"/>
            </w:rPr>
            <w:instrText xml:space="preserve"> CITATION Bec86 \l 1043 </w:instrText>
          </w:r>
          <w:r w:rsidR="009966E0">
            <w:fldChar w:fldCharType="separate"/>
          </w:r>
          <w:r w:rsidR="00C32B5A" w:rsidRPr="00C32B5A">
            <w:rPr>
              <w:noProof/>
              <w:lang w:val="en-GB"/>
            </w:rPr>
            <w:t>(Becketti, 1986)</w:t>
          </w:r>
          <w:r w:rsidR="009966E0">
            <w:fldChar w:fldCharType="end"/>
          </w:r>
        </w:sdtContent>
      </w:sdt>
      <w:r w:rsidR="006B5530" w:rsidRPr="006B5530">
        <w:rPr>
          <w:lang w:val="en-GB"/>
        </w:rPr>
        <w:t>;</w:t>
      </w:r>
      <w:r w:rsidR="006B5530" w:rsidRPr="006B5530">
        <w:rPr>
          <w:color w:val="FF0000"/>
          <w:lang w:val="en-GB"/>
        </w:rPr>
        <w:t xml:space="preserve"> </w:t>
      </w:r>
      <w:sdt>
        <w:sdtPr>
          <w:id w:val="-219294607"/>
          <w:citation/>
        </w:sdtPr>
        <w:sdtContent>
          <w:r w:rsidR="009966E0" w:rsidRPr="006B5530">
            <w:fldChar w:fldCharType="begin"/>
          </w:r>
          <w:r w:rsidR="006B5530" w:rsidRPr="006B5530">
            <w:rPr>
              <w:lang w:val="en-GB"/>
            </w:rPr>
            <w:instrText xml:space="preserve"> CITATION Har05 \l 1043 </w:instrText>
          </w:r>
          <w:r w:rsidR="009966E0" w:rsidRPr="006B5530">
            <w:fldChar w:fldCharType="separate"/>
          </w:r>
          <w:r w:rsidR="00C32B5A" w:rsidRPr="00C32B5A">
            <w:rPr>
              <w:noProof/>
              <w:lang w:val="en-GB"/>
            </w:rPr>
            <w:t>(Harford, 2005)</w:t>
          </w:r>
          <w:r w:rsidR="009966E0" w:rsidRPr="006B5530">
            <w:fldChar w:fldCharType="end"/>
          </w:r>
        </w:sdtContent>
      </w:sdt>
      <w:r w:rsidR="006B5530" w:rsidRPr="006B5530">
        <w:rPr>
          <w:lang w:val="en-GB"/>
        </w:rPr>
        <w:t xml:space="preserve">; </w:t>
      </w:r>
      <w:sdt>
        <w:sdtPr>
          <w:id w:val="1869403557"/>
          <w:citation/>
        </w:sdtPr>
        <w:sdtContent>
          <w:r w:rsidR="009966E0" w:rsidRPr="006B5530">
            <w:fldChar w:fldCharType="begin"/>
          </w:r>
          <w:r w:rsidR="006B5530" w:rsidRPr="006B5530">
            <w:rPr>
              <w:lang w:val="en-GB"/>
            </w:rPr>
            <w:instrText xml:space="preserve"> CITATION And04 \l 1043 </w:instrText>
          </w:r>
          <w:r w:rsidR="009966E0" w:rsidRPr="006B5530">
            <w:fldChar w:fldCharType="separate"/>
          </w:r>
          <w:r w:rsidR="00C32B5A" w:rsidRPr="00C32B5A">
            <w:rPr>
              <w:noProof/>
              <w:lang w:val="en-GB"/>
            </w:rPr>
            <w:t>(Andrade &amp; Stafford, 2004)</w:t>
          </w:r>
          <w:r w:rsidR="009966E0" w:rsidRPr="006B5530">
            <w:fldChar w:fldCharType="end"/>
          </w:r>
        </w:sdtContent>
      </w:sdt>
      <w:r w:rsidR="005849E5">
        <w:rPr>
          <w:lang w:val="en-GB"/>
        </w:rPr>
        <w:t>.</w:t>
      </w:r>
      <w:r w:rsidR="009C6D22">
        <w:rPr>
          <w:lang w:val="en-GB"/>
        </w:rPr>
        <w:t xml:space="preserve"> </w:t>
      </w:r>
      <w:r w:rsidR="0083115A">
        <w:rPr>
          <w:lang w:val="en-GB"/>
        </w:rPr>
        <w:t>Consequently, the possible event that executives’ valuations vary in different states of the M&amp;A market, could be caused by prior business experiences which are associated to these different states of the M&amp;A market. In short, a hot deal market is assumed to be accompanied by</w:t>
      </w:r>
      <w:r w:rsidR="005849E5">
        <w:rPr>
          <w:lang w:val="en-GB"/>
        </w:rPr>
        <w:t xml:space="preserve"> experiences of an economic upturn</w:t>
      </w:r>
      <w:r w:rsidR="0083115A">
        <w:rPr>
          <w:lang w:val="en-GB"/>
        </w:rPr>
        <w:t xml:space="preserve">, whilst a cold deal market is assumed to be accompanied by </w:t>
      </w:r>
      <w:r w:rsidR="005849E5">
        <w:rPr>
          <w:lang w:val="en-GB"/>
        </w:rPr>
        <w:t>experiences of an economic downturn</w:t>
      </w:r>
      <w:r w:rsidR="00430359">
        <w:rPr>
          <w:lang w:val="en-GB"/>
        </w:rPr>
        <w:t xml:space="preserve">. </w:t>
      </w:r>
      <w:r w:rsidR="005849E5">
        <w:rPr>
          <w:lang w:val="en-GB"/>
        </w:rPr>
        <w:t>An additional assumption is that the aggregated economic conditions are positively correlated to a company’s</w:t>
      </w:r>
      <w:r w:rsidR="006B5530">
        <w:rPr>
          <w:lang w:val="en-GB"/>
        </w:rPr>
        <w:t xml:space="preserve"> prior</w:t>
      </w:r>
      <w:r w:rsidR="005849E5">
        <w:rPr>
          <w:lang w:val="en-GB"/>
        </w:rPr>
        <w:t xml:space="preserve"> business successes. </w:t>
      </w:r>
      <w:r w:rsidR="00CF4A13">
        <w:rPr>
          <w:lang w:val="en-GB"/>
        </w:rPr>
        <w:t xml:space="preserve">This assumption is made, since the hypotheses of the experiment are based on personal-level biases. </w:t>
      </w:r>
    </w:p>
    <w:p w:rsidR="002E6697" w:rsidRDefault="002E6697" w:rsidP="003051E3">
      <w:pPr>
        <w:spacing w:line="360" w:lineRule="auto"/>
        <w:jc w:val="both"/>
        <w:rPr>
          <w:lang w:val="en-GB"/>
        </w:rPr>
      </w:pPr>
      <w:r w:rsidRPr="002E6697">
        <w:rPr>
          <w:lang w:val="en-GB"/>
        </w:rPr>
        <w:t xml:space="preserve">The reasoning behind the solution </w:t>
      </w:r>
      <w:r>
        <w:rPr>
          <w:lang w:val="en-GB"/>
        </w:rPr>
        <w:t>for the</w:t>
      </w:r>
      <w:r w:rsidR="006B5530">
        <w:rPr>
          <w:lang w:val="en-GB"/>
        </w:rPr>
        <w:t xml:space="preserve"> influence of</w:t>
      </w:r>
      <w:r>
        <w:rPr>
          <w:lang w:val="en-GB"/>
        </w:rPr>
        <w:t xml:space="preserve"> biases </w:t>
      </w:r>
      <w:r w:rsidR="006B5530">
        <w:rPr>
          <w:lang w:val="en-GB"/>
        </w:rPr>
        <w:t xml:space="preserve">on the valuation process as </w:t>
      </w:r>
      <w:r w:rsidRPr="002E6697">
        <w:rPr>
          <w:lang w:val="en-GB"/>
        </w:rPr>
        <w:t>proposed by Smit &amp; Lovallo (2014) is basically as</w:t>
      </w:r>
      <w:r>
        <w:rPr>
          <w:lang w:val="en-GB"/>
        </w:rPr>
        <w:t xml:space="preserve"> follows. </w:t>
      </w:r>
      <w:r w:rsidRPr="002E6697">
        <w:rPr>
          <w:lang w:val="en-GB"/>
        </w:rPr>
        <w:t xml:space="preserve">The aforementioned </w:t>
      </w:r>
      <w:r w:rsidR="00253BE9">
        <w:rPr>
          <w:lang w:val="en-GB"/>
        </w:rPr>
        <w:t>over-optimism</w:t>
      </w:r>
      <w:r w:rsidRPr="002E6697">
        <w:rPr>
          <w:lang w:val="en-GB"/>
        </w:rPr>
        <w:t xml:space="preserve"> by executives in hot deal markets should be tempered by instilling caution via real options</w:t>
      </w:r>
      <w:r w:rsidR="001908AE">
        <w:rPr>
          <w:lang w:val="en-GB"/>
        </w:rPr>
        <w:t xml:space="preserve">, which should offset the causes and amplifying factors of </w:t>
      </w:r>
      <w:r w:rsidR="00BC6E23">
        <w:rPr>
          <w:lang w:val="en-GB"/>
        </w:rPr>
        <w:t>over-optimism, such as the ‘illusion of control’</w:t>
      </w:r>
      <w:r w:rsidRPr="002E6697">
        <w:rPr>
          <w:lang w:val="en-GB"/>
        </w:rPr>
        <w:t>. The</w:t>
      </w:r>
      <w:r w:rsidR="00BC6E23">
        <w:rPr>
          <w:lang w:val="en-GB"/>
        </w:rPr>
        <w:t xml:space="preserve"> kind of</w:t>
      </w:r>
      <w:r w:rsidRPr="002E6697">
        <w:rPr>
          <w:lang w:val="en-GB"/>
        </w:rPr>
        <w:t xml:space="preserve"> real option</w:t>
      </w:r>
      <w:r w:rsidR="00BC6E23">
        <w:rPr>
          <w:lang w:val="en-GB"/>
        </w:rPr>
        <w:t>s</w:t>
      </w:r>
      <w:r w:rsidRPr="002E6697">
        <w:rPr>
          <w:lang w:val="en-GB"/>
        </w:rPr>
        <w:t xml:space="preserve"> that could</w:t>
      </w:r>
      <w:r w:rsidR="00A0544D">
        <w:rPr>
          <w:lang w:val="en-GB"/>
        </w:rPr>
        <w:t xml:space="preserve"> prove valuable in this sense are</w:t>
      </w:r>
      <w:r w:rsidRPr="002E6697">
        <w:rPr>
          <w:lang w:val="en-GB"/>
        </w:rPr>
        <w:t xml:space="preserve"> the so called option</w:t>
      </w:r>
      <w:r w:rsidR="00A0544D">
        <w:rPr>
          <w:lang w:val="en-GB"/>
        </w:rPr>
        <w:t>s</w:t>
      </w:r>
      <w:r w:rsidRPr="002E6697">
        <w:rPr>
          <w:lang w:val="en-GB"/>
        </w:rPr>
        <w:t xml:space="preserve"> to defer</w:t>
      </w:r>
      <w:r w:rsidR="001908AE">
        <w:rPr>
          <w:lang w:val="en-GB"/>
        </w:rPr>
        <w:t xml:space="preserve"> or stage</w:t>
      </w:r>
      <w:r w:rsidRPr="002E6697">
        <w:rPr>
          <w:lang w:val="en-GB"/>
        </w:rPr>
        <w:t xml:space="preserve"> investment. This basically means that execu</w:t>
      </w:r>
      <w:r w:rsidR="00A0544D">
        <w:rPr>
          <w:lang w:val="en-GB"/>
        </w:rPr>
        <w:t>tives should sometimes wait</w:t>
      </w:r>
      <w:r w:rsidRPr="002E6697">
        <w:rPr>
          <w:lang w:val="en-GB"/>
        </w:rPr>
        <w:t xml:space="preserve"> investing rather than perceiving an investment opportunity as ‘now or never’</w:t>
      </w:r>
      <w:r w:rsidR="001908AE">
        <w:rPr>
          <w:lang w:val="en-GB"/>
        </w:rPr>
        <w:t>/’Go-or-no-Go’</w:t>
      </w:r>
      <w:r w:rsidRPr="002E6697">
        <w:rPr>
          <w:lang w:val="en-GB"/>
        </w:rPr>
        <w:t xml:space="preserve"> and consequently be better off.</w:t>
      </w:r>
      <w:r>
        <w:rPr>
          <w:lang w:val="en-GB"/>
        </w:rPr>
        <w:t xml:space="preserve"> By using a wait-and-see strategy the downside risk will be weakened.</w:t>
      </w:r>
      <w:r w:rsidRPr="002E6697">
        <w:rPr>
          <w:lang w:val="en-GB"/>
        </w:rPr>
        <w:t xml:space="preserve"> For the </w:t>
      </w:r>
      <w:r w:rsidR="00C31BCF">
        <w:rPr>
          <w:lang w:val="en-GB"/>
        </w:rPr>
        <w:t xml:space="preserve">executives’ pessimism, </w:t>
      </w:r>
      <w:r w:rsidRPr="002E6697">
        <w:rPr>
          <w:lang w:val="en-GB"/>
        </w:rPr>
        <w:t>inherent in cold deal markets</w:t>
      </w:r>
      <w:r w:rsidR="00C31BCF">
        <w:rPr>
          <w:lang w:val="en-GB"/>
        </w:rPr>
        <w:t>,</w:t>
      </w:r>
      <w:r w:rsidRPr="002E6697">
        <w:rPr>
          <w:lang w:val="en-GB"/>
        </w:rPr>
        <w:t xml:space="preserve"> a sense of venturing has to be conveyed, once again via real options. The most important real options in this regards are the growth options, options to switch as well as abandonment options. These options are often present in investment opportunities, yet they are </w:t>
      </w:r>
      <w:r w:rsidRPr="002E6697">
        <w:rPr>
          <w:lang w:val="en-GB"/>
        </w:rPr>
        <w:lastRenderedPageBreak/>
        <w:t>overlooked by executives</w:t>
      </w:r>
      <w:r w:rsidR="00A0544D">
        <w:rPr>
          <w:lang w:val="en-GB"/>
        </w:rPr>
        <w:t xml:space="preserve"> because of a narrow frame</w:t>
      </w:r>
      <w:r w:rsidRPr="002E6697">
        <w:rPr>
          <w:lang w:val="en-GB"/>
        </w:rPr>
        <w:t>. By increasing the awareness of executives that these options exist</w:t>
      </w:r>
      <w:r w:rsidR="00FA60C2">
        <w:rPr>
          <w:lang w:val="en-GB"/>
        </w:rPr>
        <w:t xml:space="preserve"> and are embedded in </w:t>
      </w:r>
      <w:r w:rsidR="000727B4">
        <w:rPr>
          <w:lang w:val="en-GB"/>
        </w:rPr>
        <w:t>investment opportuni</w:t>
      </w:r>
      <w:r w:rsidR="00FA60C2">
        <w:rPr>
          <w:lang w:val="en-GB"/>
        </w:rPr>
        <w:t>ties</w:t>
      </w:r>
      <w:r w:rsidRPr="002E6697">
        <w:rPr>
          <w:lang w:val="en-GB"/>
        </w:rPr>
        <w:t>, the valuations of su</w:t>
      </w:r>
      <w:r w:rsidR="000727B4">
        <w:rPr>
          <w:lang w:val="en-GB"/>
        </w:rPr>
        <w:t xml:space="preserve">ch projects should increase and </w:t>
      </w:r>
      <w:r w:rsidR="006B5530">
        <w:rPr>
          <w:lang w:val="en-GB"/>
        </w:rPr>
        <w:t>the focus on risk reduce</w:t>
      </w:r>
      <w:r w:rsidRPr="002E6697">
        <w:rPr>
          <w:lang w:val="en-GB"/>
        </w:rPr>
        <w:t>.</w:t>
      </w:r>
    </w:p>
    <w:p w:rsidR="002D03FA" w:rsidRDefault="002D03FA" w:rsidP="003051E3">
      <w:pPr>
        <w:spacing w:line="360" w:lineRule="auto"/>
        <w:jc w:val="both"/>
        <w:rPr>
          <w:lang w:val="en-GB"/>
        </w:rPr>
      </w:pPr>
      <w:r>
        <w:rPr>
          <w:lang w:val="en-GB"/>
        </w:rPr>
        <w:t xml:space="preserve">The statements made by Smit &amp; Lovallo (2014) that in a hot deal market executives focus too much on growth, whilst in a cold deal market too much </w:t>
      </w:r>
      <w:r w:rsidR="002E6697">
        <w:rPr>
          <w:lang w:val="en-GB"/>
        </w:rPr>
        <w:t>on</w:t>
      </w:r>
      <w:r>
        <w:rPr>
          <w:lang w:val="en-GB"/>
        </w:rPr>
        <w:t xml:space="preserve"> risk, result in the conclusion that valuation</w:t>
      </w:r>
      <w:r w:rsidR="002E6697">
        <w:rPr>
          <w:lang w:val="en-GB"/>
        </w:rPr>
        <w:t>s of executi</w:t>
      </w:r>
      <w:r w:rsidR="004248BC">
        <w:rPr>
          <w:lang w:val="en-GB"/>
        </w:rPr>
        <w:t>ves framed in a hot deal market</w:t>
      </w:r>
      <w:r w:rsidR="002E6697">
        <w:rPr>
          <w:lang w:val="en-GB"/>
        </w:rPr>
        <w:t xml:space="preserve"> should differ from valuations made by executiv</w:t>
      </w:r>
      <w:r w:rsidR="00FA60C2">
        <w:rPr>
          <w:lang w:val="en-GB"/>
        </w:rPr>
        <w:t>es framed in a cold deal market</w:t>
      </w:r>
      <w:r w:rsidR="002E6697">
        <w:rPr>
          <w:lang w:val="en-GB"/>
        </w:rPr>
        <w:t xml:space="preserve"> if the valuated venture is the same. This paper</w:t>
      </w:r>
      <w:r w:rsidR="00D15279">
        <w:rPr>
          <w:lang w:val="en-GB"/>
        </w:rPr>
        <w:t xml:space="preserve"> offers a form to empirically test whether this conclusion is true and if real options could change this. </w:t>
      </w:r>
      <w:r w:rsidR="00215FED">
        <w:rPr>
          <w:lang w:val="en-GB"/>
        </w:rPr>
        <w:t>The</w:t>
      </w:r>
      <w:r w:rsidR="005B49B0">
        <w:rPr>
          <w:lang w:val="en-GB"/>
        </w:rPr>
        <w:t xml:space="preserve"> actual</w:t>
      </w:r>
      <w:r w:rsidR="00215FED">
        <w:rPr>
          <w:lang w:val="en-GB"/>
        </w:rPr>
        <w:t xml:space="preserve"> empirical test will be carried out in </w:t>
      </w:r>
      <w:r w:rsidR="005B49B0">
        <w:rPr>
          <w:lang w:val="en-GB"/>
        </w:rPr>
        <w:t xml:space="preserve">future research. The first step in this </w:t>
      </w:r>
      <w:r w:rsidR="00D15279">
        <w:rPr>
          <w:lang w:val="en-GB"/>
        </w:rPr>
        <w:t>experiment is to test whether a difference in valuations occurs when participants are confronted with a hypothetical venture and framed in a situation of an economic up-</w:t>
      </w:r>
      <w:r w:rsidR="007D4331">
        <w:rPr>
          <w:lang w:val="en-GB"/>
        </w:rPr>
        <w:t xml:space="preserve"> </w:t>
      </w:r>
      <w:r w:rsidR="00D15279">
        <w:rPr>
          <w:lang w:val="en-GB"/>
        </w:rPr>
        <w:t>or downturn</w:t>
      </w:r>
      <w:r w:rsidR="007D4331">
        <w:rPr>
          <w:lang w:val="en-GB"/>
        </w:rPr>
        <w:t xml:space="preserve"> in both the financial market and in their company’s performance</w:t>
      </w:r>
      <w:r w:rsidR="00D15279">
        <w:rPr>
          <w:lang w:val="en-GB"/>
        </w:rPr>
        <w:t>. The valuation is based on the d</w:t>
      </w:r>
      <w:r w:rsidR="008D0E6E">
        <w:rPr>
          <w:lang w:val="en-GB"/>
        </w:rPr>
        <w:t>iscounted cash flow method. The described</w:t>
      </w:r>
      <w:r w:rsidR="00D15279">
        <w:rPr>
          <w:lang w:val="en-GB"/>
        </w:rPr>
        <w:t xml:space="preserve"> venture should embed the possibility for participants to perceive growth options. Subsequently, in order to test if real optio</w:t>
      </w:r>
      <w:r w:rsidR="007D4331">
        <w:rPr>
          <w:lang w:val="en-GB"/>
        </w:rPr>
        <w:t>ns could be a solution for the</w:t>
      </w:r>
      <w:r w:rsidR="00215FED">
        <w:rPr>
          <w:lang w:val="en-GB"/>
        </w:rPr>
        <w:t xml:space="preserve"> potential </w:t>
      </w:r>
      <w:r w:rsidR="00D15279">
        <w:rPr>
          <w:lang w:val="en-GB"/>
        </w:rPr>
        <w:t xml:space="preserve">difference, </w:t>
      </w:r>
      <w:r w:rsidR="006B5530">
        <w:rPr>
          <w:lang w:val="en-GB"/>
        </w:rPr>
        <w:t xml:space="preserve">certain important characteristics inherent to </w:t>
      </w:r>
      <w:r w:rsidR="00D15279">
        <w:rPr>
          <w:lang w:val="en-GB"/>
        </w:rPr>
        <w:t>rea</w:t>
      </w:r>
      <w:r w:rsidR="0017570F">
        <w:rPr>
          <w:lang w:val="en-GB"/>
        </w:rPr>
        <w:t>l options will be made explicit</w:t>
      </w:r>
      <w:r w:rsidR="00B3421C">
        <w:rPr>
          <w:lang w:val="en-GB"/>
        </w:rPr>
        <w:t xml:space="preserve">. The </w:t>
      </w:r>
      <w:r w:rsidR="0017570F">
        <w:rPr>
          <w:lang w:val="en-GB"/>
        </w:rPr>
        <w:t>kind of</w:t>
      </w:r>
      <w:r w:rsidR="00D15279">
        <w:rPr>
          <w:lang w:val="en-GB"/>
        </w:rPr>
        <w:t xml:space="preserve"> real options depend</w:t>
      </w:r>
      <w:r w:rsidR="0017570F">
        <w:rPr>
          <w:lang w:val="en-GB"/>
        </w:rPr>
        <w:t>s</w:t>
      </w:r>
      <w:r w:rsidR="00D15279">
        <w:rPr>
          <w:lang w:val="en-GB"/>
        </w:rPr>
        <w:t xml:space="preserve"> on the market setting in which the participants earlier have been framed. These questions provide the opportunity to see </w:t>
      </w:r>
      <w:r w:rsidR="005B49B0">
        <w:rPr>
          <w:lang w:val="en-GB"/>
        </w:rPr>
        <w:t>whether participants are able to recognize</w:t>
      </w:r>
      <w:r w:rsidR="00D15279">
        <w:rPr>
          <w:lang w:val="en-GB"/>
        </w:rPr>
        <w:t xml:space="preserve"> the use of real options</w:t>
      </w:r>
      <w:r w:rsidR="00331766">
        <w:rPr>
          <w:lang w:val="en-GB"/>
        </w:rPr>
        <w:t xml:space="preserve"> and</w:t>
      </w:r>
      <w:r w:rsidR="00215FED">
        <w:rPr>
          <w:lang w:val="en-GB"/>
        </w:rPr>
        <w:t>, since</w:t>
      </w:r>
      <w:r w:rsidR="004248BC">
        <w:rPr>
          <w:lang w:val="en-GB"/>
        </w:rPr>
        <w:t xml:space="preserve"> they should alter the valuation</w:t>
      </w:r>
      <w:r w:rsidR="0017570F">
        <w:rPr>
          <w:lang w:val="en-GB"/>
        </w:rPr>
        <w:t xml:space="preserve"> consequently</w:t>
      </w:r>
      <w:r w:rsidR="00D15279">
        <w:rPr>
          <w:lang w:val="en-GB"/>
        </w:rPr>
        <w:t xml:space="preserve">. </w:t>
      </w:r>
      <w:r w:rsidR="004248BC">
        <w:rPr>
          <w:lang w:val="en-GB"/>
        </w:rPr>
        <w:t>For both the group of participants framed in a hot deal market and the group of participants framed in a cold deal market, a control group is formed. The same questions are posed to these control groups. They only differ from the other participants in the way that they are not</w:t>
      </w:r>
      <w:r w:rsidR="005B49B0">
        <w:rPr>
          <w:lang w:val="en-GB"/>
        </w:rPr>
        <w:t xml:space="preserve"> initially</w:t>
      </w:r>
      <w:r w:rsidR="004248BC">
        <w:rPr>
          <w:lang w:val="en-GB"/>
        </w:rPr>
        <w:t xml:space="preserve"> framed. </w:t>
      </w:r>
      <w:r w:rsidR="00331766">
        <w:rPr>
          <w:lang w:val="en-GB"/>
        </w:rPr>
        <w:t xml:space="preserve">In other words, are not presented with a prior business involvement. </w:t>
      </w:r>
    </w:p>
    <w:p w:rsidR="0017570F" w:rsidRDefault="0017570F" w:rsidP="003051E3">
      <w:pPr>
        <w:spacing w:line="360" w:lineRule="auto"/>
        <w:jc w:val="both"/>
        <w:rPr>
          <w:lang w:val="en-GB"/>
        </w:rPr>
      </w:pPr>
      <w:r>
        <w:rPr>
          <w:lang w:val="en-GB"/>
        </w:rPr>
        <w:t>The above leads to the following question</w:t>
      </w:r>
      <w:r w:rsidR="00DD6440">
        <w:rPr>
          <w:lang w:val="en-GB"/>
        </w:rPr>
        <w:t>:</w:t>
      </w:r>
    </w:p>
    <w:p w:rsidR="00DD6440" w:rsidRPr="00966308" w:rsidRDefault="00BE0F2B" w:rsidP="003051E3">
      <w:pPr>
        <w:spacing w:line="360" w:lineRule="auto"/>
        <w:jc w:val="both"/>
        <w:rPr>
          <w:b/>
          <w:lang w:val="en-GB"/>
        </w:rPr>
      </w:pPr>
      <w:r>
        <w:rPr>
          <w:b/>
          <w:lang w:val="en-GB"/>
        </w:rPr>
        <w:t xml:space="preserve">Are executives able to recognize the </w:t>
      </w:r>
      <w:r w:rsidR="00FC509E" w:rsidRPr="00966308">
        <w:rPr>
          <w:b/>
          <w:lang w:val="en-GB"/>
        </w:rPr>
        <w:t xml:space="preserve">existence of real options </w:t>
      </w:r>
      <w:r w:rsidR="00232B29">
        <w:rPr>
          <w:b/>
          <w:lang w:val="en-GB"/>
        </w:rPr>
        <w:t>in order to alter their valuation</w:t>
      </w:r>
      <w:r w:rsidR="007D4331">
        <w:rPr>
          <w:b/>
          <w:lang w:val="en-GB"/>
        </w:rPr>
        <w:t xml:space="preserve"> of</w:t>
      </w:r>
      <w:r w:rsidR="00A8637A">
        <w:rPr>
          <w:b/>
          <w:lang w:val="en-GB"/>
        </w:rPr>
        <w:t xml:space="preserve"> investment opportunities</w:t>
      </w:r>
      <w:r w:rsidR="00232B29">
        <w:rPr>
          <w:b/>
          <w:lang w:val="en-GB"/>
        </w:rPr>
        <w:t xml:space="preserve"> du</w:t>
      </w:r>
      <w:r w:rsidR="00FC509E" w:rsidRPr="00966308">
        <w:rPr>
          <w:b/>
          <w:lang w:val="en-GB"/>
        </w:rPr>
        <w:t>ring</w:t>
      </w:r>
      <w:r w:rsidR="00DD6440" w:rsidRPr="00966308">
        <w:rPr>
          <w:b/>
          <w:lang w:val="en-GB"/>
        </w:rPr>
        <w:t xml:space="preserve"> a hot and cold deal market?</w:t>
      </w:r>
    </w:p>
    <w:p w:rsidR="004248BC" w:rsidRDefault="004248BC" w:rsidP="003051E3">
      <w:pPr>
        <w:spacing w:line="360" w:lineRule="auto"/>
        <w:jc w:val="both"/>
        <w:rPr>
          <w:lang w:val="en-GB"/>
        </w:rPr>
      </w:pPr>
      <w:r w:rsidRPr="004248BC">
        <w:rPr>
          <w:lang w:val="en-GB"/>
        </w:rPr>
        <w:t>The structure of this paper is as follows. Firstly, the theoretical foundations of the</w:t>
      </w:r>
      <w:r>
        <w:rPr>
          <w:lang w:val="en-GB"/>
        </w:rPr>
        <w:t xml:space="preserve"> </w:t>
      </w:r>
      <w:r w:rsidRPr="004248BC">
        <w:rPr>
          <w:lang w:val="en-GB"/>
        </w:rPr>
        <w:t>experiment will be discussed. This will be done by</w:t>
      </w:r>
      <w:r w:rsidR="00966308">
        <w:rPr>
          <w:lang w:val="en-GB"/>
        </w:rPr>
        <w:t xml:space="preserve"> </w:t>
      </w:r>
      <w:r w:rsidR="00C837F0">
        <w:rPr>
          <w:lang w:val="en-GB"/>
        </w:rPr>
        <w:t>a justification and explanation of the hypotheses. To begin with a short explanation of the application of th</w:t>
      </w:r>
      <w:r w:rsidRPr="004248BC">
        <w:rPr>
          <w:lang w:val="en-GB"/>
        </w:rPr>
        <w:t>e conventional valuation metho</w:t>
      </w:r>
      <w:r w:rsidR="008E2730">
        <w:rPr>
          <w:lang w:val="en-GB"/>
        </w:rPr>
        <w:t>ds:</w:t>
      </w:r>
      <w:r w:rsidR="00C837F0">
        <w:rPr>
          <w:lang w:val="en-GB"/>
        </w:rPr>
        <w:t xml:space="preserve"> DCF and multiples analysis</w:t>
      </w:r>
      <w:r w:rsidRPr="004248BC">
        <w:rPr>
          <w:lang w:val="en-GB"/>
        </w:rPr>
        <w:t>. Secondly, the relevant cognitive biases will be described. Next, the hot and cold deal market phenomena will be treated, with emphasis on the causes of these occurrences, after which a clear delineation will be made as to which reasons will be considered in this paper. After this, a combination of the DCF, the relevant cognitive biases as well as the relevant reasons will be made, aiming to properly describe the problem and thereby ma</w:t>
      </w:r>
      <w:r w:rsidR="008E2730">
        <w:rPr>
          <w:lang w:val="en-GB"/>
        </w:rPr>
        <w:t>king clear what possible solutions the composed experiment seeks for.</w:t>
      </w:r>
      <w:r w:rsidRPr="004248BC">
        <w:rPr>
          <w:lang w:val="en-GB"/>
        </w:rPr>
        <w:t xml:space="preserve"> Successive to this, the relevant real options will be described. </w:t>
      </w:r>
      <w:r w:rsidRPr="004248BC">
        <w:rPr>
          <w:lang w:val="en-GB"/>
        </w:rPr>
        <w:lastRenderedPageBreak/>
        <w:t>Thereafter, the problem will be regarded in the light of these real options in order to explain how these options can theoretically provide a solution. In the line of th</w:t>
      </w:r>
      <w:r w:rsidR="008C730A">
        <w:rPr>
          <w:lang w:val="en-GB"/>
        </w:rPr>
        <w:t>is theoretical foundation, four</w:t>
      </w:r>
      <w:r w:rsidRPr="004248BC">
        <w:rPr>
          <w:lang w:val="en-GB"/>
        </w:rPr>
        <w:t xml:space="preserve"> hypotheses will be constructed, which will serve as propositions the experiment to be composed seeks to test. As the theoretical considerations un</w:t>
      </w:r>
      <w:r w:rsidR="008E2730">
        <w:rPr>
          <w:lang w:val="en-GB"/>
        </w:rPr>
        <w:t>derlying the experiment</w:t>
      </w:r>
      <w:r w:rsidRPr="004248BC">
        <w:rPr>
          <w:lang w:val="en-GB"/>
        </w:rPr>
        <w:t xml:space="preserve"> have been thoroughly explained, the </w:t>
      </w:r>
      <w:r w:rsidR="00C837F0">
        <w:rPr>
          <w:lang w:val="en-GB"/>
        </w:rPr>
        <w:t>experiment</w:t>
      </w:r>
      <w:r w:rsidRPr="004248BC">
        <w:rPr>
          <w:lang w:val="en-GB"/>
        </w:rPr>
        <w:t xml:space="preserve"> section of the paper will be concerned with a step-by-step explanation of the formulation and</w:t>
      </w:r>
      <w:r w:rsidR="00F34422">
        <w:rPr>
          <w:lang w:val="en-GB"/>
        </w:rPr>
        <w:t xml:space="preserve"> composition of the experiment. </w:t>
      </w:r>
      <w:r w:rsidRPr="004248BC">
        <w:rPr>
          <w:lang w:val="en-GB"/>
        </w:rPr>
        <w:t xml:space="preserve">The conclusion of this paper will summarize the considerations underlying the composition of the experiment, as well as </w:t>
      </w:r>
      <w:r w:rsidR="00C837F0">
        <w:rPr>
          <w:lang w:val="en-GB"/>
        </w:rPr>
        <w:t xml:space="preserve">to </w:t>
      </w:r>
      <w:r w:rsidRPr="004248BC">
        <w:rPr>
          <w:lang w:val="en-GB"/>
        </w:rPr>
        <w:t>give some suggestions</w:t>
      </w:r>
      <w:r w:rsidR="00C837F0">
        <w:rPr>
          <w:lang w:val="en-GB"/>
        </w:rPr>
        <w:t xml:space="preserve"> and points of improvement</w:t>
      </w:r>
      <w:r w:rsidRPr="004248BC">
        <w:rPr>
          <w:lang w:val="en-GB"/>
        </w:rPr>
        <w:t xml:space="preserve"> that should be regarded when composing an experiment regarding this issue.</w:t>
      </w:r>
    </w:p>
    <w:p w:rsidR="00B51B68" w:rsidRPr="000C60D2" w:rsidRDefault="008635C8" w:rsidP="006266DF">
      <w:pPr>
        <w:pStyle w:val="Heading1"/>
        <w:rPr>
          <w:color w:val="76923C" w:themeColor="accent3" w:themeShade="BF"/>
          <w:sz w:val="22"/>
          <w:szCs w:val="22"/>
          <w:lang w:val="en-GB"/>
        </w:rPr>
      </w:pPr>
      <w:bookmarkStart w:id="1" w:name="_Toc397238581"/>
      <w:r w:rsidRPr="000C60D2">
        <w:rPr>
          <w:color w:val="76923C" w:themeColor="accent3" w:themeShade="BF"/>
          <w:lang w:val="en-GB"/>
        </w:rPr>
        <w:t>Theoretical Framework</w:t>
      </w:r>
      <w:bookmarkEnd w:id="1"/>
    </w:p>
    <w:p w:rsidR="009C6A0C" w:rsidRPr="009C6A0C" w:rsidRDefault="009C6A0C" w:rsidP="009C6A0C">
      <w:pPr>
        <w:rPr>
          <w:lang w:val="en-GB"/>
        </w:rPr>
      </w:pPr>
    </w:p>
    <w:p w:rsidR="00CF3EE5" w:rsidRDefault="009C6A0C" w:rsidP="00A312B8">
      <w:pPr>
        <w:spacing w:line="360" w:lineRule="auto"/>
        <w:jc w:val="both"/>
        <w:rPr>
          <w:lang w:val="en-GB"/>
        </w:rPr>
      </w:pPr>
      <w:r>
        <w:rPr>
          <w:lang w:val="en-GB"/>
        </w:rPr>
        <w:t>A</w:t>
      </w:r>
      <w:r w:rsidR="00B01E62" w:rsidRPr="00F34607">
        <w:rPr>
          <w:lang w:val="en-GB"/>
        </w:rPr>
        <w:t>s earlier mentioned, the goal of this research is to</w:t>
      </w:r>
      <w:r w:rsidR="00C1310D">
        <w:rPr>
          <w:lang w:val="en-GB"/>
        </w:rPr>
        <w:t xml:space="preserve"> construct an experiment which</w:t>
      </w:r>
      <w:r w:rsidR="00B01E62" w:rsidRPr="00F34607">
        <w:rPr>
          <w:lang w:val="en-GB"/>
        </w:rPr>
        <w:t xml:space="preserve"> test</w:t>
      </w:r>
      <w:r w:rsidR="00C1310D">
        <w:rPr>
          <w:lang w:val="en-GB"/>
        </w:rPr>
        <w:t>s</w:t>
      </w:r>
      <w:r w:rsidR="00B01E62" w:rsidRPr="00F34607">
        <w:rPr>
          <w:lang w:val="en-GB"/>
        </w:rPr>
        <w:t xml:space="preserve"> whether there is a difference in the valuation of an</w:t>
      </w:r>
      <w:r w:rsidR="00E42D59">
        <w:rPr>
          <w:lang w:val="en-GB"/>
        </w:rPr>
        <w:t xml:space="preserve"> equal</w:t>
      </w:r>
      <w:r w:rsidR="00B01E62" w:rsidRPr="00F34607">
        <w:rPr>
          <w:lang w:val="en-GB"/>
        </w:rPr>
        <w:t xml:space="preserve"> investment opportunity as a consequence of the</w:t>
      </w:r>
      <w:r w:rsidR="00F34607">
        <w:rPr>
          <w:lang w:val="en-GB"/>
        </w:rPr>
        <w:t xml:space="preserve"> </w:t>
      </w:r>
      <w:r w:rsidR="004C07DD">
        <w:rPr>
          <w:lang w:val="en-GB"/>
        </w:rPr>
        <w:t xml:space="preserve">condition of </w:t>
      </w:r>
      <w:r w:rsidR="00B01E62" w:rsidRPr="00F34607">
        <w:rPr>
          <w:lang w:val="en-GB"/>
        </w:rPr>
        <w:t>the ec</w:t>
      </w:r>
      <w:r w:rsidR="00F34607">
        <w:rPr>
          <w:lang w:val="en-GB"/>
        </w:rPr>
        <w:t>onomy in which the executives frame</w:t>
      </w:r>
      <w:r w:rsidR="009B2D83">
        <w:rPr>
          <w:lang w:val="en-GB"/>
        </w:rPr>
        <w:t xml:space="preserve"> investment opportunities</w:t>
      </w:r>
      <w:r w:rsidR="004C07DD">
        <w:rPr>
          <w:lang w:val="en-GB"/>
        </w:rPr>
        <w:t>, as well as whether</w:t>
      </w:r>
      <w:r w:rsidR="00B01E62" w:rsidRPr="00F34607">
        <w:rPr>
          <w:lang w:val="en-GB"/>
        </w:rPr>
        <w:t xml:space="preserve"> the </w:t>
      </w:r>
      <w:r w:rsidR="00331766">
        <w:rPr>
          <w:lang w:val="en-GB"/>
        </w:rPr>
        <w:t>participants are receptive for the use of real options</w:t>
      </w:r>
      <w:r w:rsidR="00B01E62" w:rsidRPr="00F34607">
        <w:rPr>
          <w:lang w:val="en-GB"/>
        </w:rPr>
        <w:t xml:space="preserve">. The experiment used to test </w:t>
      </w:r>
      <w:r w:rsidR="00FC6F69" w:rsidRPr="00F34607">
        <w:rPr>
          <w:lang w:val="en-GB"/>
        </w:rPr>
        <w:t xml:space="preserve">the above is based on certain theoretical hypotheses. These hypotheses should </w:t>
      </w:r>
      <w:r w:rsidR="00C40F77" w:rsidRPr="00F34607">
        <w:rPr>
          <w:lang w:val="en-GB"/>
        </w:rPr>
        <w:t>be linked i</w:t>
      </w:r>
      <w:r w:rsidR="00F34607">
        <w:rPr>
          <w:lang w:val="en-GB"/>
        </w:rPr>
        <w:t>n order to explain the feasible valuation</w:t>
      </w:r>
      <w:r w:rsidR="00FC6F69" w:rsidRPr="00F34607">
        <w:rPr>
          <w:lang w:val="en-GB"/>
        </w:rPr>
        <w:t xml:space="preserve"> difference</w:t>
      </w:r>
      <w:r w:rsidR="008C730A">
        <w:rPr>
          <w:lang w:val="en-GB"/>
        </w:rPr>
        <w:t>s</w:t>
      </w:r>
      <w:r w:rsidR="00FC6F69" w:rsidRPr="00F34607">
        <w:rPr>
          <w:lang w:val="en-GB"/>
        </w:rPr>
        <w:t xml:space="preserve">. </w:t>
      </w:r>
      <w:r w:rsidR="00C1310D">
        <w:rPr>
          <w:lang w:val="en-GB"/>
        </w:rPr>
        <w:t>The first hypothesis is as follows:</w:t>
      </w:r>
    </w:p>
    <w:p w:rsidR="009B2D83" w:rsidRPr="0070557E" w:rsidRDefault="004335CC" w:rsidP="00A312B8">
      <w:pPr>
        <w:spacing w:line="360" w:lineRule="auto"/>
        <w:jc w:val="both"/>
        <w:rPr>
          <w:i/>
          <w:lang w:val="en-GB"/>
        </w:rPr>
      </w:pPr>
      <w:r>
        <w:rPr>
          <w:i/>
          <w:lang w:val="en-GB"/>
        </w:rPr>
        <w:t>Hypothesis I</w:t>
      </w:r>
      <w:r w:rsidR="009B2D83" w:rsidRPr="0070557E">
        <w:rPr>
          <w:i/>
          <w:lang w:val="en-GB"/>
        </w:rPr>
        <w:t>:</w:t>
      </w:r>
    </w:p>
    <w:p w:rsidR="009B2D83" w:rsidRDefault="0070557E" w:rsidP="00A312B8">
      <w:pPr>
        <w:spacing w:line="360" w:lineRule="auto"/>
        <w:jc w:val="both"/>
        <w:rPr>
          <w:i/>
          <w:lang w:val="en-GB"/>
        </w:rPr>
      </w:pPr>
      <w:r w:rsidRPr="0070557E">
        <w:rPr>
          <w:i/>
          <w:lang w:val="en-GB"/>
        </w:rPr>
        <w:t xml:space="preserve">Participants’ valuations of an identical </w:t>
      </w:r>
      <w:r w:rsidR="00C22F32">
        <w:rPr>
          <w:i/>
          <w:lang w:val="en-GB"/>
        </w:rPr>
        <w:t>investment opportunity</w:t>
      </w:r>
      <w:r w:rsidRPr="0070557E">
        <w:rPr>
          <w:i/>
          <w:lang w:val="en-GB"/>
        </w:rPr>
        <w:t xml:space="preserve"> with the use of the DCF method, are higher when </w:t>
      </w:r>
      <w:r w:rsidR="00C22F32">
        <w:rPr>
          <w:i/>
          <w:lang w:val="en-GB"/>
        </w:rPr>
        <w:t>confronted with earlier business successes (</w:t>
      </w:r>
      <w:r w:rsidRPr="0070557E">
        <w:rPr>
          <w:i/>
          <w:lang w:val="en-GB"/>
        </w:rPr>
        <w:t>hot deal market</w:t>
      </w:r>
      <w:r w:rsidR="00C22F32">
        <w:rPr>
          <w:i/>
          <w:lang w:val="en-GB"/>
        </w:rPr>
        <w:t>)</w:t>
      </w:r>
      <w:r w:rsidRPr="0070557E">
        <w:rPr>
          <w:i/>
          <w:lang w:val="en-GB"/>
        </w:rPr>
        <w:t xml:space="preserve"> compared to a</w:t>
      </w:r>
      <w:r w:rsidR="00824B18">
        <w:rPr>
          <w:i/>
          <w:lang w:val="en-GB"/>
        </w:rPr>
        <w:t xml:space="preserve"> situation of </w:t>
      </w:r>
      <w:r w:rsidR="00C22F32">
        <w:rPr>
          <w:i/>
          <w:lang w:val="en-GB"/>
        </w:rPr>
        <w:t>earlier business setbacks (col</w:t>
      </w:r>
      <w:r w:rsidRPr="0070557E">
        <w:rPr>
          <w:i/>
          <w:lang w:val="en-GB"/>
        </w:rPr>
        <w:t>d deal market</w:t>
      </w:r>
      <w:r w:rsidR="00C22F32">
        <w:rPr>
          <w:i/>
          <w:lang w:val="en-GB"/>
        </w:rPr>
        <w:t>)</w:t>
      </w:r>
      <w:r w:rsidR="002157CC">
        <w:rPr>
          <w:i/>
          <w:lang w:val="en-GB"/>
        </w:rPr>
        <w:t>.</w:t>
      </w:r>
      <w:r w:rsidRPr="0070557E">
        <w:rPr>
          <w:i/>
          <w:lang w:val="en-GB"/>
        </w:rPr>
        <w:t xml:space="preserve"> </w:t>
      </w:r>
    </w:p>
    <w:p w:rsidR="00E42D59" w:rsidRDefault="00824B18" w:rsidP="00A312B8">
      <w:pPr>
        <w:spacing w:line="360" w:lineRule="auto"/>
        <w:jc w:val="both"/>
        <w:rPr>
          <w:lang w:val="en-GB"/>
        </w:rPr>
      </w:pPr>
      <w:r>
        <w:rPr>
          <w:lang w:val="en-GB"/>
        </w:rPr>
        <w:t xml:space="preserve">In the first part of the experiment, the participants are assigned to different groups. Participants of two groups are confronted with a history of respectively </w:t>
      </w:r>
      <w:r w:rsidR="008C730A">
        <w:rPr>
          <w:lang w:val="en-GB"/>
        </w:rPr>
        <w:t>increased and decreased company values</w:t>
      </w:r>
      <w:r w:rsidR="00BB1720">
        <w:rPr>
          <w:lang w:val="en-GB"/>
        </w:rPr>
        <w:t xml:space="preserve">, as a vague result of economic </w:t>
      </w:r>
      <w:r w:rsidR="008C730A">
        <w:rPr>
          <w:lang w:val="en-GB"/>
        </w:rPr>
        <w:t>conditions and former investment decisions. Because of various reasons, which will be elaborated in the sequel of this paper, these valuations could differ. In the following part of the experiment the participants will be subject to distinctive experim</w:t>
      </w:r>
      <w:r w:rsidR="00415519">
        <w:rPr>
          <w:lang w:val="en-GB"/>
        </w:rPr>
        <w:t>ental manipulations based on their business experiences</w:t>
      </w:r>
      <w:r w:rsidR="008C730A">
        <w:rPr>
          <w:lang w:val="en-GB"/>
        </w:rPr>
        <w:t>. Because of these manipulations</w:t>
      </w:r>
      <w:r w:rsidR="00F4271F">
        <w:rPr>
          <w:lang w:val="en-GB"/>
        </w:rPr>
        <w:t>,</w:t>
      </w:r>
      <w:r w:rsidR="008C730A">
        <w:rPr>
          <w:lang w:val="en-GB"/>
        </w:rPr>
        <w:t xml:space="preserve"> a further comparison between the</w:t>
      </w:r>
      <w:r w:rsidR="00415519">
        <w:rPr>
          <w:lang w:val="en-GB"/>
        </w:rPr>
        <w:t xml:space="preserve"> valuations made in the</w:t>
      </w:r>
      <w:r w:rsidR="008C730A">
        <w:rPr>
          <w:lang w:val="en-GB"/>
        </w:rPr>
        <w:t xml:space="preserve"> </w:t>
      </w:r>
      <w:r w:rsidR="00C96260">
        <w:rPr>
          <w:lang w:val="en-GB"/>
        </w:rPr>
        <w:t xml:space="preserve">two groups </w:t>
      </w:r>
      <w:r w:rsidR="00267100">
        <w:rPr>
          <w:lang w:val="en-GB"/>
        </w:rPr>
        <w:t xml:space="preserve">will be </w:t>
      </w:r>
      <w:r w:rsidR="00C96260">
        <w:rPr>
          <w:lang w:val="en-GB"/>
        </w:rPr>
        <w:t>invalid</w:t>
      </w:r>
      <w:r w:rsidR="00267100">
        <w:rPr>
          <w:lang w:val="en-GB"/>
        </w:rPr>
        <w:t>.</w:t>
      </w:r>
      <w:r w:rsidR="008C730A">
        <w:rPr>
          <w:lang w:val="en-GB"/>
        </w:rPr>
        <w:t xml:space="preserve"> </w:t>
      </w:r>
      <w:r w:rsidR="00267100">
        <w:rPr>
          <w:lang w:val="en-GB"/>
        </w:rPr>
        <w:t>Furthermore,</w:t>
      </w:r>
      <w:r w:rsidR="0050176A">
        <w:rPr>
          <w:lang w:val="en-GB"/>
        </w:rPr>
        <w:t xml:space="preserve"> two control groups are imposed, partly in order to test for sample reliability (e.g. outliers) and to anticipate further problems with inference. The</w:t>
      </w:r>
      <w:r w:rsidR="008C730A">
        <w:rPr>
          <w:lang w:val="en-GB"/>
        </w:rPr>
        <w:t xml:space="preserve"> control groups for both the group which encountered a positive history</w:t>
      </w:r>
      <w:r w:rsidR="004335CC">
        <w:rPr>
          <w:lang w:val="en-GB"/>
        </w:rPr>
        <w:t xml:space="preserve"> and the group which encountered a negative </w:t>
      </w:r>
      <w:r w:rsidR="00CF4A13">
        <w:rPr>
          <w:lang w:val="en-GB"/>
        </w:rPr>
        <w:t>history</w:t>
      </w:r>
      <w:r w:rsidR="004335CC">
        <w:rPr>
          <w:lang w:val="en-GB"/>
        </w:rPr>
        <w:t xml:space="preserve"> are only given an initial </w:t>
      </w:r>
      <w:r w:rsidR="000E00F1">
        <w:rPr>
          <w:lang w:val="en-GB"/>
        </w:rPr>
        <w:t>company value. The expectation is that the average valuations of these groups</w:t>
      </w:r>
      <w:r w:rsidR="00C96260">
        <w:rPr>
          <w:lang w:val="en-GB"/>
        </w:rPr>
        <w:t xml:space="preserve"> do not differ, which might be contrary </w:t>
      </w:r>
      <w:r w:rsidR="00C96260">
        <w:rPr>
          <w:lang w:val="en-GB"/>
        </w:rPr>
        <w:lastRenderedPageBreak/>
        <w:t>to a comparison between the control groups and the groups which are initially framed.</w:t>
      </w:r>
      <w:r w:rsidR="00F6330E">
        <w:rPr>
          <w:lang w:val="en-GB"/>
        </w:rPr>
        <w:t xml:space="preserve"> Furthermore, a</w:t>
      </w:r>
      <w:r w:rsidR="00737054">
        <w:rPr>
          <w:lang w:val="en-GB"/>
        </w:rPr>
        <w:t xml:space="preserve"> comparison between the initial valuations of the ‘framed’ groups and their control groups, provides the opportunity to test which biases </w:t>
      </w:r>
      <w:r w:rsidR="00F6330E">
        <w:rPr>
          <w:lang w:val="en-GB"/>
        </w:rPr>
        <w:t xml:space="preserve">are involved. </w:t>
      </w:r>
      <w:r w:rsidR="00F4271F">
        <w:rPr>
          <w:lang w:val="en-GB"/>
        </w:rPr>
        <w:t xml:space="preserve">The above leads to the following hypotheses: </w:t>
      </w:r>
    </w:p>
    <w:p w:rsidR="0070557E" w:rsidRDefault="004335CC" w:rsidP="00A312B8">
      <w:pPr>
        <w:spacing w:line="360" w:lineRule="auto"/>
        <w:jc w:val="both"/>
        <w:rPr>
          <w:i/>
          <w:lang w:val="en-GB"/>
        </w:rPr>
      </w:pPr>
      <w:r>
        <w:rPr>
          <w:i/>
          <w:lang w:val="en-GB"/>
        </w:rPr>
        <w:t>Hypothesis II</w:t>
      </w:r>
      <w:r w:rsidR="0070557E">
        <w:rPr>
          <w:i/>
          <w:lang w:val="en-GB"/>
        </w:rPr>
        <w:t>:</w:t>
      </w:r>
    </w:p>
    <w:p w:rsidR="004C07DD" w:rsidRDefault="0070557E" w:rsidP="00A312B8">
      <w:pPr>
        <w:spacing w:line="360" w:lineRule="auto"/>
        <w:jc w:val="both"/>
        <w:rPr>
          <w:i/>
          <w:lang w:val="en-GB"/>
        </w:rPr>
      </w:pPr>
      <w:r>
        <w:rPr>
          <w:i/>
          <w:lang w:val="en-GB"/>
        </w:rPr>
        <w:t xml:space="preserve">Participants’ valuations of an identical </w:t>
      </w:r>
      <w:r w:rsidR="00C22F32">
        <w:rPr>
          <w:i/>
          <w:lang w:val="en-GB"/>
        </w:rPr>
        <w:t>investment opportunity</w:t>
      </w:r>
      <w:r>
        <w:rPr>
          <w:i/>
          <w:lang w:val="en-GB"/>
        </w:rPr>
        <w:t xml:space="preserve"> with the use of the DCF method, are higher when </w:t>
      </w:r>
      <w:r w:rsidR="00C22F32">
        <w:rPr>
          <w:i/>
          <w:lang w:val="en-GB"/>
        </w:rPr>
        <w:t xml:space="preserve">confronted with earlier business successes (hot deal market) compared to a situation without </w:t>
      </w:r>
      <w:r w:rsidR="001E1287">
        <w:rPr>
          <w:i/>
          <w:lang w:val="en-GB"/>
        </w:rPr>
        <w:t>any given</w:t>
      </w:r>
      <w:r w:rsidR="00C22F32">
        <w:rPr>
          <w:i/>
          <w:lang w:val="en-GB"/>
        </w:rPr>
        <w:t xml:space="preserve"> previous business involvement</w:t>
      </w:r>
    </w:p>
    <w:p w:rsidR="005F6575" w:rsidRDefault="004335CC" w:rsidP="00A312B8">
      <w:pPr>
        <w:spacing w:line="360" w:lineRule="auto"/>
        <w:jc w:val="both"/>
        <w:rPr>
          <w:i/>
          <w:lang w:val="en-GB"/>
        </w:rPr>
      </w:pPr>
      <w:r>
        <w:rPr>
          <w:i/>
          <w:lang w:val="en-GB"/>
        </w:rPr>
        <w:t>Hypothesis III</w:t>
      </w:r>
      <w:r w:rsidR="005F6575">
        <w:rPr>
          <w:i/>
          <w:lang w:val="en-GB"/>
        </w:rPr>
        <w:t>:</w:t>
      </w:r>
    </w:p>
    <w:p w:rsidR="005F6575" w:rsidRDefault="001E1287" w:rsidP="00A312B8">
      <w:pPr>
        <w:spacing w:line="360" w:lineRule="auto"/>
        <w:jc w:val="both"/>
        <w:rPr>
          <w:lang w:val="en-GB"/>
        </w:rPr>
      </w:pPr>
      <w:r>
        <w:rPr>
          <w:i/>
          <w:lang w:val="en-GB"/>
        </w:rPr>
        <w:t>Valuations of an investment opportunity by participants who are confronted with earlier business setbacks (cold deal market) differ from valuations of an identical opportunity by participants who have no earlier business involvement.</w:t>
      </w:r>
    </w:p>
    <w:p w:rsidR="00980881" w:rsidRPr="00980881" w:rsidRDefault="00980881" w:rsidP="00A312B8">
      <w:pPr>
        <w:spacing w:line="360" w:lineRule="auto"/>
        <w:jc w:val="both"/>
        <w:rPr>
          <w:lang w:val="en-GB"/>
        </w:rPr>
      </w:pPr>
      <w:r>
        <w:rPr>
          <w:lang w:val="en-GB"/>
        </w:rPr>
        <w:t>In order to justify above hypotheses certain</w:t>
      </w:r>
      <w:r w:rsidR="00BB1720">
        <w:rPr>
          <w:lang w:val="en-GB"/>
        </w:rPr>
        <w:t xml:space="preserve"> implied</w:t>
      </w:r>
      <w:r>
        <w:rPr>
          <w:lang w:val="en-GB"/>
        </w:rPr>
        <w:t xml:space="preserve"> questions has to be answered. </w:t>
      </w:r>
      <w:r w:rsidR="00A8637A">
        <w:rPr>
          <w:lang w:val="en-GB"/>
        </w:rPr>
        <w:t>What kind of investment opportunity</w:t>
      </w:r>
      <w:r w:rsidR="00BB1720">
        <w:rPr>
          <w:lang w:val="en-GB"/>
        </w:rPr>
        <w:t xml:space="preserve"> is meant? What is the nature of the DCF method and how could the</w:t>
      </w:r>
      <w:r w:rsidR="008167D0">
        <w:rPr>
          <w:lang w:val="en-GB"/>
        </w:rPr>
        <w:t xml:space="preserve"> assumed</w:t>
      </w:r>
      <w:r w:rsidR="00BB1720">
        <w:rPr>
          <w:lang w:val="en-GB"/>
        </w:rPr>
        <w:t xml:space="preserve"> difference in valuations be explained? The answer on the first question is related to the use of real options. In order to test whether participants neglect certain aspects of an </w:t>
      </w:r>
      <w:r w:rsidR="00A8637A">
        <w:rPr>
          <w:lang w:val="en-GB"/>
        </w:rPr>
        <w:t>investment opportunity</w:t>
      </w:r>
      <w:r w:rsidR="00BB1720">
        <w:rPr>
          <w:lang w:val="en-GB"/>
        </w:rPr>
        <w:t xml:space="preserve">, which could be </w:t>
      </w:r>
      <w:r w:rsidR="008167D0">
        <w:rPr>
          <w:lang w:val="en-GB"/>
        </w:rPr>
        <w:t xml:space="preserve">offset by the use of real options, the description of the </w:t>
      </w:r>
      <w:r w:rsidR="00A8637A">
        <w:rPr>
          <w:lang w:val="en-GB"/>
        </w:rPr>
        <w:t xml:space="preserve">investment </w:t>
      </w:r>
      <w:r w:rsidR="008167D0">
        <w:rPr>
          <w:lang w:val="en-GB"/>
        </w:rPr>
        <w:t xml:space="preserve">target must allow </w:t>
      </w:r>
      <w:r w:rsidR="0000087F">
        <w:rPr>
          <w:lang w:val="en-GB"/>
        </w:rPr>
        <w:t>space</w:t>
      </w:r>
      <w:r w:rsidR="00D95257">
        <w:rPr>
          <w:lang w:val="en-GB"/>
        </w:rPr>
        <w:t xml:space="preserve"> for inte</w:t>
      </w:r>
      <w:r w:rsidR="004C07DD">
        <w:rPr>
          <w:lang w:val="en-GB"/>
        </w:rPr>
        <w:t xml:space="preserve">rpreting opportunities to grow/expand, </w:t>
      </w:r>
      <w:r w:rsidR="00D95257">
        <w:rPr>
          <w:lang w:val="en-GB"/>
        </w:rPr>
        <w:t xml:space="preserve">stage </w:t>
      </w:r>
      <w:r w:rsidR="0000087F">
        <w:rPr>
          <w:lang w:val="en-GB"/>
        </w:rPr>
        <w:t>and/or abandon the investment</w:t>
      </w:r>
      <w:r w:rsidR="00D95257">
        <w:rPr>
          <w:lang w:val="en-GB"/>
        </w:rPr>
        <w:t xml:space="preserve">. The relationship between the characteristics of the </w:t>
      </w:r>
      <w:r w:rsidR="00A8637A">
        <w:rPr>
          <w:lang w:val="en-GB"/>
        </w:rPr>
        <w:t>investment opportunity</w:t>
      </w:r>
      <w:r w:rsidR="00D95257">
        <w:rPr>
          <w:lang w:val="en-GB"/>
        </w:rPr>
        <w:t xml:space="preserve"> and the applied real options will be clarified in a following part of the theoretical framework. </w:t>
      </w:r>
      <w:r w:rsidR="00C26E3F">
        <w:rPr>
          <w:lang w:val="en-GB"/>
        </w:rPr>
        <w:t>As earlier introduced</w:t>
      </w:r>
      <w:r w:rsidR="00605A3F">
        <w:rPr>
          <w:lang w:val="en-GB"/>
        </w:rPr>
        <w:t xml:space="preserve">, the assumed reason of the dependence of </w:t>
      </w:r>
      <w:r w:rsidR="00C26E3F">
        <w:rPr>
          <w:lang w:val="en-GB"/>
        </w:rPr>
        <w:t>executives’ (here participants</w:t>
      </w:r>
      <w:r w:rsidR="00114053">
        <w:rPr>
          <w:lang w:val="en-GB"/>
        </w:rPr>
        <w:t>’</w:t>
      </w:r>
      <w:r w:rsidR="00605A3F">
        <w:rPr>
          <w:lang w:val="en-GB"/>
        </w:rPr>
        <w:t xml:space="preserve">) valuations </w:t>
      </w:r>
      <w:r w:rsidR="00C26E3F">
        <w:rPr>
          <w:lang w:val="en-GB"/>
        </w:rPr>
        <w:t>on the context of earlier experie</w:t>
      </w:r>
      <w:r w:rsidR="001B3CB0">
        <w:rPr>
          <w:lang w:val="en-GB"/>
        </w:rPr>
        <w:t xml:space="preserve">nces and the associated </w:t>
      </w:r>
      <w:r w:rsidR="00605A3F">
        <w:rPr>
          <w:lang w:val="en-GB"/>
        </w:rPr>
        <w:t>possible difference</w:t>
      </w:r>
      <w:r w:rsidR="001B3CB0">
        <w:rPr>
          <w:lang w:val="en-GB"/>
        </w:rPr>
        <w:t>, are</w:t>
      </w:r>
      <w:r w:rsidR="00C26E3F">
        <w:rPr>
          <w:lang w:val="en-GB"/>
        </w:rPr>
        <w:t xml:space="preserve"> due to various cognitive biases. First these biases will be discussed in order to elaborate on the relationship between these biases and the condition of the M&amp;A market. In other words</w:t>
      </w:r>
      <w:r w:rsidR="0000087F">
        <w:rPr>
          <w:lang w:val="en-GB"/>
        </w:rPr>
        <w:t xml:space="preserve">; in which scenarios are executives more prone </w:t>
      </w:r>
      <w:r w:rsidR="00424BF5">
        <w:rPr>
          <w:lang w:val="en-GB"/>
        </w:rPr>
        <w:t>to which biases and how could one explain this?</w:t>
      </w:r>
      <w:r w:rsidR="00C26E3F">
        <w:rPr>
          <w:lang w:val="en-GB"/>
        </w:rPr>
        <w:t xml:space="preserve"> </w:t>
      </w:r>
    </w:p>
    <w:p w:rsidR="005F6575" w:rsidRPr="00772E6D" w:rsidRDefault="005F6575" w:rsidP="00082B85">
      <w:pPr>
        <w:pStyle w:val="Heading2"/>
        <w:rPr>
          <w:color w:val="76923C" w:themeColor="accent3" w:themeShade="BF"/>
          <w:sz w:val="24"/>
          <w:szCs w:val="24"/>
          <w:lang w:val="en-GB"/>
        </w:rPr>
      </w:pPr>
      <w:bookmarkStart w:id="2" w:name="_Toc397238582"/>
      <w:r w:rsidRPr="00772E6D">
        <w:rPr>
          <w:color w:val="76923C" w:themeColor="accent3" w:themeShade="BF"/>
          <w:sz w:val="24"/>
          <w:szCs w:val="24"/>
          <w:lang w:val="en-GB"/>
        </w:rPr>
        <w:t>Valuation Methods</w:t>
      </w:r>
      <w:bookmarkEnd w:id="2"/>
    </w:p>
    <w:p w:rsidR="00772E6D" w:rsidRPr="00772E6D" w:rsidRDefault="00772E6D" w:rsidP="00772E6D">
      <w:pPr>
        <w:rPr>
          <w:lang w:val="en-GB"/>
        </w:rPr>
      </w:pPr>
    </w:p>
    <w:p w:rsidR="00E93661" w:rsidRDefault="00E93661" w:rsidP="00E93661">
      <w:pPr>
        <w:spacing w:line="360" w:lineRule="auto"/>
        <w:jc w:val="both"/>
        <w:rPr>
          <w:lang w:val="en-GB"/>
        </w:rPr>
      </w:pPr>
      <w:r>
        <w:rPr>
          <w:lang w:val="en-GB"/>
        </w:rPr>
        <w:t xml:space="preserve">There are various methods to value a company, of which many could be subject to biases. One of the prevailing methods is the discounted cash flow method. This method is characterized by discounting future cash flows which are plausibly certain, by mostly the weighted average cost of capital. Cash flows with a certain degree of certainty can only be estimated for a finite period. </w:t>
      </w:r>
      <w:r w:rsidR="00CF4A13">
        <w:rPr>
          <w:lang w:val="en-GB"/>
        </w:rPr>
        <w:t xml:space="preserve">The economic value of the cash flows after this period (planning period) can be estimated with a horizon/terminal value. </w:t>
      </w:r>
      <w:r>
        <w:rPr>
          <w:lang w:val="en-GB"/>
        </w:rPr>
        <w:t xml:space="preserve">A substantial part of </w:t>
      </w:r>
      <w:r w:rsidR="00114053">
        <w:rPr>
          <w:lang w:val="en-GB"/>
        </w:rPr>
        <w:t xml:space="preserve">value derived from </w:t>
      </w:r>
      <w:r>
        <w:rPr>
          <w:lang w:val="en-GB"/>
        </w:rPr>
        <w:t xml:space="preserve">the discounted cash flow </w:t>
      </w:r>
      <w:r w:rsidR="00114053">
        <w:rPr>
          <w:lang w:val="en-GB"/>
        </w:rPr>
        <w:t>method</w:t>
      </w:r>
      <w:r>
        <w:rPr>
          <w:lang w:val="en-GB"/>
        </w:rPr>
        <w:t xml:space="preserve"> is based on this horizon </w:t>
      </w:r>
      <w:r>
        <w:rPr>
          <w:lang w:val="en-GB"/>
        </w:rPr>
        <w:lastRenderedPageBreak/>
        <w:t xml:space="preserve">value. Combined with the arbitrary nature of the determination of the horizon value, this makes the valuation of a target based on the discounted cash flow method sensitive for under- or overvaluation as a result of biases. Furthermore, there are various ways to determine the horizon value. One of these methods is the perpetuity growth model.  By determining the present value of the sum of the future uncertain cash flows after correction for the expected growth, one can add this value to the net present value of the cash flows in the planning period to get the total value as a result. Certain </w:t>
      </w:r>
      <w:r w:rsidR="00CF4A13">
        <w:rPr>
          <w:lang w:val="en-GB"/>
        </w:rPr>
        <w:t>assumptions have</w:t>
      </w:r>
      <w:r>
        <w:rPr>
          <w:lang w:val="en-GB"/>
        </w:rPr>
        <w:t xml:space="preserve"> to be made. One of them is the assumption that the used growth rate is constant. This could lead to a misrepresentation of the real value in case the future cash flows are not to be expected to grow constantly. </w:t>
      </w:r>
      <w:r w:rsidR="00E078EB">
        <w:rPr>
          <w:lang w:val="en-GB"/>
        </w:rPr>
        <w:t>Furthermore, an overoptimistic estimation</w:t>
      </w:r>
      <w:r w:rsidR="001E1F9F">
        <w:rPr>
          <w:lang w:val="en-GB"/>
        </w:rPr>
        <w:t xml:space="preserve"> (even narrowly</w:t>
      </w:r>
      <w:r w:rsidR="00CF4A13">
        <w:rPr>
          <w:lang w:val="en-GB"/>
        </w:rPr>
        <w:t>) of</w:t>
      </w:r>
      <w:r w:rsidR="00E078EB">
        <w:rPr>
          <w:lang w:val="en-GB"/>
        </w:rPr>
        <w:t xml:space="preserve"> the growth</w:t>
      </w:r>
      <w:r w:rsidR="000D0998">
        <w:rPr>
          <w:lang w:val="en-GB"/>
        </w:rPr>
        <w:t xml:space="preserve"> rate could have large consequences, as the conclusion of an analysis based on the DCF method is often binary</w:t>
      </w:r>
      <w:r w:rsidR="00342AB5">
        <w:rPr>
          <w:lang w:val="en-GB"/>
        </w:rPr>
        <w:t>; invest or not invest</w:t>
      </w:r>
      <w:r w:rsidR="000D0998">
        <w:rPr>
          <w:lang w:val="en-GB"/>
        </w:rPr>
        <w:t>.</w:t>
      </w:r>
      <w:r w:rsidR="001E1F9F">
        <w:rPr>
          <w:lang w:val="en-GB"/>
        </w:rPr>
        <w:t xml:space="preserve"> </w:t>
      </w:r>
      <w:r>
        <w:rPr>
          <w:lang w:val="en-GB"/>
        </w:rPr>
        <w:t xml:space="preserve">Another widely used method to determine the horizon value is the exit multiple approach. The concept of multiples and the use for valuation will shortly be discussed in the sequel of this theoretical framework, but is also relevant to the valuation of the horizon value. The approach </w:t>
      </w:r>
      <w:r w:rsidR="00100E9F">
        <w:rPr>
          <w:lang w:val="en-GB"/>
        </w:rPr>
        <w:t>is characterized by the creation</w:t>
      </w:r>
      <w:r>
        <w:rPr>
          <w:lang w:val="en-GB"/>
        </w:rPr>
        <w:t xml:space="preserve"> of a hypothetical situation of selling the investment opportunity at the end of the planning period. The value at that moment is calculated with an exit multiple, for example: </w:t>
      </w:r>
      <w:r>
        <w:rPr>
          <w:i/>
          <w:lang w:val="en-GB"/>
        </w:rPr>
        <w:t xml:space="preserve">enterprise value / EBITDA. </w:t>
      </w:r>
      <w:r>
        <w:rPr>
          <w:lang w:val="en-GB"/>
        </w:rPr>
        <w:t>This multiple is based on corresponding market acquisitions. Again the calculated value at the end of the planning period should be discounted and be added up to the net present value of the cash flows in the planning period. The use of exit multiples could also result in a misrepresentation of the real value, because the multiples based on comparable acquisitions</w:t>
      </w:r>
      <w:r w:rsidR="00100E9F">
        <w:rPr>
          <w:lang w:val="en-GB"/>
        </w:rPr>
        <w:t xml:space="preserve"> could</w:t>
      </w:r>
      <w:r>
        <w:rPr>
          <w:lang w:val="en-GB"/>
        </w:rPr>
        <w:t xml:space="preserve"> be wrenched.</w:t>
      </w:r>
      <w:r w:rsidR="005E1608">
        <w:rPr>
          <w:lang w:val="en-GB"/>
        </w:rPr>
        <w:t xml:space="preserve"> The exit multiple could also be related to an entry</w:t>
      </w:r>
      <w:r w:rsidR="00605A3F">
        <w:rPr>
          <w:lang w:val="en-GB"/>
        </w:rPr>
        <w:t xml:space="preserve"> multiple. </w:t>
      </w:r>
      <w:r w:rsidR="00CF4A13">
        <w:rPr>
          <w:lang w:val="en-GB"/>
        </w:rPr>
        <w:t xml:space="preserve">In case of erroneous entry multiples; this results in a misrepresented valuation </w:t>
      </w:r>
      <w:sdt>
        <w:sdtPr>
          <w:rPr>
            <w:lang w:val="en-GB"/>
          </w:rPr>
          <w:id w:val="6706399"/>
          <w:citation/>
        </w:sdtPr>
        <w:sdtContent>
          <w:r w:rsidR="009966E0">
            <w:rPr>
              <w:lang w:val="en-GB"/>
            </w:rPr>
            <w:fldChar w:fldCharType="begin"/>
          </w:r>
          <w:r w:rsidR="00CF4A13" w:rsidRPr="005E1608">
            <w:rPr>
              <w:lang w:val="en-GB"/>
            </w:rPr>
            <w:instrText xml:space="preserve"> CITATION Smi10 \l 1043 </w:instrText>
          </w:r>
          <w:r w:rsidR="009966E0">
            <w:rPr>
              <w:lang w:val="en-GB"/>
            </w:rPr>
            <w:fldChar w:fldCharType="separate"/>
          </w:r>
          <w:r w:rsidR="00CF4A13" w:rsidRPr="00C32B5A">
            <w:rPr>
              <w:noProof/>
              <w:lang w:val="en-GB"/>
            </w:rPr>
            <w:t>(Smit &amp; Moraitis, Playing at serial acquisitions, 2010)</w:t>
          </w:r>
          <w:r w:rsidR="009966E0">
            <w:rPr>
              <w:lang w:val="en-GB"/>
            </w:rPr>
            <w:fldChar w:fldCharType="end"/>
          </w:r>
        </w:sdtContent>
      </w:sdt>
      <w:r w:rsidR="00CF4A13">
        <w:rPr>
          <w:lang w:val="en-GB"/>
        </w:rPr>
        <w:t xml:space="preserve">. </w:t>
      </w:r>
      <w:r>
        <w:rPr>
          <w:lang w:val="en-GB"/>
        </w:rPr>
        <w:t xml:space="preserve">Summarized, both methods which can be used to calculate the horizon value, could be biased because of the interpretation of uncertainty. </w:t>
      </w:r>
    </w:p>
    <w:p w:rsidR="00E93661" w:rsidRDefault="00E93661" w:rsidP="00E93661">
      <w:pPr>
        <w:spacing w:line="360" w:lineRule="auto"/>
        <w:jc w:val="both"/>
        <w:rPr>
          <w:lang w:val="en-GB"/>
        </w:rPr>
      </w:pPr>
      <w:r>
        <w:rPr>
          <w:lang w:val="en-GB"/>
        </w:rPr>
        <w:t>Another commonly used method to value possible targets is the multiples method.</w:t>
      </w:r>
      <w:r w:rsidR="00B3421C">
        <w:rPr>
          <w:lang w:val="en-GB"/>
        </w:rPr>
        <w:t xml:space="preserve"> In the experiment </w:t>
      </w:r>
      <w:r w:rsidR="00100E9F">
        <w:rPr>
          <w:lang w:val="en-GB"/>
        </w:rPr>
        <w:t>participants will be provided with information to use the DCF method, instead of the multiples method. However, since the multiples method is widely applied, independently or as a tool to control the outcome of the DCF method, potential biases could offset or enhance the conclusion</w:t>
      </w:r>
      <w:r w:rsidR="00B3421C">
        <w:rPr>
          <w:lang w:val="en-GB"/>
        </w:rPr>
        <w:t xml:space="preserve"> made of</w:t>
      </w:r>
      <w:r w:rsidR="00342AB5">
        <w:rPr>
          <w:lang w:val="en-GB"/>
        </w:rPr>
        <w:t xml:space="preserve"> a valuation </w:t>
      </w:r>
      <w:r w:rsidR="00100E9F">
        <w:rPr>
          <w:lang w:val="en-GB"/>
        </w:rPr>
        <w:t>based on the DCF method</w:t>
      </w:r>
      <w:r w:rsidR="00BA6044">
        <w:rPr>
          <w:lang w:val="en-GB"/>
        </w:rPr>
        <w:t>, and therefore requires a brief consideration. For example, if the use of the multiples method is prone to the same biases as potential biases made with the DCF method,</w:t>
      </w:r>
      <w:r w:rsidR="007906EF">
        <w:rPr>
          <w:lang w:val="en-GB"/>
        </w:rPr>
        <w:t xml:space="preserve"> and these biases may occur in the same economic context,</w:t>
      </w:r>
      <w:r w:rsidR="00BA6044">
        <w:rPr>
          <w:lang w:val="en-GB"/>
        </w:rPr>
        <w:t xml:space="preserve"> this could confirm the under- or overvaluation made by executives.</w:t>
      </w:r>
      <w:r w:rsidR="007906EF">
        <w:rPr>
          <w:lang w:val="en-GB"/>
        </w:rPr>
        <w:t xml:space="preserve"> Put simply, the multiples method is the process of </w:t>
      </w:r>
      <w:r>
        <w:rPr>
          <w:lang w:val="en-GB"/>
        </w:rPr>
        <w:t xml:space="preserve">selecting comparable acquisitions and calculating corresponding statistics, </w:t>
      </w:r>
      <w:r w:rsidR="007906EF">
        <w:rPr>
          <w:lang w:val="en-GB"/>
        </w:rPr>
        <w:t>in order to make a market based valuation.</w:t>
      </w:r>
      <w:r>
        <w:rPr>
          <w:lang w:val="en-GB"/>
        </w:rPr>
        <w:t xml:space="preserve"> Problems could arise when one select</w:t>
      </w:r>
      <w:r w:rsidR="00F32537">
        <w:rPr>
          <w:lang w:val="en-GB"/>
        </w:rPr>
        <w:t xml:space="preserve">s the wrong peers or multiples or does not make </w:t>
      </w:r>
      <w:r w:rsidR="00CF4A13">
        <w:rPr>
          <w:lang w:val="en-GB"/>
        </w:rPr>
        <w:t>sufficient adjustments</w:t>
      </w:r>
      <w:r w:rsidR="00F32537">
        <w:rPr>
          <w:lang w:val="en-GB"/>
        </w:rPr>
        <w:t xml:space="preserve">. The latter subject will be further discussed in the next section. </w:t>
      </w:r>
    </w:p>
    <w:p w:rsidR="00F32537" w:rsidRDefault="0041756E" w:rsidP="00A312B8">
      <w:pPr>
        <w:spacing w:line="360" w:lineRule="auto"/>
        <w:jc w:val="both"/>
        <w:rPr>
          <w:b/>
          <w:lang w:val="en-GB"/>
        </w:rPr>
      </w:pPr>
      <w:r>
        <w:rPr>
          <w:lang w:val="en-GB"/>
        </w:rPr>
        <w:lastRenderedPageBreak/>
        <w:t xml:space="preserve">Before a consideration about potential executives’ cognitive decision-making problems is made, the influence of these executives, in particular the chief executive officers, on the valuation and ultimately the bidding process has to be considered. After identifying potential </w:t>
      </w:r>
      <w:r w:rsidR="00A8637A">
        <w:rPr>
          <w:lang w:val="en-GB"/>
        </w:rPr>
        <w:t>investment targets</w:t>
      </w:r>
      <w:r>
        <w:rPr>
          <w:lang w:val="en-GB"/>
        </w:rPr>
        <w:t xml:space="preserve">, the top management has to come up with an offer price. Because most acquisitions have a major impact on a company’s future, the board of directors has to approve the offer price. However, the CEO has an important role in the </w:t>
      </w:r>
      <w:r w:rsidR="00A8637A">
        <w:rPr>
          <w:lang w:val="en-GB"/>
        </w:rPr>
        <w:t xml:space="preserve">negotiations between a </w:t>
      </w:r>
      <w:r w:rsidR="00462231">
        <w:rPr>
          <w:lang w:val="en-GB"/>
        </w:rPr>
        <w:t xml:space="preserve">target and </w:t>
      </w:r>
      <w:r w:rsidR="00A8637A">
        <w:rPr>
          <w:lang w:val="en-GB"/>
        </w:rPr>
        <w:t xml:space="preserve">the </w:t>
      </w:r>
      <w:r w:rsidR="00462231">
        <w:rPr>
          <w:lang w:val="en-GB"/>
        </w:rPr>
        <w:t xml:space="preserve">potential acquirer, and could in addition persuade the board of directors. Often the board of directors are prone to adapt the offer price made by a CEO </w:t>
      </w:r>
      <w:sdt>
        <w:sdtPr>
          <w:rPr>
            <w:lang w:val="en-GB"/>
          </w:rPr>
          <w:id w:val="6706803"/>
          <w:citation/>
        </w:sdtPr>
        <w:sdtContent>
          <w:r w:rsidR="009966E0">
            <w:rPr>
              <w:lang w:val="en-GB"/>
            </w:rPr>
            <w:fldChar w:fldCharType="begin"/>
          </w:r>
          <w:r w:rsidR="00D7182B" w:rsidRPr="00D7182B">
            <w:rPr>
              <w:lang w:val="en-GB"/>
            </w:rPr>
            <w:instrText xml:space="preserve"> CITATION Mac \l 1043  </w:instrText>
          </w:r>
          <w:r w:rsidR="009966E0">
            <w:rPr>
              <w:lang w:val="en-GB"/>
            </w:rPr>
            <w:fldChar w:fldCharType="separate"/>
          </w:r>
          <w:r w:rsidR="00C32B5A" w:rsidRPr="00C32B5A">
            <w:rPr>
              <w:noProof/>
              <w:lang w:val="en-GB"/>
            </w:rPr>
            <w:t>(Mace, 1971)</w:t>
          </w:r>
          <w:r w:rsidR="009966E0">
            <w:rPr>
              <w:lang w:val="en-GB"/>
            </w:rPr>
            <w:fldChar w:fldCharType="end"/>
          </w:r>
        </w:sdtContent>
      </w:sdt>
      <w:r w:rsidR="00D7182B">
        <w:rPr>
          <w:lang w:val="en-GB"/>
        </w:rPr>
        <w:t xml:space="preserve">. </w:t>
      </w:r>
    </w:p>
    <w:p w:rsidR="005F6575" w:rsidRPr="00772E6D" w:rsidRDefault="00B3421C" w:rsidP="00082B85">
      <w:pPr>
        <w:pStyle w:val="Heading2"/>
        <w:rPr>
          <w:color w:val="76923C" w:themeColor="accent3" w:themeShade="BF"/>
          <w:sz w:val="24"/>
          <w:szCs w:val="24"/>
          <w:lang w:val="en-GB"/>
        </w:rPr>
      </w:pPr>
      <w:bookmarkStart w:id="3" w:name="_Toc397238583"/>
      <w:r w:rsidRPr="00772E6D">
        <w:rPr>
          <w:color w:val="76923C" w:themeColor="accent3" w:themeShade="BF"/>
          <w:sz w:val="24"/>
          <w:szCs w:val="24"/>
          <w:lang w:val="en-GB"/>
        </w:rPr>
        <w:t xml:space="preserve">Cognitive </w:t>
      </w:r>
      <w:r w:rsidR="005F6575" w:rsidRPr="00772E6D">
        <w:rPr>
          <w:color w:val="76923C" w:themeColor="accent3" w:themeShade="BF"/>
          <w:sz w:val="24"/>
          <w:szCs w:val="24"/>
          <w:lang w:val="en-GB"/>
        </w:rPr>
        <w:t>Biases</w:t>
      </w:r>
      <w:bookmarkEnd w:id="3"/>
    </w:p>
    <w:p w:rsidR="00772E6D" w:rsidRPr="00772E6D" w:rsidRDefault="00772E6D" w:rsidP="00772E6D">
      <w:pPr>
        <w:rPr>
          <w:lang w:val="en-GB"/>
        </w:rPr>
      </w:pPr>
    </w:p>
    <w:p w:rsidR="00B3421C" w:rsidRPr="00764AD0" w:rsidRDefault="00B3421C" w:rsidP="00A312B8">
      <w:pPr>
        <w:spacing w:line="360" w:lineRule="auto"/>
        <w:jc w:val="both"/>
        <w:rPr>
          <w:lang w:val="en-GB"/>
        </w:rPr>
      </w:pPr>
      <w:r>
        <w:rPr>
          <w:lang w:val="en-GB"/>
        </w:rPr>
        <w:t xml:space="preserve">The view that people are not fully capable to process </w:t>
      </w:r>
      <w:r w:rsidR="001C672D">
        <w:rPr>
          <w:lang w:val="en-GB"/>
        </w:rPr>
        <w:t xml:space="preserve">relevant information concerning a decision immediately and in a </w:t>
      </w:r>
      <w:r w:rsidR="00FD070A">
        <w:rPr>
          <w:lang w:val="en-GB"/>
        </w:rPr>
        <w:t>structured way</w:t>
      </w:r>
      <w:r w:rsidR="00E21086">
        <w:rPr>
          <w:lang w:val="en-GB"/>
        </w:rPr>
        <w:t>,</w:t>
      </w:r>
      <w:r w:rsidR="00C0334E">
        <w:rPr>
          <w:lang w:val="en-GB"/>
        </w:rPr>
        <w:t xml:space="preserve"> is well known. </w:t>
      </w:r>
      <w:r w:rsidR="00C0334E" w:rsidRPr="00605A3F">
        <w:rPr>
          <w:noProof/>
          <w:lang w:val="en-GB"/>
        </w:rPr>
        <w:t>Simon (1955)</w:t>
      </w:r>
      <w:r w:rsidR="00605A3F" w:rsidRPr="00605A3F">
        <w:rPr>
          <w:noProof/>
          <w:lang w:val="en-GB"/>
        </w:rPr>
        <w:t xml:space="preserve"> was the first to adress this experience a</w:t>
      </w:r>
      <w:r w:rsidR="00605A3F">
        <w:rPr>
          <w:noProof/>
          <w:lang w:val="en-GB"/>
        </w:rPr>
        <w:t xml:space="preserve">s bounded rationality. </w:t>
      </w:r>
      <w:r w:rsidR="009C3121">
        <w:rPr>
          <w:noProof/>
          <w:lang w:val="en-GB"/>
        </w:rPr>
        <w:t xml:space="preserve">In </w:t>
      </w:r>
      <w:r w:rsidR="00FD070A">
        <w:rPr>
          <w:noProof/>
          <w:lang w:val="en-GB"/>
        </w:rPr>
        <w:t>situations</w:t>
      </w:r>
      <w:r w:rsidR="009C3121">
        <w:rPr>
          <w:noProof/>
          <w:lang w:val="en-GB"/>
        </w:rPr>
        <w:t xml:space="preserve"> of decision-making p</w:t>
      </w:r>
      <w:r w:rsidR="00605A3F">
        <w:rPr>
          <w:noProof/>
          <w:lang w:val="en-GB"/>
        </w:rPr>
        <w:t>eople make use of heuristics in order to process</w:t>
      </w:r>
      <w:r w:rsidR="009C3121">
        <w:rPr>
          <w:noProof/>
          <w:lang w:val="en-GB"/>
        </w:rPr>
        <w:t xml:space="preserve"> the relevant</w:t>
      </w:r>
      <w:r w:rsidR="00605A3F">
        <w:rPr>
          <w:noProof/>
          <w:lang w:val="en-GB"/>
        </w:rPr>
        <w:t xml:space="preserve"> information.</w:t>
      </w:r>
      <w:r w:rsidR="009C3121">
        <w:rPr>
          <w:noProof/>
          <w:lang w:val="en-GB"/>
        </w:rPr>
        <w:t xml:space="preserve"> The previous cited scholar </w:t>
      </w:r>
      <w:r w:rsidR="009C3121" w:rsidRPr="00362381">
        <w:rPr>
          <w:noProof/>
          <w:lang w:val="en-GB"/>
        </w:rPr>
        <w:t>Simon (1990)</w:t>
      </w:r>
      <w:r w:rsidR="00605A3F">
        <w:rPr>
          <w:noProof/>
          <w:lang w:val="en-GB"/>
        </w:rPr>
        <w:t xml:space="preserve"> </w:t>
      </w:r>
      <w:r w:rsidR="00362381">
        <w:rPr>
          <w:noProof/>
          <w:lang w:val="en-GB"/>
        </w:rPr>
        <w:t xml:space="preserve">describes </w:t>
      </w:r>
      <w:r w:rsidR="00FD070A">
        <w:rPr>
          <w:noProof/>
          <w:lang w:val="en-GB"/>
        </w:rPr>
        <w:t>heuristics</w:t>
      </w:r>
      <w:r w:rsidR="00362381">
        <w:rPr>
          <w:noProof/>
          <w:lang w:val="en-GB"/>
        </w:rPr>
        <w:t xml:space="preserve"> as ‘methods for arriving at satisfactory solutions with modest amounts of computation’</w:t>
      </w:r>
      <w:r w:rsidR="00FD070A">
        <w:rPr>
          <w:noProof/>
          <w:lang w:val="en-GB"/>
        </w:rPr>
        <w:t xml:space="preserve">, simply stated; cognitive decision rules. </w:t>
      </w:r>
      <w:r w:rsidR="00E21086">
        <w:rPr>
          <w:noProof/>
          <w:lang w:val="en-GB"/>
        </w:rPr>
        <w:t>These decision rules or ‘rule</w:t>
      </w:r>
      <w:r w:rsidR="00F71A9F">
        <w:rPr>
          <w:noProof/>
          <w:lang w:val="en-GB"/>
        </w:rPr>
        <w:t>s</w:t>
      </w:r>
      <w:r w:rsidR="00E21086">
        <w:rPr>
          <w:noProof/>
          <w:lang w:val="en-GB"/>
        </w:rPr>
        <w:t xml:space="preserve"> of thumb’ are by definition not a problem, however they often result in biases; the propensity to make errors systematically. </w:t>
      </w:r>
      <w:r w:rsidR="007E55E6">
        <w:rPr>
          <w:noProof/>
          <w:lang w:val="en-GB"/>
        </w:rPr>
        <w:t>Both the DCF and multiples method are sensitive to these biases. Therefore various biases will be discu</w:t>
      </w:r>
      <w:r w:rsidR="00A62AE2">
        <w:rPr>
          <w:noProof/>
          <w:lang w:val="en-GB"/>
        </w:rPr>
        <w:t>ssed, as well as their relationship</w:t>
      </w:r>
      <w:r w:rsidR="007E55E6">
        <w:rPr>
          <w:noProof/>
          <w:lang w:val="en-GB"/>
        </w:rPr>
        <w:t xml:space="preserve"> with </w:t>
      </w:r>
      <w:r w:rsidR="00A62AE2">
        <w:rPr>
          <w:noProof/>
          <w:lang w:val="en-GB"/>
        </w:rPr>
        <w:t>prior business experiences</w:t>
      </w:r>
      <w:r w:rsidR="007E55E6">
        <w:rPr>
          <w:noProof/>
          <w:lang w:val="en-GB"/>
        </w:rPr>
        <w:t xml:space="preserve"> in furtherance of explaining the potential difference between valuations during a hot and cold deal market. </w:t>
      </w:r>
      <w:r w:rsidR="006B4FFB" w:rsidRPr="00CB71F9">
        <w:rPr>
          <w:noProof/>
          <w:lang w:val="en-GB"/>
        </w:rPr>
        <w:t xml:space="preserve">The essence of certain biases </w:t>
      </w:r>
      <w:r w:rsidR="00CB71F9" w:rsidRPr="00CB71F9">
        <w:rPr>
          <w:noProof/>
          <w:lang w:val="en-GB"/>
        </w:rPr>
        <w:t>might correspond to other desc</w:t>
      </w:r>
      <w:r w:rsidR="00CB71F9">
        <w:rPr>
          <w:noProof/>
          <w:lang w:val="en-GB"/>
        </w:rPr>
        <w:t xml:space="preserve">ribed biases in behavioral literature </w:t>
      </w:r>
      <w:sdt>
        <w:sdtPr>
          <w:rPr>
            <w:noProof/>
            <w:lang w:val="en-GB"/>
          </w:rPr>
          <w:id w:val="6706402"/>
          <w:citation/>
        </w:sdtPr>
        <w:sdtContent>
          <w:r w:rsidR="009966E0">
            <w:rPr>
              <w:noProof/>
              <w:lang w:val="en-GB"/>
            </w:rPr>
            <w:fldChar w:fldCharType="begin"/>
          </w:r>
          <w:r w:rsidR="00CB71F9" w:rsidRPr="00CB71F9">
            <w:rPr>
              <w:noProof/>
              <w:lang w:val="en-GB"/>
            </w:rPr>
            <w:instrText xml:space="preserve"> CITATION Sha08 \l 1043 </w:instrText>
          </w:r>
          <w:r w:rsidR="009966E0">
            <w:rPr>
              <w:noProof/>
              <w:lang w:val="en-GB"/>
            </w:rPr>
            <w:fldChar w:fldCharType="separate"/>
          </w:r>
          <w:r w:rsidR="00C32B5A" w:rsidRPr="00C32B5A">
            <w:rPr>
              <w:noProof/>
              <w:lang w:val="en-GB"/>
            </w:rPr>
            <w:t>(Shah &amp; Oppenheimer, 2008)</w:t>
          </w:r>
          <w:r w:rsidR="009966E0">
            <w:rPr>
              <w:noProof/>
              <w:lang w:val="en-GB"/>
            </w:rPr>
            <w:fldChar w:fldCharType="end"/>
          </w:r>
        </w:sdtContent>
      </w:sdt>
      <w:r w:rsidR="00CB71F9">
        <w:rPr>
          <w:noProof/>
          <w:lang w:val="en-GB"/>
        </w:rPr>
        <w:t>. However, a</w:t>
      </w:r>
      <w:r w:rsidR="00CB71F9" w:rsidRPr="00CB71F9">
        <w:rPr>
          <w:noProof/>
          <w:lang w:val="en-GB"/>
        </w:rPr>
        <w:t xml:space="preserve"> thorough description of</w:t>
      </w:r>
      <w:r w:rsidR="00F71A9F">
        <w:rPr>
          <w:noProof/>
          <w:lang w:val="en-GB"/>
        </w:rPr>
        <w:t xml:space="preserve"> all</w:t>
      </w:r>
      <w:r w:rsidR="00CB71F9" w:rsidRPr="00CB71F9">
        <w:rPr>
          <w:noProof/>
          <w:lang w:val="en-GB"/>
        </w:rPr>
        <w:t xml:space="preserve"> the possible biases in which t</w:t>
      </w:r>
      <w:r w:rsidR="00CB71F9">
        <w:rPr>
          <w:noProof/>
          <w:lang w:val="en-GB"/>
        </w:rPr>
        <w:t xml:space="preserve">he behavior of executives could be categorized, is beyond the goal of the experiment. </w:t>
      </w:r>
      <w:r w:rsidR="00CB71F9" w:rsidRPr="00764AD0">
        <w:rPr>
          <w:noProof/>
          <w:lang w:val="en-GB"/>
        </w:rPr>
        <w:t>It is important to indicate which tendencies executives might p</w:t>
      </w:r>
      <w:r w:rsidR="00764AD0" w:rsidRPr="00764AD0">
        <w:rPr>
          <w:noProof/>
          <w:lang w:val="en-GB"/>
        </w:rPr>
        <w:t>ossess a</w:t>
      </w:r>
      <w:r w:rsidR="00764AD0">
        <w:rPr>
          <w:noProof/>
          <w:lang w:val="en-GB"/>
        </w:rPr>
        <w:t>nd which circumstances</w:t>
      </w:r>
      <w:r w:rsidR="00DA16FC">
        <w:rPr>
          <w:noProof/>
          <w:lang w:val="en-GB"/>
        </w:rPr>
        <w:t xml:space="preserve"> might</w:t>
      </w:r>
      <w:r w:rsidR="00764AD0">
        <w:rPr>
          <w:noProof/>
          <w:lang w:val="en-GB"/>
        </w:rPr>
        <w:t xml:space="preserve"> influence these tendencies. </w:t>
      </w:r>
    </w:p>
    <w:p w:rsidR="004F6BFB" w:rsidRPr="00772E6D" w:rsidRDefault="005F6575" w:rsidP="00082B85">
      <w:pPr>
        <w:pStyle w:val="Heading3"/>
        <w:rPr>
          <w:i/>
          <w:color w:val="76923C" w:themeColor="accent3" w:themeShade="BF"/>
          <w:lang w:val="en-GB"/>
        </w:rPr>
      </w:pPr>
      <w:bookmarkStart w:id="4" w:name="_Toc397238584"/>
      <w:r w:rsidRPr="00772E6D">
        <w:rPr>
          <w:i/>
          <w:color w:val="76923C" w:themeColor="accent3" w:themeShade="BF"/>
          <w:lang w:val="en-GB"/>
        </w:rPr>
        <w:t>Anchoring</w:t>
      </w:r>
      <w:bookmarkEnd w:id="4"/>
    </w:p>
    <w:p w:rsidR="00772E6D" w:rsidRPr="00772E6D" w:rsidRDefault="00772E6D" w:rsidP="00772E6D">
      <w:pPr>
        <w:rPr>
          <w:lang w:val="en-GB"/>
        </w:rPr>
      </w:pPr>
    </w:p>
    <w:p w:rsidR="00715C0F" w:rsidRDefault="00494D6C" w:rsidP="00523669">
      <w:pPr>
        <w:spacing w:line="360" w:lineRule="auto"/>
        <w:jc w:val="both"/>
        <w:rPr>
          <w:color w:val="FF0000"/>
          <w:lang w:val="en-GB"/>
        </w:rPr>
      </w:pPr>
      <w:r>
        <w:rPr>
          <w:lang w:val="en-GB"/>
        </w:rPr>
        <w:t>In situations characterized with uncertainty, e</w:t>
      </w:r>
      <w:r w:rsidR="004F40DA">
        <w:rPr>
          <w:lang w:val="en-GB"/>
        </w:rPr>
        <w:t xml:space="preserve">stimations are often based on a </w:t>
      </w:r>
      <w:r>
        <w:rPr>
          <w:lang w:val="en-GB"/>
        </w:rPr>
        <w:t>certain starting or reference p</w:t>
      </w:r>
      <w:r w:rsidR="00383089">
        <w:rPr>
          <w:lang w:val="en-GB"/>
        </w:rPr>
        <w:t xml:space="preserve">oint. If the reference point of </w:t>
      </w:r>
      <w:r>
        <w:rPr>
          <w:lang w:val="en-GB"/>
        </w:rPr>
        <w:t>an estimation changes, the estimation might also alter toward the refe</w:t>
      </w:r>
      <w:r w:rsidR="004F40DA">
        <w:rPr>
          <w:lang w:val="en-GB"/>
        </w:rPr>
        <w:t>rence point, without a shift</w:t>
      </w:r>
      <w:r>
        <w:rPr>
          <w:lang w:val="en-GB"/>
        </w:rPr>
        <w:t xml:space="preserve"> in the probabilities which could underlie th</w:t>
      </w:r>
      <w:r w:rsidR="00826506">
        <w:rPr>
          <w:lang w:val="en-GB"/>
        </w:rPr>
        <w:t>is</w:t>
      </w:r>
      <w:r>
        <w:rPr>
          <w:lang w:val="en-GB"/>
        </w:rPr>
        <w:t xml:space="preserve"> change. </w:t>
      </w:r>
      <w:r w:rsidR="00826506">
        <w:rPr>
          <w:lang w:val="en-GB"/>
        </w:rPr>
        <w:t xml:space="preserve">A well known experiment executed by </w:t>
      </w:r>
      <w:r w:rsidR="00826506" w:rsidRPr="00826506">
        <w:rPr>
          <w:noProof/>
          <w:lang w:val="en-GB"/>
        </w:rPr>
        <w:t>Tversky &amp; Kahneman</w:t>
      </w:r>
      <w:r w:rsidR="00826506">
        <w:rPr>
          <w:noProof/>
          <w:lang w:val="en-GB"/>
        </w:rPr>
        <w:t xml:space="preserve"> (</w:t>
      </w:r>
      <w:r w:rsidR="00826506" w:rsidRPr="00826506">
        <w:rPr>
          <w:noProof/>
          <w:lang w:val="en-GB"/>
        </w:rPr>
        <w:t>1974)</w:t>
      </w:r>
      <w:r w:rsidR="00826506">
        <w:rPr>
          <w:noProof/>
          <w:lang w:val="en-GB"/>
        </w:rPr>
        <w:t xml:space="preserve"> tested the above by asking participants to estimate the number of African countries that are a member of the United Nations. Before the participants could guess, a wheel of fortune determined a random number. The participants had to start their guessing by indicating </w:t>
      </w:r>
      <w:r w:rsidR="00CA04B8">
        <w:rPr>
          <w:noProof/>
          <w:lang w:val="en-GB"/>
        </w:rPr>
        <w:t>i</w:t>
      </w:r>
      <w:r w:rsidR="00826506">
        <w:rPr>
          <w:noProof/>
          <w:lang w:val="en-GB"/>
        </w:rPr>
        <w:t>f their estimation is higher or lower than the number that was picked. Final estimations relatively close to the randomly assigned number</w:t>
      </w:r>
      <w:r w:rsidR="00383089">
        <w:rPr>
          <w:noProof/>
          <w:lang w:val="en-GB"/>
        </w:rPr>
        <w:t>s</w:t>
      </w:r>
      <w:r w:rsidR="00826506">
        <w:rPr>
          <w:noProof/>
          <w:lang w:val="en-GB"/>
        </w:rPr>
        <w:t xml:space="preserve">, were </w:t>
      </w:r>
      <w:r w:rsidR="00826506">
        <w:rPr>
          <w:noProof/>
          <w:lang w:val="en-GB"/>
        </w:rPr>
        <w:lastRenderedPageBreak/>
        <w:t xml:space="preserve">the result. </w:t>
      </w:r>
      <w:r w:rsidR="00CA04B8">
        <w:rPr>
          <w:noProof/>
          <w:lang w:val="en-GB"/>
        </w:rPr>
        <w:t xml:space="preserve">A comparable </w:t>
      </w:r>
      <w:r w:rsidR="00A654E9">
        <w:rPr>
          <w:noProof/>
          <w:lang w:val="en-GB"/>
        </w:rPr>
        <w:t>result on the subject of valuation</w:t>
      </w:r>
      <w:r w:rsidR="00CA04B8">
        <w:rPr>
          <w:noProof/>
          <w:lang w:val="en-GB"/>
        </w:rPr>
        <w:t xml:space="preserve"> was more recently found by </w:t>
      </w:r>
      <w:r w:rsidR="00CA04B8" w:rsidRPr="00CA04B8">
        <w:rPr>
          <w:noProof/>
          <w:lang w:val="en-GB"/>
        </w:rPr>
        <w:t>Arie</w:t>
      </w:r>
      <w:r w:rsidR="00CA04B8">
        <w:rPr>
          <w:noProof/>
          <w:lang w:val="en-GB"/>
        </w:rPr>
        <w:t>ly, Loewenstein, &amp; Prelec (2003); after filling in their zip codes, participants’ valuation</w:t>
      </w:r>
      <w:r w:rsidR="00A654E9">
        <w:rPr>
          <w:noProof/>
          <w:lang w:val="en-GB"/>
        </w:rPr>
        <w:t>s</w:t>
      </w:r>
      <w:r w:rsidR="00CA04B8">
        <w:rPr>
          <w:noProof/>
          <w:lang w:val="en-GB"/>
        </w:rPr>
        <w:t xml:space="preserve"> of </w:t>
      </w:r>
      <w:r w:rsidR="00A654E9">
        <w:rPr>
          <w:noProof/>
          <w:lang w:val="en-GB"/>
        </w:rPr>
        <w:t xml:space="preserve">a box with various products of </w:t>
      </w:r>
      <w:r w:rsidR="00CA04B8">
        <w:rPr>
          <w:noProof/>
          <w:lang w:val="en-GB"/>
        </w:rPr>
        <w:t>daily use</w:t>
      </w:r>
      <w:r w:rsidR="004F40DA">
        <w:rPr>
          <w:noProof/>
          <w:lang w:val="en-GB"/>
        </w:rPr>
        <w:t>, differed significantly and were</w:t>
      </w:r>
      <w:r w:rsidR="00CA04B8">
        <w:rPr>
          <w:noProof/>
          <w:lang w:val="en-GB"/>
        </w:rPr>
        <w:t xml:space="preserve"> biased toward their zip codes.</w:t>
      </w:r>
      <w:r w:rsidR="00A654E9">
        <w:rPr>
          <w:noProof/>
          <w:lang w:val="en-GB"/>
        </w:rPr>
        <w:t xml:space="preserve"> This reveals the potential influence of a certain reference point on a choice with no demonstrable </w:t>
      </w:r>
      <w:r w:rsidR="006B3622">
        <w:rPr>
          <w:noProof/>
          <w:lang w:val="en-GB"/>
        </w:rPr>
        <w:t>affiliation</w:t>
      </w:r>
      <w:r w:rsidR="00A654E9">
        <w:rPr>
          <w:noProof/>
          <w:lang w:val="en-GB"/>
        </w:rPr>
        <w:t xml:space="preserve">. The reference points in the mentioned experiments were not set by the participants. Though, valuations will also be biased toward </w:t>
      </w:r>
      <w:r w:rsidR="006B3622">
        <w:rPr>
          <w:noProof/>
          <w:lang w:val="en-GB"/>
        </w:rPr>
        <w:t xml:space="preserve">deliberately determined reference points. This implies a lack of adjustment to the current </w:t>
      </w:r>
      <w:r w:rsidR="004F40DA">
        <w:rPr>
          <w:noProof/>
          <w:lang w:val="en-GB"/>
        </w:rPr>
        <w:t>circumstances</w:t>
      </w:r>
      <w:r w:rsidR="006B3622">
        <w:rPr>
          <w:noProof/>
          <w:lang w:val="en-GB"/>
        </w:rPr>
        <w:t xml:space="preserve">. If applied to the valuation of </w:t>
      </w:r>
      <w:r w:rsidR="00A8637A">
        <w:rPr>
          <w:noProof/>
          <w:lang w:val="en-GB"/>
        </w:rPr>
        <w:t>investment opportunities</w:t>
      </w:r>
      <w:r w:rsidR="006B3622">
        <w:rPr>
          <w:noProof/>
          <w:lang w:val="en-GB"/>
        </w:rPr>
        <w:t>, various valuations could serve as reference point</w:t>
      </w:r>
      <w:r w:rsidR="00383089">
        <w:rPr>
          <w:noProof/>
          <w:lang w:val="en-GB"/>
        </w:rPr>
        <w:t>s</w:t>
      </w:r>
      <w:r w:rsidR="006B3622">
        <w:rPr>
          <w:noProof/>
          <w:lang w:val="en-GB"/>
        </w:rPr>
        <w:t xml:space="preserve">. For example, earlier valuations made by </w:t>
      </w:r>
      <w:r w:rsidR="00383089">
        <w:rPr>
          <w:noProof/>
          <w:lang w:val="en-GB"/>
        </w:rPr>
        <w:t xml:space="preserve">financial </w:t>
      </w:r>
      <w:r w:rsidR="006B3622">
        <w:rPr>
          <w:noProof/>
          <w:lang w:val="en-GB"/>
        </w:rPr>
        <w:t>market</w:t>
      </w:r>
      <w:r w:rsidR="00383089">
        <w:rPr>
          <w:noProof/>
          <w:lang w:val="en-GB"/>
        </w:rPr>
        <w:t>s</w:t>
      </w:r>
      <w:r w:rsidR="006B3622">
        <w:rPr>
          <w:noProof/>
          <w:lang w:val="en-GB"/>
        </w:rPr>
        <w:t>, competitors or external advisors. If these valuations are not sufficiently adjusted to the differen</w:t>
      </w:r>
      <w:r w:rsidR="004F40DA">
        <w:rPr>
          <w:noProof/>
          <w:lang w:val="en-GB"/>
        </w:rPr>
        <w:t xml:space="preserve">ce in </w:t>
      </w:r>
      <w:r w:rsidR="006B3622">
        <w:rPr>
          <w:noProof/>
          <w:lang w:val="en-GB"/>
        </w:rPr>
        <w:t>circumstances</w:t>
      </w:r>
      <w:r w:rsidR="008A4A01">
        <w:rPr>
          <w:noProof/>
          <w:lang w:val="en-GB"/>
        </w:rPr>
        <w:t xml:space="preserve"> between the acquisition which functions as a peer and the </w:t>
      </w:r>
      <w:r w:rsidR="00A8637A">
        <w:rPr>
          <w:noProof/>
          <w:lang w:val="en-GB"/>
        </w:rPr>
        <w:t>investment opportunity</w:t>
      </w:r>
      <w:r w:rsidR="006B3622">
        <w:rPr>
          <w:noProof/>
          <w:lang w:val="en-GB"/>
        </w:rPr>
        <w:t>, misvaluation will be the result.</w:t>
      </w:r>
      <w:r w:rsidR="00523669">
        <w:rPr>
          <w:noProof/>
          <w:lang w:val="en-GB"/>
        </w:rPr>
        <w:t xml:space="preserve"> A potential danger is the blindness for the difference in</w:t>
      </w:r>
      <w:r w:rsidR="00F31B76">
        <w:rPr>
          <w:noProof/>
          <w:lang w:val="en-GB"/>
        </w:rPr>
        <w:t xml:space="preserve"> economic</w:t>
      </w:r>
      <w:r w:rsidR="00523669">
        <w:rPr>
          <w:noProof/>
          <w:lang w:val="en-GB"/>
        </w:rPr>
        <w:t xml:space="preserve"> value an </w:t>
      </w:r>
      <w:r w:rsidR="00A8637A">
        <w:rPr>
          <w:noProof/>
          <w:lang w:val="en-GB"/>
        </w:rPr>
        <w:t>investment target</w:t>
      </w:r>
      <w:r w:rsidR="00D77FE2">
        <w:rPr>
          <w:noProof/>
          <w:lang w:val="en-GB"/>
        </w:rPr>
        <w:t xml:space="preserve"> might have to different companies. For example, a</w:t>
      </w:r>
      <w:r w:rsidR="00F31B76">
        <w:rPr>
          <w:noProof/>
          <w:lang w:val="en-GB"/>
        </w:rPr>
        <w:t>n acquisition</w:t>
      </w:r>
      <w:r w:rsidR="00D77FE2">
        <w:rPr>
          <w:noProof/>
          <w:lang w:val="en-GB"/>
        </w:rPr>
        <w:t xml:space="preserve"> target could offer different synergy advantages to different potential acquirers. Therefore, a valuation which is anchored on the perceived value of the target to a competitor, might lead to misvaluation. </w:t>
      </w:r>
      <w:r w:rsidR="00201BF2">
        <w:rPr>
          <w:noProof/>
          <w:lang w:val="en-GB"/>
        </w:rPr>
        <w:t>In case the valuations which serve as reference points</w:t>
      </w:r>
      <w:r w:rsidR="008A4A01">
        <w:rPr>
          <w:noProof/>
          <w:lang w:val="en-GB"/>
        </w:rPr>
        <w:t>,</w:t>
      </w:r>
      <w:r w:rsidR="00201BF2">
        <w:rPr>
          <w:noProof/>
          <w:lang w:val="en-GB"/>
        </w:rPr>
        <w:t xml:space="preserve"> are incorrect</w:t>
      </w:r>
      <w:r w:rsidR="00D77FE2">
        <w:rPr>
          <w:noProof/>
          <w:lang w:val="en-GB"/>
        </w:rPr>
        <w:t xml:space="preserve"> itselves</w:t>
      </w:r>
      <w:r w:rsidR="00201BF2">
        <w:rPr>
          <w:noProof/>
          <w:lang w:val="en-GB"/>
        </w:rPr>
        <w:t xml:space="preserve">, another problem occurs. </w:t>
      </w:r>
      <w:r w:rsidR="00383089">
        <w:rPr>
          <w:noProof/>
          <w:lang w:val="en-GB"/>
        </w:rPr>
        <w:t xml:space="preserve">Due to possible inefficiencies in the financial market, misvaluation troughtout the market might develop. If valuations of </w:t>
      </w:r>
      <w:r w:rsidR="00A8637A">
        <w:rPr>
          <w:noProof/>
          <w:lang w:val="en-GB"/>
        </w:rPr>
        <w:t>investment opportunities</w:t>
      </w:r>
      <w:r w:rsidR="00383089">
        <w:rPr>
          <w:noProof/>
          <w:lang w:val="en-GB"/>
        </w:rPr>
        <w:t xml:space="preserve">s are based on these misvaluations (possibly with the use of </w:t>
      </w:r>
      <w:r w:rsidR="00D77FE2">
        <w:rPr>
          <w:noProof/>
          <w:lang w:val="en-GB"/>
        </w:rPr>
        <w:t xml:space="preserve">the </w:t>
      </w:r>
      <w:r w:rsidR="00383089">
        <w:rPr>
          <w:noProof/>
          <w:lang w:val="en-GB"/>
        </w:rPr>
        <w:t>multiples</w:t>
      </w:r>
      <w:r w:rsidR="00D77FE2">
        <w:rPr>
          <w:noProof/>
          <w:lang w:val="en-GB"/>
        </w:rPr>
        <w:t xml:space="preserve"> method</w:t>
      </w:r>
      <w:r w:rsidR="00383089">
        <w:rPr>
          <w:noProof/>
          <w:lang w:val="en-GB"/>
        </w:rPr>
        <w:t>) and no adjustment</w:t>
      </w:r>
      <w:r w:rsidR="00715C0F">
        <w:rPr>
          <w:noProof/>
          <w:lang w:val="en-GB"/>
        </w:rPr>
        <w:t>s are</w:t>
      </w:r>
      <w:r w:rsidR="00383089">
        <w:rPr>
          <w:noProof/>
          <w:lang w:val="en-GB"/>
        </w:rPr>
        <w:t xml:space="preserve"> made, the valuations itselves will</w:t>
      </w:r>
      <w:r w:rsidR="008A4A01">
        <w:rPr>
          <w:noProof/>
          <w:lang w:val="en-GB"/>
        </w:rPr>
        <w:t xml:space="preserve"> also be incorrect. Consequently, this could influence the M&amp;A activity. Some scholars argue that the </w:t>
      </w:r>
      <w:r w:rsidR="00523669">
        <w:rPr>
          <w:noProof/>
          <w:lang w:val="en-GB"/>
        </w:rPr>
        <w:t>mentioned misvaluation</w:t>
      </w:r>
      <w:r w:rsidR="008A4A01">
        <w:rPr>
          <w:noProof/>
          <w:lang w:val="en-GB"/>
        </w:rPr>
        <w:t xml:space="preserve"> is the reason for the existence of merger waves </w:t>
      </w:r>
      <w:sdt>
        <w:sdtPr>
          <w:id w:val="6706408"/>
          <w:citation/>
        </w:sdtPr>
        <w:sdtContent>
          <w:r w:rsidR="009966E0" w:rsidRPr="008A4A01">
            <w:fldChar w:fldCharType="begin"/>
          </w:r>
          <w:r w:rsidR="008A4A01" w:rsidRPr="008A4A01">
            <w:rPr>
              <w:lang w:val="en-GB"/>
            </w:rPr>
            <w:instrText xml:space="preserve"> CITATION Don06 \l 1043 </w:instrText>
          </w:r>
          <w:r w:rsidR="009966E0" w:rsidRPr="008A4A01">
            <w:fldChar w:fldCharType="separate"/>
          </w:r>
          <w:r w:rsidR="00C32B5A" w:rsidRPr="00C32B5A">
            <w:rPr>
              <w:noProof/>
              <w:lang w:val="en-GB"/>
            </w:rPr>
            <w:t>(Dong, Hirschleifer, Richardson, &amp; Teoh, 2006)</w:t>
          </w:r>
          <w:r w:rsidR="009966E0" w:rsidRPr="008A4A01">
            <w:fldChar w:fldCharType="end"/>
          </w:r>
        </w:sdtContent>
      </w:sdt>
      <w:r w:rsidR="008A4A01" w:rsidRPr="008A4A01">
        <w:rPr>
          <w:lang w:val="en-GB"/>
        </w:rPr>
        <w:t xml:space="preserve">, </w:t>
      </w:r>
      <w:sdt>
        <w:sdtPr>
          <w:id w:val="6706409"/>
          <w:citation/>
        </w:sdtPr>
        <w:sdtContent>
          <w:r w:rsidR="009966E0" w:rsidRPr="008A4A01">
            <w:fldChar w:fldCharType="begin"/>
          </w:r>
          <w:r w:rsidR="008A4A01" w:rsidRPr="008A4A01">
            <w:rPr>
              <w:lang w:val="en-GB"/>
            </w:rPr>
            <w:instrText xml:space="preserve"> CITATION Sch03 \l 1043 </w:instrText>
          </w:r>
          <w:r w:rsidR="009966E0" w:rsidRPr="008A4A01">
            <w:fldChar w:fldCharType="separate"/>
          </w:r>
          <w:r w:rsidR="00C32B5A" w:rsidRPr="00C32B5A">
            <w:rPr>
              <w:noProof/>
              <w:lang w:val="en-GB"/>
            </w:rPr>
            <w:t>(Schleifer &amp; Vishny, 2003)</w:t>
          </w:r>
          <w:r w:rsidR="009966E0" w:rsidRPr="008A4A01">
            <w:fldChar w:fldCharType="end"/>
          </w:r>
        </w:sdtContent>
      </w:sdt>
      <w:r w:rsidR="008A4A01" w:rsidRPr="008A4A01">
        <w:rPr>
          <w:lang w:val="en-GB"/>
        </w:rPr>
        <w:t xml:space="preserve"> &amp; </w:t>
      </w:r>
      <w:sdt>
        <w:sdtPr>
          <w:id w:val="6706410"/>
          <w:citation/>
        </w:sdtPr>
        <w:sdtContent>
          <w:r w:rsidR="009966E0" w:rsidRPr="008A4A01">
            <w:fldChar w:fldCharType="begin"/>
          </w:r>
          <w:r w:rsidR="008A4A01" w:rsidRPr="008A4A01">
            <w:rPr>
              <w:lang w:val="en-GB"/>
            </w:rPr>
            <w:instrText xml:space="preserve"> CITATION Rho04 \l 1043 </w:instrText>
          </w:r>
          <w:r w:rsidR="009966E0" w:rsidRPr="008A4A01">
            <w:fldChar w:fldCharType="separate"/>
          </w:r>
          <w:r w:rsidR="00C32B5A" w:rsidRPr="00C32B5A">
            <w:rPr>
              <w:noProof/>
              <w:lang w:val="en-GB"/>
            </w:rPr>
            <w:t>(Rhodes-Kropf &amp; Visnwanathan, 2004)</w:t>
          </w:r>
          <w:r w:rsidR="009966E0" w:rsidRPr="008A4A01">
            <w:fldChar w:fldCharType="end"/>
          </w:r>
        </w:sdtContent>
      </w:sdt>
      <w:r w:rsidR="008A4A01" w:rsidRPr="008A4A01">
        <w:rPr>
          <w:lang w:val="en-GB"/>
        </w:rPr>
        <w:t>.</w:t>
      </w:r>
      <w:r w:rsidR="008A4A01" w:rsidRPr="008A4A01">
        <w:rPr>
          <w:color w:val="FF0000"/>
          <w:lang w:val="en-GB"/>
        </w:rPr>
        <w:t xml:space="preserve"> </w:t>
      </w:r>
    </w:p>
    <w:p w:rsidR="00523669" w:rsidRPr="000F1895" w:rsidRDefault="008D61C1" w:rsidP="00523669">
      <w:pPr>
        <w:spacing w:line="360" w:lineRule="auto"/>
        <w:jc w:val="both"/>
        <w:rPr>
          <w:lang w:val="en-GB"/>
        </w:rPr>
      </w:pPr>
      <w:r>
        <w:rPr>
          <w:lang w:val="en-GB"/>
        </w:rPr>
        <w:t>An answer to the question how</w:t>
      </w:r>
      <w:r w:rsidR="00715C0F">
        <w:rPr>
          <w:lang w:val="en-GB"/>
        </w:rPr>
        <w:t xml:space="preserve"> anchoring could lead to different valuations of the same target as a consequence of economic circumstances, has to be formulated in order to consider if this might confirm or contradict the conclusions which are based on the DCF met</w:t>
      </w:r>
      <w:r w:rsidR="0047126C">
        <w:rPr>
          <w:lang w:val="en-GB"/>
        </w:rPr>
        <w:t xml:space="preserve">hod. Financial markets could </w:t>
      </w:r>
      <w:r w:rsidR="00715C0F">
        <w:rPr>
          <w:lang w:val="en-GB"/>
        </w:rPr>
        <w:t xml:space="preserve">become ‘victims’ of bubbles during economic booms. </w:t>
      </w:r>
      <w:r w:rsidR="0047126C">
        <w:rPr>
          <w:lang w:val="en-GB"/>
        </w:rPr>
        <w:t>Associated h</w:t>
      </w:r>
      <w:r w:rsidR="003C0D38">
        <w:rPr>
          <w:lang w:val="en-GB"/>
        </w:rPr>
        <w:t>erding behaviour of competitors and overoptimistic sentiments could</w:t>
      </w:r>
      <w:r w:rsidR="00DC4CB1">
        <w:rPr>
          <w:lang w:val="en-GB"/>
        </w:rPr>
        <w:t xml:space="preserve"> consequently</w:t>
      </w:r>
      <w:r w:rsidR="003C0D38">
        <w:rPr>
          <w:lang w:val="en-GB"/>
        </w:rPr>
        <w:t xml:space="preserve"> lead to overvaluation</w:t>
      </w:r>
      <w:r w:rsidR="00DC4CB1">
        <w:rPr>
          <w:lang w:val="en-GB"/>
        </w:rPr>
        <w:t xml:space="preserve"> throughout the market</w:t>
      </w:r>
      <w:r w:rsidR="003C0D38">
        <w:rPr>
          <w:lang w:val="en-GB"/>
        </w:rPr>
        <w:t xml:space="preserve">. Anchoring one’s valuation of an </w:t>
      </w:r>
      <w:r w:rsidR="00A8637A">
        <w:rPr>
          <w:lang w:val="en-GB"/>
        </w:rPr>
        <w:t>investment opportunity</w:t>
      </w:r>
      <w:r w:rsidR="003C0D38">
        <w:rPr>
          <w:lang w:val="en-GB"/>
        </w:rPr>
        <w:t xml:space="preserve"> on </w:t>
      </w:r>
      <w:r w:rsidR="00A27247">
        <w:rPr>
          <w:lang w:val="en-GB"/>
        </w:rPr>
        <w:t xml:space="preserve">these overvalued </w:t>
      </w:r>
      <w:r w:rsidR="003C0D38">
        <w:rPr>
          <w:lang w:val="en-GB"/>
        </w:rPr>
        <w:t>market values or prior</w:t>
      </w:r>
      <w:r w:rsidR="00A27247">
        <w:rPr>
          <w:lang w:val="en-GB"/>
        </w:rPr>
        <w:t xml:space="preserve"> overpaid</w:t>
      </w:r>
      <w:r w:rsidR="003C0D38">
        <w:rPr>
          <w:lang w:val="en-GB"/>
        </w:rPr>
        <w:t xml:space="preserve"> acq</w:t>
      </w:r>
      <w:r w:rsidR="00DC4CB1">
        <w:rPr>
          <w:lang w:val="en-GB"/>
        </w:rPr>
        <w:t xml:space="preserve">uisitions by competitors, could </w:t>
      </w:r>
      <w:r w:rsidR="0047126C">
        <w:rPr>
          <w:lang w:val="en-GB"/>
        </w:rPr>
        <w:t>result in</w:t>
      </w:r>
      <w:r w:rsidR="003C0D38">
        <w:rPr>
          <w:lang w:val="en-GB"/>
        </w:rPr>
        <w:t xml:space="preserve"> overvaluation</w:t>
      </w:r>
      <w:r w:rsidR="0047126C">
        <w:rPr>
          <w:lang w:val="en-GB"/>
        </w:rPr>
        <w:t xml:space="preserve"> as well</w:t>
      </w:r>
      <w:r w:rsidR="003C0D38">
        <w:rPr>
          <w:lang w:val="en-GB"/>
        </w:rPr>
        <w:t>.</w:t>
      </w:r>
      <w:r w:rsidR="0047126C">
        <w:rPr>
          <w:lang w:val="en-GB"/>
        </w:rPr>
        <w:t xml:space="preserve"> Contrary, i</w:t>
      </w:r>
      <w:r w:rsidR="003C0D38">
        <w:rPr>
          <w:lang w:val="en-GB"/>
        </w:rPr>
        <w:t>n a cold deal market a discrepancy m</w:t>
      </w:r>
      <w:r w:rsidR="00DA16FC">
        <w:rPr>
          <w:lang w:val="en-GB"/>
        </w:rPr>
        <w:t xml:space="preserve">ight occur between the target’s </w:t>
      </w:r>
      <w:r w:rsidR="003C0D38">
        <w:rPr>
          <w:lang w:val="en-GB"/>
        </w:rPr>
        <w:t xml:space="preserve">price to accept and the bidding price. The target’s reservation price may be anchored on </w:t>
      </w:r>
      <w:r w:rsidR="00A27247">
        <w:rPr>
          <w:lang w:val="en-GB"/>
        </w:rPr>
        <w:t xml:space="preserve">previous </w:t>
      </w:r>
      <w:r w:rsidR="00DA16FC">
        <w:rPr>
          <w:lang w:val="en-GB"/>
        </w:rPr>
        <w:t xml:space="preserve">comparable </w:t>
      </w:r>
      <w:r w:rsidR="00A27247">
        <w:rPr>
          <w:lang w:val="en-GB"/>
        </w:rPr>
        <w:t>acquisitions or marke</w:t>
      </w:r>
      <w:r w:rsidR="00DA16FC">
        <w:rPr>
          <w:lang w:val="en-GB"/>
        </w:rPr>
        <w:t>t valuations, whilst the bidder’s</w:t>
      </w:r>
      <w:r w:rsidR="00A27247">
        <w:rPr>
          <w:lang w:val="en-GB"/>
        </w:rPr>
        <w:t xml:space="preserve"> price is based on the circumstances in a cold deal market. Prices paid in previous acquisitions and market valuations are in general lower during cold deal markets, than</w:t>
      </w:r>
      <w:r w:rsidR="0047126C">
        <w:rPr>
          <w:lang w:val="en-GB"/>
        </w:rPr>
        <w:t xml:space="preserve"> during</w:t>
      </w:r>
      <w:r w:rsidR="00DA16FC">
        <w:rPr>
          <w:lang w:val="en-GB"/>
        </w:rPr>
        <w:t xml:space="preserve"> hot deal markets. This b</w:t>
      </w:r>
      <w:r w:rsidR="00A27247">
        <w:rPr>
          <w:lang w:val="en-GB"/>
        </w:rPr>
        <w:t xml:space="preserve">ecause of </w:t>
      </w:r>
      <w:r w:rsidR="00DA16FC">
        <w:rPr>
          <w:lang w:val="en-GB"/>
        </w:rPr>
        <w:t>the fact that due to diminishing</w:t>
      </w:r>
      <w:r w:rsidR="00A27247">
        <w:rPr>
          <w:lang w:val="en-GB"/>
        </w:rPr>
        <w:t xml:space="preserve"> M&amp;A activity during a cold </w:t>
      </w:r>
      <w:r w:rsidR="00A27247">
        <w:rPr>
          <w:lang w:val="en-GB"/>
        </w:rPr>
        <w:lastRenderedPageBreak/>
        <w:t xml:space="preserve">deal market, competition for </w:t>
      </w:r>
      <w:r w:rsidR="00A8637A">
        <w:rPr>
          <w:lang w:val="en-GB"/>
        </w:rPr>
        <w:t>investment opportunities</w:t>
      </w:r>
      <w:r w:rsidR="00A27247">
        <w:rPr>
          <w:lang w:val="en-GB"/>
        </w:rPr>
        <w:t xml:space="preserve"> and conseq</w:t>
      </w:r>
      <w:r w:rsidR="00DA16FC">
        <w:rPr>
          <w:lang w:val="en-GB"/>
        </w:rPr>
        <w:t>uently prices also decline</w:t>
      </w:r>
      <w:r w:rsidR="00A27247">
        <w:rPr>
          <w:lang w:val="en-GB"/>
        </w:rPr>
        <w:t xml:space="preserve"> compared to a hot deal market. </w:t>
      </w:r>
      <w:r w:rsidR="00F517FB">
        <w:rPr>
          <w:lang w:val="en-GB"/>
        </w:rPr>
        <w:t xml:space="preserve">If these </w:t>
      </w:r>
      <w:r w:rsidR="00692411">
        <w:rPr>
          <w:lang w:val="en-GB"/>
        </w:rPr>
        <w:t xml:space="preserve">prior </w:t>
      </w:r>
      <w:r w:rsidR="00F517FB">
        <w:rPr>
          <w:lang w:val="en-GB"/>
        </w:rPr>
        <w:t>acquisitions and valuations</w:t>
      </w:r>
      <w:r w:rsidR="00692411">
        <w:rPr>
          <w:lang w:val="en-GB"/>
        </w:rPr>
        <w:t xml:space="preserve"> during a hot deal market</w:t>
      </w:r>
      <w:r w:rsidR="00F517FB">
        <w:rPr>
          <w:lang w:val="en-GB"/>
        </w:rPr>
        <w:t xml:space="preserve"> are the only used reference points for one’s valuation, th</w:t>
      </w:r>
      <w:r w:rsidR="00692411">
        <w:rPr>
          <w:lang w:val="en-GB"/>
        </w:rPr>
        <w:t>en this results in the perception that bidding prices are beneath the true value. Executives of potential targets may a</w:t>
      </w:r>
      <w:r w:rsidR="00DA16FC">
        <w:rPr>
          <w:lang w:val="en-GB"/>
        </w:rPr>
        <w:t>lso anchor their valuation of a potential</w:t>
      </w:r>
      <w:r w:rsidR="00692411">
        <w:rPr>
          <w:lang w:val="en-GB"/>
        </w:rPr>
        <w:t xml:space="preserve"> upcoming divestment, on the target’s historical market valuations. </w:t>
      </w:r>
      <w:r w:rsidR="00B86333">
        <w:rPr>
          <w:lang w:val="en-GB"/>
        </w:rPr>
        <w:t xml:space="preserve">If one assumes that a relationship between business cycles and merger waves exists, then a cold deal market is accompanied by an economic downturn. This economic downturn may have lowered the market value of the target compared to a hot deal market during an economic boom. </w:t>
      </w:r>
      <w:r w:rsidR="00295D53">
        <w:rPr>
          <w:lang w:val="en-GB"/>
        </w:rPr>
        <w:t xml:space="preserve">If the target’s executives frame the deal on this </w:t>
      </w:r>
      <w:r w:rsidR="00DA16FC">
        <w:rPr>
          <w:lang w:val="en-GB"/>
        </w:rPr>
        <w:t xml:space="preserve">prior </w:t>
      </w:r>
      <w:r w:rsidR="00295D53">
        <w:rPr>
          <w:lang w:val="en-GB"/>
        </w:rPr>
        <w:t xml:space="preserve">higher market value, the earlier mentioned discrepancy could be the result. </w:t>
      </w:r>
      <w:r w:rsidR="000F1895">
        <w:rPr>
          <w:lang w:val="en-GB"/>
        </w:rPr>
        <w:t xml:space="preserve">The above is empirically tested by </w:t>
      </w:r>
      <w:r w:rsidR="000F1895" w:rsidRPr="000F1895">
        <w:rPr>
          <w:noProof/>
          <w:lang w:val="en-GB"/>
        </w:rPr>
        <w:t xml:space="preserve">Baker, Pan, &amp; Wurgler (2012). </w:t>
      </w:r>
      <w:r w:rsidR="00484548">
        <w:rPr>
          <w:noProof/>
          <w:lang w:val="en-GB"/>
        </w:rPr>
        <w:t>In their research, t</w:t>
      </w:r>
      <w:r w:rsidR="000F1895">
        <w:rPr>
          <w:noProof/>
          <w:lang w:val="en-GB"/>
        </w:rPr>
        <w:t xml:space="preserve">he authors argue that prior stock price peaks are reference points for both the offer and </w:t>
      </w:r>
      <w:r w:rsidR="00411A00">
        <w:rPr>
          <w:noProof/>
          <w:lang w:val="en-GB"/>
        </w:rPr>
        <w:t>acceptance</w:t>
      </w:r>
      <w:r w:rsidR="000F1895">
        <w:rPr>
          <w:noProof/>
          <w:lang w:val="en-GB"/>
        </w:rPr>
        <w:t xml:space="preserve"> </w:t>
      </w:r>
      <w:r w:rsidR="00411A00">
        <w:rPr>
          <w:noProof/>
          <w:lang w:val="en-GB"/>
        </w:rPr>
        <w:t xml:space="preserve">price. From the target’s prospective, the executives are reluctant to realize losses compared to the reference point (disposition effect). The reference point is the stock price peak, whilst the perceived loss is the difference between this peak and the </w:t>
      </w:r>
      <w:r w:rsidR="00484548">
        <w:rPr>
          <w:noProof/>
          <w:lang w:val="en-GB"/>
        </w:rPr>
        <w:t>divestment</w:t>
      </w:r>
      <w:r w:rsidR="00411A00">
        <w:rPr>
          <w:noProof/>
          <w:lang w:val="en-GB"/>
        </w:rPr>
        <w:t xml:space="preserve"> price. The bidding party may </w:t>
      </w:r>
      <w:r w:rsidR="00484548">
        <w:rPr>
          <w:noProof/>
          <w:lang w:val="en-GB"/>
        </w:rPr>
        <w:t>anchor their bid also on a prior stock price peak, because the executives could think that the target has had a certain value in the past, which should at least be matched in the future because of potential synergy advantages. Besides, the bidders could anticipate on the loss aversion of the target’s executives, by offering at least the stock price peak.</w:t>
      </w:r>
      <w:r w:rsidR="006B52EA">
        <w:rPr>
          <w:noProof/>
          <w:lang w:val="en-GB"/>
        </w:rPr>
        <w:t xml:space="preserve"> The research finds evidence to conclude that the 52-week stock price peak stronly affects the offer price made by the bidding party. As earlier stated, this could be the result of the bidder’s anticipation of the target’s loss aversion.</w:t>
      </w:r>
      <w:r w:rsidR="0023262D">
        <w:rPr>
          <w:noProof/>
          <w:lang w:val="en-GB"/>
        </w:rPr>
        <w:t xml:space="preserve"> </w:t>
      </w:r>
      <w:r w:rsidR="006B52EA">
        <w:rPr>
          <w:noProof/>
          <w:lang w:val="en-GB"/>
        </w:rPr>
        <w:t xml:space="preserve"> </w:t>
      </w:r>
      <w:r w:rsidR="00484548">
        <w:rPr>
          <w:noProof/>
          <w:lang w:val="en-GB"/>
        </w:rPr>
        <w:t xml:space="preserve"> </w:t>
      </w:r>
    </w:p>
    <w:p w:rsidR="005F6575" w:rsidRPr="00772E6D" w:rsidRDefault="005F6575" w:rsidP="00082B85">
      <w:pPr>
        <w:pStyle w:val="Heading3"/>
        <w:rPr>
          <w:i/>
          <w:color w:val="76923C" w:themeColor="accent3" w:themeShade="BF"/>
          <w:lang w:val="en-GB"/>
        </w:rPr>
      </w:pPr>
      <w:bookmarkStart w:id="5" w:name="_Toc397238585"/>
      <w:r w:rsidRPr="00772E6D">
        <w:rPr>
          <w:i/>
          <w:color w:val="76923C" w:themeColor="accent3" w:themeShade="BF"/>
          <w:lang w:val="en-GB"/>
        </w:rPr>
        <w:t>Over-optimism/Overconfidence</w:t>
      </w:r>
      <w:bookmarkEnd w:id="5"/>
    </w:p>
    <w:p w:rsidR="00772E6D" w:rsidRPr="00772E6D" w:rsidRDefault="00772E6D" w:rsidP="00772E6D">
      <w:pPr>
        <w:rPr>
          <w:lang w:val="en-GB"/>
        </w:rPr>
      </w:pPr>
    </w:p>
    <w:p w:rsidR="00A13D42" w:rsidRPr="00A13D42" w:rsidRDefault="00E652EB" w:rsidP="007F7DF4">
      <w:pPr>
        <w:spacing w:line="360" w:lineRule="auto"/>
        <w:jc w:val="both"/>
        <w:rPr>
          <w:lang w:val="en-GB"/>
        </w:rPr>
      </w:pPr>
      <w:r w:rsidRPr="00A13D42">
        <w:rPr>
          <w:lang w:val="en-GB"/>
        </w:rPr>
        <w:t xml:space="preserve">The title used to </w:t>
      </w:r>
      <w:r w:rsidR="00A30EE9" w:rsidRPr="00A13D42">
        <w:rPr>
          <w:lang w:val="en-GB"/>
        </w:rPr>
        <w:t>indicate the bias</w:t>
      </w:r>
      <w:r w:rsidRPr="00A13D42">
        <w:rPr>
          <w:lang w:val="en-GB"/>
        </w:rPr>
        <w:t xml:space="preserve"> considered in the </w:t>
      </w:r>
      <w:r w:rsidR="00A30EE9" w:rsidRPr="00A13D42">
        <w:rPr>
          <w:lang w:val="en-GB"/>
        </w:rPr>
        <w:t>this</w:t>
      </w:r>
      <w:r w:rsidRPr="00A13D42">
        <w:rPr>
          <w:lang w:val="en-GB"/>
        </w:rPr>
        <w:t xml:space="preserve"> part, </w:t>
      </w:r>
      <w:r w:rsidR="00A30EE9" w:rsidRPr="00A13D42">
        <w:rPr>
          <w:lang w:val="en-GB"/>
        </w:rPr>
        <w:t xml:space="preserve">may </w:t>
      </w:r>
      <w:r w:rsidRPr="00A13D42">
        <w:rPr>
          <w:lang w:val="en-GB"/>
        </w:rPr>
        <w:t>give rise to</w:t>
      </w:r>
      <w:r w:rsidR="00A30EE9" w:rsidRPr="00A13D42">
        <w:rPr>
          <w:lang w:val="en-GB"/>
        </w:rPr>
        <w:t xml:space="preserve"> some confusion. </w:t>
      </w:r>
      <w:r w:rsidR="00A13D42">
        <w:rPr>
          <w:lang w:val="en-GB"/>
        </w:rPr>
        <w:t xml:space="preserve">The practical distinction between over-optimism and overconfidence could be small. However, Smit &amp; Moraitis (2010) state that over-optimism in the subject of valuation is expressed in the overestimation of potential synergy advantages and growth potentials by executives, whilst overconfidence refers to an executive’s overestimation of their abilities to seize these potential synergy advantages and growth potentials. In other words, executives could be overconfident about their abilities to seize growth opportunities, which in turn could also be overestimated by the same executives. </w:t>
      </w:r>
      <w:r w:rsidR="00A13D42" w:rsidRPr="00A13D42">
        <w:rPr>
          <w:noProof/>
          <w:lang w:val="en-GB"/>
        </w:rPr>
        <w:t>Camerer &amp; Malmendier (2004) also make a clear distinction between over-o</w:t>
      </w:r>
      <w:r w:rsidR="00A13D42">
        <w:rPr>
          <w:noProof/>
          <w:lang w:val="en-GB"/>
        </w:rPr>
        <w:t xml:space="preserve">ptimism and overconfidence. Over-optimism refers to one’s tendency to overestimate outcomes which are related to exogenous variables, whilst overconfidence refers to the tendency to overestimate one’s individual abilities and level of control. </w:t>
      </w:r>
      <w:r w:rsidR="00A13D42" w:rsidRPr="00A13D42">
        <w:rPr>
          <w:noProof/>
          <w:lang w:val="en-GB"/>
        </w:rPr>
        <w:t>The cited scholars’ views could be combined, by posing t</w:t>
      </w:r>
      <w:r w:rsidR="00A13D42">
        <w:rPr>
          <w:noProof/>
          <w:lang w:val="en-GB"/>
        </w:rPr>
        <w:t xml:space="preserve">hat over-optimism might result in an overestimation of growth and synergy possibilities, as a </w:t>
      </w:r>
      <w:r w:rsidR="00A13D42">
        <w:rPr>
          <w:noProof/>
          <w:lang w:val="en-GB"/>
        </w:rPr>
        <w:lastRenderedPageBreak/>
        <w:t>consequence of executives’ overoptimi</w:t>
      </w:r>
      <w:r w:rsidR="00386CE0">
        <w:rPr>
          <w:noProof/>
          <w:lang w:val="en-GB"/>
        </w:rPr>
        <w:t>stic view about exogenous market conditions. Due to overconfidence about one’s personal abilites and level of control, executives might get the perception that they are (better than ot</w:t>
      </w:r>
      <w:r w:rsidR="003E0962">
        <w:rPr>
          <w:noProof/>
          <w:lang w:val="en-GB"/>
        </w:rPr>
        <w:t>hers) able to seize these growth</w:t>
      </w:r>
      <w:r w:rsidR="00386CE0">
        <w:rPr>
          <w:noProof/>
          <w:lang w:val="en-GB"/>
        </w:rPr>
        <w:t xml:space="preserve"> and synergy possibilities. Due to overconfidence, executives could also have the impression that there is no influence of certain exogenous circumstances on outcomes which are relevant for the company of which they are in charge.  </w:t>
      </w:r>
    </w:p>
    <w:p w:rsidR="00A13D42" w:rsidRDefault="00386CE0" w:rsidP="007F7DF4">
      <w:pPr>
        <w:spacing w:line="360" w:lineRule="auto"/>
        <w:jc w:val="both"/>
        <w:rPr>
          <w:noProof/>
          <w:lang w:val="en-GB"/>
        </w:rPr>
      </w:pPr>
      <w:r w:rsidRPr="00386CE0">
        <w:rPr>
          <w:lang w:val="en-GB"/>
        </w:rPr>
        <w:t xml:space="preserve">Overconfidence has been subject to extensive scientific research. The findings are that overconfidence manifests itself </w:t>
      </w:r>
      <w:r>
        <w:rPr>
          <w:lang w:val="en-GB"/>
        </w:rPr>
        <w:t xml:space="preserve">in </w:t>
      </w:r>
      <w:r w:rsidR="00D1616A">
        <w:rPr>
          <w:lang w:val="en-GB"/>
        </w:rPr>
        <w:t>many subject</w:t>
      </w:r>
      <w:r w:rsidR="00FB019E">
        <w:rPr>
          <w:lang w:val="en-GB"/>
        </w:rPr>
        <w:t>s</w:t>
      </w:r>
      <w:r w:rsidR="00D1616A">
        <w:rPr>
          <w:lang w:val="en-GB"/>
        </w:rPr>
        <w:t xml:space="preserve"> and </w:t>
      </w:r>
      <w:r w:rsidR="00FB019E">
        <w:rPr>
          <w:lang w:val="en-GB"/>
        </w:rPr>
        <w:t>could have a significant effect,</w:t>
      </w:r>
      <w:r w:rsidR="00D1616A">
        <w:rPr>
          <w:lang w:val="en-GB"/>
        </w:rPr>
        <w:t xml:space="preserve"> including</w:t>
      </w:r>
      <w:r w:rsidR="00FB019E">
        <w:rPr>
          <w:lang w:val="en-GB"/>
        </w:rPr>
        <w:t>:</w:t>
      </w:r>
      <w:r w:rsidR="00D1616A">
        <w:rPr>
          <w:lang w:val="en-GB"/>
        </w:rPr>
        <w:t xml:space="preserve"> wars, mergers and acquisitions, stock trading and </w:t>
      </w:r>
      <w:r w:rsidR="00CF4A13">
        <w:rPr>
          <w:lang w:val="en-GB"/>
        </w:rPr>
        <w:t>labour</w:t>
      </w:r>
      <w:r w:rsidR="00D1616A">
        <w:rPr>
          <w:lang w:val="en-GB"/>
        </w:rPr>
        <w:t xml:space="preserve"> strikes. </w:t>
      </w:r>
      <w:r w:rsidR="00D1616A" w:rsidRPr="00D1616A">
        <w:rPr>
          <w:lang w:val="en-GB"/>
        </w:rPr>
        <w:t xml:space="preserve">However, the concept of overconfidence has been tested in </w:t>
      </w:r>
      <w:r w:rsidR="00CF4A13" w:rsidRPr="00D1616A">
        <w:rPr>
          <w:lang w:val="en-GB"/>
        </w:rPr>
        <w:t>an</w:t>
      </w:r>
      <w:r w:rsidR="00D1616A">
        <w:rPr>
          <w:lang w:val="en-GB"/>
        </w:rPr>
        <w:t xml:space="preserve"> </w:t>
      </w:r>
      <w:r w:rsidR="00FB019E">
        <w:rPr>
          <w:lang w:val="en-GB"/>
        </w:rPr>
        <w:t>inconsistent</w:t>
      </w:r>
      <w:r w:rsidR="00D1616A">
        <w:rPr>
          <w:lang w:val="en-GB"/>
        </w:rPr>
        <w:t xml:space="preserve"> manner. </w:t>
      </w:r>
      <w:r w:rsidR="00D1616A" w:rsidRPr="00D1616A">
        <w:rPr>
          <w:lang w:val="en-GB"/>
        </w:rPr>
        <w:t xml:space="preserve">In other words, </w:t>
      </w:r>
      <w:r w:rsidR="00CF4A13" w:rsidRPr="00D1616A">
        <w:rPr>
          <w:lang w:val="en-GB"/>
        </w:rPr>
        <w:t>different phenomena have</w:t>
      </w:r>
      <w:r w:rsidR="00D1616A" w:rsidRPr="00D1616A">
        <w:rPr>
          <w:lang w:val="en-GB"/>
        </w:rPr>
        <w:t xml:space="preserve"> been </w:t>
      </w:r>
      <w:r w:rsidR="00FB019E" w:rsidRPr="00D1616A">
        <w:rPr>
          <w:lang w:val="en-GB"/>
        </w:rPr>
        <w:t>labelled</w:t>
      </w:r>
      <w:r w:rsidR="00D1616A" w:rsidRPr="00D1616A">
        <w:rPr>
          <w:lang w:val="en-GB"/>
        </w:rPr>
        <w:t xml:space="preserve"> as o</w:t>
      </w:r>
      <w:r w:rsidR="00D1616A">
        <w:rPr>
          <w:lang w:val="en-GB"/>
        </w:rPr>
        <w:t xml:space="preserve">verconfidence. </w:t>
      </w:r>
      <w:r w:rsidR="00D1616A" w:rsidRPr="00D1616A">
        <w:rPr>
          <w:noProof/>
          <w:lang w:val="en-GB"/>
        </w:rPr>
        <w:t>Moore &amp; Healy (2008) therefore proposed a classification into three different concepts,</w:t>
      </w:r>
      <w:r w:rsidR="00D1616A">
        <w:rPr>
          <w:noProof/>
          <w:lang w:val="en-GB"/>
        </w:rPr>
        <w:t xml:space="preserve"> based on the essence of the explored </w:t>
      </w:r>
      <w:r w:rsidR="00797C5E">
        <w:rPr>
          <w:noProof/>
          <w:lang w:val="en-GB"/>
        </w:rPr>
        <w:t>typ</w:t>
      </w:r>
      <w:r w:rsidR="00FB019E">
        <w:rPr>
          <w:noProof/>
          <w:lang w:val="en-GB"/>
        </w:rPr>
        <w:t>es and associated namings by</w:t>
      </w:r>
      <w:r w:rsidR="00797C5E">
        <w:rPr>
          <w:noProof/>
          <w:lang w:val="en-GB"/>
        </w:rPr>
        <w:t xml:space="preserve"> scholars. </w:t>
      </w:r>
      <w:r w:rsidR="00797C5E" w:rsidRPr="00797C5E">
        <w:rPr>
          <w:noProof/>
          <w:lang w:val="en-GB"/>
        </w:rPr>
        <w:t>This</w:t>
      </w:r>
      <w:r w:rsidR="00FB019E">
        <w:rPr>
          <w:noProof/>
          <w:lang w:val="en-GB"/>
        </w:rPr>
        <w:t xml:space="preserve"> classification will be</w:t>
      </w:r>
      <w:r w:rsidR="00797C5E" w:rsidRPr="00797C5E">
        <w:rPr>
          <w:noProof/>
          <w:lang w:val="en-GB"/>
        </w:rPr>
        <w:t xml:space="preserve"> followed in the remainder of this p</w:t>
      </w:r>
      <w:r w:rsidR="00797C5E">
        <w:rPr>
          <w:noProof/>
          <w:lang w:val="en-GB"/>
        </w:rPr>
        <w:t xml:space="preserve">aper. </w:t>
      </w:r>
    </w:p>
    <w:p w:rsidR="00797C5E" w:rsidRDefault="00797C5E" w:rsidP="007F7DF4">
      <w:pPr>
        <w:spacing w:line="360" w:lineRule="auto"/>
        <w:jc w:val="both"/>
        <w:rPr>
          <w:noProof/>
          <w:lang w:val="en-GB"/>
        </w:rPr>
      </w:pPr>
      <w:r w:rsidRPr="00797C5E">
        <w:rPr>
          <w:lang w:val="en-GB"/>
        </w:rPr>
        <w:t>1)</w:t>
      </w:r>
      <w:r>
        <w:rPr>
          <w:lang w:val="en-GB"/>
        </w:rPr>
        <w:t xml:space="preserve"> Overestimation. Overestimation is the tendency to overestimate </w:t>
      </w:r>
      <w:r w:rsidR="00CF4A13">
        <w:rPr>
          <w:lang w:val="en-GB"/>
        </w:rPr>
        <w:t>ones</w:t>
      </w:r>
      <w:r>
        <w:rPr>
          <w:lang w:val="en-GB"/>
        </w:rPr>
        <w:t xml:space="preserve"> personal abilities concerning their level of control, performances and chances for success. </w:t>
      </w:r>
      <w:r w:rsidRPr="00797C5E">
        <w:rPr>
          <w:noProof/>
          <w:lang w:val="en-GB"/>
        </w:rPr>
        <w:t>T</w:t>
      </w:r>
      <w:r>
        <w:rPr>
          <w:noProof/>
          <w:lang w:val="en-GB"/>
        </w:rPr>
        <w:t xml:space="preserve">his ‘kind’ of overconfidence has been subject to most of the research done. </w:t>
      </w:r>
    </w:p>
    <w:p w:rsidR="00E60308" w:rsidRPr="00946305" w:rsidRDefault="00E60308" w:rsidP="007F7DF4">
      <w:pPr>
        <w:spacing w:line="360" w:lineRule="auto"/>
        <w:jc w:val="both"/>
        <w:rPr>
          <w:lang w:val="en-GB"/>
        </w:rPr>
      </w:pPr>
      <w:r>
        <w:rPr>
          <w:noProof/>
          <w:lang w:val="en-GB"/>
        </w:rPr>
        <w:t xml:space="preserve">2) Overplacement. Overplacement refers to the perception about one’s abilities compared to others. The term ‘better-than-average’ is also used in this context. The concept of overplacement could have important implications for the subject of valuation. </w:t>
      </w:r>
      <w:r w:rsidRPr="00E60308">
        <w:rPr>
          <w:noProof/>
          <w:lang w:val="en-GB"/>
        </w:rPr>
        <w:t>The executive with a substantial role in this process and</w:t>
      </w:r>
      <w:r>
        <w:rPr>
          <w:noProof/>
          <w:lang w:val="en-GB"/>
        </w:rPr>
        <w:t xml:space="preserve"> which can be prone to the bias of overplacement, is the CEO. </w:t>
      </w:r>
      <w:r w:rsidRPr="00E60308">
        <w:rPr>
          <w:noProof/>
          <w:lang w:val="en-GB"/>
        </w:rPr>
        <w:t xml:space="preserve">A CEO could compare himself to potential competitors for </w:t>
      </w:r>
      <w:r w:rsidR="008F7120">
        <w:rPr>
          <w:noProof/>
          <w:lang w:val="en-GB"/>
        </w:rPr>
        <w:t>the acquisition of an</w:t>
      </w:r>
      <w:r>
        <w:rPr>
          <w:noProof/>
          <w:lang w:val="en-GB"/>
        </w:rPr>
        <w:t xml:space="preserve"> investment opportunity and as a consequence think that he </w:t>
      </w:r>
      <w:r w:rsidR="008F7120">
        <w:rPr>
          <w:noProof/>
          <w:lang w:val="en-GB"/>
        </w:rPr>
        <w:t xml:space="preserve">is </w:t>
      </w:r>
      <w:r>
        <w:rPr>
          <w:noProof/>
          <w:lang w:val="en-GB"/>
        </w:rPr>
        <w:t xml:space="preserve">more able to seize the potentials of this investment opportunity. </w:t>
      </w:r>
      <w:r w:rsidR="00946305" w:rsidRPr="00946305">
        <w:rPr>
          <w:noProof/>
          <w:lang w:val="en-GB"/>
        </w:rPr>
        <w:t>This could result in a higher offer price. On the other, a CEO could also compare himself t</w:t>
      </w:r>
      <w:r w:rsidR="00946305">
        <w:rPr>
          <w:noProof/>
          <w:lang w:val="en-GB"/>
        </w:rPr>
        <w:t xml:space="preserve">o other employees in the company and may feel that he is more able to make decisions and should therefore have the largest influence. </w:t>
      </w:r>
      <w:r w:rsidR="00946305" w:rsidRPr="00946305">
        <w:rPr>
          <w:noProof/>
          <w:lang w:val="en-GB"/>
        </w:rPr>
        <w:t xml:space="preserve">This idea might be caused to the perception that his </w:t>
      </w:r>
      <w:r w:rsidR="00946305">
        <w:rPr>
          <w:noProof/>
          <w:lang w:val="en-GB"/>
        </w:rPr>
        <w:t>ability to make good jugdment calls lead</w:t>
      </w:r>
      <w:r w:rsidR="00063C41">
        <w:rPr>
          <w:noProof/>
          <w:lang w:val="en-GB"/>
        </w:rPr>
        <w:t>s</w:t>
      </w:r>
      <w:r w:rsidR="00946305">
        <w:rPr>
          <w:noProof/>
          <w:lang w:val="en-GB"/>
        </w:rPr>
        <w:t xml:space="preserve"> to his current position of CEO. </w:t>
      </w:r>
    </w:p>
    <w:p w:rsidR="00063C41" w:rsidRPr="00063C41" w:rsidRDefault="00063C41" w:rsidP="007F7DF4">
      <w:pPr>
        <w:spacing w:line="360" w:lineRule="auto"/>
        <w:jc w:val="both"/>
        <w:rPr>
          <w:noProof/>
          <w:lang w:val="en-GB"/>
        </w:rPr>
      </w:pPr>
      <w:r w:rsidRPr="00063C41">
        <w:rPr>
          <w:noProof/>
          <w:lang w:val="en-GB"/>
        </w:rPr>
        <w:t>3) Overprecision. Overprecision means that p</w:t>
      </w:r>
      <w:r>
        <w:rPr>
          <w:noProof/>
          <w:lang w:val="en-GB"/>
        </w:rPr>
        <w:t>eople tend to be overconfide</w:t>
      </w:r>
      <w:r w:rsidR="007F7DF4">
        <w:rPr>
          <w:noProof/>
          <w:lang w:val="en-GB"/>
        </w:rPr>
        <w:t xml:space="preserve">nt about their estimation of </w:t>
      </w:r>
      <w:r>
        <w:rPr>
          <w:noProof/>
          <w:lang w:val="en-GB"/>
        </w:rPr>
        <w:t>the correctness of a</w:t>
      </w:r>
      <w:r w:rsidR="007F7DF4">
        <w:rPr>
          <w:noProof/>
          <w:lang w:val="en-GB"/>
        </w:rPr>
        <w:t xml:space="preserve"> </w:t>
      </w:r>
      <w:r>
        <w:rPr>
          <w:noProof/>
          <w:lang w:val="en-GB"/>
        </w:rPr>
        <w:t xml:space="preserve">decision/belief. A well-known way of experimentally testing this form of overconfidence is to let participants answer a question, on which they subsequently have to make an confidence interval about the correctness of their answer. The findings of various experiments was that the given confidence intervals were too small. </w:t>
      </w:r>
      <w:r w:rsidR="007F7DF4">
        <w:rPr>
          <w:noProof/>
          <w:lang w:val="en-GB"/>
        </w:rPr>
        <w:t xml:space="preserve">In other words, the participants are often to sure about their estimation, see for example </w:t>
      </w:r>
      <w:r w:rsidR="007F7DF4" w:rsidRPr="007F7DF4">
        <w:rPr>
          <w:noProof/>
          <w:lang w:val="en-GB"/>
        </w:rPr>
        <w:t>Klayman, Soll, G</w:t>
      </w:r>
      <w:r w:rsidR="007F7DF4">
        <w:rPr>
          <w:noProof/>
          <w:lang w:val="en-GB"/>
        </w:rPr>
        <w:t>onzalez-Vallejo, &amp; Barlas (1999)</w:t>
      </w:r>
      <w:r w:rsidR="007F7DF4" w:rsidRPr="007F7DF4">
        <w:rPr>
          <w:noProof/>
          <w:lang w:val="en-GB"/>
        </w:rPr>
        <w:t xml:space="preserve"> &amp; </w:t>
      </w:r>
      <w:r w:rsidR="007F7DF4">
        <w:rPr>
          <w:noProof/>
          <w:lang w:val="en-GB"/>
        </w:rPr>
        <w:t>Soll &amp; Klayman (</w:t>
      </w:r>
      <w:r w:rsidR="007F7DF4" w:rsidRPr="007F7DF4">
        <w:rPr>
          <w:noProof/>
          <w:lang w:val="en-GB"/>
        </w:rPr>
        <w:t>2004)</w:t>
      </w:r>
      <w:r w:rsidR="007F7DF4">
        <w:rPr>
          <w:noProof/>
          <w:lang w:val="en-GB"/>
        </w:rPr>
        <w:t xml:space="preserve">. </w:t>
      </w:r>
    </w:p>
    <w:p w:rsidR="00063C41" w:rsidRDefault="007F7DF4" w:rsidP="00ED73BC">
      <w:pPr>
        <w:spacing w:line="360" w:lineRule="auto"/>
        <w:jc w:val="both"/>
        <w:rPr>
          <w:noProof/>
          <w:lang w:val="en-GB"/>
        </w:rPr>
      </w:pPr>
      <w:r w:rsidRPr="007F7DF4">
        <w:rPr>
          <w:noProof/>
          <w:lang w:val="en-GB"/>
        </w:rPr>
        <w:lastRenderedPageBreak/>
        <w:t>The difference between the categorize</w:t>
      </w:r>
      <w:r>
        <w:rPr>
          <w:noProof/>
          <w:lang w:val="en-GB"/>
        </w:rPr>
        <w:t xml:space="preserve">d concepts may seem irrelevant, but a combination of overestimation and overplacement is paradoxical. </w:t>
      </w:r>
      <w:r w:rsidRPr="007F7DF4">
        <w:rPr>
          <w:noProof/>
          <w:lang w:val="en-GB"/>
        </w:rPr>
        <w:t>Namely, research has shown that the</w:t>
      </w:r>
      <w:r>
        <w:rPr>
          <w:noProof/>
          <w:lang w:val="en-GB"/>
        </w:rPr>
        <w:t xml:space="preserve"> personal</w:t>
      </w:r>
      <w:r w:rsidRPr="007F7DF4">
        <w:rPr>
          <w:noProof/>
          <w:lang w:val="en-GB"/>
        </w:rPr>
        <w:t xml:space="preserve"> level of overconfidence c</w:t>
      </w:r>
      <w:r>
        <w:rPr>
          <w:noProof/>
          <w:lang w:val="en-GB"/>
        </w:rPr>
        <w:t xml:space="preserve">an differ based on the difficulty of a performance or on the probability something positive will occur. </w:t>
      </w:r>
      <w:r w:rsidRPr="007F7DF4">
        <w:rPr>
          <w:noProof/>
          <w:lang w:val="en-GB"/>
        </w:rPr>
        <w:t>The more difficult a task of the more unlikely a</w:t>
      </w:r>
      <w:r>
        <w:rPr>
          <w:noProof/>
          <w:lang w:val="en-GB"/>
        </w:rPr>
        <w:t xml:space="preserve">n event </w:t>
      </w:r>
      <w:r w:rsidR="00FB019E">
        <w:rPr>
          <w:noProof/>
          <w:lang w:val="en-GB"/>
        </w:rPr>
        <w:t>to</w:t>
      </w:r>
      <w:r>
        <w:rPr>
          <w:noProof/>
          <w:lang w:val="en-GB"/>
        </w:rPr>
        <w:t xml:space="preserve"> happen, the </w:t>
      </w:r>
      <w:r w:rsidR="00ED73BC">
        <w:rPr>
          <w:noProof/>
          <w:lang w:val="en-GB"/>
        </w:rPr>
        <w:t>lower</w:t>
      </w:r>
      <w:r>
        <w:rPr>
          <w:noProof/>
          <w:lang w:val="en-GB"/>
        </w:rPr>
        <w:t xml:space="preserve"> t</w:t>
      </w:r>
      <w:r w:rsidR="00FB019E">
        <w:rPr>
          <w:noProof/>
          <w:lang w:val="en-GB"/>
        </w:rPr>
        <w:t>he degree of overconfidence; this is the</w:t>
      </w:r>
      <w:r>
        <w:rPr>
          <w:noProof/>
          <w:lang w:val="en-GB"/>
        </w:rPr>
        <w:t xml:space="preserve"> so called hard-easy effect </w:t>
      </w:r>
      <w:sdt>
        <w:sdtPr>
          <w:rPr>
            <w:noProof/>
          </w:rPr>
          <w:id w:val="8255462"/>
          <w:citation/>
        </w:sdtPr>
        <w:sdtContent>
          <w:r w:rsidR="009966E0">
            <w:rPr>
              <w:noProof/>
            </w:rPr>
            <w:fldChar w:fldCharType="begin"/>
          </w:r>
          <w:r w:rsidRPr="007F7DF4">
            <w:rPr>
              <w:noProof/>
              <w:lang w:val="en-GB"/>
            </w:rPr>
            <w:instrText xml:space="preserve"> CITATION Lic77 \l 1043 </w:instrText>
          </w:r>
          <w:r w:rsidR="009966E0">
            <w:rPr>
              <w:noProof/>
            </w:rPr>
            <w:fldChar w:fldCharType="separate"/>
          </w:r>
          <w:r w:rsidR="00C32B5A" w:rsidRPr="00C32B5A">
            <w:rPr>
              <w:noProof/>
              <w:lang w:val="en-GB"/>
            </w:rPr>
            <w:t>(Lichtenstein &amp; Fisschoff, 1977)</w:t>
          </w:r>
          <w:r w:rsidR="009966E0">
            <w:rPr>
              <w:noProof/>
            </w:rPr>
            <w:fldChar w:fldCharType="end"/>
          </w:r>
        </w:sdtContent>
      </w:sdt>
      <w:r w:rsidRPr="007F7DF4">
        <w:rPr>
          <w:noProof/>
          <w:lang w:val="en-GB"/>
        </w:rPr>
        <w:t>.</w:t>
      </w:r>
      <w:r>
        <w:rPr>
          <w:noProof/>
          <w:lang w:val="en-GB"/>
        </w:rPr>
        <w:t xml:space="preserve"> </w:t>
      </w:r>
      <w:r w:rsidR="00ED73BC" w:rsidRPr="00ED73BC">
        <w:rPr>
          <w:noProof/>
          <w:lang w:val="en-GB"/>
        </w:rPr>
        <w:t>However, Moore &amp; Healy (2008) has formed a model in which one</w:t>
      </w:r>
      <w:r w:rsidR="00ED73BC">
        <w:rPr>
          <w:noProof/>
          <w:lang w:val="en-GB"/>
        </w:rPr>
        <w:t>’s perceptions about others and the difficulty of a task</w:t>
      </w:r>
      <w:r w:rsidR="00FB019E">
        <w:rPr>
          <w:noProof/>
          <w:lang w:val="en-GB"/>
        </w:rPr>
        <w:t xml:space="preserve"> are</w:t>
      </w:r>
      <w:r w:rsidR="00ED73BC">
        <w:rPr>
          <w:noProof/>
          <w:lang w:val="en-GB"/>
        </w:rPr>
        <w:t xml:space="preserve"> both </w:t>
      </w:r>
      <w:r w:rsidR="00FB019E">
        <w:rPr>
          <w:noProof/>
          <w:lang w:val="en-GB"/>
        </w:rPr>
        <w:t>included</w:t>
      </w:r>
      <w:r w:rsidR="00ED73BC">
        <w:rPr>
          <w:noProof/>
          <w:lang w:val="en-GB"/>
        </w:rPr>
        <w:t xml:space="preserve">. </w:t>
      </w:r>
      <w:r w:rsidR="00FB019E">
        <w:rPr>
          <w:noProof/>
          <w:lang w:val="en-GB"/>
        </w:rPr>
        <w:t xml:space="preserve">In </w:t>
      </w:r>
      <w:r w:rsidR="00ED73BC" w:rsidRPr="00ED73BC">
        <w:rPr>
          <w:noProof/>
          <w:lang w:val="en-GB"/>
        </w:rPr>
        <w:t xml:space="preserve">situations of a difficult task </w:t>
      </w:r>
      <w:r w:rsidR="00ED73BC">
        <w:rPr>
          <w:noProof/>
          <w:lang w:val="en-GB"/>
        </w:rPr>
        <w:t xml:space="preserve">or unlikely event, people underestimate their own performance or chances of success, which leads to underestimation, although underestimating others’ performances or chances of success even more, which leads to overplacement. </w:t>
      </w:r>
      <w:r w:rsidR="00ED73BC" w:rsidRPr="00ED73BC">
        <w:rPr>
          <w:noProof/>
          <w:lang w:val="en-GB"/>
        </w:rPr>
        <w:t xml:space="preserve">This reasoning could influence valuations as well. If executives underestimate their abilities or chances of success to </w:t>
      </w:r>
      <w:r w:rsidR="00ED73BC">
        <w:rPr>
          <w:noProof/>
          <w:lang w:val="en-GB"/>
        </w:rPr>
        <w:t>seize certain opportunities an investment target offer</w:t>
      </w:r>
      <w:r w:rsidR="00FB019E">
        <w:rPr>
          <w:noProof/>
          <w:lang w:val="en-GB"/>
        </w:rPr>
        <w:t>s</w:t>
      </w:r>
      <w:r w:rsidR="00ED73BC">
        <w:rPr>
          <w:noProof/>
          <w:lang w:val="en-GB"/>
        </w:rPr>
        <w:t>,</w:t>
      </w:r>
      <w:r w:rsidR="00FB019E">
        <w:rPr>
          <w:noProof/>
          <w:lang w:val="en-GB"/>
        </w:rPr>
        <w:t xml:space="preserve"> then</w:t>
      </w:r>
      <w:r w:rsidR="00ED73BC">
        <w:rPr>
          <w:noProof/>
          <w:lang w:val="en-GB"/>
        </w:rPr>
        <w:t xml:space="preserve"> this will result in a lower valuation of such a target.</w:t>
      </w:r>
      <w:r w:rsidR="00FB019E">
        <w:rPr>
          <w:noProof/>
          <w:lang w:val="en-GB"/>
        </w:rPr>
        <w:t xml:space="preserve"> However, if executives perceive the abilities or chances of success of competitiors to be even smaller, then they could lower their bid consequently, since they </w:t>
      </w:r>
      <w:r w:rsidR="001D03FF">
        <w:rPr>
          <w:noProof/>
          <w:lang w:val="en-GB"/>
        </w:rPr>
        <w:t xml:space="preserve">may </w:t>
      </w:r>
      <w:r w:rsidR="00FB019E">
        <w:rPr>
          <w:noProof/>
          <w:lang w:val="en-GB"/>
        </w:rPr>
        <w:t>expect</w:t>
      </w:r>
      <w:r w:rsidR="001D03FF">
        <w:rPr>
          <w:noProof/>
          <w:lang w:val="en-GB"/>
        </w:rPr>
        <w:t xml:space="preserve"> </w:t>
      </w:r>
      <w:r w:rsidR="00FB019E">
        <w:rPr>
          <w:noProof/>
          <w:lang w:val="en-GB"/>
        </w:rPr>
        <w:t xml:space="preserve">their competitors’ valuations and biddings </w:t>
      </w:r>
      <w:r w:rsidR="001D03FF">
        <w:rPr>
          <w:noProof/>
          <w:lang w:val="en-GB"/>
        </w:rPr>
        <w:t>to be lower</w:t>
      </w:r>
      <w:r w:rsidR="00FB019E">
        <w:rPr>
          <w:noProof/>
          <w:lang w:val="en-GB"/>
        </w:rPr>
        <w:t xml:space="preserve">. </w:t>
      </w:r>
    </w:p>
    <w:p w:rsidR="00F571C2" w:rsidRDefault="00F571C2" w:rsidP="00ED73BC">
      <w:pPr>
        <w:spacing w:line="360" w:lineRule="auto"/>
        <w:jc w:val="both"/>
        <w:rPr>
          <w:noProof/>
          <w:lang w:val="en-GB"/>
        </w:rPr>
      </w:pPr>
      <w:r>
        <w:rPr>
          <w:noProof/>
          <w:lang w:val="en-GB"/>
        </w:rPr>
        <w:t>A bias closely related to overconfidence is the self-serving bias. Multipe phenomena are labeled under this term. One of these, is</w:t>
      </w:r>
      <w:r w:rsidR="00AD25E3">
        <w:rPr>
          <w:noProof/>
          <w:lang w:val="en-GB"/>
        </w:rPr>
        <w:t xml:space="preserve"> the</w:t>
      </w:r>
      <w:r>
        <w:rPr>
          <w:noProof/>
          <w:lang w:val="en-GB"/>
        </w:rPr>
        <w:t xml:space="preserve"> phenomenon that people tend to attribute successes to their own actions and failures to exogeneous variables </w:t>
      </w:r>
      <w:sdt>
        <w:sdtPr>
          <w:rPr>
            <w:noProof/>
          </w:rPr>
          <w:id w:val="8255471"/>
          <w:citation/>
        </w:sdtPr>
        <w:sdtContent>
          <w:r w:rsidR="009966E0">
            <w:rPr>
              <w:noProof/>
            </w:rPr>
            <w:fldChar w:fldCharType="begin"/>
          </w:r>
          <w:r w:rsidRPr="00F571C2">
            <w:rPr>
              <w:noProof/>
              <w:lang w:val="en-GB"/>
            </w:rPr>
            <w:instrText xml:space="preserve"> CITATION Zuc79 \l 1043 </w:instrText>
          </w:r>
          <w:r w:rsidR="009966E0">
            <w:rPr>
              <w:noProof/>
            </w:rPr>
            <w:fldChar w:fldCharType="separate"/>
          </w:r>
          <w:r w:rsidR="00C32B5A" w:rsidRPr="00C32B5A">
            <w:rPr>
              <w:noProof/>
              <w:lang w:val="en-GB"/>
            </w:rPr>
            <w:t>(Zuckerman, 1979)</w:t>
          </w:r>
          <w:r w:rsidR="009966E0">
            <w:rPr>
              <w:noProof/>
            </w:rPr>
            <w:fldChar w:fldCharType="end"/>
          </w:r>
        </w:sdtContent>
      </w:sdt>
      <w:r w:rsidRPr="00F571C2">
        <w:rPr>
          <w:noProof/>
          <w:lang w:val="en-GB"/>
        </w:rPr>
        <w:t xml:space="preserve"> &amp; </w:t>
      </w:r>
      <w:sdt>
        <w:sdtPr>
          <w:rPr>
            <w:noProof/>
          </w:rPr>
          <w:id w:val="8255472"/>
          <w:citation/>
        </w:sdtPr>
        <w:sdtContent>
          <w:r w:rsidR="009966E0">
            <w:rPr>
              <w:noProof/>
            </w:rPr>
            <w:fldChar w:fldCharType="begin"/>
          </w:r>
          <w:r w:rsidRPr="00F571C2">
            <w:rPr>
              <w:noProof/>
              <w:lang w:val="en-GB"/>
            </w:rPr>
            <w:instrText xml:space="preserve"> CITATION Bra78 \l 1043 </w:instrText>
          </w:r>
          <w:r w:rsidR="009966E0">
            <w:rPr>
              <w:noProof/>
            </w:rPr>
            <w:fldChar w:fldCharType="separate"/>
          </w:r>
          <w:r w:rsidR="00C32B5A" w:rsidRPr="00C32B5A">
            <w:rPr>
              <w:noProof/>
              <w:lang w:val="en-GB"/>
            </w:rPr>
            <w:t>(Bradley, 1978)</w:t>
          </w:r>
          <w:r w:rsidR="009966E0">
            <w:rPr>
              <w:noProof/>
            </w:rPr>
            <w:fldChar w:fldCharType="end"/>
          </w:r>
        </w:sdtContent>
      </w:sdt>
      <w:r w:rsidRPr="00F571C2">
        <w:rPr>
          <w:noProof/>
          <w:lang w:val="en-GB"/>
        </w:rPr>
        <w:t>.</w:t>
      </w:r>
      <w:r>
        <w:rPr>
          <w:noProof/>
          <w:lang w:val="en-GB"/>
        </w:rPr>
        <w:t xml:space="preserve"> The question whether this tendency explains or amplifies overconfidence, will be answered in the next description about which (other) factors are related to overconfidence. </w:t>
      </w:r>
    </w:p>
    <w:p w:rsidR="00A13D42" w:rsidRDefault="007B7F63" w:rsidP="00E04CB4">
      <w:pPr>
        <w:spacing w:line="360" w:lineRule="auto"/>
        <w:jc w:val="both"/>
        <w:rPr>
          <w:lang w:val="en-GB"/>
        </w:rPr>
      </w:pPr>
      <w:r w:rsidRPr="007B7F63">
        <w:rPr>
          <w:noProof/>
          <w:lang w:val="en-GB"/>
        </w:rPr>
        <w:t>The nature of the underlying</w:t>
      </w:r>
      <w:r>
        <w:rPr>
          <w:noProof/>
          <w:lang w:val="en-GB"/>
        </w:rPr>
        <w:t xml:space="preserve"> causes of overconfidence could be psychological, see for example</w:t>
      </w:r>
      <w:r w:rsidR="00C32B5A">
        <w:rPr>
          <w:noProof/>
          <w:lang w:val="en-GB"/>
        </w:rPr>
        <w:t xml:space="preserve"> </w:t>
      </w:r>
      <w:sdt>
        <w:sdtPr>
          <w:rPr>
            <w:noProof/>
            <w:lang w:val="en-GB"/>
          </w:rPr>
          <w:id w:val="9558718"/>
          <w:citation/>
        </w:sdtPr>
        <w:sdtContent>
          <w:r w:rsidR="009966E0">
            <w:rPr>
              <w:noProof/>
              <w:lang w:val="en-GB"/>
            </w:rPr>
            <w:fldChar w:fldCharType="begin"/>
          </w:r>
          <w:r w:rsidR="00C32B5A" w:rsidRPr="00C32B5A">
            <w:rPr>
              <w:noProof/>
              <w:lang w:val="en-GB"/>
            </w:rPr>
            <w:instrText xml:space="preserve"> CITATION Gri92 \l 1043 </w:instrText>
          </w:r>
          <w:r w:rsidR="009966E0">
            <w:rPr>
              <w:noProof/>
              <w:lang w:val="en-GB"/>
            </w:rPr>
            <w:fldChar w:fldCharType="separate"/>
          </w:r>
          <w:r w:rsidR="00C32B5A" w:rsidRPr="00C32B5A">
            <w:rPr>
              <w:noProof/>
              <w:lang w:val="en-GB"/>
            </w:rPr>
            <w:t>(Griffin &amp; Tversky, 1992)</w:t>
          </w:r>
          <w:r w:rsidR="009966E0">
            <w:rPr>
              <w:noProof/>
              <w:lang w:val="en-GB"/>
            </w:rPr>
            <w:fldChar w:fldCharType="end"/>
          </w:r>
        </w:sdtContent>
      </w:sdt>
      <w:r w:rsidR="00C32B5A">
        <w:rPr>
          <w:noProof/>
          <w:lang w:val="en-GB"/>
        </w:rPr>
        <w:t xml:space="preserve">, </w:t>
      </w:r>
      <w:r>
        <w:rPr>
          <w:noProof/>
          <w:lang w:val="en-GB"/>
        </w:rPr>
        <w:t xml:space="preserve">as well as neuroscientific. </w:t>
      </w:r>
      <w:r w:rsidRPr="007B7F63">
        <w:rPr>
          <w:noProof/>
          <w:lang w:val="en-GB"/>
        </w:rPr>
        <w:t>However, in order to justify the stated hypotheses, the circum</w:t>
      </w:r>
      <w:r>
        <w:rPr>
          <w:noProof/>
          <w:lang w:val="en-GB"/>
        </w:rPr>
        <w:t xml:space="preserve">stances in which the factors which could affect the level of overconfidence are present, should be examined. </w:t>
      </w:r>
      <w:r w:rsidRPr="007B7F63">
        <w:rPr>
          <w:noProof/>
          <w:lang w:val="en-GB"/>
        </w:rPr>
        <w:t>These factors could</w:t>
      </w:r>
      <w:r>
        <w:rPr>
          <w:noProof/>
          <w:lang w:val="en-GB"/>
        </w:rPr>
        <w:t xml:space="preserve"> have the character of</w:t>
      </w:r>
      <w:r w:rsidRPr="007B7F63">
        <w:rPr>
          <w:noProof/>
          <w:lang w:val="en-GB"/>
        </w:rPr>
        <w:t xml:space="preserve"> be</w:t>
      </w:r>
      <w:r>
        <w:rPr>
          <w:noProof/>
          <w:lang w:val="en-GB"/>
        </w:rPr>
        <w:t>ing</w:t>
      </w:r>
      <w:r w:rsidRPr="007B7F63">
        <w:rPr>
          <w:noProof/>
          <w:lang w:val="en-GB"/>
        </w:rPr>
        <w:t xml:space="preserve"> conditions for the existence of o</w:t>
      </w:r>
      <w:r>
        <w:rPr>
          <w:noProof/>
          <w:lang w:val="en-GB"/>
        </w:rPr>
        <w:t xml:space="preserve">verconfidence, as well as being </w:t>
      </w:r>
      <w:r w:rsidR="00AD25E3">
        <w:rPr>
          <w:noProof/>
          <w:lang w:val="en-GB"/>
        </w:rPr>
        <w:t xml:space="preserve">overconfidence </w:t>
      </w:r>
      <w:r>
        <w:rPr>
          <w:noProof/>
          <w:lang w:val="en-GB"/>
        </w:rPr>
        <w:t xml:space="preserve">amplifying. </w:t>
      </w:r>
      <w:r w:rsidRPr="007B7F63">
        <w:rPr>
          <w:noProof/>
          <w:lang w:val="en-GB"/>
        </w:rPr>
        <w:t>An example of the latter is an executive’s t</w:t>
      </w:r>
      <w:r>
        <w:rPr>
          <w:noProof/>
          <w:lang w:val="en-GB"/>
        </w:rPr>
        <w:t xml:space="preserve">endency to attribute prior business successes to his management skills, which could enhance the level of confidence for upcoming projects. </w:t>
      </w:r>
      <w:r w:rsidR="00611AF6">
        <w:rPr>
          <w:noProof/>
          <w:lang w:val="en-GB"/>
        </w:rPr>
        <w:t xml:space="preserve">Overconfidence concering outcomes (of potential investments) which are partly dependent on </w:t>
      </w:r>
      <w:r>
        <w:rPr>
          <w:noProof/>
          <w:lang w:val="en-GB"/>
        </w:rPr>
        <w:t xml:space="preserve"> </w:t>
      </w:r>
      <w:r w:rsidR="00611AF6">
        <w:rPr>
          <w:noProof/>
          <w:lang w:val="en-GB"/>
        </w:rPr>
        <w:t xml:space="preserve">the managerial skills of a CEO, could also be amplified by the fact that executives have the tendency to think that they are able to have control of the outcomes and chances of success. </w:t>
      </w:r>
      <w:r w:rsidR="00611AF6" w:rsidRPr="00611AF6">
        <w:rPr>
          <w:noProof/>
          <w:lang w:val="en-GB"/>
        </w:rPr>
        <w:t>This reasoning could have the result that managers are exce</w:t>
      </w:r>
      <w:r w:rsidR="00611AF6">
        <w:rPr>
          <w:noProof/>
          <w:lang w:val="en-GB"/>
        </w:rPr>
        <w:t xml:space="preserve">ssively optimistic about an investment’s future and are therefore willing to pay more. </w:t>
      </w:r>
      <w:r w:rsidR="00611AF6" w:rsidRPr="00611AF6">
        <w:rPr>
          <w:noProof/>
          <w:lang w:val="en-GB"/>
        </w:rPr>
        <w:t>CEOs in particular are sensitive to this tendency, since t</w:t>
      </w:r>
      <w:r w:rsidR="00611AF6">
        <w:rPr>
          <w:noProof/>
          <w:lang w:val="en-GB"/>
        </w:rPr>
        <w:t xml:space="preserve">hey might think that the position of CEO gives them the most possibilities to control a certain process. </w:t>
      </w:r>
      <w:r w:rsidR="00CF4A13" w:rsidRPr="00C16F03">
        <w:rPr>
          <w:noProof/>
          <w:lang w:val="en-GB"/>
        </w:rPr>
        <w:t>Langer (1975)</w:t>
      </w:r>
      <w:r w:rsidR="00CF4A13" w:rsidRPr="00C16F03">
        <w:rPr>
          <w:lang w:val="en-GB"/>
        </w:rPr>
        <w:t xml:space="preserve"> has </w:t>
      </w:r>
      <w:r w:rsidR="00CF4A13">
        <w:rPr>
          <w:lang w:val="en-GB"/>
        </w:rPr>
        <w:t xml:space="preserve">demonstrated that one is not always able to correctly assess the uncontrollable character of an event in which one’s own abilities have barely any influence on the outcome. </w:t>
      </w:r>
      <w:r w:rsidR="00C16F03">
        <w:rPr>
          <w:lang w:val="en-GB"/>
        </w:rPr>
        <w:t xml:space="preserve">In the experiment which confirmed the above, </w:t>
      </w:r>
      <w:r w:rsidR="00C16F03">
        <w:rPr>
          <w:lang w:val="en-GB"/>
        </w:rPr>
        <w:lastRenderedPageBreak/>
        <w:t>participants who had been offered the possibility</w:t>
      </w:r>
      <w:r w:rsidR="008E4ED7">
        <w:rPr>
          <w:lang w:val="en-GB"/>
        </w:rPr>
        <w:t xml:space="preserve"> to pick an option of a gamble</w:t>
      </w:r>
      <w:r w:rsidR="00C16F03">
        <w:rPr>
          <w:lang w:val="en-GB"/>
        </w:rPr>
        <w:t>, were less willing to sell their participation compared to the participants whose option has been assigned. Logically, the chances of the chosen and assigned options were equal. This effect was reinforced when the participants were offered the possibility to choose between a gambl</w:t>
      </w:r>
      <w:r w:rsidR="008E4ED7">
        <w:rPr>
          <w:lang w:val="en-GB"/>
        </w:rPr>
        <w:t>e</w:t>
      </w:r>
      <w:r w:rsidR="00C16F03">
        <w:rPr>
          <w:lang w:val="en-GB"/>
        </w:rPr>
        <w:t xml:space="preserve"> </w:t>
      </w:r>
      <w:r w:rsidR="008E4ED7">
        <w:rPr>
          <w:lang w:val="en-GB"/>
        </w:rPr>
        <w:t xml:space="preserve">of which the subject was familiar to them and an unfamiliar subject. </w:t>
      </w:r>
      <w:r w:rsidR="008E4ED7" w:rsidRPr="008E4ED7">
        <w:rPr>
          <w:lang w:val="en-GB"/>
        </w:rPr>
        <w:t>Again, the chances of both gambles were equally; fully r</w:t>
      </w:r>
      <w:r w:rsidR="008E4ED7">
        <w:rPr>
          <w:lang w:val="en-GB"/>
        </w:rPr>
        <w:t xml:space="preserve">andom. </w:t>
      </w:r>
      <w:r w:rsidR="008E4ED7" w:rsidRPr="008E4ED7">
        <w:rPr>
          <w:lang w:val="en-GB"/>
        </w:rPr>
        <w:t>The composer of the experiment argued that the participants may</w:t>
      </w:r>
      <w:r w:rsidR="008E4ED7">
        <w:rPr>
          <w:lang w:val="en-GB"/>
        </w:rPr>
        <w:t xml:space="preserve"> reason in an analogical way to events in which one’s abilities and skills increases the likelihood of success.</w:t>
      </w:r>
      <w:r w:rsidR="00B96260">
        <w:rPr>
          <w:lang w:val="en-GB"/>
        </w:rPr>
        <w:t xml:space="preserve"> For example, in these events more involvement and familiarity to the task/event should increase the likelihood of achieving the preferred outcome. In gambles of which the outcomes are strictly random, familiarity and involvement have no effects. However, in the cited research was found that the perception about competition, the familiarity to the context of the game, the possibility to choose the preferred option and the participant’s involvement, are factors of which the participants thought that it could alter the chances of success. This finding could be applied to the field of valuation as well; if executives</w:t>
      </w:r>
      <w:r w:rsidR="00370242">
        <w:rPr>
          <w:lang w:val="en-GB"/>
        </w:rPr>
        <w:t xml:space="preserve"> think that the operational activities of an investment target are related to activities with which the executives are familiar, then these executives might have the illusion that they can control the chances of the preferred outcomes. The underlying reason for the illusion of control could be people’s aspiration to control their environment and their aversion to uncontrollability.</w:t>
      </w:r>
      <w:r w:rsidR="00526DBB">
        <w:rPr>
          <w:lang w:val="en-GB"/>
        </w:rPr>
        <w:t xml:space="preserve"> </w:t>
      </w:r>
      <w:r w:rsidR="00526DBB" w:rsidRPr="00526DBB">
        <w:rPr>
          <w:noProof/>
          <w:lang w:val="en-GB"/>
        </w:rPr>
        <w:t>Duhaime &amp; Schwenk (1985)</w:t>
      </w:r>
      <w:r w:rsidR="00370242">
        <w:rPr>
          <w:lang w:val="en-GB"/>
        </w:rPr>
        <w:t xml:space="preserve"> </w:t>
      </w:r>
      <w:r w:rsidR="00526DBB">
        <w:rPr>
          <w:lang w:val="en-GB"/>
        </w:rPr>
        <w:t xml:space="preserve">proposed another reason, with both a cognitive and motivational character. When analysing </w:t>
      </w:r>
      <w:r w:rsidR="00CF4A13">
        <w:rPr>
          <w:lang w:val="en-GB"/>
        </w:rPr>
        <w:t>a task</w:t>
      </w:r>
      <w:r w:rsidR="00526DBB">
        <w:rPr>
          <w:lang w:val="en-GB"/>
        </w:rPr>
        <w:t xml:space="preserve">/event, decision-makers will first focus on aspects they can influence. </w:t>
      </w:r>
      <w:r w:rsidR="00CF4A13">
        <w:rPr>
          <w:lang w:val="en-GB"/>
        </w:rPr>
        <w:t xml:space="preserve">If later asked to make an estimation about the chances of success, decision-makers are less likely to think of other aspects with they cannot control, since these aspects are less ‘available’ in their memory. </w:t>
      </w:r>
      <w:r w:rsidR="00526DBB">
        <w:rPr>
          <w:lang w:val="en-GB"/>
        </w:rPr>
        <w:t xml:space="preserve">This could be seen in the light of the concept of availability </w:t>
      </w:r>
      <w:sdt>
        <w:sdtPr>
          <w:rPr>
            <w:lang w:val="en-GB"/>
          </w:rPr>
          <w:id w:val="8255482"/>
          <w:citation/>
        </w:sdtPr>
        <w:sdtContent>
          <w:r w:rsidR="009966E0">
            <w:rPr>
              <w:lang w:val="en-GB"/>
            </w:rPr>
            <w:fldChar w:fldCharType="begin"/>
          </w:r>
          <w:r w:rsidR="00526DBB" w:rsidRPr="00526DBB">
            <w:rPr>
              <w:lang w:val="en-GB"/>
            </w:rPr>
            <w:instrText xml:space="preserve"> CITATION Tve741 \t  \l 1043  </w:instrText>
          </w:r>
          <w:r w:rsidR="009966E0">
            <w:rPr>
              <w:lang w:val="en-GB"/>
            </w:rPr>
            <w:fldChar w:fldCharType="separate"/>
          </w:r>
          <w:r w:rsidR="00C32B5A" w:rsidRPr="00C32B5A">
            <w:rPr>
              <w:noProof/>
              <w:lang w:val="en-GB"/>
            </w:rPr>
            <w:t>(Tversky &amp; Kahneman, 1974)</w:t>
          </w:r>
          <w:r w:rsidR="009966E0">
            <w:rPr>
              <w:lang w:val="en-GB"/>
            </w:rPr>
            <w:fldChar w:fldCharType="end"/>
          </w:r>
        </w:sdtContent>
      </w:sdt>
      <w:r w:rsidR="00526DBB">
        <w:rPr>
          <w:lang w:val="en-GB"/>
        </w:rPr>
        <w:t>.</w:t>
      </w:r>
      <w:r w:rsidR="00370242">
        <w:rPr>
          <w:lang w:val="en-GB"/>
        </w:rPr>
        <w:t xml:space="preserve"> </w:t>
      </w:r>
      <w:r w:rsidR="00963651">
        <w:rPr>
          <w:lang w:val="en-GB"/>
        </w:rPr>
        <w:t xml:space="preserve">Another potential reason is the idea that decision-makers deliberately focus on other aspects of the event which they can control, in order to limit the anxiety inherent to uncertainty. </w:t>
      </w:r>
      <w:r w:rsidR="0027544A" w:rsidRPr="0027544A">
        <w:rPr>
          <w:noProof/>
          <w:lang w:val="en-GB"/>
        </w:rPr>
        <w:t>Gino, Sharek, &amp; Moore (</w:t>
      </w:r>
      <w:r w:rsidR="00963651" w:rsidRPr="0027544A">
        <w:rPr>
          <w:noProof/>
          <w:lang w:val="en-GB"/>
        </w:rPr>
        <w:t>2011)</w:t>
      </w:r>
      <w:r w:rsidR="00370242">
        <w:rPr>
          <w:lang w:val="en-GB"/>
        </w:rPr>
        <w:t xml:space="preserve"> </w:t>
      </w:r>
      <w:r w:rsidR="0027544A">
        <w:rPr>
          <w:lang w:val="en-GB"/>
        </w:rPr>
        <w:t xml:space="preserve">examined the illusion of control in settings of which the outcomes are largely </w:t>
      </w:r>
      <w:r w:rsidR="00CF4A13">
        <w:rPr>
          <w:lang w:val="en-GB"/>
        </w:rPr>
        <w:t>dependent on</w:t>
      </w:r>
      <w:r w:rsidR="0027544A">
        <w:rPr>
          <w:lang w:val="en-GB"/>
        </w:rPr>
        <w:t xml:space="preserve"> individual abilities. The findings of this research showed that in these circumstances the illusion of control is weakened. </w:t>
      </w:r>
      <w:r w:rsidR="00E04CB4">
        <w:rPr>
          <w:lang w:val="en-GB"/>
        </w:rPr>
        <w:t xml:space="preserve">However, it should be noted that the examined relationship is between the perception of previous actions and results. </w:t>
      </w:r>
      <w:r w:rsidR="00B96260">
        <w:rPr>
          <w:lang w:val="en-GB"/>
        </w:rPr>
        <w:t xml:space="preserve"> </w:t>
      </w:r>
      <w:r w:rsidR="008E4ED7">
        <w:rPr>
          <w:lang w:val="en-GB"/>
        </w:rPr>
        <w:t xml:space="preserve"> </w:t>
      </w:r>
    </w:p>
    <w:p w:rsidR="009D33E1" w:rsidRDefault="00EB7E65" w:rsidP="009D33E1">
      <w:pPr>
        <w:spacing w:line="360" w:lineRule="auto"/>
        <w:jc w:val="both"/>
        <w:rPr>
          <w:noProof/>
          <w:lang w:val="en-GB"/>
        </w:rPr>
      </w:pPr>
      <w:r w:rsidRPr="00592E50">
        <w:rPr>
          <w:lang w:val="en-GB"/>
        </w:rPr>
        <w:t>Overconfidence could also be amplifi</w:t>
      </w:r>
      <w:r w:rsidR="00592E50" w:rsidRPr="00592E50">
        <w:rPr>
          <w:lang w:val="en-GB"/>
        </w:rPr>
        <w:t xml:space="preserve">ed </w:t>
      </w:r>
      <w:r w:rsidR="00592E50">
        <w:rPr>
          <w:lang w:val="en-GB"/>
        </w:rPr>
        <w:t xml:space="preserve">if new information confirms a certain hypothesis. </w:t>
      </w:r>
      <w:r w:rsidR="003E0962">
        <w:rPr>
          <w:lang w:val="en-GB"/>
        </w:rPr>
        <w:t>In some cases</w:t>
      </w:r>
      <w:r w:rsidR="00592E50" w:rsidRPr="00592E50">
        <w:rPr>
          <w:lang w:val="en-GB"/>
        </w:rPr>
        <w:t>, the processing of this new information could be s</w:t>
      </w:r>
      <w:r w:rsidR="00592E50">
        <w:rPr>
          <w:lang w:val="en-GB"/>
        </w:rPr>
        <w:t>ubject to a bias refer</w:t>
      </w:r>
      <w:r w:rsidR="003E0962">
        <w:rPr>
          <w:lang w:val="en-GB"/>
        </w:rPr>
        <w:t>r</w:t>
      </w:r>
      <w:r w:rsidR="00592E50">
        <w:rPr>
          <w:lang w:val="en-GB"/>
        </w:rPr>
        <w:t xml:space="preserve">ed to as the confirmation bias. </w:t>
      </w:r>
      <w:r w:rsidR="00592E50" w:rsidRPr="00592E50">
        <w:rPr>
          <w:lang w:val="en-GB"/>
        </w:rPr>
        <w:t>This is the case if unjustifiable more effort is p</w:t>
      </w:r>
      <w:r w:rsidR="00592E50">
        <w:rPr>
          <w:lang w:val="en-GB"/>
        </w:rPr>
        <w:t xml:space="preserve">ut into the evaluation of hypothesis affirmative information than in the evaluation of hypothesis dissenting information </w:t>
      </w:r>
      <w:sdt>
        <w:sdtPr>
          <w:rPr>
            <w:lang w:val="en-GB"/>
          </w:rPr>
          <w:id w:val="8255486"/>
          <w:citation/>
        </w:sdtPr>
        <w:sdtContent>
          <w:r w:rsidR="009966E0">
            <w:rPr>
              <w:lang w:val="en-GB"/>
            </w:rPr>
            <w:fldChar w:fldCharType="begin"/>
          </w:r>
          <w:r w:rsidR="00592E50" w:rsidRPr="00592E50">
            <w:rPr>
              <w:lang w:val="en-GB"/>
            </w:rPr>
            <w:instrText xml:space="preserve"> CITATION Jon01 \l 1043 </w:instrText>
          </w:r>
          <w:r w:rsidR="009966E0">
            <w:rPr>
              <w:lang w:val="en-GB"/>
            </w:rPr>
            <w:fldChar w:fldCharType="separate"/>
          </w:r>
          <w:r w:rsidR="00C32B5A" w:rsidRPr="00C32B5A">
            <w:rPr>
              <w:noProof/>
              <w:lang w:val="en-GB"/>
            </w:rPr>
            <w:t>(Jones &amp; Sugden, 2001)</w:t>
          </w:r>
          <w:r w:rsidR="009966E0">
            <w:rPr>
              <w:lang w:val="en-GB"/>
            </w:rPr>
            <w:fldChar w:fldCharType="end"/>
          </w:r>
        </w:sdtContent>
      </w:sdt>
      <w:r w:rsidR="00592E50">
        <w:rPr>
          <w:lang w:val="en-GB"/>
        </w:rPr>
        <w:t xml:space="preserve">. </w:t>
      </w:r>
      <w:r w:rsidR="00592E50" w:rsidRPr="001154E8">
        <w:rPr>
          <w:lang w:val="en-GB"/>
        </w:rPr>
        <w:t xml:space="preserve">A closely related concept is the self-attribution bias. </w:t>
      </w:r>
      <w:r w:rsidR="009D33E1">
        <w:rPr>
          <w:lang w:val="en-GB"/>
        </w:rPr>
        <w:t xml:space="preserve">According to </w:t>
      </w:r>
      <w:r w:rsidR="009D33E1" w:rsidRPr="009D33E1">
        <w:rPr>
          <w:noProof/>
          <w:lang w:val="en-GB"/>
        </w:rPr>
        <w:t>DellaVigna (2009) there is no substantial difference between t</w:t>
      </w:r>
      <w:r w:rsidR="009D33E1">
        <w:rPr>
          <w:noProof/>
          <w:lang w:val="en-GB"/>
        </w:rPr>
        <w:t xml:space="preserve">he descriptions of the confirmation and self-attribution bias. </w:t>
      </w:r>
      <w:r w:rsidR="009D33E1">
        <w:rPr>
          <w:noProof/>
          <w:lang w:val="en-GB"/>
        </w:rPr>
        <w:lastRenderedPageBreak/>
        <w:t xml:space="preserve">Confirmation bias is the tendency to perceive ambiguous new information as hypothesis affirmative, whilst the self-attribution bias is the tendency to downgrade information that is contradictive to one’s hypothesis. </w:t>
      </w:r>
      <w:r w:rsidR="00A13D42" w:rsidRPr="009D33E1">
        <w:rPr>
          <w:noProof/>
          <w:lang w:val="en-GB"/>
        </w:rPr>
        <w:t>The self-attribution bias could be explained by the framework of Staw B. (1980). According to this framework</w:t>
      </w:r>
      <w:r w:rsidR="003E0962">
        <w:rPr>
          <w:noProof/>
          <w:lang w:val="en-GB"/>
        </w:rPr>
        <w:t>,</w:t>
      </w:r>
      <w:r w:rsidR="00A13D42" w:rsidRPr="009D33E1">
        <w:rPr>
          <w:noProof/>
          <w:lang w:val="en-GB"/>
        </w:rPr>
        <w:t xml:space="preserve"> there is prospective rationality and retrospective rationality. Prospective rationality refers to the situation in which (in this case) executives search for and process information so the future decisions are payoff maximizing, whilst retrospective rationality refers to the situation in which executives try to rationalize decisions which are already made. </w:t>
      </w:r>
      <w:r w:rsidR="00066531" w:rsidRPr="009D33E1">
        <w:rPr>
          <w:noProof/>
          <w:lang w:val="en-GB"/>
        </w:rPr>
        <w:t>One way to rationalize</w:t>
      </w:r>
      <w:r w:rsidR="00066531">
        <w:rPr>
          <w:noProof/>
          <w:lang w:val="en-GB"/>
        </w:rPr>
        <w:t xml:space="preserve"> such</w:t>
      </w:r>
      <w:r w:rsidR="00066531" w:rsidRPr="009D33E1">
        <w:rPr>
          <w:noProof/>
          <w:lang w:val="en-GB"/>
        </w:rPr>
        <w:t xml:space="preserve"> an earlier decision is to attribute failures to external circumstances</w:t>
      </w:r>
      <w:r w:rsidR="00066531">
        <w:rPr>
          <w:noProof/>
          <w:lang w:val="en-GB"/>
        </w:rPr>
        <w:t>.</w:t>
      </w:r>
      <w:r w:rsidR="00066531" w:rsidRPr="009D33E1">
        <w:rPr>
          <w:noProof/>
          <w:lang w:val="en-GB"/>
        </w:rPr>
        <w:t xml:space="preserve"> </w:t>
      </w:r>
      <w:r w:rsidR="00A13D42" w:rsidRPr="009D33E1">
        <w:rPr>
          <w:noProof/>
          <w:lang w:val="en-GB"/>
        </w:rPr>
        <w:t>The latter is often used to defend  prior decisions</w:t>
      </w:r>
      <w:r w:rsidR="00066531">
        <w:rPr>
          <w:noProof/>
          <w:lang w:val="en-GB"/>
        </w:rPr>
        <w:t>. Therefore,</w:t>
      </w:r>
      <w:r w:rsidR="003E0962">
        <w:rPr>
          <w:noProof/>
          <w:lang w:val="en-GB"/>
        </w:rPr>
        <w:t xml:space="preserve"> e</w:t>
      </w:r>
      <w:r w:rsidR="00066531">
        <w:rPr>
          <w:noProof/>
          <w:lang w:val="en-GB"/>
        </w:rPr>
        <w:t>xecutives might</w:t>
      </w:r>
      <w:r w:rsidR="00A13D42" w:rsidRPr="009D33E1">
        <w:rPr>
          <w:noProof/>
          <w:lang w:val="en-GB"/>
        </w:rPr>
        <w:t xml:space="preserve"> have the tendency to defend their decision if outcomes turn out to be unfavorable. Attribution of positive outcomes to one’s own behav</w:t>
      </w:r>
      <w:r w:rsidR="003E0962">
        <w:rPr>
          <w:noProof/>
          <w:lang w:val="en-GB"/>
        </w:rPr>
        <w:t>ior could serve as an amplification</w:t>
      </w:r>
      <w:r w:rsidR="00A13D42" w:rsidRPr="009D33E1">
        <w:rPr>
          <w:noProof/>
          <w:lang w:val="en-GB"/>
        </w:rPr>
        <w:t xml:space="preserve"> of self-esteem</w:t>
      </w:r>
      <w:r w:rsidR="003E0962">
        <w:rPr>
          <w:noProof/>
          <w:lang w:val="en-GB"/>
        </w:rPr>
        <w:t>, which is the opposite</w:t>
      </w:r>
      <w:r w:rsidR="00066531">
        <w:rPr>
          <w:noProof/>
          <w:lang w:val="en-GB"/>
        </w:rPr>
        <w:t xml:space="preserve"> to </w:t>
      </w:r>
      <w:r w:rsidR="003E0962">
        <w:rPr>
          <w:noProof/>
          <w:lang w:val="en-GB"/>
        </w:rPr>
        <w:t>the argument of defend</w:t>
      </w:r>
      <w:r w:rsidR="00066531">
        <w:rPr>
          <w:noProof/>
          <w:lang w:val="en-GB"/>
        </w:rPr>
        <w:t>ing one’s choice and position</w:t>
      </w:r>
      <w:r w:rsidR="00A13D42" w:rsidRPr="009D33E1">
        <w:rPr>
          <w:noProof/>
          <w:lang w:val="en-GB"/>
        </w:rPr>
        <w:t>.  The above is, among others,</w:t>
      </w:r>
      <w:r w:rsidR="00066531">
        <w:rPr>
          <w:noProof/>
          <w:lang w:val="en-GB"/>
        </w:rPr>
        <w:t xml:space="preserve"> is</w:t>
      </w:r>
      <w:r w:rsidR="00A13D42" w:rsidRPr="009D33E1">
        <w:rPr>
          <w:noProof/>
          <w:lang w:val="en-GB"/>
        </w:rPr>
        <w:t xml:space="preserve"> tested by</w:t>
      </w:r>
      <w:r w:rsidR="00066531">
        <w:rPr>
          <w:noProof/>
          <w:lang w:val="en-GB"/>
        </w:rPr>
        <w:t xml:space="preserve"> Bettman &amp; Weitz</w:t>
      </w:r>
      <w:r w:rsidR="00066531" w:rsidRPr="00066531">
        <w:rPr>
          <w:noProof/>
          <w:lang w:val="en-GB"/>
        </w:rPr>
        <w:t xml:space="preserve"> </w:t>
      </w:r>
      <w:r w:rsidR="00066531">
        <w:rPr>
          <w:noProof/>
          <w:lang w:val="en-GB"/>
        </w:rPr>
        <w:t>(</w:t>
      </w:r>
      <w:r w:rsidR="00066531" w:rsidRPr="00066531">
        <w:rPr>
          <w:noProof/>
          <w:lang w:val="en-GB"/>
        </w:rPr>
        <w:t>1983)</w:t>
      </w:r>
      <w:r w:rsidR="00A13D42" w:rsidRPr="009D33E1">
        <w:rPr>
          <w:noProof/>
          <w:lang w:val="en-GB"/>
        </w:rPr>
        <w:t>. By analazing annual reports and coding the described information as a favorable or unfavorable outcome, as wel as the mentioned cause of these outcomes, the scholars could conclude that executives indeed attribute positve outcomes to internal causes and unfavorable outcomes to external causes. However, it is unclear if the found conclusion could be complete</w:t>
      </w:r>
      <w:r w:rsidR="00066531">
        <w:rPr>
          <w:noProof/>
          <w:lang w:val="en-GB"/>
        </w:rPr>
        <w:t>ly supported by Staw’s ideas</w:t>
      </w:r>
      <w:r w:rsidR="00A13D42" w:rsidRPr="009D33E1">
        <w:rPr>
          <w:noProof/>
          <w:lang w:val="en-GB"/>
        </w:rPr>
        <w:t xml:space="preserve"> about prospective and retrospective rationality. </w:t>
      </w:r>
    </w:p>
    <w:p w:rsidR="009D33E1" w:rsidRDefault="00A13D42" w:rsidP="009D33E1">
      <w:pPr>
        <w:spacing w:line="360" w:lineRule="auto"/>
        <w:jc w:val="both"/>
        <w:rPr>
          <w:noProof/>
          <w:lang w:val="en-GB"/>
        </w:rPr>
      </w:pPr>
      <w:r w:rsidRPr="009D33E1">
        <w:rPr>
          <w:noProof/>
          <w:lang w:val="en-GB"/>
        </w:rPr>
        <w:t>Another interesting phenomenon which could explain the aforementioned hypotheses</w:t>
      </w:r>
      <w:r w:rsidR="00066531">
        <w:rPr>
          <w:noProof/>
          <w:lang w:val="en-GB"/>
        </w:rPr>
        <w:t xml:space="preserve"> (I &amp; II) </w:t>
      </w:r>
      <w:r w:rsidRPr="009D33E1">
        <w:rPr>
          <w:noProof/>
          <w:lang w:val="en-GB"/>
        </w:rPr>
        <w:t xml:space="preserve"> w</w:t>
      </w:r>
      <w:r w:rsidR="00066531">
        <w:rPr>
          <w:noProof/>
          <w:lang w:val="en-GB"/>
        </w:rPr>
        <w:t>as found in an experiment by Langer &amp; Roth (</w:t>
      </w:r>
      <w:r w:rsidR="00066531" w:rsidRPr="00066531">
        <w:rPr>
          <w:noProof/>
          <w:lang w:val="en-GB"/>
        </w:rPr>
        <w:t>1975)</w:t>
      </w:r>
      <w:r w:rsidR="00066531">
        <w:rPr>
          <w:noProof/>
          <w:lang w:val="en-GB"/>
        </w:rPr>
        <w:t xml:space="preserve"> </w:t>
      </w:r>
      <w:r w:rsidRPr="009D33E1">
        <w:rPr>
          <w:noProof/>
          <w:lang w:val="en-GB"/>
        </w:rPr>
        <w:t xml:space="preserve">and is a combination of the illusion of control and the self-attribution bias. In this experiment  participants had to guess the outcome of a coin flip. However, the outcome of the toss was predetermined by the scholars. One group of participants were told that they were right most of the time in the first half of 30 tosses, hereafter they were ‘wrong’ most of the time. Another group was confronted with the opposite sequence of outcomes. The outcomes of </w:t>
      </w:r>
      <w:r w:rsidR="00066531">
        <w:rPr>
          <w:noProof/>
          <w:lang w:val="en-GB"/>
        </w:rPr>
        <w:t xml:space="preserve">the </w:t>
      </w:r>
      <w:r w:rsidRPr="009D33E1">
        <w:rPr>
          <w:noProof/>
          <w:lang w:val="en-GB"/>
        </w:rPr>
        <w:t xml:space="preserve">guesses made by participants of a third group were randomly determined. </w:t>
      </w:r>
      <w:r w:rsidR="00066531">
        <w:rPr>
          <w:noProof/>
          <w:lang w:val="en-GB"/>
        </w:rPr>
        <w:t>After the toss</w:t>
      </w:r>
      <w:r w:rsidRPr="009D33E1">
        <w:rPr>
          <w:noProof/>
          <w:lang w:val="en-GB"/>
        </w:rPr>
        <w:t>,</w:t>
      </w:r>
      <w:r w:rsidR="00066531">
        <w:rPr>
          <w:noProof/>
          <w:lang w:val="en-GB"/>
        </w:rPr>
        <w:t xml:space="preserve"> </w:t>
      </w:r>
      <w:r w:rsidRPr="009D33E1">
        <w:rPr>
          <w:noProof/>
          <w:lang w:val="en-GB"/>
        </w:rPr>
        <w:t xml:space="preserve">the participants had to fill in a questionnaire concerning the degree of control. Curiously, the participants of the first group claimed that they had more control than they other groups. The researches argued that the participants in the first group might have perceived the task as skill related after some correct choices. In addition, the participants may undervalue outcomes that contradict their hypothesis (self-attribution). The above was confirmed in another experiment, which in addition concluded that the participants which were confronted with succes in the beginning, thought that they could still anticipate the coin flip in the next 100 tosses </w:t>
      </w:r>
      <w:sdt>
        <w:sdtPr>
          <w:rPr>
            <w:noProof/>
            <w:lang w:val="en-GB"/>
          </w:rPr>
          <w:id w:val="6706799"/>
          <w:citation/>
        </w:sdtPr>
        <w:sdtContent>
          <w:r w:rsidR="009966E0" w:rsidRPr="009D33E1">
            <w:rPr>
              <w:noProof/>
              <w:lang w:val="en-GB"/>
            </w:rPr>
            <w:fldChar w:fldCharType="begin"/>
          </w:r>
          <w:r w:rsidRPr="009D33E1">
            <w:rPr>
              <w:noProof/>
              <w:lang w:val="en-GB"/>
            </w:rPr>
            <w:instrText xml:space="preserve"> CITATION Bur86 \l 1043 </w:instrText>
          </w:r>
          <w:r w:rsidR="009966E0" w:rsidRPr="009D33E1">
            <w:rPr>
              <w:noProof/>
              <w:lang w:val="en-GB"/>
            </w:rPr>
            <w:fldChar w:fldCharType="separate"/>
          </w:r>
          <w:r w:rsidR="00C32B5A" w:rsidRPr="00C32B5A">
            <w:rPr>
              <w:noProof/>
              <w:lang w:val="en-GB"/>
            </w:rPr>
            <w:t>(Burger, 1986)</w:t>
          </w:r>
          <w:r w:rsidR="009966E0" w:rsidRPr="009D33E1">
            <w:rPr>
              <w:noProof/>
              <w:lang w:val="en-GB"/>
            </w:rPr>
            <w:fldChar w:fldCharType="end"/>
          </w:r>
        </w:sdtContent>
      </w:sdt>
      <w:r w:rsidRPr="009D33E1">
        <w:rPr>
          <w:noProof/>
          <w:lang w:val="en-GB"/>
        </w:rPr>
        <w:t xml:space="preserve">. This is despite the fact that these participants were encountered with incorrect outcomes in the second part of the tosses. In other words, due to the sequence of outcomes, the participants became </w:t>
      </w:r>
      <w:r w:rsidRPr="009D33E1">
        <w:rPr>
          <w:noProof/>
          <w:lang w:val="en-GB"/>
        </w:rPr>
        <w:lastRenderedPageBreak/>
        <w:t>overconfident about their abilities.The application of this phenomenon to the valuation of acquisition targets, will be discussed in the sequel of this paper.</w:t>
      </w:r>
    </w:p>
    <w:p w:rsidR="00A13D42" w:rsidRDefault="00A13D42" w:rsidP="00066531">
      <w:pPr>
        <w:spacing w:line="360" w:lineRule="auto"/>
        <w:jc w:val="both"/>
        <w:rPr>
          <w:lang w:val="en-GB"/>
        </w:rPr>
      </w:pPr>
      <w:r w:rsidRPr="009D33E1">
        <w:rPr>
          <w:noProof/>
          <w:lang w:val="en-GB"/>
        </w:rPr>
        <w:t xml:space="preserve"> </w:t>
      </w:r>
      <w:r>
        <w:rPr>
          <w:lang w:val="en-GB"/>
        </w:rPr>
        <w:t xml:space="preserve">Another reason which may enhance </w:t>
      </w:r>
      <w:r w:rsidR="00066531">
        <w:rPr>
          <w:lang w:val="en-GB"/>
        </w:rPr>
        <w:t>overconfidence</w:t>
      </w:r>
      <w:r>
        <w:rPr>
          <w:lang w:val="en-GB"/>
        </w:rPr>
        <w:t xml:space="preserve"> is commitment to certain outcomes </w:t>
      </w:r>
      <w:sdt>
        <w:sdtPr>
          <w:rPr>
            <w:lang w:val="en-GB"/>
          </w:rPr>
          <w:id w:val="6706808"/>
          <w:citation/>
        </w:sdtPr>
        <w:sdtContent>
          <w:r w:rsidR="009966E0">
            <w:rPr>
              <w:lang w:val="en-GB"/>
            </w:rPr>
            <w:fldChar w:fldCharType="begin"/>
          </w:r>
          <w:r w:rsidRPr="009069E1">
            <w:rPr>
              <w:lang w:val="en-GB"/>
            </w:rPr>
            <w:instrText xml:space="preserve"> CITATION Wei80 \l 1043 </w:instrText>
          </w:r>
          <w:r w:rsidR="009966E0">
            <w:rPr>
              <w:lang w:val="en-GB"/>
            </w:rPr>
            <w:fldChar w:fldCharType="separate"/>
          </w:r>
          <w:r w:rsidR="00C32B5A" w:rsidRPr="00C32B5A">
            <w:rPr>
              <w:noProof/>
              <w:lang w:val="en-GB"/>
            </w:rPr>
            <w:t>(Weinstein, 1980)</w:t>
          </w:r>
          <w:r w:rsidR="009966E0">
            <w:rPr>
              <w:lang w:val="en-GB"/>
            </w:rPr>
            <w:fldChar w:fldCharType="end"/>
          </w:r>
        </w:sdtContent>
      </w:sdt>
      <w:r>
        <w:rPr>
          <w:lang w:val="en-GB"/>
        </w:rPr>
        <w:t>. In the subject of M&amp;A, the outcome of an acquisition or merger could have a major impact on an executive’s financial compensation</w:t>
      </w:r>
      <w:r w:rsidR="00066531">
        <w:rPr>
          <w:lang w:val="en-GB"/>
        </w:rPr>
        <w:t>, since a share of the financial compensation is a combination of shares and options. The author</w:t>
      </w:r>
      <w:r>
        <w:rPr>
          <w:lang w:val="en-GB"/>
        </w:rPr>
        <w:t xml:space="preserve"> argue</w:t>
      </w:r>
      <w:r w:rsidR="0044776B">
        <w:rPr>
          <w:lang w:val="en-GB"/>
        </w:rPr>
        <w:t>s</w:t>
      </w:r>
      <w:r>
        <w:rPr>
          <w:lang w:val="en-GB"/>
        </w:rPr>
        <w:t xml:space="preserve"> that this </w:t>
      </w:r>
      <w:r w:rsidR="00CF4A13">
        <w:rPr>
          <w:lang w:val="en-GB"/>
        </w:rPr>
        <w:t>is due</w:t>
      </w:r>
      <w:r>
        <w:rPr>
          <w:lang w:val="en-GB"/>
        </w:rPr>
        <w:t xml:space="preserve"> to people’s erroneous thought that others barely try to alter their behaviour in order to achieve preferable outcomes. </w:t>
      </w:r>
    </w:p>
    <w:p w:rsidR="00AD25E3" w:rsidRPr="002112D4" w:rsidRDefault="00AD25E3" w:rsidP="002112D4">
      <w:pPr>
        <w:spacing w:line="360" w:lineRule="auto"/>
        <w:jc w:val="both"/>
        <w:rPr>
          <w:lang w:val="en-GB"/>
        </w:rPr>
      </w:pPr>
      <w:r w:rsidRPr="002112D4">
        <w:rPr>
          <w:noProof/>
          <w:lang w:val="en-GB"/>
        </w:rPr>
        <w:t>Camerer &amp; Malmendier (2004)</w:t>
      </w:r>
      <w:r w:rsidR="002112D4" w:rsidRPr="002112D4">
        <w:rPr>
          <w:noProof/>
          <w:lang w:val="en-GB"/>
        </w:rPr>
        <w:t xml:space="preserve"> applie the f</w:t>
      </w:r>
      <w:r w:rsidR="002112D4">
        <w:rPr>
          <w:noProof/>
          <w:lang w:val="en-GB"/>
        </w:rPr>
        <w:t xml:space="preserve">indings by </w:t>
      </w:r>
      <w:r w:rsidR="002112D4" w:rsidRPr="002112D4">
        <w:rPr>
          <w:noProof/>
          <w:lang w:val="en-GB"/>
        </w:rPr>
        <w:t>Alicke, Klotz, Breitenbecher</w:t>
      </w:r>
      <w:r w:rsidR="002112D4">
        <w:rPr>
          <w:noProof/>
          <w:lang w:val="en-GB"/>
        </w:rPr>
        <w:t xml:space="preserve"> et al (</w:t>
      </w:r>
      <w:r w:rsidR="002112D4" w:rsidRPr="002112D4">
        <w:rPr>
          <w:noProof/>
          <w:lang w:val="en-GB"/>
        </w:rPr>
        <w:t>1995)</w:t>
      </w:r>
      <w:r w:rsidR="002112D4">
        <w:rPr>
          <w:noProof/>
          <w:lang w:val="en-GB"/>
        </w:rPr>
        <w:t xml:space="preserve">, that the level of overconfidence is higher when a point of reference is abstract and not individual, into a managerial context. </w:t>
      </w:r>
      <w:r w:rsidR="002112D4" w:rsidRPr="002112D4">
        <w:rPr>
          <w:noProof/>
          <w:lang w:val="en-GB"/>
        </w:rPr>
        <w:t>When CEOs are analysing an investment opportunity, they have t</w:t>
      </w:r>
      <w:r w:rsidR="002112D4">
        <w:rPr>
          <w:noProof/>
          <w:lang w:val="en-GB"/>
        </w:rPr>
        <w:t>o take the alternatives into account. If this alternative is an investment in financial securities adjusted for the risk, then this could lead to overconfidence, since a CEO could perceive this as being abstract.</w:t>
      </w:r>
      <w:r w:rsidR="002112D4" w:rsidRPr="002112D4">
        <w:rPr>
          <w:noProof/>
          <w:lang w:val="en-GB"/>
        </w:rPr>
        <w:t xml:space="preserve"> </w:t>
      </w:r>
    </w:p>
    <w:p w:rsidR="00E73724" w:rsidRPr="00E73724" w:rsidRDefault="009E5AE1" w:rsidP="000A3BD5">
      <w:pPr>
        <w:spacing w:line="360" w:lineRule="auto"/>
        <w:jc w:val="both"/>
        <w:rPr>
          <w:noProof/>
          <w:lang w:val="en-GB"/>
        </w:rPr>
      </w:pPr>
      <w:r>
        <w:rPr>
          <w:color w:val="000000" w:themeColor="text1"/>
          <w:lang w:val="en-GB"/>
        </w:rPr>
        <w:t>The application of overconfidence on a managerial setting has been thus far shortly described. An empirical test whether overconfidence leads to certain perception</w:t>
      </w:r>
      <w:r w:rsidR="000A3BD5">
        <w:rPr>
          <w:color w:val="000000" w:themeColor="text1"/>
          <w:lang w:val="en-GB"/>
        </w:rPr>
        <w:t>s</w:t>
      </w:r>
      <w:r>
        <w:rPr>
          <w:color w:val="000000" w:themeColor="text1"/>
          <w:lang w:val="en-GB"/>
        </w:rPr>
        <w:t xml:space="preserve"> about one’s managerial skills has been conducted by </w:t>
      </w:r>
      <w:r w:rsidRPr="009E5AE1">
        <w:rPr>
          <w:noProof/>
          <w:color w:val="000000" w:themeColor="text1"/>
          <w:lang w:val="en-GB"/>
        </w:rPr>
        <w:t>Larwood &amp; Whittaker</w:t>
      </w:r>
      <w:r>
        <w:rPr>
          <w:noProof/>
          <w:color w:val="000000" w:themeColor="text1"/>
          <w:lang w:val="en-GB"/>
        </w:rPr>
        <w:t xml:space="preserve"> (</w:t>
      </w:r>
      <w:r w:rsidRPr="009E5AE1">
        <w:rPr>
          <w:noProof/>
          <w:color w:val="000000" w:themeColor="text1"/>
          <w:lang w:val="en-GB"/>
        </w:rPr>
        <w:t>1977)</w:t>
      </w:r>
      <w:r>
        <w:rPr>
          <w:noProof/>
          <w:color w:val="000000" w:themeColor="text1"/>
          <w:lang w:val="en-GB"/>
        </w:rPr>
        <w:t xml:space="preserve">. In this article students and managers were the subjects in an experiment about overestimation concerning business success and actions. Both the students and managers stated that they thought that they </w:t>
      </w:r>
      <w:r w:rsidR="000A3BD5">
        <w:rPr>
          <w:noProof/>
          <w:color w:val="000000" w:themeColor="text1"/>
          <w:lang w:val="en-GB"/>
        </w:rPr>
        <w:t xml:space="preserve">outmatched the other participants on subjects as IQ and perseverance, as well as managerial skills. These thoughts result in overoptimistic expectations about a company’s future. The experiment is related to another well-known experiment by </w:t>
      </w:r>
      <w:r w:rsidR="000A3BD5">
        <w:rPr>
          <w:noProof/>
          <w:lang w:val="en-GB"/>
        </w:rPr>
        <w:t>Svenson (</w:t>
      </w:r>
      <w:r w:rsidR="000A3BD5" w:rsidRPr="000A3BD5">
        <w:rPr>
          <w:noProof/>
          <w:lang w:val="en-GB"/>
        </w:rPr>
        <w:t>1981)</w:t>
      </w:r>
      <w:r>
        <w:rPr>
          <w:color w:val="000000" w:themeColor="text1"/>
          <w:lang w:val="en-GB"/>
        </w:rPr>
        <w:t xml:space="preserve"> </w:t>
      </w:r>
      <w:r w:rsidR="000A3BD5">
        <w:rPr>
          <w:color w:val="000000" w:themeColor="text1"/>
          <w:lang w:val="en-GB"/>
        </w:rPr>
        <w:t xml:space="preserve">in which an overwhelming majority of the participants stated that they are better drivers than average. This phenomenon is confirmed by means of an experiment in which 37% of the respondents stated that their working capacities were in the top 5% of the </w:t>
      </w:r>
      <w:r w:rsidR="009C7FB0">
        <w:rPr>
          <w:color w:val="000000" w:themeColor="text1"/>
          <w:lang w:val="en-GB"/>
        </w:rPr>
        <w:t xml:space="preserve">company </w:t>
      </w:r>
      <w:sdt>
        <w:sdtPr>
          <w:rPr>
            <w:color w:val="000000" w:themeColor="text1"/>
            <w:lang w:val="en-GB"/>
          </w:rPr>
          <w:id w:val="9558670"/>
          <w:citation/>
        </w:sdtPr>
        <w:sdtContent>
          <w:r w:rsidR="009966E0">
            <w:rPr>
              <w:color w:val="000000" w:themeColor="text1"/>
              <w:lang w:val="en-GB"/>
            </w:rPr>
            <w:fldChar w:fldCharType="begin"/>
          </w:r>
          <w:r w:rsidR="009C7FB0" w:rsidRPr="009C7FB0">
            <w:rPr>
              <w:color w:val="000000" w:themeColor="text1"/>
              <w:lang w:val="en-GB"/>
            </w:rPr>
            <w:instrText xml:space="preserve"> CITATION Zen92 \l 1043 </w:instrText>
          </w:r>
          <w:r w:rsidR="009966E0">
            <w:rPr>
              <w:color w:val="000000" w:themeColor="text1"/>
              <w:lang w:val="en-GB"/>
            </w:rPr>
            <w:fldChar w:fldCharType="separate"/>
          </w:r>
          <w:r w:rsidR="00C32B5A" w:rsidRPr="00C32B5A">
            <w:rPr>
              <w:noProof/>
              <w:color w:val="000000" w:themeColor="text1"/>
              <w:lang w:val="en-GB"/>
            </w:rPr>
            <w:t>(Zenger, 1992)</w:t>
          </w:r>
          <w:r w:rsidR="009966E0">
            <w:rPr>
              <w:color w:val="000000" w:themeColor="text1"/>
              <w:lang w:val="en-GB"/>
            </w:rPr>
            <w:fldChar w:fldCharType="end"/>
          </w:r>
        </w:sdtContent>
      </w:sdt>
      <w:r w:rsidR="000A3BD5">
        <w:rPr>
          <w:noProof/>
          <w:lang w:val="en-GB"/>
        </w:rPr>
        <w:t xml:space="preserve">. </w:t>
      </w:r>
      <w:r w:rsidR="00E73724">
        <w:rPr>
          <w:noProof/>
          <w:lang w:val="en-GB"/>
        </w:rPr>
        <w:t>Ent</w:t>
      </w:r>
      <w:r w:rsidR="005970F8">
        <w:rPr>
          <w:noProof/>
          <w:lang w:val="en-GB"/>
        </w:rPr>
        <w:t>re</w:t>
      </w:r>
      <w:r w:rsidR="00E73724">
        <w:rPr>
          <w:noProof/>
          <w:lang w:val="en-GB"/>
        </w:rPr>
        <w:t xml:space="preserve">preneurs of start-ups are overoptimistic about the chances of success </w:t>
      </w:r>
      <w:sdt>
        <w:sdtPr>
          <w:id w:val="8256536"/>
          <w:citation/>
        </w:sdtPr>
        <w:sdtContent>
          <w:r w:rsidR="009966E0" w:rsidRPr="00E73724">
            <w:fldChar w:fldCharType="begin"/>
          </w:r>
          <w:r w:rsidR="00E73724" w:rsidRPr="00E73724">
            <w:rPr>
              <w:lang w:val="en-GB"/>
            </w:rPr>
            <w:instrText xml:space="preserve"> CITATION Coo88 \l 1043 </w:instrText>
          </w:r>
          <w:r w:rsidR="009966E0" w:rsidRPr="00E73724">
            <w:fldChar w:fldCharType="separate"/>
          </w:r>
          <w:r w:rsidR="00C32B5A" w:rsidRPr="00C32B5A">
            <w:rPr>
              <w:noProof/>
              <w:lang w:val="en-GB"/>
            </w:rPr>
            <w:t>(Cooper, Woo, &amp; Dunkelberg, 1988)</w:t>
          </w:r>
          <w:r w:rsidR="009966E0" w:rsidRPr="00E73724">
            <w:fldChar w:fldCharType="end"/>
          </w:r>
        </w:sdtContent>
      </w:sdt>
      <w:r w:rsidR="00E73724" w:rsidRPr="00E73724">
        <w:rPr>
          <w:lang w:val="en-GB"/>
        </w:rPr>
        <w:t>.</w:t>
      </w:r>
      <w:r w:rsidR="00E73724">
        <w:rPr>
          <w:lang w:val="en-GB"/>
        </w:rPr>
        <w:t xml:space="preserve"> Small financial reserves and the absence of a critical view on the strategy could be problems related to this over</w:t>
      </w:r>
      <w:r w:rsidR="005970F8">
        <w:rPr>
          <w:lang w:val="en-GB"/>
        </w:rPr>
        <w:t>-</w:t>
      </w:r>
      <w:r w:rsidR="00E73724">
        <w:rPr>
          <w:lang w:val="en-GB"/>
        </w:rPr>
        <w:t xml:space="preserve">optimism. </w:t>
      </w:r>
      <w:r w:rsidR="005970F8">
        <w:rPr>
          <w:lang w:val="en-GB"/>
        </w:rPr>
        <w:t xml:space="preserve">The entrepreneurs’ estimations of chances of success for others, was lower than their own predicted chances. The the degree over-optimism was higher after the company was started. </w:t>
      </w:r>
    </w:p>
    <w:p w:rsidR="00A13D42" w:rsidRPr="003A5395" w:rsidRDefault="005970F8" w:rsidP="003A5395">
      <w:pPr>
        <w:spacing w:line="360" w:lineRule="auto"/>
        <w:jc w:val="both"/>
        <w:rPr>
          <w:color w:val="FF0000"/>
          <w:lang w:val="en-GB"/>
        </w:rPr>
      </w:pPr>
      <w:r w:rsidRPr="005970F8">
        <w:rPr>
          <w:noProof/>
          <w:color w:val="000000" w:themeColor="text1"/>
          <w:lang w:val="en-GB"/>
        </w:rPr>
        <w:t>Roll (1986) was the first s</w:t>
      </w:r>
      <w:r>
        <w:rPr>
          <w:noProof/>
          <w:color w:val="000000" w:themeColor="text1"/>
          <w:lang w:val="en-GB"/>
        </w:rPr>
        <w:t xml:space="preserve">cholar who argued that M&amp;As could be the consequences of what he called hubris (which is in line with the term overconfidence). </w:t>
      </w:r>
      <w:r w:rsidRPr="005970F8">
        <w:rPr>
          <w:noProof/>
          <w:color w:val="000000" w:themeColor="text1"/>
          <w:lang w:val="en-GB"/>
        </w:rPr>
        <w:t xml:space="preserve">At that moment, the scientific idea existed that acquisitions </w:t>
      </w:r>
      <w:r>
        <w:rPr>
          <w:noProof/>
          <w:color w:val="000000" w:themeColor="text1"/>
          <w:lang w:val="en-GB"/>
        </w:rPr>
        <w:t xml:space="preserve">occurred as a result of potential synergy advantages, tax benefits and/or mismanagement. Roll stated that if the assumptions of a strong-form efficient market and hubris are made, the market value of the potential acquirer should decrease, opposed to the market of the target. </w:t>
      </w:r>
      <w:r w:rsidRPr="005970F8">
        <w:rPr>
          <w:noProof/>
          <w:color w:val="000000" w:themeColor="text1"/>
          <w:lang w:val="en-GB"/>
        </w:rPr>
        <w:t>He did not find significant prove for this, but t</w:t>
      </w:r>
      <w:r>
        <w:rPr>
          <w:noProof/>
          <w:color w:val="000000" w:themeColor="text1"/>
          <w:lang w:val="en-GB"/>
        </w:rPr>
        <w:t xml:space="preserve">he idea of a relationship between </w:t>
      </w:r>
      <w:r>
        <w:rPr>
          <w:noProof/>
          <w:color w:val="000000" w:themeColor="text1"/>
          <w:lang w:val="en-GB"/>
        </w:rPr>
        <w:lastRenderedPageBreak/>
        <w:t xml:space="preserve">overconfidence and M&amp;A activity was proposed. </w:t>
      </w:r>
      <w:r w:rsidR="00D22F85" w:rsidRPr="00D22F85">
        <w:rPr>
          <w:noProof/>
          <w:lang w:val="en-GB"/>
        </w:rPr>
        <w:t xml:space="preserve">Hayward &amp; Hambrick (1997) </w:t>
      </w:r>
      <w:r w:rsidR="00B12FFE">
        <w:rPr>
          <w:noProof/>
          <w:lang w:val="en-GB"/>
        </w:rPr>
        <w:t>found an indication</w:t>
      </w:r>
      <w:r w:rsidR="00D22F85">
        <w:rPr>
          <w:noProof/>
          <w:lang w:val="en-GB"/>
        </w:rPr>
        <w:t xml:space="preserve"> for the relationship between indicators of overconfidence and premiums paid in acquisitions. These indicators are historical business performance, CEO related media news and the perceived status compared to other employees. Media news could amplify a CEO’s overconfidence, since a CEO could adopt the outside view of the media. The proxy for an executive’s perception about his position is the ratio between the CEO’s financial compensation and the second executive’s compensation. If the difference in compensation is high, the CEO could have the perception that the company’s (board of directors) view is that </w:t>
      </w:r>
      <w:r w:rsidR="003A5395">
        <w:rPr>
          <w:noProof/>
          <w:lang w:val="en-GB"/>
        </w:rPr>
        <w:t xml:space="preserve">he is the person who has made the best decisions. </w:t>
      </w:r>
      <w:r w:rsidR="003A5395" w:rsidRPr="003A5395">
        <w:rPr>
          <w:noProof/>
          <w:lang w:val="en-GB"/>
        </w:rPr>
        <w:t>Malmendier &amp; Tate (2005) has examined the relationship between overconfidence and v</w:t>
      </w:r>
      <w:r w:rsidR="003A5395">
        <w:rPr>
          <w:noProof/>
          <w:lang w:val="en-GB"/>
        </w:rPr>
        <w:t>aluation/bidding as well. In their research the found evidence for the conclusion that overconfidence could result to overinvestment or –pricing, if internal cash reserves are sufficient. The latter is based on the idea that financial markets could bound the executive’s aspiration to invest, if there is insufficient cash and consequently external financing is necessary. Executives might be unwilling to finance externally, since they have the view that the company is undervaluated by the financial markets. This possible point of view is based on the fact that such executives overestimate the value of the company, as this value represents the value of future investments as well, which are overvalued by the executives due to overconfidence (and over-optimism). T</w:t>
      </w:r>
      <w:r w:rsidR="00F55076">
        <w:rPr>
          <w:noProof/>
          <w:lang w:val="en-GB"/>
        </w:rPr>
        <w:t>he way the Malmendier &amp; Tate have</w:t>
      </w:r>
      <w:r w:rsidR="003A5395">
        <w:rPr>
          <w:noProof/>
          <w:lang w:val="en-GB"/>
        </w:rPr>
        <w:t xml:space="preserve"> measured the degree of overconfidence could be of value to further research</w:t>
      </w:r>
      <w:r w:rsidR="00F55076">
        <w:rPr>
          <w:noProof/>
          <w:lang w:val="en-GB"/>
        </w:rPr>
        <w:t xml:space="preserve"> which makes use of data from a database. Because of the form of financial compensation by means of shares and options combined with the restriction to hedge the accompanied risk, risk averse executives should </w:t>
      </w:r>
      <w:r w:rsidR="00D7558A">
        <w:rPr>
          <w:noProof/>
          <w:lang w:val="en-GB"/>
        </w:rPr>
        <w:t>exercise their given options. The authors determined the moment at which ,given the executives risk profile, he should exercise the options. If this moment was exceeded, one can conclude that these executives are overconfident about their abilities and the performances of the company. This is later confirmed in another research (</w:t>
      </w:r>
      <w:r w:rsidR="00D7558A" w:rsidRPr="00D7558A">
        <w:rPr>
          <w:noProof/>
          <w:lang w:val="en-GB"/>
        </w:rPr>
        <w:t xml:space="preserve">Malmendier &amp; Tate, 2008). </w:t>
      </w:r>
      <w:r w:rsidR="00D7558A">
        <w:rPr>
          <w:noProof/>
          <w:lang w:val="en-GB"/>
        </w:rPr>
        <w:t xml:space="preserve"> </w:t>
      </w:r>
    </w:p>
    <w:p w:rsidR="00E652EB" w:rsidRPr="00D7558A" w:rsidRDefault="00D7558A" w:rsidP="00A312B8">
      <w:pPr>
        <w:spacing w:line="360" w:lineRule="auto"/>
        <w:jc w:val="both"/>
        <w:rPr>
          <w:lang w:val="en-GB"/>
        </w:rPr>
      </w:pPr>
      <w:r>
        <w:rPr>
          <w:lang w:val="en-GB"/>
        </w:rPr>
        <w:t xml:space="preserve">Empirical findings concerning the </w:t>
      </w:r>
      <w:r w:rsidR="00977A48">
        <w:rPr>
          <w:lang w:val="en-GB"/>
        </w:rPr>
        <w:t>effect</w:t>
      </w:r>
      <w:r>
        <w:rPr>
          <w:lang w:val="en-GB"/>
        </w:rPr>
        <w:t xml:space="preserve"> of overconfidence on valuations made by executives ha</w:t>
      </w:r>
      <w:r w:rsidR="001154E8">
        <w:rPr>
          <w:lang w:val="en-GB"/>
        </w:rPr>
        <w:t>ve</w:t>
      </w:r>
      <w:r>
        <w:rPr>
          <w:lang w:val="en-GB"/>
        </w:rPr>
        <w:t xml:space="preserve"> been considered. However, this </w:t>
      </w:r>
      <w:r w:rsidR="00977A48">
        <w:rPr>
          <w:lang w:val="en-GB"/>
        </w:rPr>
        <w:t>is not sufficient to justify hypothesis I &amp; II; the relationship between the temperature of the M&amp;A market and valuations made by executives. The link between prior business experiences</w:t>
      </w:r>
      <w:r w:rsidR="001154E8">
        <w:rPr>
          <w:lang w:val="en-GB"/>
        </w:rPr>
        <w:t xml:space="preserve"> (related to temperature of M&amp;A market)</w:t>
      </w:r>
      <w:r w:rsidR="00977A48">
        <w:rPr>
          <w:lang w:val="en-GB"/>
        </w:rPr>
        <w:t xml:space="preserve"> and overconfidence has to be made, which will be done in the next section. </w:t>
      </w:r>
    </w:p>
    <w:p w:rsidR="00665883" w:rsidRDefault="00665883" w:rsidP="00082B85">
      <w:pPr>
        <w:pStyle w:val="Heading3"/>
        <w:rPr>
          <w:i/>
          <w:color w:val="76923C" w:themeColor="accent3" w:themeShade="BF"/>
          <w:lang w:val="en-GB"/>
        </w:rPr>
      </w:pPr>
      <w:bookmarkStart w:id="6" w:name="_Toc397238586"/>
      <w:r w:rsidRPr="00772E6D">
        <w:rPr>
          <w:i/>
          <w:color w:val="76923C" w:themeColor="accent3" w:themeShade="BF"/>
          <w:lang w:val="en-GB"/>
        </w:rPr>
        <w:t>Relation temperature of the market and overconfidence</w:t>
      </w:r>
      <w:bookmarkEnd w:id="6"/>
    </w:p>
    <w:p w:rsidR="00772E6D" w:rsidRPr="00772E6D" w:rsidRDefault="00772E6D" w:rsidP="00772E6D">
      <w:pPr>
        <w:rPr>
          <w:lang w:val="en-GB"/>
        </w:rPr>
      </w:pPr>
    </w:p>
    <w:p w:rsidR="00E73724" w:rsidRDefault="00B12FFE" w:rsidP="00A312B8">
      <w:pPr>
        <w:spacing w:line="360" w:lineRule="auto"/>
        <w:jc w:val="both"/>
        <w:rPr>
          <w:lang w:val="en-GB"/>
        </w:rPr>
      </w:pPr>
      <w:r>
        <w:rPr>
          <w:lang w:val="en-GB"/>
        </w:rPr>
        <w:t xml:space="preserve">In order to justify hypothesis I </w:t>
      </w:r>
      <w:r w:rsidR="009653D7">
        <w:rPr>
          <w:lang w:val="en-GB"/>
        </w:rPr>
        <w:t xml:space="preserve">and especially hypothesis </w:t>
      </w:r>
      <w:r>
        <w:rPr>
          <w:lang w:val="en-GB"/>
        </w:rPr>
        <w:t>II</w:t>
      </w:r>
      <w:r w:rsidR="009653D7">
        <w:rPr>
          <w:lang w:val="en-GB"/>
        </w:rPr>
        <w:t>,</w:t>
      </w:r>
      <w:r>
        <w:rPr>
          <w:lang w:val="en-GB"/>
        </w:rPr>
        <w:t xml:space="preserve"> the relationship between the temperature of the M&amp;A market and the level of overconfidence has to be considered. Combined with the earlier described correlation between the level of overconfidence and prices paid for investment </w:t>
      </w:r>
      <w:r>
        <w:rPr>
          <w:lang w:val="en-GB"/>
        </w:rPr>
        <w:lastRenderedPageBreak/>
        <w:t xml:space="preserve">opportunities, the effect of the relation </w:t>
      </w:r>
      <w:r w:rsidR="009653D7">
        <w:rPr>
          <w:lang w:val="en-GB"/>
        </w:rPr>
        <w:t>between the temperature of the M&amp;A market and valuation ca</w:t>
      </w:r>
      <w:r>
        <w:rPr>
          <w:lang w:val="en-GB"/>
        </w:rPr>
        <w:t>n be derived.</w:t>
      </w:r>
      <w:r w:rsidR="009653D7">
        <w:rPr>
          <w:lang w:val="en-GB"/>
        </w:rPr>
        <w:t xml:space="preserve"> </w:t>
      </w:r>
    </w:p>
    <w:p w:rsidR="00DF772D" w:rsidRDefault="00CF4A13" w:rsidP="00A312B8">
      <w:pPr>
        <w:spacing w:line="360" w:lineRule="auto"/>
        <w:jc w:val="both"/>
        <w:rPr>
          <w:lang w:val="en-GB"/>
        </w:rPr>
      </w:pPr>
      <w:r>
        <w:rPr>
          <w:lang w:val="en-GB"/>
        </w:rPr>
        <w:t>Recall that</w:t>
      </w:r>
      <w:r w:rsidR="00DF772D">
        <w:rPr>
          <w:lang w:val="en-GB"/>
        </w:rPr>
        <w:t xml:space="preserve"> the assumption is made that the condition of the M&amp;A market is related to the business cycle and therefore as well as to company performances. A company in a hot deal market is therefore assumed to have encountered a positive business experience, whilst a company in a cold deal market is assumed to have encountered prior negative businesses experiences. Unquestionably, firm-specific variables could offset the influence of the business cycle and therefore undermine the assumption. However, one may expect that the correlation holds in general. </w:t>
      </w:r>
    </w:p>
    <w:p w:rsidR="001B3F9B" w:rsidRDefault="001B3F9B" w:rsidP="00A312B8">
      <w:pPr>
        <w:spacing w:line="360" w:lineRule="auto"/>
        <w:jc w:val="both"/>
        <w:rPr>
          <w:lang w:val="en-GB"/>
        </w:rPr>
      </w:pPr>
      <w:r>
        <w:rPr>
          <w:lang w:val="en-GB"/>
        </w:rPr>
        <w:t xml:space="preserve">Experimental findings suggest that </w:t>
      </w:r>
      <w:r w:rsidR="00CF4A13">
        <w:rPr>
          <w:lang w:val="en-GB"/>
        </w:rPr>
        <w:t>executives,</w:t>
      </w:r>
      <w:r>
        <w:rPr>
          <w:lang w:val="en-GB"/>
        </w:rPr>
        <w:t xml:space="preserve"> who had been confronted with an earlier loss, were less optimistic about their company’s future compared to others </w:t>
      </w:r>
      <w:sdt>
        <w:sdtPr>
          <w:rPr>
            <w:lang w:val="en-GB"/>
          </w:rPr>
          <w:id w:val="8256565"/>
          <w:citation/>
        </w:sdtPr>
        <w:sdtContent>
          <w:r w:rsidR="009966E0">
            <w:rPr>
              <w:lang w:val="en-GB"/>
            </w:rPr>
            <w:fldChar w:fldCharType="begin"/>
          </w:r>
          <w:r w:rsidRPr="001B3F9B">
            <w:rPr>
              <w:lang w:val="en-GB"/>
            </w:rPr>
            <w:instrText xml:space="preserve"> CITATION Lar77 \l 1043 </w:instrText>
          </w:r>
          <w:r w:rsidR="009966E0">
            <w:rPr>
              <w:lang w:val="en-GB"/>
            </w:rPr>
            <w:fldChar w:fldCharType="separate"/>
          </w:r>
          <w:r w:rsidR="00C32B5A" w:rsidRPr="00C32B5A">
            <w:rPr>
              <w:noProof/>
              <w:lang w:val="en-GB"/>
            </w:rPr>
            <w:t>(Larwood &amp; Whittaker, 1977)</w:t>
          </w:r>
          <w:r w:rsidR="009966E0">
            <w:rPr>
              <w:lang w:val="en-GB"/>
            </w:rPr>
            <w:fldChar w:fldCharType="end"/>
          </w:r>
        </w:sdtContent>
      </w:sdt>
      <w:r>
        <w:rPr>
          <w:lang w:val="en-GB"/>
        </w:rPr>
        <w:t xml:space="preserve">. However, it is ambiguous whether this perception is based on the idea that exogenous circumstances will be negative or on the idea that they executives are less confident about their own managerial skills. </w:t>
      </w:r>
    </w:p>
    <w:p w:rsidR="00E87DA7" w:rsidRPr="00E87DA7" w:rsidRDefault="001B3F9B" w:rsidP="00A312B8">
      <w:pPr>
        <w:spacing w:line="360" w:lineRule="auto"/>
        <w:jc w:val="both"/>
        <w:rPr>
          <w:noProof/>
          <w:lang w:val="en-GB"/>
        </w:rPr>
      </w:pPr>
      <w:r>
        <w:rPr>
          <w:lang w:val="en-GB"/>
        </w:rPr>
        <w:t>In case of positive prior business experiences, the level of overconfidence could also be enhanced. There are various factors which could alter one’s overconfidence, including</w:t>
      </w:r>
      <w:r w:rsidR="00645237">
        <w:rPr>
          <w:lang w:val="en-GB"/>
        </w:rPr>
        <w:t>:</w:t>
      </w:r>
      <w:r>
        <w:rPr>
          <w:lang w:val="en-GB"/>
        </w:rPr>
        <w:t xml:space="preserve"> the illusion of control, the confirmation bias, the self-a</w:t>
      </w:r>
      <w:r w:rsidR="00645237">
        <w:rPr>
          <w:lang w:val="en-GB"/>
        </w:rPr>
        <w:t>ttribution bias, commitment and abstract reference points. One of these factors could be the reason for the positive relationship between prior business experiences and the level of overconfidence. As earlier stated, an executive could have the perception that the position of CEO offers the greatest opportunity to have control over decision</w:t>
      </w:r>
      <w:r w:rsidR="00E87DA7">
        <w:rPr>
          <w:lang w:val="en-GB"/>
        </w:rPr>
        <w:t>s to be</w:t>
      </w:r>
      <w:r w:rsidR="00645237">
        <w:rPr>
          <w:lang w:val="en-GB"/>
        </w:rPr>
        <w:t xml:space="preserve"> made. In order to become CEO, it is expected that one has had multiple successes.</w:t>
      </w:r>
      <w:r w:rsidR="00583DDE">
        <w:rPr>
          <w:lang w:val="en-GB"/>
        </w:rPr>
        <w:t xml:space="preserve"> Therefore a positive relationship </w:t>
      </w:r>
      <w:r w:rsidR="00E87DA7">
        <w:rPr>
          <w:lang w:val="en-GB"/>
        </w:rPr>
        <w:t>might exist</w:t>
      </w:r>
      <w:r w:rsidR="00583DDE">
        <w:rPr>
          <w:lang w:val="en-GB"/>
        </w:rPr>
        <w:t xml:space="preserve"> between prior successes and overconfidence.</w:t>
      </w:r>
      <w:r w:rsidR="00645237">
        <w:rPr>
          <w:lang w:val="en-GB"/>
        </w:rPr>
        <w:t xml:space="preserve"> </w:t>
      </w:r>
      <w:r w:rsidR="00583DDE">
        <w:rPr>
          <w:lang w:val="en-GB"/>
        </w:rPr>
        <w:t>However, the hypotheses</w:t>
      </w:r>
      <w:r w:rsidR="00E87DA7">
        <w:rPr>
          <w:lang w:val="en-GB"/>
        </w:rPr>
        <w:t xml:space="preserve"> in this paper</w:t>
      </w:r>
      <w:r w:rsidR="00583DDE">
        <w:rPr>
          <w:lang w:val="en-GB"/>
        </w:rPr>
        <w:t xml:space="preserve"> are based on a situation of prior business experience encountered in the role of executive</w:t>
      </w:r>
      <w:r w:rsidR="00E87DA7">
        <w:rPr>
          <w:lang w:val="en-GB"/>
        </w:rPr>
        <w:t>, not of the period before</w:t>
      </w:r>
      <w:r w:rsidR="00583DDE">
        <w:rPr>
          <w:lang w:val="en-GB"/>
        </w:rPr>
        <w:t xml:space="preserve">. </w:t>
      </w:r>
      <w:r w:rsidR="00583DDE" w:rsidRPr="00583DDE">
        <w:rPr>
          <w:lang w:val="en-GB"/>
        </w:rPr>
        <w:t>On the contrary, the bias of self-attribution could b</w:t>
      </w:r>
      <w:r w:rsidR="00583DDE">
        <w:rPr>
          <w:lang w:val="en-GB"/>
        </w:rPr>
        <w:t xml:space="preserve">e a plausible explanation. </w:t>
      </w:r>
      <w:r w:rsidR="00583DDE" w:rsidRPr="00583DDE">
        <w:rPr>
          <w:lang w:val="en-GB"/>
        </w:rPr>
        <w:t>If prior business success is attributed to the actions m</w:t>
      </w:r>
      <w:r w:rsidR="00583DDE">
        <w:rPr>
          <w:lang w:val="en-GB"/>
        </w:rPr>
        <w:t>ade by an executive, this could reinforces an executives</w:t>
      </w:r>
      <w:r w:rsidR="00EF6972">
        <w:rPr>
          <w:lang w:val="en-GB"/>
        </w:rPr>
        <w:t>’</w:t>
      </w:r>
      <w:r w:rsidR="00583DDE">
        <w:rPr>
          <w:lang w:val="en-GB"/>
        </w:rPr>
        <w:t xml:space="preserve"> self confidence and consequently lead to overconfidence. </w:t>
      </w:r>
      <w:r w:rsidR="006440CB" w:rsidRPr="006440CB">
        <w:rPr>
          <w:lang w:val="en-GB"/>
        </w:rPr>
        <w:t>On the other hand, the self-attribution bias implies t</w:t>
      </w:r>
      <w:r w:rsidR="006440CB">
        <w:rPr>
          <w:lang w:val="en-GB"/>
        </w:rPr>
        <w:t xml:space="preserve">hat executives have the tendency to attribute prior negative business experiences to exogenous circumstances. </w:t>
      </w:r>
      <w:r w:rsidR="006440CB" w:rsidRPr="006440CB">
        <w:rPr>
          <w:lang w:val="en-GB"/>
        </w:rPr>
        <w:t>Due to this tendency the self esteem of executives c</w:t>
      </w:r>
      <w:r w:rsidR="006440CB">
        <w:rPr>
          <w:lang w:val="en-GB"/>
        </w:rPr>
        <w:t xml:space="preserve">ould be asymmetrical altered compared to the situation of prior business successes. </w:t>
      </w:r>
      <w:r w:rsidR="00EF6972" w:rsidRPr="00EF6972">
        <w:rPr>
          <w:lang w:val="en-GB"/>
        </w:rPr>
        <w:t xml:space="preserve">In other words: </w:t>
      </w:r>
      <w:r w:rsidR="00CF4A13" w:rsidRPr="00EF6972">
        <w:rPr>
          <w:lang w:val="en-GB"/>
        </w:rPr>
        <w:t>prior positive business experiences enhance</w:t>
      </w:r>
      <w:r w:rsidR="00EF6972" w:rsidRPr="00EF6972">
        <w:rPr>
          <w:lang w:val="en-GB"/>
        </w:rPr>
        <w:t xml:space="preserve"> the level of confidence more than </w:t>
      </w:r>
      <w:r w:rsidR="00EF6972">
        <w:rPr>
          <w:lang w:val="en-GB"/>
        </w:rPr>
        <w:t xml:space="preserve">prior negative business experiences decreases the level of confidence. </w:t>
      </w:r>
      <w:r w:rsidR="00EF6972" w:rsidRPr="00E87DA7">
        <w:rPr>
          <w:lang w:val="en-GB"/>
        </w:rPr>
        <w:t>This effect might possibly be reinforced by groupthink.</w:t>
      </w:r>
      <w:r w:rsidR="00E87DA7">
        <w:rPr>
          <w:lang w:val="en-GB"/>
        </w:rPr>
        <w:t xml:space="preserve"> Another explanation for the relationship between prior business experience and the level of overconfidence is the so called reactance effect </w:t>
      </w:r>
      <w:sdt>
        <w:sdtPr>
          <w:rPr>
            <w:color w:val="FF0000"/>
          </w:rPr>
          <w:id w:val="8256569"/>
          <w:citation/>
        </w:sdtPr>
        <w:sdtEndPr>
          <w:rPr>
            <w:color w:val="auto"/>
          </w:rPr>
        </w:sdtEndPr>
        <w:sdtContent>
          <w:r w:rsidR="009966E0" w:rsidRPr="00E87DA7">
            <w:fldChar w:fldCharType="begin"/>
          </w:r>
          <w:r w:rsidR="00E87DA7" w:rsidRPr="00E87DA7">
            <w:rPr>
              <w:lang w:val="en-GB"/>
            </w:rPr>
            <w:instrText xml:space="preserve"> CITATION Wor75 \l 1043 </w:instrText>
          </w:r>
          <w:r w:rsidR="009966E0" w:rsidRPr="00E87DA7">
            <w:fldChar w:fldCharType="separate"/>
          </w:r>
          <w:r w:rsidR="00C32B5A" w:rsidRPr="00C32B5A">
            <w:rPr>
              <w:noProof/>
              <w:lang w:val="en-GB"/>
            </w:rPr>
            <w:t>(Wortman, Brehm, &amp; Berkowitz, 1975)</w:t>
          </w:r>
          <w:r w:rsidR="009966E0" w:rsidRPr="00E87DA7">
            <w:fldChar w:fldCharType="end"/>
          </w:r>
        </w:sdtContent>
      </w:sdt>
      <w:r w:rsidR="00E87DA7" w:rsidRPr="00E87DA7">
        <w:rPr>
          <w:lang w:val="en-GB"/>
        </w:rPr>
        <w:t>.</w:t>
      </w:r>
      <w:r w:rsidR="00E87DA7">
        <w:rPr>
          <w:noProof/>
          <w:lang w:val="en-GB"/>
        </w:rPr>
        <w:t xml:space="preserve"> </w:t>
      </w:r>
      <w:r w:rsidR="00E87DA7" w:rsidRPr="00E87DA7">
        <w:rPr>
          <w:noProof/>
          <w:lang w:val="en-GB"/>
        </w:rPr>
        <w:t>This refers to the idea that after an initial s</w:t>
      </w:r>
      <w:r w:rsidR="00E87DA7">
        <w:rPr>
          <w:noProof/>
          <w:lang w:val="en-GB"/>
        </w:rPr>
        <w:t xml:space="preserve">etback, one could be extra motivated to act rationally in their </w:t>
      </w:r>
      <w:r w:rsidR="00E87DA7">
        <w:rPr>
          <w:noProof/>
          <w:lang w:val="en-GB"/>
        </w:rPr>
        <w:lastRenderedPageBreak/>
        <w:t xml:space="preserve">next decision by, for example, taking more conditions into account. </w:t>
      </w:r>
      <w:r w:rsidR="00E87DA7" w:rsidRPr="00E87DA7">
        <w:rPr>
          <w:noProof/>
          <w:lang w:val="en-GB"/>
        </w:rPr>
        <w:t>It is ambiguous whether this effect results in higher o</w:t>
      </w:r>
      <w:r w:rsidR="00E87DA7">
        <w:rPr>
          <w:noProof/>
          <w:lang w:val="en-GB"/>
        </w:rPr>
        <w:t xml:space="preserve">r lower valuations. If prior business experiences have resulted in a certain degree of mental depression, then this could lead to a more realism. This phenomenon is called depressive realism </w:t>
      </w:r>
      <w:sdt>
        <w:sdtPr>
          <w:id w:val="8256571"/>
          <w:citation/>
        </w:sdtPr>
        <w:sdtContent>
          <w:r w:rsidR="009966E0">
            <w:fldChar w:fldCharType="begin"/>
          </w:r>
          <w:r w:rsidR="00E87DA7" w:rsidRPr="00E87DA7">
            <w:rPr>
              <w:lang w:val="en-GB"/>
            </w:rPr>
            <w:instrText xml:space="preserve"> CITATION All79 \l 1043 </w:instrText>
          </w:r>
          <w:r w:rsidR="009966E0">
            <w:fldChar w:fldCharType="separate"/>
          </w:r>
          <w:r w:rsidR="00C32B5A" w:rsidRPr="00C32B5A">
            <w:rPr>
              <w:noProof/>
              <w:lang w:val="en-GB"/>
            </w:rPr>
            <w:t>(Alloy &amp; Abramson, 1979)</w:t>
          </w:r>
          <w:r w:rsidR="009966E0">
            <w:fldChar w:fldCharType="end"/>
          </w:r>
        </w:sdtContent>
      </w:sdt>
      <w:r w:rsidR="00E87DA7" w:rsidRPr="00E87DA7">
        <w:rPr>
          <w:lang w:val="en-GB"/>
        </w:rPr>
        <w:t>. However, given the lack of scientific appliance to a m</w:t>
      </w:r>
      <w:r w:rsidR="00E87DA7">
        <w:rPr>
          <w:lang w:val="en-GB"/>
        </w:rPr>
        <w:t xml:space="preserve">anagerial context, this potential reason is left aside. </w:t>
      </w:r>
      <w:r w:rsidR="00E87DA7" w:rsidRPr="00E87DA7">
        <w:rPr>
          <w:lang w:val="en-GB"/>
        </w:rPr>
        <w:t>Besides the fact that according to some theories, emotions cou</w:t>
      </w:r>
      <w:r w:rsidR="00E87DA7">
        <w:rPr>
          <w:lang w:val="en-GB"/>
        </w:rPr>
        <w:t xml:space="preserve">ld be the underlying factors of the described biases, the assumption of depression would be too speculative </w:t>
      </w:r>
    </w:p>
    <w:p w:rsidR="00EF6972" w:rsidRPr="00E87DA7" w:rsidRDefault="00E87DA7" w:rsidP="00A312B8">
      <w:pPr>
        <w:spacing w:line="360" w:lineRule="auto"/>
        <w:jc w:val="both"/>
        <w:rPr>
          <w:lang w:val="en-GB"/>
        </w:rPr>
      </w:pPr>
      <w:r w:rsidRPr="00E87DA7">
        <w:rPr>
          <w:lang w:val="en-GB"/>
        </w:rPr>
        <w:t>Summarized, multiple f</w:t>
      </w:r>
      <w:r>
        <w:rPr>
          <w:lang w:val="en-GB"/>
        </w:rPr>
        <w:t xml:space="preserve">actors could have an influence on the level of overconfidence. However the relationship between prior business experiences and overconfidence is most plausibly explained by the self-attribution bias. </w:t>
      </w:r>
      <w:r w:rsidR="003F4B34">
        <w:rPr>
          <w:lang w:val="en-GB"/>
        </w:rPr>
        <w:t xml:space="preserve">When comparing the level of overconfidence between participants which are given a positive business history to participants without a given history, a difference should occur (hypothesis II). This could be </w:t>
      </w:r>
      <w:r w:rsidR="00CF4A13">
        <w:rPr>
          <w:lang w:val="en-GB"/>
        </w:rPr>
        <w:t>substantiating</w:t>
      </w:r>
      <w:r w:rsidR="003F4B34">
        <w:rPr>
          <w:lang w:val="en-GB"/>
        </w:rPr>
        <w:t xml:space="preserve"> by the idea that past successes can be attributed to one’s own actions. If no history is given, one could be prone to overconfidence as well, but the level of overconfidence has not been enhanced by prior experiences. </w:t>
      </w:r>
    </w:p>
    <w:p w:rsidR="005F6575" w:rsidRDefault="00646C96" w:rsidP="00082B85">
      <w:pPr>
        <w:pStyle w:val="Heading3"/>
        <w:rPr>
          <w:i/>
          <w:color w:val="76923C" w:themeColor="accent3" w:themeShade="BF"/>
          <w:lang w:val="en-GB"/>
        </w:rPr>
      </w:pPr>
      <w:bookmarkStart w:id="7" w:name="_Toc397238587"/>
      <w:r w:rsidRPr="00772E6D">
        <w:rPr>
          <w:i/>
          <w:color w:val="76923C" w:themeColor="accent3" w:themeShade="BF"/>
          <w:lang w:val="en-GB"/>
        </w:rPr>
        <w:t>Loss Aversion</w:t>
      </w:r>
      <w:bookmarkEnd w:id="7"/>
    </w:p>
    <w:p w:rsidR="00772E6D" w:rsidRPr="00772E6D" w:rsidRDefault="00772E6D" w:rsidP="00772E6D">
      <w:pPr>
        <w:rPr>
          <w:lang w:val="en-GB"/>
        </w:rPr>
      </w:pPr>
    </w:p>
    <w:p w:rsidR="005F15B6" w:rsidRDefault="00646C96" w:rsidP="00A312B8">
      <w:pPr>
        <w:spacing w:line="360" w:lineRule="auto"/>
        <w:jc w:val="both"/>
        <w:rPr>
          <w:noProof/>
          <w:lang w:val="en-GB"/>
        </w:rPr>
      </w:pPr>
      <w:r>
        <w:rPr>
          <w:lang w:val="en-GB"/>
        </w:rPr>
        <w:t>Loss aversion</w:t>
      </w:r>
      <w:r w:rsidR="009653D7">
        <w:rPr>
          <w:lang w:val="en-GB"/>
        </w:rPr>
        <w:t xml:space="preserve"> refers to the phenomenon</w:t>
      </w:r>
      <w:r>
        <w:rPr>
          <w:lang w:val="en-GB"/>
        </w:rPr>
        <w:t xml:space="preserve"> that people wei</w:t>
      </w:r>
      <w:r w:rsidR="00536582">
        <w:rPr>
          <w:lang w:val="en-GB"/>
        </w:rPr>
        <w:t>gh losses relatively heavier tha</w:t>
      </w:r>
      <w:r>
        <w:rPr>
          <w:lang w:val="en-GB"/>
        </w:rPr>
        <w:t xml:space="preserve">n they weigh gains </w:t>
      </w:r>
      <w:sdt>
        <w:sdtPr>
          <w:rPr>
            <w:lang w:val="en-GB"/>
          </w:rPr>
          <w:id w:val="28642572"/>
          <w:citation/>
        </w:sdtPr>
        <w:sdtContent>
          <w:r w:rsidR="009966E0">
            <w:rPr>
              <w:lang w:val="en-GB"/>
            </w:rPr>
            <w:fldChar w:fldCharType="begin"/>
          </w:r>
          <w:r w:rsidRPr="00646C96">
            <w:rPr>
              <w:lang w:val="en-GB"/>
            </w:rPr>
            <w:instrText xml:space="preserve"> CITATION Kah791 \l 1043 </w:instrText>
          </w:r>
          <w:r w:rsidR="009966E0">
            <w:rPr>
              <w:lang w:val="en-GB"/>
            </w:rPr>
            <w:fldChar w:fldCharType="separate"/>
          </w:r>
          <w:r w:rsidR="00C32B5A" w:rsidRPr="00C32B5A">
            <w:rPr>
              <w:noProof/>
              <w:lang w:val="en-GB"/>
            </w:rPr>
            <w:t>(Kahneman &amp; Tversky, Prospect theory: an analysis of decision under risk, 1979)</w:t>
          </w:r>
          <w:r w:rsidR="009966E0">
            <w:rPr>
              <w:lang w:val="en-GB"/>
            </w:rPr>
            <w:fldChar w:fldCharType="end"/>
          </w:r>
        </w:sdtContent>
      </w:sdt>
      <w:r>
        <w:rPr>
          <w:lang w:val="en-GB"/>
        </w:rPr>
        <w:t xml:space="preserve">. </w:t>
      </w:r>
      <w:r w:rsidR="00E605DD">
        <w:rPr>
          <w:lang w:val="en-GB"/>
        </w:rPr>
        <w:t xml:space="preserve">In an experiment by </w:t>
      </w:r>
      <w:r w:rsidR="005F15B6">
        <w:rPr>
          <w:lang w:val="en-GB"/>
        </w:rPr>
        <w:t>these</w:t>
      </w:r>
      <w:r w:rsidR="00E605DD">
        <w:rPr>
          <w:lang w:val="en-GB"/>
        </w:rPr>
        <w:t xml:space="preserve"> authors, they found that participants are unwilling to accept a gam</w:t>
      </w:r>
      <w:r w:rsidR="00FB12EB">
        <w:rPr>
          <w:lang w:val="en-GB"/>
        </w:rPr>
        <w:t>ble with equal chances for</w:t>
      </w:r>
      <w:r w:rsidR="00536582">
        <w:rPr>
          <w:lang w:val="en-GB"/>
        </w:rPr>
        <w:t xml:space="preserve"> </w:t>
      </w:r>
      <w:r w:rsidR="00FB12EB">
        <w:rPr>
          <w:lang w:val="en-GB"/>
        </w:rPr>
        <w:t xml:space="preserve">equally sized gains </w:t>
      </w:r>
      <w:r w:rsidR="00E605DD">
        <w:rPr>
          <w:lang w:val="en-GB"/>
        </w:rPr>
        <w:t xml:space="preserve">and losses, which indicates an aversion </w:t>
      </w:r>
      <w:r w:rsidR="00536582">
        <w:rPr>
          <w:lang w:val="en-GB"/>
        </w:rPr>
        <w:t>towards</w:t>
      </w:r>
      <w:r w:rsidR="00E605DD">
        <w:rPr>
          <w:lang w:val="en-GB"/>
        </w:rPr>
        <w:t xml:space="preserve"> losses. For example, most of the participants would reject a gamble in the form of (100, 0.5; -100, 0.5). This also </w:t>
      </w:r>
      <w:r w:rsidR="00CF4A13">
        <w:rPr>
          <w:lang w:val="en-GB"/>
        </w:rPr>
        <w:t>occurred when</w:t>
      </w:r>
      <w:r w:rsidR="00E605DD">
        <w:rPr>
          <w:lang w:val="en-GB"/>
        </w:rPr>
        <w:t xml:space="preserve"> the size of the potential gains exceeded the size of the potential losses</w:t>
      </w:r>
      <w:r w:rsidR="00FB12EB">
        <w:rPr>
          <w:lang w:val="en-GB"/>
        </w:rPr>
        <w:t xml:space="preserve"> to a certain amount</w:t>
      </w:r>
      <w:r w:rsidR="00E605DD">
        <w:rPr>
          <w:lang w:val="en-GB"/>
        </w:rPr>
        <w:t xml:space="preserve">. </w:t>
      </w:r>
      <w:r w:rsidR="005F15B6">
        <w:rPr>
          <w:lang w:val="en-GB"/>
        </w:rPr>
        <w:t>The latter contradicts the expectations derived from the normative expec</w:t>
      </w:r>
      <w:r w:rsidR="001154E8">
        <w:rPr>
          <w:lang w:val="en-GB"/>
        </w:rPr>
        <w:t>ted utility function, since according to this</w:t>
      </w:r>
      <w:r w:rsidR="005F15B6">
        <w:rPr>
          <w:lang w:val="en-GB"/>
        </w:rPr>
        <w:t xml:space="preserve"> theory </w:t>
      </w:r>
      <w:r w:rsidR="001154E8">
        <w:rPr>
          <w:lang w:val="en-GB"/>
        </w:rPr>
        <w:t>people make</w:t>
      </w:r>
      <w:r w:rsidR="005F15B6">
        <w:rPr>
          <w:lang w:val="en-GB"/>
        </w:rPr>
        <w:t xml:space="preserve"> no distinction in the utility derived from gains and losses</w:t>
      </w:r>
      <w:r>
        <w:rPr>
          <w:lang w:val="en-GB"/>
        </w:rPr>
        <w:t xml:space="preserve">. Kahneman and Tversky (1979) have therefore proposed a new descriptive theory, which </w:t>
      </w:r>
      <w:r w:rsidR="00857220">
        <w:rPr>
          <w:lang w:val="en-GB"/>
        </w:rPr>
        <w:t>does provide an explanation for</w:t>
      </w:r>
      <w:r w:rsidR="005F15B6">
        <w:rPr>
          <w:lang w:val="en-GB"/>
        </w:rPr>
        <w:t xml:space="preserve"> loss aversion</w:t>
      </w:r>
      <w:r>
        <w:rPr>
          <w:lang w:val="en-GB"/>
        </w:rPr>
        <w:t xml:space="preserve">: prospect theory. The characteristics of this theory which are important for the </w:t>
      </w:r>
      <w:r w:rsidR="00857220">
        <w:rPr>
          <w:lang w:val="en-GB"/>
        </w:rPr>
        <w:t xml:space="preserve">composition of the </w:t>
      </w:r>
      <w:r>
        <w:rPr>
          <w:lang w:val="en-GB"/>
        </w:rPr>
        <w:t>experiment will be shortly treate</w:t>
      </w:r>
      <w:r w:rsidR="00857220">
        <w:rPr>
          <w:lang w:val="en-GB"/>
        </w:rPr>
        <w:t>d in this section. For an in-depth</w:t>
      </w:r>
      <w:r>
        <w:rPr>
          <w:lang w:val="en-GB"/>
        </w:rPr>
        <w:t xml:space="preserve"> explanation of prospect theory, one should look upon the original papers: </w:t>
      </w:r>
      <w:r>
        <w:rPr>
          <w:noProof/>
          <w:lang w:val="en-GB"/>
        </w:rPr>
        <w:t>Tversky &amp; Kahneman (</w:t>
      </w:r>
      <w:r w:rsidRPr="00646C96">
        <w:rPr>
          <w:noProof/>
          <w:lang w:val="en-GB"/>
        </w:rPr>
        <w:t>1992)</w:t>
      </w:r>
      <w:r>
        <w:rPr>
          <w:noProof/>
          <w:lang w:val="en-GB"/>
        </w:rPr>
        <w:t>; Kahneman &amp; Tversky (</w:t>
      </w:r>
      <w:r w:rsidRPr="00646C96">
        <w:rPr>
          <w:noProof/>
          <w:lang w:val="en-GB"/>
        </w:rPr>
        <w:t>1979)</w:t>
      </w:r>
      <w:r>
        <w:rPr>
          <w:noProof/>
          <w:lang w:val="en-GB"/>
        </w:rPr>
        <w:t xml:space="preserve">. </w:t>
      </w:r>
      <w:r w:rsidR="005F15B6">
        <w:rPr>
          <w:noProof/>
          <w:lang w:val="en-GB"/>
        </w:rPr>
        <w:t xml:space="preserve">Moreover, the nature of the experiments described above </w:t>
      </w:r>
      <w:r w:rsidR="00A90455">
        <w:rPr>
          <w:noProof/>
          <w:lang w:val="en-GB"/>
        </w:rPr>
        <w:t>provides one the opportunity to measure</w:t>
      </w:r>
      <w:r w:rsidR="00857220">
        <w:rPr>
          <w:noProof/>
          <w:lang w:val="en-GB"/>
        </w:rPr>
        <w:t xml:space="preserve"> the degree of</w:t>
      </w:r>
      <w:r w:rsidR="00A90455">
        <w:rPr>
          <w:noProof/>
          <w:lang w:val="en-GB"/>
        </w:rPr>
        <w:t xml:space="preserve"> loss aversion by determining the ratio between possible gains and losses of a gamble </w:t>
      </w:r>
      <w:r w:rsidR="00FB12EB">
        <w:rPr>
          <w:noProof/>
          <w:lang w:val="en-GB"/>
        </w:rPr>
        <w:t xml:space="preserve">of which </w:t>
      </w:r>
      <w:r w:rsidR="00A90455">
        <w:rPr>
          <w:noProof/>
          <w:lang w:val="en-GB"/>
        </w:rPr>
        <w:t xml:space="preserve">participants are </w:t>
      </w:r>
      <w:r w:rsidR="00FB12EB">
        <w:rPr>
          <w:noProof/>
          <w:lang w:val="en-GB"/>
        </w:rPr>
        <w:t xml:space="preserve">indifferent to participate. </w:t>
      </w:r>
      <w:r w:rsidR="00536582">
        <w:rPr>
          <w:noProof/>
          <w:lang w:val="en-GB"/>
        </w:rPr>
        <w:t>In other words: how many ‘units of gains’ are needed to compensate for ‘one unit of loss’</w:t>
      </w:r>
      <w:r w:rsidR="00857220">
        <w:rPr>
          <w:noProof/>
          <w:lang w:val="en-GB"/>
        </w:rPr>
        <w:t>?</w:t>
      </w:r>
      <w:r w:rsidR="00A90455">
        <w:rPr>
          <w:noProof/>
          <w:lang w:val="en-GB"/>
        </w:rPr>
        <w:t xml:space="preserve"> </w:t>
      </w:r>
      <w:r w:rsidR="00FB12EB">
        <w:rPr>
          <w:noProof/>
          <w:lang w:val="en-GB"/>
        </w:rPr>
        <w:t>Tversky &amp; Kahneman (</w:t>
      </w:r>
      <w:r w:rsidR="00FB12EB" w:rsidRPr="00FB12EB">
        <w:rPr>
          <w:noProof/>
          <w:lang w:val="en-GB"/>
        </w:rPr>
        <w:t>1992)</w:t>
      </w:r>
      <w:r w:rsidR="00536582">
        <w:rPr>
          <w:noProof/>
          <w:lang w:val="en-GB"/>
        </w:rPr>
        <w:t xml:space="preserve"> found that in their sample, this ratio was around 2.25</w:t>
      </w:r>
      <w:r w:rsidR="00FB12EB">
        <w:rPr>
          <w:noProof/>
          <w:lang w:val="en-GB"/>
        </w:rPr>
        <w:t>.</w:t>
      </w:r>
      <w:r w:rsidR="00A90455">
        <w:rPr>
          <w:noProof/>
          <w:lang w:val="en-GB"/>
        </w:rPr>
        <w:t xml:space="preserve"> However, there is no </w:t>
      </w:r>
      <w:r w:rsidR="00A90455">
        <w:rPr>
          <w:noProof/>
          <w:lang w:val="en-GB"/>
        </w:rPr>
        <w:lastRenderedPageBreak/>
        <w:t xml:space="preserve">universally agreed </w:t>
      </w:r>
      <w:r w:rsidR="00FB68E9">
        <w:rPr>
          <w:noProof/>
          <w:lang w:val="en-GB"/>
        </w:rPr>
        <w:t>measure for</w:t>
      </w:r>
      <w:r w:rsidR="00A90455">
        <w:rPr>
          <w:noProof/>
          <w:lang w:val="en-GB"/>
        </w:rPr>
        <w:t xml:space="preserve"> loss aversion</w:t>
      </w:r>
      <w:r w:rsidR="00FB68E9">
        <w:rPr>
          <w:noProof/>
          <w:lang w:val="en-GB"/>
        </w:rPr>
        <w:t>, as well as an universally agreed ratio</w:t>
      </w:r>
      <w:r w:rsidR="00A90455">
        <w:rPr>
          <w:noProof/>
          <w:lang w:val="en-GB"/>
        </w:rPr>
        <w:t xml:space="preserve"> </w:t>
      </w:r>
      <w:sdt>
        <w:sdtPr>
          <w:rPr>
            <w:noProof/>
            <w:lang w:val="en-GB"/>
          </w:rPr>
          <w:id w:val="28642576"/>
          <w:citation/>
        </w:sdtPr>
        <w:sdtContent>
          <w:r w:rsidR="009966E0">
            <w:rPr>
              <w:noProof/>
              <w:lang w:val="en-GB"/>
            </w:rPr>
            <w:fldChar w:fldCharType="begin"/>
          </w:r>
          <w:r w:rsidR="00A90455" w:rsidRPr="00A90455">
            <w:rPr>
              <w:noProof/>
              <w:lang w:val="en-GB"/>
            </w:rPr>
            <w:instrText xml:space="preserve"> CITATION Wil12 \l 1043 </w:instrText>
          </w:r>
          <w:r w:rsidR="009966E0">
            <w:rPr>
              <w:noProof/>
              <w:lang w:val="en-GB"/>
            </w:rPr>
            <w:fldChar w:fldCharType="separate"/>
          </w:r>
          <w:r w:rsidR="00C32B5A" w:rsidRPr="00C32B5A">
            <w:rPr>
              <w:noProof/>
              <w:lang w:val="en-GB"/>
            </w:rPr>
            <w:t>(Wilkinson &amp; Klaes, 2012)</w:t>
          </w:r>
          <w:r w:rsidR="009966E0">
            <w:rPr>
              <w:noProof/>
              <w:lang w:val="en-GB"/>
            </w:rPr>
            <w:fldChar w:fldCharType="end"/>
          </w:r>
        </w:sdtContent>
      </w:sdt>
      <w:r w:rsidR="00A90455">
        <w:rPr>
          <w:noProof/>
          <w:lang w:val="en-GB"/>
        </w:rPr>
        <w:t xml:space="preserve"> . </w:t>
      </w:r>
    </w:p>
    <w:p w:rsidR="00646C96" w:rsidRDefault="00646C96" w:rsidP="00A312B8">
      <w:pPr>
        <w:spacing w:line="360" w:lineRule="auto"/>
        <w:jc w:val="both"/>
        <w:rPr>
          <w:noProof/>
          <w:lang w:val="en-GB"/>
        </w:rPr>
      </w:pPr>
      <w:r>
        <w:rPr>
          <w:noProof/>
          <w:lang w:val="en-GB"/>
        </w:rPr>
        <w:t xml:space="preserve">One of the most </w:t>
      </w:r>
      <w:r w:rsidR="00407177">
        <w:rPr>
          <w:noProof/>
          <w:lang w:val="en-GB"/>
        </w:rPr>
        <w:t xml:space="preserve">important aspects of prospect theory is the shape of the utitility function. The shape in the area for positive results is concave. In contrast, the shape of the utility function in the area of negative results is convex. </w:t>
      </w:r>
      <w:r w:rsidR="00A90455">
        <w:rPr>
          <w:noProof/>
          <w:lang w:val="en-GB"/>
        </w:rPr>
        <w:t>Furthermore, t</w:t>
      </w:r>
      <w:r w:rsidR="00407177">
        <w:rPr>
          <w:noProof/>
          <w:lang w:val="en-GB"/>
        </w:rPr>
        <w:t>he utility function is kinked at the origin. The origin represents a ce</w:t>
      </w:r>
      <w:r w:rsidR="001154E8">
        <w:rPr>
          <w:noProof/>
          <w:lang w:val="en-GB"/>
        </w:rPr>
        <w:t>rtain reference point, to which</w:t>
      </w:r>
      <w:r w:rsidR="00407177">
        <w:rPr>
          <w:noProof/>
          <w:lang w:val="en-GB"/>
        </w:rPr>
        <w:t xml:space="preserve"> the outcomes are evaluated</w:t>
      </w:r>
      <w:r w:rsidR="00A90455">
        <w:rPr>
          <w:noProof/>
          <w:lang w:val="en-GB"/>
        </w:rPr>
        <w:t xml:space="preserve"> as gains or losses. Moreover</w:t>
      </w:r>
      <w:r w:rsidR="00407177">
        <w:rPr>
          <w:noProof/>
          <w:lang w:val="en-GB"/>
        </w:rPr>
        <w:t>, in</w:t>
      </w:r>
      <w:r w:rsidR="00857220">
        <w:rPr>
          <w:noProof/>
          <w:lang w:val="en-GB"/>
        </w:rPr>
        <w:t xml:space="preserve"> the area for losses the curvatu</w:t>
      </w:r>
      <w:r w:rsidR="00407177">
        <w:rPr>
          <w:noProof/>
          <w:lang w:val="en-GB"/>
        </w:rPr>
        <w:t>r</w:t>
      </w:r>
      <w:r w:rsidR="00857220">
        <w:rPr>
          <w:noProof/>
          <w:lang w:val="en-GB"/>
        </w:rPr>
        <w:t>e</w:t>
      </w:r>
      <w:r w:rsidR="00407177">
        <w:rPr>
          <w:noProof/>
          <w:lang w:val="en-GB"/>
        </w:rPr>
        <w:t xml:space="preserve"> of the utility function is steeper than in the area for gains. This is indicative for loss aversion.</w:t>
      </w:r>
    </w:p>
    <w:p w:rsidR="00646C96" w:rsidRDefault="00646C96" w:rsidP="00A312B8">
      <w:pPr>
        <w:spacing w:line="360" w:lineRule="auto"/>
        <w:jc w:val="both"/>
        <w:rPr>
          <w:lang w:val="en-GB"/>
        </w:rPr>
      </w:pPr>
      <w:r>
        <w:rPr>
          <w:lang w:val="en-GB"/>
        </w:rPr>
        <w:t>Loss aversion ma</w:t>
      </w:r>
      <w:r w:rsidR="00F71B59">
        <w:rPr>
          <w:lang w:val="en-GB"/>
        </w:rPr>
        <w:t>y lead to risk averse behaviour; although the chances  and size of potential positive outcomes are larger,</w:t>
      </w:r>
      <w:r>
        <w:rPr>
          <w:lang w:val="en-GB"/>
        </w:rPr>
        <w:t xml:space="preserve"> as soon as the decision at hand includes negative outcomes</w:t>
      </w:r>
      <w:r w:rsidR="00F71B59">
        <w:rPr>
          <w:lang w:val="en-GB"/>
        </w:rPr>
        <w:t>, one could refrain himself of entering into risky events</w:t>
      </w:r>
      <w:r w:rsidR="00536582">
        <w:rPr>
          <w:lang w:val="en-GB"/>
        </w:rPr>
        <w:t xml:space="preserve"> </w:t>
      </w:r>
      <w:sdt>
        <w:sdtPr>
          <w:rPr>
            <w:lang w:val="en-GB"/>
          </w:rPr>
          <w:id w:val="28642581"/>
          <w:citation/>
        </w:sdtPr>
        <w:sdtContent>
          <w:r w:rsidR="009966E0">
            <w:rPr>
              <w:lang w:val="en-GB"/>
            </w:rPr>
            <w:fldChar w:fldCharType="begin"/>
          </w:r>
          <w:r w:rsidR="00536582" w:rsidRPr="00536582">
            <w:rPr>
              <w:lang w:val="en-GB"/>
            </w:rPr>
            <w:instrText xml:space="preserve"> CITATION Kah93 \l 1043 </w:instrText>
          </w:r>
          <w:r w:rsidR="009966E0">
            <w:rPr>
              <w:lang w:val="en-GB"/>
            </w:rPr>
            <w:fldChar w:fldCharType="separate"/>
          </w:r>
          <w:r w:rsidR="00C32B5A" w:rsidRPr="00C32B5A">
            <w:rPr>
              <w:noProof/>
              <w:lang w:val="en-GB"/>
            </w:rPr>
            <w:t>(Kahneman &amp; Lovallo, 1993)</w:t>
          </w:r>
          <w:r w:rsidR="009966E0">
            <w:rPr>
              <w:lang w:val="en-GB"/>
            </w:rPr>
            <w:fldChar w:fldCharType="end"/>
          </w:r>
        </w:sdtContent>
      </w:sdt>
      <w:r>
        <w:rPr>
          <w:lang w:val="en-GB"/>
        </w:rPr>
        <w:t xml:space="preserve">. </w:t>
      </w:r>
      <w:r w:rsidR="00F71B59">
        <w:rPr>
          <w:lang w:val="en-GB"/>
        </w:rPr>
        <w:t>One may assume that loss aversion and the relationship with risk aversion are</w:t>
      </w:r>
      <w:r w:rsidR="00857220">
        <w:rPr>
          <w:lang w:val="en-GB"/>
        </w:rPr>
        <w:t xml:space="preserve"> </w:t>
      </w:r>
      <w:r w:rsidR="00536582">
        <w:rPr>
          <w:lang w:val="en-GB"/>
        </w:rPr>
        <w:t xml:space="preserve">also applicable in the subject of managerial decision-making. </w:t>
      </w:r>
      <w:r w:rsidR="00F71B59">
        <w:rPr>
          <w:lang w:val="en-GB"/>
        </w:rPr>
        <w:t xml:space="preserve">However, the level of loss aversion could be higher in a managerial context due to asymmetric accountability for losses and gains </w:t>
      </w:r>
      <w:sdt>
        <w:sdtPr>
          <w:rPr>
            <w:lang w:val="en-GB"/>
          </w:rPr>
          <w:id w:val="8256559"/>
          <w:citation/>
        </w:sdtPr>
        <w:sdtContent>
          <w:r w:rsidR="009966E0">
            <w:rPr>
              <w:lang w:val="en-GB"/>
            </w:rPr>
            <w:fldChar w:fldCharType="begin"/>
          </w:r>
          <w:r w:rsidR="00F71B59" w:rsidRPr="00F71B59">
            <w:rPr>
              <w:lang w:val="en-GB"/>
            </w:rPr>
            <w:instrText xml:space="preserve"> CITATION Kah93 \l 1043 </w:instrText>
          </w:r>
          <w:r w:rsidR="009966E0">
            <w:rPr>
              <w:lang w:val="en-GB"/>
            </w:rPr>
            <w:fldChar w:fldCharType="separate"/>
          </w:r>
          <w:r w:rsidR="00C32B5A" w:rsidRPr="00C32B5A">
            <w:rPr>
              <w:noProof/>
              <w:lang w:val="en-GB"/>
            </w:rPr>
            <w:t>(Kahneman &amp; Lovallo, 1993)</w:t>
          </w:r>
          <w:r w:rsidR="009966E0">
            <w:rPr>
              <w:lang w:val="en-GB"/>
            </w:rPr>
            <w:fldChar w:fldCharType="end"/>
          </w:r>
        </w:sdtContent>
      </w:sdt>
      <w:r w:rsidR="00D5792E">
        <w:rPr>
          <w:lang w:val="en-GB"/>
        </w:rPr>
        <w:t>;</w:t>
      </w:r>
      <w:r w:rsidR="00F71B59">
        <w:rPr>
          <w:lang w:val="en-GB"/>
        </w:rPr>
        <w:t xml:space="preserve"> </w:t>
      </w:r>
      <w:sdt>
        <w:sdtPr>
          <w:rPr>
            <w:lang w:val="en-GB"/>
          </w:rPr>
          <w:id w:val="8256560"/>
          <w:citation/>
        </w:sdtPr>
        <w:sdtContent>
          <w:r w:rsidR="009966E0">
            <w:rPr>
              <w:lang w:val="en-GB"/>
            </w:rPr>
            <w:fldChar w:fldCharType="begin"/>
          </w:r>
          <w:r w:rsidR="00D5792E" w:rsidRPr="00D5792E">
            <w:rPr>
              <w:lang w:val="en-GB"/>
            </w:rPr>
            <w:instrText xml:space="preserve"> CITATION Tet92 \l 1043 </w:instrText>
          </w:r>
          <w:r w:rsidR="009966E0">
            <w:rPr>
              <w:lang w:val="en-GB"/>
            </w:rPr>
            <w:fldChar w:fldCharType="separate"/>
          </w:r>
          <w:r w:rsidR="00C32B5A" w:rsidRPr="00C32B5A">
            <w:rPr>
              <w:noProof/>
              <w:lang w:val="en-GB"/>
            </w:rPr>
            <w:t>(Tetlock &amp; Boettger, 1992)</w:t>
          </w:r>
          <w:r w:rsidR="009966E0">
            <w:rPr>
              <w:lang w:val="en-GB"/>
            </w:rPr>
            <w:fldChar w:fldCharType="end"/>
          </w:r>
        </w:sdtContent>
      </w:sdt>
      <w:r w:rsidR="00D5792E">
        <w:rPr>
          <w:lang w:val="en-GB"/>
        </w:rPr>
        <w:t xml:space="preserve">. </w:t>
      </w:r>
      <w:r w:rsidR="00CF4A13">
        <w:rPr>
          <w:lang w:val="en-GB"/>
        </w:rPr>
        <w:t xml:space="preserve">Consequently, executives’ actions could be conflicting to a company’s best interests, as a result of executives’ potential perceptions that future failure will be evaluated in a different way than future gains. </w:t>
      </w:r>
      <w:r w:rsidR="00D5792E">
        <w:rPr>
          <w:lang w:val="en-GB"/>
        </w:rPr>
        <w:t xml:space="preserve">In other words, an executive could be more risk averse than wished.  </w:t>
      </w:r>
    </w:p>
    <w:p w:rsidR="00F02D49" w:rsidRPr="00772E6D" w:rsidRDefault="00F02D49" w:rsidP="00082B85">
      <w:pPr>
        <w:pStyle w:val="Heading3"/>
        <w:rPr>
          <w:i/>
          <w:color w:val="76923C" w:themeColor="accent3" w:themeShade="BF"/>
          <w:lang w:val="en-GB"/>
        </w:rPr>
      </w:pPr>
      <w:bookmarkStart w:id="8" w:name="_Toc397238588"/>
      <w:r w:rsidRPr="00772E6D">
        <w:rPr>
          <w:i/>
          <w:color w:val="76923C" w:themeColor="accent3" w:themeShade="BF"/>
          <w:lang w:val="en-GB"/>
        </w:rPr>
        <w:t>Relationship temperature of the market and loss aversion</w:t>
      </w:r>
      <w:bookmarkEnd w:id="8"/>
    </w:p>
    <w:p w:rsidR="00772E6D" w:rsidRPr="00772E6D" w:rsidRDefault="00772E6D" w:rsidP="00772E6D">
      <w:pPr>
        <w:rPr>
          <w:lang w:val="en-GB"/>
        </w:rPr>
      </w:pPr>
    </w:p>
    <w:p w:rsidR="00F02D49" w:rsidRDefault="00F02D49" w:rsidP="00F02D49">
      <w:pPr>
        <w:spacing w:line="360" w:lineRule="auto"/>
        <w:jc w:val="both"/>
        <w:rPr>
          <w:lang w:val="en-GB"/>
        </w:rPr>
      </w:pPr>
      <w:r>
        <w:rPr>
          <w:lang w:val="en-GB"/>
        </w:rPr>
        <w:t>In order to be able to justify the hypotheses I &amp; III, it is important to identify how loss aversion could influence executives’ valuation</w:t>
      </w:r>
      <w:r w:rsidR="00B12FFE">
        <w:rPr>
          <w:lang w:val="en-GB"/>
        </w:rPr>
        <w:t>s</w:t>
      </w:r>
      <w:r>
        <w:rPr>
          <w:lang w:val="en-GB"/>
        </w:rPr>
        <w:t xml:space="preserve"> and how it is related to prior business experiences. The difference between executives who are framed in a cold deal market, compared to executives who have been framed in a hot deal market, or not have been framed at all, is the difference in their given prior business experiences. Therefore, if one expects that executives’ valuations differ as a result of prior business experiences, the latter should be related to loss aversion as well. More generally stated, the concept of loss aversion provides an explanation for the relationship between valuation and business experience, if prior business experience is related to the concept of loss aversion and loss aversion is related to the concept of valuation through risk attitude. There are two conflicting views about </w:t>
      </w:r>
      <w:r w:rsidR="00CF4A13">
        <w:rPr>
          <w:lang w:val="en-GB"/>
        </w:rPr>
        <w:t>how prior</w:t>
      </w:r>
      <w:r>
        <w:rPr>
          <w:lang w:val="en-GB"/>
        </w:rPr>
        <w:t xml:space="preserve"> business experience (positive/negative) could alter executives’ risk attitude, namely the escalation of commitment and house money effect </w:t>
      </w:r>
      <w:sdt>
        <w:sdtPr>
          <w:rPr>
            <w:lang w:val="en-GB"/>
          </w:rPr>
          <w:id w:val="28642584"/>
          <w:citation/>
        </w:sdtPr>
        <w:sdtContent>
          <w:r w:rsidR="009966E0">
            <w:rPr>
              <w:lang w:val="en-GB"/>
            </w:rPr>
            <w:fldChar w:fldCharType="begin"/>
          </w:r>
          <w:r w:rsidRPr="00C91E45">
            <w:rPr>
              <w:lang w:val="en-GB"/>
            </w:rPr>
            <w:instrText xml:space="preserve"> CITATION Web05 \l 1043 </w:instrText>
          </w:r>
          <w:r w:rsidR="009966E0">
            <w:rPr>
              <w:lang w:val="en-GB"/>
            </w:rPr>
            <w:fldChar w:fldCharType="separate"/>
          </w:r>
          <w:r w:rsidR="00C32B5A" w:rsidRPr="00C32B5A">
            <w:rPr>
              <w:noProof/>
              <w:lang w:val="en-GB"/>
            </w:rPr>
            <w:t>(Weber &amp; H.Zuchel, 2005)</w:t>
          </w:r>
          <w:r w:rsidR="009966E0">
            <w:rPr>
              <w:lang w:val="en-GB"/>
            </w:rPr>
            <w:fldChar w:fldCharType="end"/>
          </w:r>
        </w:sdtContent>
      </w:sdt>
      <w:r>
        <w:rPr>
          <w:lang w:val="en-GB"/>
        </w:rPr>
        <w:t xml:space="preserve">. Both interpretations are based on the concept of loss aversion. Therefore, this is the manner in which loss aversion manifests itself as an influencing factor on valuations in a hot and cold deal market. </w:t>
      </w:r>
    </w:p>
    <w:p w:rsidR="001154E8" w:rsidRPr="00901FEE" w:rsidRDefault="001154E8" w:rsidP="00D54A3E">
      <w:pPr>
        <w:spacing w:line="360" w:lineRule="auto"/>
        <w:jc w:val="both"/>
        <w:rPr>
          <w:lang w:val="en-GB"/>
        </w:rPr>
      </w:pPr>
      <w:r w:rsidRPr="001154E8">
        <w:rPr>
          <w:lang w:val="en-GB"/>
        </w:rPr>
        <w:lastRenderedPageBreak/>
        <w:t xml:space="preserve">If </w:t>
      </w:r>
      <w:r>
        <w:rPr>
          <w:lang w:val="en-GB"/>
        </w:rPr>
        <w:t>an executive is confronted with negative feedback about a prior decision/investm</w:t>
      </w:r>
      <w:r w:rsidR="001516B0">
        <w:rPr>
          <w:lang w:val="en-GB"/>
        </w:rPr>
        <w:t>ent, he may value a new</w:t>
      </w:r>
      <w:r w:rsidR="00D54A3E">
        <w:rPr>
          <w:lang w:val="en-GB"/>
        </w:rPr>
        <w:t xml:space="preserve"> opportunity which could </w:t>
      </w:r>
      <w:r>
        <w:rPr>
          <w:lang w:val="en-GB"/>
        </w:rPr>
        <w:t>demonstrate that he is able of making good decisions</w:t>
      </w:r>
      <w:r w:rsidRPr="001154E8">
        <w:rPr>
          <w:lang w:val="en-GB"/>
        </w:rPr>
        <w:t xml:space="preserve"> </w:t>
      </w:r>
      <w:r w:rsidRPr="001154E8">
        <w:rPr>
          <w:i/>
          <w:lang w:val="en-GB"/>
        </w:rPr>
        <w:t xml:space="preserve"> </w:t>
      </w:r>
      <w:sdt>
        <w:sdtPr>
          <w:rPr>
            <w:i/>
          </w:rPr>
          <w:id w:val="8256548"/>
          <w:citation/>
        </w:sdtPr>
        <w:sdtContent>
          <w:r w:rsidR="009966E0" w:rsidRPr="001154E8">
            <w:rPr>
              <w:i/>
            </w:rPr>
            <w:fldChar w:fldCharType="begin"/>
          </w:r>
          <w:r w:rsidRPr="001154E8">
            <w:rPr>
              <w:i/>
              <w:lang w:val="en-GB"/>
            </w:rPr>
            <w:instrText xml:space="preserve"> CITATION Sta81 \l 1043 </w:instrText>
          </w:r>
          <w:r w:rsidR="009966E0" w:rsidRPr="001154E8">
            <w:rPr>
              <w:i/>
            </w:rPr>
            <w:fldChar w:fldCharType="separate"/>
          </w:r>
          <w:r w:rsidR="00C32B5A" w:rsidRPr="00C32B5A">
            <w:rPr>
              <w:noProof/>
              <w:lang w:val="en-GB"/>
            </w:rPr>
            <w:t>(Staw B. M., 1981)</w:t>
          </w:r>
          <w:r w:rsidR="009966E0" w:rsidRPr="001154E8">
            <w:rPr>
              <w:i/>
            </w:rPr>
            <w:fldChar w:fldCharType="end"/>
          </w:r>
        </w:sdtContent>
      </w:sdt>
      <w:r w:rsidRPr="001154E8">
        <w:rPr>
          <w:i/>
          <w:lang w:val="en-GB"/>
        </w:rPr>
        <w:t>.</w:t>
      </w:r>
      <w:r>
        <w:rPr>
          <w:i/>
          <w:lang w:val="en-GB"/>
        </w:rPr>
        <w:t xml:space="preserve"> </w:t>
      </w:r>
      <w:r w:rsidRPr="001154E8">
        <w:rPr>
          <w:lang w:val="en-GB"/>
        </w:rPr>
        <w:t xml:space="preserve">This opportunity could be an investment which is unrelated </w:t>
      </w:r>
      <w:r w:rsidR="00CF4A13" w:rsidRPr="001154E8">
        <w:rPr>
          <w:lang w:val="en-GB"/>
        </w:rPr>
        <w:t>to the</w:t>
      </w:r>
      <w:r>
        <w:rPr>
          <w:lang w:val="en-GB"/>
        </w:rPr>
        <w:t xml:space="preserve"> prior one. </w:t>
      </w:r>
      <w:r w:rsidRPr="000419C6">
        <w:rPr>
          <w:lang w:val="en-GB"/>
        </w:rPr>
        <w:t>Ho</w:t>
      </w:r>
      <w:r w:rsidR="0088094F" w:rsidRPr="000419C6">
        <w:rPr>
          <w:lang w:val="en-GB"/>
        </w:rPr>
        <w:t xml:space="preserve">wever, if the prior decision </w:t>
      </w:r>
      <w:r w:rsidR="0088094F">
        <w:rPr>
          <w:lang w:val="en-GB"/>
        </w:rPr>
        <w:t>was part of a</w:t>
      </w:r>
      <w:r w:rsidR="000419C6">
        <w:rPr>
          <w:lang w:val="en-GB"/>
        </w:rPr>
        <w:t xml:space="preserve"> strategy, the executive could have the tendency to rationalize his prior decision </w:t>
      </w:r>
      <w:r w:rsidR="00D54A3E">
        <w:rPr>
          <w:lang w:val="en-GB"/>
        </w:rPr>
        <w:t xml:space="preserve">(retrospectively) </w:t>
      </w:r>
      <w:r w:rsidR="000419C6">
        <w:rPr>
          <w:lang w:val="en-GB"/>
        </w:rPr>
        <w:t>by proceeding with the next</w:t>
      </w:r>
      <w:r w:rsidR="001516B0">
        <w:rPr>
          <w:lang w:val="en-GB"/>
        </w:rPr>
        <w:t xml:space="preserve"> planned</w:t>
      </w:r>
      <w:r w:rsidR="000419C6">
        <w:rPr>
          <w:lang w:val="en-GB"/>
        </w:rPr>
        <w:t xml:space="preserve"> steps of the strategy</w:t>
      </w:r>
      <w:r w:rsidR="00D54A3E">
        <w:rPr>
          <w:lang w:val="en-GB"/>
        </w:rPr>
        <w:t xml:space="preserve">. This could </w:t>
      </w:r>
      <w:r w:rsidR="00CF4A13">
        <w:rPr>
          <w:lang w:val="en-GB"/>
        </w:rPr>
        <w:t>result to</w:t>
      </w:r>
      <w:r w:rsidR="00D54A3E">
        <w:rPr>
          <w:lang w:val="en-GB"/>
        </w:rPr>
        <w:t xml:space="preserve"> an overvaluation of the new investment opportunity, since it has ‘extra’ value to the executive, namely the option to rationalize his earlier decision</w:t>
      </w:r>
      <w:r w:rsidR="00C971D2">
        <w:rPr>
          <w:lang w:val="en-GB"/>
        </w:rPr>
        <w:t xml:space="preserve"> and to continue with the strategy</w:t>
      </w:r>
      <w:r w:rsidR="00D54A3E">
        <w:rPr>
          <w:lang w:val="en-GB"/>
        </w:rPr>
        <w:t xml:space="preserve">. </w:t>
      </w:r>
      <w:r w:rsidR="00C971D2">
        <w:rPr>
          <w:lang w:val="en-GB"/>
        </w:rPr>
        <w:t xml:space="preserve"> This tendency could lead to escalation of commitment. </w:t>
      </w:r>
      <w:r w:rsidR="00E66D7C">
        <w:rPr>
          <w:lang w:val="en-GB"/>
        </w:rPr>
        <w:t>The term commitment implies that the prior and the new decisions are related by means of a strategy</w:t>
      </w:r>
      <w:r w:rsidR="001516B0">
        <w:rPr>
          <w:lang w:val="en-GB"/>
        </w:rPr>
        <w:t>, and the nature of the bias is therefore more specific than the idea that any new investment opportunity should be valued higher</w:t>
      </w:r>
      <w:r w:rsidR="00E66D7C">
        <w:rPr>
          <w:lang w:val="en-GB"/>
        </w:rPr>
        <w:t xml:space="preserve"> </w:t>
      </w:r>
      <w:sdt>
        <w:sdtPr>
          <w:id w:val="1502549687"/>
          <w:citation/>
        </w:sdtPr>
        <w:sdtContent>
          <w:r w:rsidR="009966E0">
            <w:fldChar w:fldCharType="begin"/>
          </w:r>
          <w:r w:rsidR="00E66D7C" w:rsidRPr="00E66D7C">
            <w:rPr>
              <w:lang w:val="en-GB"/>
            </w:rPr>
            <w:instrText xml:space="preserve"> CITATION TijdelijkeAanduiding1 \l 1043  </w:instrText>
          </w:r>
          <w:r w:rsidR="009966E0">
            <w:fldChar w:fldCharType="separate"/>
          </w:r>
          <w:r w:rsidR="00C32B5A" w:rsidRPr="00C32B5A">
            <w:rPr>
              <w:noProof/>
              <w:lang w:val="en-GB"/>
            </w:rPr>
            <w:t>(Weber &amp; Zuchel, 2005)</w:t>
          </w:r>
          <w:r w:rsidR="009966E0">
            <w:fldChar w:fldCharType="end"/>
          </w:r>
        </w:sdtContent>
      </w:sdt>
      <w:r w:rsidR="00E66D7C" w:rsidRPr="00E66D7C">
        <w:rPr>
          <w:lang w:val="en-GB"/>
        </w:rPr>
        <w:t>.</w:t>
      </w:r>
      <w:r w:rsidR="00C971D2">
        <w:rPr>
          <w:lang w:val="en-GB"/>
        </w:rPr>
        <w:t xml:space="preserve"> The underlying cause of </w:t>
      </w:r>
      <w:r w:rsidR="001516B0">
        <w:rPr>
          <w:lang w:val="en-GB"/>
        </w:rPr>
        <w:t xml:space="preserve">escalation of commitment </w:t>
      </w:r>
      <w:r w:rsidR="00C971D2">
        <w:rPr>
          <w:lang w:val="en-GB"/>
        </w:rPr>
        <w:t xml:space="preserve">could be explained by prospect theory: executives who are confronted with negative feedback consider themselves in a loss position compared to their reference point. </w:t>
      </w:r>
      <w:r w:rsidR="00D54A3E">
        <w:rPr>
          <w:lang w:val="en-GB"/>
        </w:rPr>
        <w:t xml:space="preserve"> </w:t>
      </w:r>
      <w:r w:rsidR="001516B0">
        <w:rPr>
          <w:lang w:val="en-GB"/>
        </w:rPr>
        <w:t>Since people have an aversion to certain losses, the new decision provides them the opportunity to have such a positive outcomes that it offsets the perceived loss.</w:t>
      </w:r>
      <w:r w:rsidR="00496C73">
        <w:rPr>
          <w:lang w:val="en-GB"/>
        </w:rPr>
        <w:t xml:space="preserve"> However, the </w:t>
      </w:r>
      <w:r w:rsidR="00CF4A13">
        <w:rPr>
          <w:lang w:val="en-GB"/>
        </w:rPr>
        <w:t>executive has</w:t>
      </w:r>
      <w:r w:rsidR="00496C73">
        <w:rPr>
          <w:lang w:val="en-GB"/>
        </w:rPr>
        <w:t xml:space="preserve"> to perceive the new decision as part of the same strategy as the prior decision, otherwise the reference point shifts </w:t>
      </w:r>
      <w:sdt>
        <w:sdtPr>
          <w:rPr>
            <w:lang w:val="en-GB"/>
          </w:rPr>
          <w:id w:val="8256552"/>
          <w:citation/>
        </w:sdtPr>
        <w:sdtContent>
          <w:r w:rsidR="009966E0">
            <w:rPr>
              <w:lang w:val="en-GB"/>
            </w:rPr>
            <w:fldChar w:fldCharType="begin"/>
          </w:r>
          <w:r w:rsidR="00496C73" w:rsidRPr="00496C73">
            <w:rPr>
              <w:lang w:val="en-GB"/>
            </w:rPr>
            <w:instrText xml:space="preserve"> CITATION Web05 \l 1043 </w:instrText>
          </w:r>
          <w:r w:rsidR="009966E0">
            <w:rPr>
              <w:lang w:val="en-GB"/>
            </w:rPr>
            <w:fldChar w:fldCharType="separate"/>
          </w:r>
          <w:r w:rsidR="00C32B5A" w:rsidRPr="00C32B5A">
            <w:rPr>
              <w:noProof/>
              <w:lang w:val="en-GB"/>
            </w:rPr>
            <w:t>(Weber &amp; H.Zuchel, 2005)</w:t>
          </w:r>
          <w:r w:rsidR="009966E0">
            <w:rPr>
              <w:lang w:val="en-GB"/>
            </w:rPr>
            <w:fldChar w:fldCharType="end"/>
          </w:r>
        </w:sdtContent>
      </w:sdt>
      <w:r w:rsidR="00496C73">
        <w:rPr>
          <w:lang w:val="en-GB"/>
        </w:rPr>
        <w:t>.  Escalation of commitment</w:t>
      </w:r>
      <w:r w:rsidR="002E3ACD">
        <w:rPr>
          <w:lang w:val="en-GB"/>
        </w:rPr>
        <w:t xml:space="preserve"> has</w:t>
      </w:r>
      <w:r w:rsidR="001516B0">
        <w:rPr>
          <w:lang w:val="en-GB"/>
        </w:rPr>
        <w:t xml:space="preserve"> been further elaborated in scientific literature, see for example</w:t>
      </w:r>
      <w:r w:rsidR="001516B0" w:rsidRPr="001516B0">
        <w:rPr>
          <w:lang w:val="en-GB"/>
        </w:rPr>
        <w:t xml:space="preserve"> </w:t>
      </w:r>
      <w:sdt>
        <w:sdtPr>
          <w:id w:val="8256549"/>
          <w:citation/>
        </w:sdtPr>
        <w:sdtContent>
          <w:r w:rsidR="009966E0" w:rsidRPr="001516B0">
            <w:fldChar w:fldCharType="begin"/>
          </w:r>
          <w:r w:rsidR="001516B0" w:rsidRPr="001516B0">
            <w:rPr>
              <w:lang w:val="en-GB"/>
            </w:rPr>
            <w:instrText xml:space="preserve"> CITATION Baz84 \l 1043 </w:instrText>
          </w:r>
          <w:r w:rsidR="009966E0" w:rsidRPr="001516B0">
            <w:fldChar w:fldCharType="separate"/>
          </w:r>
          <w:r w:rsidR="00C32B5A" w:rsidRPr="00C32B5A">
            <w:rPr>
              <w:noProof/>
              <w:lang w:val="en-GB"/>
            </w:rPr>
            <w:t>(Bazerman, 1984)</w:t>
          </w:r>
          <w:r w:rsidR="009966E0" w:rsidRPr="001516B0">
            <w:fldChar w:fldCharType="end"/>
          </w:r>
        </w:sdtContent>
      </w:sdt>
      <w:r w:rsidR="001516B0" w:rsidRPr="001516B0">
        <w:rPr>
          <w:lang w:val="en-GB"/>
        </w:rPr>
        <w:t xml:space="preserve"> &amp;  </w:t>
      </w:r>
      <w:sdt>
        <w:sdtPr>
          <w:id w:val="8256550"/>
          <w:citation/>
        </w:sdtPr>
        <w:sdtContent>
          <w:r w:rsidR="009966E0" w:rsidRPr="001516B0">
            <w:fldChar w:fldCharType="begin"/>
          </w:r>
          <w:r w:rsidR="001516B0" w:rsidRPr="001516B0">
            <w:rPr>
              <w:lang w:val="en-GB"/>
            </w:rPr>
            <w:instrText xml:space="preserve"> CITATION Gle86 \l 1043 </w:instrText>
          </w:r>
          <w:r w:rsidR="009966E0" w:rsidRPr="001516B0">
            <w:fldChar w:fldCharType="separate"/>
          </w:r>
          <w:r w:rsidR="00C32B5A" w:rsidRPr="00C32B5A">
            <w:rPr>
              <w:noProof/>
              <w:lang w:val="en-GB"/>
            </w:rPr>
            <w:t>(Whyte, 1986)</w:t>
          </w:r>
          <w:r w:rsidR="009966E0" w:rsidRPr="001516B0">
            <w:fldChar w:fldCharType="end"/>
          </w:r>
        </w:sdtContent>
      </w:sdt>
      <w:r w:rsidR="001516B0" w:rsidRPr="001516B0">
        <w:rPr>
          <w:lang w:val="en-GB"/>
        </w:rPr>
        <w:t>.</w:t>
      </w:r>
      <w:r w:rsidR="001516B0">
        <w:rPr>
          <w:lang w:val="en-GB"/>
        </w:rPr>
        <w:t xml:space="preserve"> </w:t>
      </w:r>
      <w:r w:rsidR="00572048" w:rsidRPr="00572048">
        <w:rPr>
          <w:noProof/>
          <w:lang w:val="en-GB"/>
        </w:rPr>
        <w:t>Bateman &amp; Zeithaml (1989)</w:t>
      </w:r>
      <w:r w:rsidR="00DF0247">
        <w:rPr>
          <w:noProof/>
          <w:lang w:val="en-GB"/>
        </w:rPr>
        <w:t xml:space="preserve"> have</w:t>
      </w:r>
      <w:r w:rsidR="00572048" w:rsidRPr="00572048">
        <w:rPr>
          <w:noProof/>
          <w:lang w:val="en-GB"/>
        </w:rPr>
        <w:t xml:space="preserve"> </w:t>
      </w:r>
      <w:r w:rsidR="00DF0247">
        <w:rPr>
          <w:noProof/>
          <w:lang w:val="en-GB"/>
        </w:rPr>
        <w:t xml:space="preserve">conducted an </w:t>
      </w:r>
      <w:r w:rsidR="00572048" w:rsidRPr="00572048">
        <w:rPr>
          <w:noProof/>
          <w:lang w:val="en-GB"/>
        </w:rPr>
        <w:t>experiment with b</w:t>
      </w:r>
      <w:r w:rsidR="00572048">
        <w:rPr>
          <w:noProof/>
          <w:lang w:val="en-GB"/>
        </w:rPr>
        <w:t xml:space="preserve">oth students and executives </w:t>
      </w:r>
      <w:r w:rsidR="00DF0247">
        <w:rPr>
          <w:noProof/>
          <w:lang w:val="en-GB"/>
        </w:rPr>
        <w:t xml:space="preserve">which </w:t>
      </w:r>
      <w:r w:rsidR="00572048">
        <w:rPr>
          <w:noProof/>
          <w:lang w:val="en-GB"/>
        </w:rPr>
        <w:t>confirmed escalation of commitment. After the participants had been confronted with initial failures</w:t>
      </w:r>
      <w:r w:rsidR="00DF0247">
        <w:rPr>
          <w:noProof/>
          <w:lang w:val="en-GB"/>
        </w:rPr>
        <w:t xml:space="preserve">, an new investment opportunity was presented. When this new investment oppurtinity was postively framed, then the above resulted in a increase of investmens. In case the follow-on investment opportunities were negatively framed, it resulted in a decrease of investments.  </w:t>
      </w:r>
      <w:r w:rsidR="00901FEE" w:rsidRPr="00901FEE">
        <w:rPr>
          <w:noProof/>
          <w:lang w:val="en-GB"/>
        </w:rPr>
        <w:t xml:space="preserve">MacCrimmon &amp; Wehrung (1986) has shown in their research that </w:t>
      </w:r>
      <w:r w:rsidR="00901FEE">
        <w:rPr>
          <w:noProof/>
          <w:lang w:val="en-GB"/>
        </w:rPr>
        <w:t>executives state that an earlier success or failures affects their risk attitude, which results in the decision whether to invest and at what price. If executives have the perception that competition for a new investment target exists, combined with the thought that this investment is necessary, then this will result in higher biddings. The interviewed executives stated in line with the above, that after a negative business experience, executives have to accept more risk in order to eventually reach their target. On the other hand, executives’s perception of the concept of risk is mainly determined by the size of the negative outcomes, instead of the uncertainty related to a certain decision</w:t>
      </w:r>
      <w:r w:rsidR="00F02D49">
        <w:rPr>
          <w:noProof/>
          <w:lang w:val="en-GB"/>
        </w:rPr>
        <w:t>s</w:t>
      </w:r>
      <w:r w:rsidR="00901FEE">
        <w:rPr>
          <w:noProof/>
          <w:lang w:val="en-GB"/>
        </w:rPr>
        <w:t xml:space="preserve"> </w:t>
      </w:r>
      <w:sdt>
        <w:sdtPr>
          <w:id w:val="8256557"/>
          <w:citation/>
        </w:sdtPr>
        <w:sdtContent>
          <w:r w:rsidR="009966E0" w:rsidRPr="00901FEE">
            <w:fldChar w:fldCharType="begin"/>
          </w:r>
          <w:r w:rsidR="00901FEE" w:rsidRPr="00901FEE">
            <w:rPr>
              <w:lang w:val="en-GB"/>
            </w:rPr>
            <w:instrText xml:space="preserve"> CITATION Mar87 \l 1043 </w:instrText>
          </w:r>
          <w:r w:rsidR="009966E0" w:rsidRPr="00901FEE">
            <w:fldChar w:fldCharType="separate"/>
          </w:r>
          <w:r w:rsidR="00C32B5A" w:rsidRPr="00C32B5A">
            <w:rPr>
              <w:noProof/>
              <w:lang w:val="en-GB"/>
            </w:rPr>
            <w:t>(March &amp; Shapira, 1987)</w:t>
          </w:r>
          <w:r w:rsidR="009966E0" w:rsidRPr="00901FEE">
            <w:fldChar w:fldCharType="end"/>
          </w:r>
        </w:sdtContent>
      </w:sdt>
      <w:r w:rsidR="00901FEE" w:rsidRPr="00901FEE">
        <w:rPr>
          <w:lang w:val="en-GB"/>
        </w:rPr>
        <w:t>.</w:t>
      </w:r>
      <w:r w:rsidR="00901FEE">
        <w:rPr>
          <w:lang w:val="en-GB"/>
        </w:rPr>
        <w:t xml:space="preserve"> </w:t>
      </w:r>
      <w:r w:rsidR="00F02D49">
        <w:rPr>
          <w:lang w:val="en-GB"/>
        </w:rPr>
        <w:t>After suffering a prior loss, another loss could have large consequences for the company’s co</w:t>
      </w:r>
      <w:r w:rsidR="002E3ACD">
        <w:rPr>
          <w:lang w:val="en-GB"/>
        </w:rPr>
        <w:t xml:space="preserve">ntinuity. This scenario could lead to reticence concerning investments. </w:t>
      </w:r>
      <w:r w:rsidR="00E12526">
        <w:rPr>
          <w:lang w:val="en-GB"/>
        </w:rPr>
        <w:t xml:space="preserve">The above summarized: </w:t>
      </w:r>
      <w:r w:rsidR="00D005BD" w:rsidRPr="00F91F8B">
        <w:rPr>
          <w:i/>
          <w:lang w:val="en-GB"/>
        </w:rPr>
        <w:t xml:space="preserve">a negative business experience could lead to escalation of commitment, which in turn could lead to higher valuations. </w:t>
      </w:r>
      <w:r w:rsidR="00D005BD" w:rsidRPr="00F91F8B">
        <w:rPr>
          <w:lang w:val="en-GB"/>
        </w:rPr>
        <w:t xml:space="preserve">Two important assumptions </w:t>
      </w:r>
      <w:r w:rsidR="00CF4A13" w:rsidRPr="00F91F8B">
        <w:rPr>
          <w:lang w:val="en-GB"/>
        </w:rPr>
        <w:t>have</w:t>
      </w:r>
      <w:r w:rsidR="00D005BD" w:rsidRPr="00F91F8B">
        <w:rPr>
          <w:lang w:val="en-GB"/>
        </w:rPr>
        <w:t xml:space="preserve"> to be made</w:t>
      </w:r>
      <w:r w:rsidR="00D005BD">
        <w:rPr>
          <w:lang w:val="en-GB"/>
        </w:rPr>
        <w:t xml:space="preserve">. Firstly, there is a relationship between prior business experience and </w:t>
      </w:r>
      <w:r w:rsidR="00D005BD">
        <w:rPr>
          <w:lang w:val="en-GB"/>
        </w:rPr>
        <w:lastRenderedPageBreak/>
        <w:t xml:space="preserve">the temperature of the M&amp;A market. Secondly, the new investment is related to prior investments, for example by means of a strategy. </w:t>
      </w:r>
    </w:p>
    <w:p w:rsidR="000A4801" w:rsidRDefault="000A4801" w:rsidP="00E12526">
      <w:pPr>
        <w:spacing w:line="360" w:lineRule="auto"/>
        <w:jc w:val="both"/>
        <w:rPr>
          <w:i/>
          <w:lang w:val="en-GB"/>
        </w:rPr>
      </w:pPr>
      <w:r w:rsidRPr="000A4801">
        <w:rPr>
          <w:lang w:val="en-GB"/>
        </w:rPr>
        <w:t>T</w:t>
      </w:r>
      <w:r>
        <w:rPr>
          <w:lang w:val="en-GB"/>
        </w:rPr>
        <w:t xml:space="preserve">he term ‘house money effect’ has been introduced by </w:t>
      </w:r>
      <w:sdt>
        <w:sdtPr>
          <w:rPr>
            <w:lang w:val="en-GB"/>
          </w:rPr>
          <w:id w:val="28642585"/>
          <w:citation/>
        </w:sdtPr>
        <w:sdtContent>
          <w:r w:rsidR="009966E0">
            <w:rPr>
              <w:lang w:val="en-GB"/>
            </w:rPr>
            <w:fldChar w:fldCharType="begin"/>
          </w:r>
          <w:r w:rsidRPr="000A4801">
            <w:rPr>
              <w:lang w:val="en-GB"/>
            </w:rPr>
            <w:instrText xml:space="preserve"> CITATION Tha90 \l 1043 </w:instrText>
          </w:r>
          <w:r w:rsidR="009966E0">
            <w:rPr>
              <w:lang w:val="en-GB"/>
            </w:rPr>
            <w:fldChar w:fldCharType="separate"/>
          </w:r>
          <w:r w:rsidR="00C32B5A" w:rsidRPr="00C32B5A">
            <w:rPr>
              <w:noProof/>
              <w:lang w:val="en-GB"/>
            </w:rPr>
            <w:t>(Thaler &amp; Johnson, 1990)</w:t>
          </w:r>
          <w:r w:rsidR="009966E0">
            <w:rPr>
              <w:lang w:val="en-GB"/>
            </w:rPr>
            <w:fldChar w:fldCharType="end"/>
          </w:r>
        </w:sdtContent>
      </w:sdt>
      <w:r>
        <w:rPr>
          <w:lang w:val="en-GB"/>
        </w:rPr>
        <w:t xml:space="preserve"> and refers to the phenomenon that people are more risk seeking after having experienc</w:t>
      </w:r>
      <w:r w:rsidR="00BB2A06">
        <w:rPr>
          <w:lang w:val="en-GB"/>
        </w:rPr>
        <w:t xml:space="preserve">ed </w:t>
      </w:r>
      <w:r>
        <w:rPr>
          <w:lang w:val="en-GB"/>
        </w:rPr>
        <w:t>a prior gain. This could be explained by</w:t>
      </w:r>
      <w:r w:rsidR="00BB2A06">
        <w:rPr>
          <w:lang w:val="en-GB"/>
        </w:rPr>
        <w:t xml:space="preserve"> one’s perception that the gained money is not part of one’s wealth yet and therefore makes a decision with the idea that the money belongs to someone else. This is related to the concept of mental accounting.</w:t>
      </w:r>
      <w:r w:rsidR="00D005BD">
        <w:rPr>
          <w:lang w:val="en-GB"/>
        </w:rPr>
        <w:t xml:space="preserve"> Empirical evidence has also </w:t>
      </w:r>
      <w:r w:rsidR="00BB2A06">
        <w:rPr>
          <w:lang w:val="en-GB"/>
        </w:rPr>
        <w:t xml:space="preserve">found that the inverse is true, namely that prior losses incur risk </w:t>
      </w:r>
      <w:r w:rsidR="00CF4A13">
        <w:rPr>
          <w:lang w:val="en-GB"/>
        </w:rPr>
        <w:t>adverse</w:t>
      </w:r>
      <w:r w:rsidR="00BB2A06">
        <w:rPr>
          <w:lang w:val="en-GB"/>
        </w:rPr>
        <w:t xml:space="preserve"> behaviour. This last observation however only holds if the decision after the loss, does not provide the opportunity to break-even with respect to one’s initial reference point. The empirical evidence for the house money effect may be less convincing as the evidence for escalation of commitment, however this might also be attributable to restrictions inherent to the experiments used to prove both the effects. In other words, due to limited personal stakes </w:t>
      </w:r>
      <w:r w:rsidR="000E2E33">
        <w:rPr>
          <w:lang w:val="en-GB"/>
        </w:rPr>
        <w:t xml:space="preserve">for subjects in the experiments, the validity of the evidence over decision with higher stakes, is questionable. </w:t>
      </w:r>
      <w:r w:rsidR="00F91F8B">
        <w:rPr>
          <w:lang w:val="en-GB"/>
        </w:rPr>
        <w:t xml:space="preserve">The relationship between prior business experiences and valuations can be explained by the house money effect in the following way: </w:t>
      </w:r>
      <w:r w:rsidR="00F91F8B">
        <w:rPr>
          <w:i/>
          <w:lang w:val="en-GB"/>
        </w:rPr>
        <w:t xml:space="preserve">a negative prior business experience could lead to a more risk averse attitude, which in turn could lead to no or lower biddings of investment opportunities. </w:t>
      </w:r>
    </w:p>
    <w:p w:rsidR="00F40B5E" w:rsidRPr="00F40B5E" w:rsidRDefault="00F40B5E" w:rsidP="00E12526">
      <w:pPr>
        <w:spacing w:line="360" w:lineRule="auto"/>
        <w:jc w:val="both"/>
        <w:rPr>
          <w:lang w:val="en-GB"/>
        </w:rPr>
      </w:pPr>
      <w:r>
        <w:rPr>
          <w:lang w:val="en-GB"/>
        </w:rPr>
        <w:t xml:space="preserve">It should be clear that the escalation of commitment and the house money effect have a conflicting character. Both concepts alter one’s risk attitude, however this is dependent on different prior business experiences. Testing hypothesis III provides one the opportunity to see which concepts influences the valuations. The share of the participants will be confronted with a negative business experience which has an ambiguous cause, whilst the other participants will not have such </w:t>
      </w:r>
      <w:r w:rsidR="00CF4A13">
        <w:rPr>
          <w:lang w:val="en-GB"/>
        </w:rPr>
        <w:t>an</w:t>
      </w:r>
      <w:r>
        <w:rPr>
          <w:lang w:val="en-GB"/>
        </w:rPr>
        <w:t xml:space="preserve"> experience. If the valuations made by ‘framed’ participants are higher, then this will indicate the escalation of commitment. If the opposite is found, then this gives an indication for the house money effect. </w:t>
      </w:r>
    </w:p>
    <w:p w:rsidR="00646C96" w:rsidRPr="00772E6D" w:rsidRDefault="00646C96" w:rsidP="00082B85">
      <w:pPr>
        <w:pStyle w:val="Heading3"/>
        <w:rPr>
          <w:i/>
          <w:color w:val="76923C" w:themeColor="accent3" w:themeShade="BF"/>
          <w:lang w:val="en-GB"/>
        </w:rPr>
      </w:pPr>
      <w:bookmarkStart w:id="9" w:name="_Toc397238589"/>
      <w:r w:rsidRPr="00772E6D">
        <w:rPr>
          <w:i/>
          <w:color w:val="76923C" w:themeColor="accent3" w:themeShade="BF"/>
          <w:lang w:val="en-GB"/>
        </w:rPr>
        <w:t>Narrow framing</w:t>
      </w:r>
      <w:bookmarkEnd w:id="9"/>
    </w:p>
    <w:p w:rsidR="00772E6D" w:rsidRPr="00772E6D" w:rsidRDefault="00772E6D" w:rsidP="00772E6D">
      <w:pPr>
        <w:rPr>
          <w:lang w:val="en-GB"/>
        </w:rPr>
      </w:pPr>
    </w:p>
    <w:p w:rsidR="00776A65" w:rsidRDefault="00776A65" w:rsidP="00A312B8">
      <w:pPr>
        <w:spacing w:line="360" w:lineRule="auto"/>
        <w:jc w:val="both"/>
        <w:rPr>
          <w:lang w:val="en-GB"/>
        </w:rPr>
      </w:pPr>
      <w:r>
        <w:rPr>
          <w:lang w:val="en-GB"/>
        </w:rPr>
        <w:t xml:space="preserve">Narrow framing is the phenomenon in which people evaluate decisions under uncertainty in isolation of all other risks a person is already facing </w:t>
      </w:r>
      <w:sdt>
        <w:sdtPr>
          <w:rPr>
            <w:lang w:val="en-GB"/>
          </w:rPr>
          <w:id w:val="28642586"/>
          <w:citation/>
        </w:sdtPr>
        <w:sdtContent>
          <w:r w:rsidR="009966E0">
            <w:rPr>
              <w:lang w:val="en-GB"/>
            </w:rPr>
            <w:fldChar w:fldCharType="begin"/>
          </w:r>
          <w:r w:rsidRPr="00776A65">
            <w:rPr>
              <w:lang w:val="en-GB"/>
            </w:rPr>
            <w:instrText xml:space="preserve"> CITATION NBa08 \l 1043 </w:instrText>
          </w:r>
          <w:r w:rsidR="009966E0">
            <w:rPr>
              <w:lang w:val="en-GB"/>
            </w:rPr>
            <w:fldChar w:fldCharType="separate"/>
          </w:r>
          <w:r w:rsidR="00C32B5A" w:rsidRPr="00C32B5A">
            <w:rPr>
              <w:noProof/>
              <w:lang w:val="en-GB"/>
            </w:rPr>
            <w:t>(Barberis &amp; Huang, 2008)</w:t>
          </w:r>
          <w:r w:rsidR="009966E0">
            <w:rPr>
              <w:lang w:val="en-GB"/>
            </w:rPr>
            <w:fldChar w:fldCharType="end"/>
          </w:r>
        </w:sdtContent>
      </w:sdt>
      <w:r>
        <w:rPr>
          <w:lang w:val="en-GB"/>
        </w:rPr>
        <w:t>.</w:t>
      </w:r>
      <w:r w:rsidR="00592B6B">
        <w:rPr>
          <w:lang w:val="en-GB"/>
        </w:rPr>
        <w:t xml:space="preserve"> Posed differently by </w:t>
      </w:r>
      <w:r w:rsidR="00592B6B">
        <w:rPr>
          <w:noProof/>
          <w:lang w:val="en-GB"/>
        </w:rPr>
        <w:t>Kahneman &amp; Lovallo (</w:t>
      </w:r>
      <w:r w:rsidR="00592B6B" w:rsidRPr="00592B6B">
        <w:rPr>
          <w:noProof/>
          <w:lang w:val="en-GB"/>
        </w:rPr>
        <w:t>1993)</w:t>
      </w:r>
      <w:r w:rsidR="00592B6B">
        <w:rPr>
          <w:noProof/>
          <w:lang w:val="en-GB"/>
        </w:rPr>
        <w:t xml:space="preserve">; ‘narrow framing is people’s tendency to consider problems in isolation of other choices, or future opportunities of making the same decisions’. </w:t>
      </w:r>
      <w:r>
        <w:rPr>
          <w:lang w:val="en-GB"/>
        </w:rPr>
        <w:t xml:space="preserve"> Narrow framing is an example </w:t>
      </w:r>
      <w:r w:rsidR="004A00EE">
        <w:rPr>
          <w:lang w:val="en-GB"/>
        </w:rPr>
        <w:t>of the so called framing effect</w:t>
      </w:r>
      <w:r>
        <w:rPr>
          <w:lang w:val="en-GB"/>
        </w:rPr>
        <w:t xml:space="preserve">. Framing is the phenomenon where the manner of presentation of a choice </w:t>
      </w:r>
      <w:r>
        <w:rPr>
          <w:lang w:val="en-GB"/>
        </w:rPr>
        <w:lastRenderedPageBreak/>
        <w:t xml:space="preserve">alters one’s decision, which is in violation of the rational choice theory assumption of invariance </w:t>
      </w:r>
      <w:sdt>
        <w:sdtPr>
          <w:rPr>
            <w:lang w:val="en-GB"/>
          </w:rPr>
          <w:id w:val="28642587"/>
          <w:citation/>
        </w:sdtPr>
        <w:sdtContent>
          <w:r w:rsidR="009966E0">
            <w:rPr>
              <w:lang w:val="en-GB"/>
            </w:rPr>
            <w:fldChar w:fldCharType="begin"/>
          </w:r>
          <w:r w:rsidRPr="00776A65">
            <w:rPr>
              <w:lang w:val="en-GB"/>
            </w:rPr>
            <w:instrText xml:space="preserve"> CITATION ATv81 \t  \l 1043  </w:instrText>
          </w:r>
          <w:r w:rsidR="009966E0">
            <w:rPr>
              <w:lang w:val="en-GB"/>
            </w:rPr>
            <w:fldChar w:fldCharType="separate"/>
          </w:r>
          <w:r w:rsidR="00C32B5A" w:rsidRPr="00C32B5A">
            <w:rPr>
              <w:noProof/>
              <w:lang w:val="en-GB"/>
            </w:rPr>
            <w:t>(Tversky &amp; Kahneman, 1981)</w:t>
          </w:r>
          <w:r w:rsidR="009966E0">
            <w:rPr>
              <w:lang w:val="en-GB"/>
            </w:rPr>
            <w:fldChar w:fldCharType="end"/>
          </w:r>
        </w:sdtContent>
      </w:sdt>
      <w:r>
        <w:rPr>
          <w:lang w:val="en-GB"/>
        </w:rPr>
        <w:t xml:space="preserve">. </w:t>
      </w:r>
    </w:p>
    <w:p w:rsidR="00F42B39" w:rsidRDefault="00F42B39" w:rsidP="00A312B8">
      <w:pPr>
        <w:spacing w:line="360" w:lineRule="auto"/>
        <w:jc w:val="both"/>
        <w:rPr>
          <w:noProof/>
          <w:lang w:val="en-GB"/>
        </w:rPr>
      </w:pPr>
      <w:r>
        <w:rPr>
          <w:lang w:val="en-GB"/>
        </w:rPr>
        <w:t xml:space="preserve">Narrow framing has been subject of </w:t>
      </w:r>
      <w:r w:rsidR="00CF4A13">
        <w:rPr>
          <w:lang w:val="en-GB"/>
        </w:rPr>
        <w:t>much research</w:t>
      </w:r>
      <w:r>
        <w:rPr>
          <w:lang w:val="en-GB"/>
        </w:rPr>
        <w:t xml:space="preserve">. </w:t>
      </w:r>
      <w:r w:rsidRPr="00F42B39">
        <w:rPr>
          <w:noProof/>
          <w:lang w:val="en-GB"/>
        </w:rPr>
        <w:t>Tversky &amp; Kahneman (1981) have conducted a</w:t>
      </w:r>
      <w:r>
        <w:rPr>
          <w:noProof/>
          <w:lang w:val="en-GB"/>
        </w:rPr>
        <w:t xml:space="preserve">n experiment in which participants had to make two choices. Before making this choices they could evaluate all the options. Choice 1 concerns the choice between a sure gain of 240 (A) or a gamble consisting of a 25% chance to gain 1000, and a 75% chance to gain nothing (B). Choice 2 concerns the choice between a sure loss of 750 (C) or a gamble consisting of a 75% chance to lose 1000, and a 25% chance to lose nothing (D). They are first explicitely asked to examine both choices before making the two decisions. The espected payoff maximizing combination of options would be to choose B &amp; C, since the combined gamble would be: 25% chance to win 250 and 75% chance to lose </w:t>
      </w:r>
      <w:r w:rsidR="007B6C3D">
        <w:rPr>
          <w:noProof/>
          <w:lang w:val="en-GB"/>
        </w:rPr>
        <w:t xml:space="preserve">750. However, an overwhelming majority opted for the combination of options A and D. This result could be explained by the tendency by the participants to evaluate each outcome in isolation. The choice for option A should be seen in the light of risk aversion, whilst participants’ decisions to choose option D, could be explained by loss aversion and consequently risk seeking behaviour in the area of losses.  </w:t>
      </w:r>
      <w:r w:rsidR="00A209FA">
        <w:rPr>
          <w:noProof/>
          <w:lang w:val="en-GB"/>
        </w:rPr>
        <w:t xml:space="preserve">Summarized, narrow framing is one’s tendency to focus on the outcome of a single choice without properly accounting for other risks. </w:t>
      </w:r>
    </w:p>
    <w:p w:rsidR="004A00EE" w:rsidRDefault="004A00EE" w:rsidP="00A312B8">
      <w:pPr>
        <w:spacing w:line="360" w:lineRule="auto"/>
        <w:jc w:val="both"/>
        <w:rPr>
          <w:noProof/>
          <w:lang w:val="en-GB"/>
        </w:rPr>
      </w:pPr>
      <w:r>
        <w:rPr>
          <w:noProof/>
          <w:lang w:val="en-GB"/>
        </w:rPr>
        <w:t xml:space="preserve">Another empirically tested maninfestion of narrow framing could be of value to the subject of valuation. In an experiment by </w:t>
      </w:r>
      <w:r w:rsidRPr="004A00EE">
        <w:rPr>
          <w:noProof/>
          <w:lang w:val="en-GB"/>
        </w:rPr>
        <w:t>Samuelson (1963), participants stated that they ar</w:t>
      </w:r>
      <w:r>
        <w:rPr>
          <w:noProof/>
          <w:lang w:val="en-GB"/>
        </w:rPr>
        <w:t>e unwilling to accept a gamble with equal chances to win 200 or lose 100. The same participants were willing to accept the gamble if they were initially informed that they would be offered the same gamble multiple</w:t>
      </w:r>
      <w:r w:rsidR="00262D84">
        <w:rPr>
          <w:noProof/>
          <w:lang w:val="en-GB"/>
        </w:rPr>
        <w:t xml:space="preserve"> times. The author posed the question if one should accept a gamble of which he can almost be sure that other gambles will follow, in case one accept a gamble of which he is certain that other will follow. </w:t>
      </w:r>
      <w:r w:rsidR="00901DCD">
        <w:rPr>
          <w:noProof/>
          <w:lang w:val="en-GB"/>
        </w:rPr>
        <w:t xml:space="preserve">This can be translated to the topic of valuations as well, since an executive might value an investment opportunity in isolation of future investments. Certain investment opportunities themselves embed the option of a future choice with uncertain outcomes. If such options are neglected, the valuation is unjustifiable low. Therefore the objective </w:t>
      </w:r>
      <w:r>
        <w:rPr>
          <w:noProof/>
          <w:lang w:val="en-GB"/>
        </w:rPr>
        <w:t xml:space="preserve"> </w:t>
      </w:r>
      <w:r w:rsidR="00901DCD">
        <w:rPr>
          <w:noProof/>
          <w:lang w:val="en-GB"/>
        </w:rPr>
        <w:t xml:space="preserve">method of real options could be a solution. </w:t>
      </w:r>
    </w:p>
    <w:p w:rsidR="00901DCD" w:rsidRPr="00F833F9" w:rsidRDefault="00351393" w:rsidP="00A312B8">
      <w:pPr>
        <w:spacing w:line="360" w:lineRule="auto"/>
        <w:jc w:val="both"/>
        <w:rPr>
          <w:noProof/>
          <w:lang w:val="en-GB"/>
        </w:rPr>
      </w:pPr>
      <w:r>
        <w:rPr>
          <w:noProof/>
          <w:lang w:val="en-GB"/>
        </w:rPr>
        <w:t xml:space="preserve">One of the proposed underlying causes of narrow framing is people’s </w:t>
      </w:r>
      <w:r w:rsidR="00BA2607">
        <w:rPr>
          <w:noProof/>
          <w:lang w:val="en-GB"/>
        </w:rPr>
        <w:t>way of processing information</w:t>
      </w:r>
      <w:r>
        <w:rPr>
          <w:noProof/>
          <w:lang w:val="en-GB"/>
        </w:rPr>
        <w:t xml:space="preserve">. </w:t>
      </w:r>
      <w:r w:rsidR="00F833F9">
        <w:rPr>
          <w:noProof/>
          <w:lang w:val="en-GB"/>
        </w:rPr>
        <w:t xml:space="preserve">For his reasoning </w:t>
      </w:r>
      <w:r w:rsidR="00F833F9" w:rsidRPr="00F833F9">
        <w:rPr>
          <w:noProof/>
          <w:lang w:val="en-GB"/>
        </w:rPr>
        <w:t xml:space="preserve">Kahneman (2003) </w:t>
      </w:r>
      <w:r w:rsidR="00F833F9">
        <w:rPr>
          <w:noProof/>
          <w:lang w:val="en-GB"/>
        </w:rPr>
        <w:t xml:space="preserve">used the two-system view </w:t>
      </w:r>
      <w:sdt>
        <w:sdtPr>
          <w:rPr>
            <w:noProof/>
            <w:lang w:val="en-GB"/>
          </w:rPr>
          <w:id w:val="8256564"/>
          <w:citation/>
        </w:sdtPr>
        <w:sdtContent>
          <w:r w:rsidR="009966E0">
            <w:rPr>
              <w:noProof/>
              <w:lang w:val="en-GB"/>
            </w:rPr>
            <w:fldChar w:fldCharType="begin"/>
          </w:r>
          <w:r w:rsidR="00F833F9" w:rsidRPr="00F833F9">
            <w:rPr>
              <w:noProof/>
              <w:lang w:val="en-GB"/>
            </w:rPr>
            <w:instrText xml:space="preserve"> CITATION Sta00 \l 1043 </w:instrText>
          </w:r>
          <w:r w:rsidR="009966E0">
            <w:rPr>
              <w:noProof/>
              <w:lang w:val="en-GB"/>
            </w:rPr>
            <w:fldChar w:fldCharType="separate"/>
          </w:r>
          <w:r w:rsidR="00C32B5A" w:rsidRPr="00C32B5A">
            <w:rPr>
              <w:noProof/>
              <w:lang w:val="en-GB"/>
            </w:rPr>
            <w:t>(Stanovich &amp; West, 2000)</w:t>
          </w:r>
          <w:r w:rsidR="009966E0">
            <w:rPr>
              <w:noProof/>
              <w:lang w:val="en-GB"/>
            </w:rPr>
            <w:fldChar w:fldCharType="end"/>
          </w:r>
        </w:sdtContent>
      </w:sdt>
      <w:r w:rsidR="00F833F9">
        <w:rPr>
          <w:noProof/>
          <w:lang w:val="en-GB"/>
        </w:rPr>
        <w:t xml:space="preserve">, which refers to the distintion between intuiton and reasoning. In the light of this view, people use two types of cognitive processes. </w:t>
      </w:r>
      <w:r w:rsidR="00BA2607">
        <w:rPr>
          <w:noProof/>
          <w:lang w:val="en-GB"/>
        </w:rPr>
        <w:t>One way of processing information (intuition) is characterized by terms as:</w:t>
      </w:r>
      <w:r w:rsidR="00F833F9">
        <w:rPr>
          <w:noProof/>
          <w:lang w:val="en-GB"/>
        </w:rPr>
        <w:t xml:space="preserve"> </w:t>
      </w:r>
      <w:r w:rsidR="00BA2607">
        <w:rPr>
          <w:noProof/>
          <w:lang w:val="en-GB"/>
        </w:rPr>
        <w:t xml:space="preserve">automatic, implicitity, fast, driven by habits and difficult to alter. The other way of processing (reasoning) is characterized by opposite terms as slower and more controllable. During the valuation </w:t>
      </w:r>
      <w:r w:rsidR="00BA2607">
        <w:rPr>
          <w:noProof/>
          <w:lang w:val="en-GB"/>
        </w:rPr>
        <w:lastRenderedPageBreak/>
        <w:t>process, the decisions made by executives are often based on certain intuitive judgement calls, which could lead to narrow framing. As earlier mentioned, this way of processing is difficult to alter. Howe</w:t>
      </w:r>
      <w:r w:rsidR="005E3A12">
        <w:rPr>
          <w:noProof/>
          <w:lang w:val="en-GB"/>
        </w:rPr>
        <w:t xml:space="preserve">ver, reasoning could (partly) offset the effects of intuitive thinking. Reasoning is more prone to certain rules and formats. If executives make use of some kind of predetermined format or rules, which leads them to see an investment opportunity in combination with other risk and opportunities, then this could counteractive to narrow framing. One of these predetermined formats or methods could be the implementation of real options into the valuaton process. </w:t>
      </w:r>
    </w:p>
    <w:p w:rsidR="00424C35" w:rsidRPr="00772E6D" w:rsidRDefault="00F16445" w:rsidP="00772E6D">
      <w:pPr>
        <w:pStyle w:val="Heading2"/>
        <w:rPr>
          <w:color w:val="76923C" w:themeColor="accent3" w:themeShade="BF"/>
          <w:sz w:val="24"/>
          <w:szCs w:val="24"/>
          <w:lang w:val="en-GB"/>
        </w:rPr>
      </w:pPr>
      <w:bookmarkStart w:id="10" w:name="_Toc397238590"/>
      <w:r w:rsidRPr="00772E6D">
        <w:rPr>
          <w:color w:val="76923C" w:themeColor="accent3" w:themeShade="BF"/>
          <w:sz w:val="24"/>
          <w:szCs w:val="24"/>
          <w:lang w:val="en-GB"/>
        </w:rPr>
        <w:t>Summary – Hypothetical relation</w:t>
      </w:r>
      <w:r w:rsidR="00A75369" w:rsidRPr="00772E6D">
        <w:rPr>
          <w:color w:val="76923C" w:themeColor="accent3" w:themeShade="BF"/>
          <w:sz w:val="24"/>
          <w:szCs w:val="24"/>
          <w:lang w:val="en-GB"/>
        </w:rPr>
        <w:t xml:space="preserve"> between</w:t>
      </w:r>
      <w:r w:rsidRPr="00772E6D">
        <w:rPr>
          <w:color w:val="76923C" w:themeColor="accent3" w:themeShade="BF"/>
          <w:sz w:val="24"/>
          <w:szCs w:val="24"/>
          <w:lang w:val="en-GB"/>
        </w:rPr>
        <w:t xml:space="preserve"> market temperature and valuations</w:t>
      </w:r>
      <w:bookmarkEnd w:id="10"/>
      <w:r w:rsidRPr="00772E6D">
        <w:rPr>
          <w:color w:val="76923C" w:themeColor="accent3" w:themeShade="BF"/>
          <w:sz w:val="24"/>
          <w:szCs w:val="24"/>
          <w:lang w:val="en-GB"/>
        </w:rPr>
        <w:t xml:space="preserve"> </w:t>
      </w:r>
    </w:p>
    <w:p w:rsidR="00772E6D" w:rsidRPr="00772E6D" w:rsidRDefault="00772E6D" w:rsidP="00772E6D">
      <w:pPr>
        <w:rPr>
          <w:lang w:val="en-GB"/>
        </w:rPr>
      </w:pPr>
    </w:p>
    <w:p w:rsidR="009476A8" w:rsidRDefault="009476A8" w:rsidP="00A312B8">
      <w:pPr>
        <w:spacing w:line="360" w:lineRule="auto"/>
        <w:jc w:val="both"/>
        <w:rPr>
          <w:lang w:val="en-GB"/>
        </w:rPr>
      </w:pPr>
      <w:r>
        <w:rPr>
          <w:lang w:val="en-GB"/>
        </w:rPr>
        <w:t xml:space="preserve">Various cognitive biases and their translation into a managerial context </w:t>
      </w:r>
      <w:r w:rsidR="00CF4A13">
        <w:rPr>
          <w:lang w:val="en-GB"/>
        </w:rPr>
        <w:t>have</w:t>
      </w:r>
      <w:r>
        <w:rPr>
          <w:lang w:val="en-GB"/>
        </w:rPr>
        <w:t xml:space="preserve"> been described</w:t>
      </w:r>
      <w:r w:rsidR="00DB00F6">
        <w:rPr>
          <w:lang w:val="en-GB"/>
        </w:rPr>
        <w:t>, a</w:t>
      </w:r>
      <w:r>
        <w:rPr>
          <w:lang w:val="en-GB"/>
        </w:rPr>
        <w:t>s well as their relationship to both prior business experience</w:t>
      </w:r>
      <w:r w:rsidR="00407D3C">
        <w:rPr>
          <w:lang w:val="en-GB"/>
        </w:rPr>
        <w:t>s</w:t>
      </w:r>
      <w:r>
        <w:rPr>
          <w:lang w:val="en-GB"/>
        </w:rPr>
        <w:t xml:space="preserve"> and </w:t>
      </w:r>
      <w:r w:rsidR="00407D3C">
        <w:rPr>
          <w:lang w:val="en-GB"/>
        </w:rPr>
        <w:t xml:space="preserve">valuations. However, since these biases could have opposite effects and causalities, it is </w:t>
      </w:r>
      <w:r w:rsidR="00DB00F6">
        <w:rPr>
          <w:lang w:val="en-GB"/>
        </w:rPr>
        <w:t>hardly possible to give an indication which biases are involved</w:t>
      </w:r>
      <w:r w:rsidR="004C427B">
        <w:rPr>
          <w:lang w:val="en-GB"/>
        </w:rPr>
        <w:t xml:space="preserve"> in the valuation process</w:t>
      </w:r>
      <w:r w:rsidR="00DB00F6">
        <w:rPr>
          <w:lang w:val="en-GB"/>
        </w:rPr>
        <w:t>. In this section the relationships which are proposed in order to justify the hypotheses  are summarized and combined.</w:t>
      </w:r>
    </w:p>
    <w:p w:rsidR="00DC61AE" w:rsidRDefault="00A14C66" w:rsidP="00A312B8">
      <w:pPr>
        <w:spacing w:line="360" w:lineRule="auto"/>
        <w:jc w:val="both"/>
        <w:rPr>
          <w:lang w:val="en-GB"/>
        </w:rPr>
      </w:pPr>
      <w:r>
        <w:rPr>
          <w:lang w:val="en-GB"/>
        </w:rPr>
        <w:t>Hypothesis I states</w:t>
      </w:r>
      <w:r w:rsidR="00DB00F6">
        <w:rPr>
          <w:lang w:val="en-GB"/>
        </w:rPr>
        <w:t xml:space="preserve"> that participants who were given a history of prior business success,  value a certain investment opportunity higher than participants who were given a </w:t>
      </w:r>
      <w:r w:rsidR="00A4662C">
        <w:rPr>
          <w:lang w:val="en-GB"/>
        </w:rPr>
        <w:t>history of prior business failure</w:t>
      </w:r>
      <w:r w:rsidR="00DB00F6">
        <w:rPr>
          <w:lang w:val="en-GB"/>
        </w:rPr>
        <w:t xml:space="preserve">. Translated into a managerial context, this hypothesis implies a relationship between prior business experience and valuations because of executives’ receptivity for cognitive biases. </w:t>
      </w:r>
      <w:r w:rsidR="007216F9">
        <w:rPr>
          <w:lang w:val="en-GB"/>
        </w:rPr>
        <w:t>However, the described biases of overconfident, loss aversion and narrow framing could all be related to both positive and negative prior business experiences</w:t>
      </w:r>
      <w:r w:rsidR="00A4662C">
        <w:rPr>
          <w:lang w:val="en-GB"/>
        </w:rPr>
        <w:t xml:space="preserve"> and could therefore be mutually reinforcing or mitigating</w:t>
      </w:r>
      <w:r w:rsidR="007216F9">
        <w:rPr>
          <w:lang w:val="en-GB"/>
        </w:rPr>
        <w:t>.</w:t>
      </w:r>
      <w:r w:rsidR="00A4662C">
        <w:rPr>
          <w:lang w:val="en-GB"/>
        </w:rPr>
        <w:t xml:space="preserve"> In order to test whether real options could provide a solution to the</w:t>
      </w:r>
      <w:r w:rsidR="00391F95">
        <w:rPr>
          <w:lang w:val="en-GB"/>
        </w:rPr>
        <w:t>se</w:t>
      </w:r>
      <w:r w:rsidR="00A4662C">
        <w:rPr>
          <w:lang w:val="en-GB"/>
        </w:rPr>
        <w:t xml:space="preserve"> biases in valuation, it is required to have knowledge about which biases are involved. The use of real options could prevent making these biases or countervail the</w:t>
      </w:r>
      <w:r w:rsidR="00391F95">
        <w:rPr>
          <w:lang w:val="en-GB"/>
        </w:rPr>
        <w:t>ir</w:t>
      </w:r>
      <w:r w:rsidR="00A4662C">
        <w:rPr>
          <w:lang w:val="en-GB"/>
        </w:rPr>
        <w:t xml:space="preserve"> effect on valuation</w:t>
      </w:r>
      <w:r w:rsidR="00391F95">
        <w:rPr>
          <w:lang w:val="en-GB"/>
        </w:rPr>
        <w:t>s</w:t>
      </w:r>
      <w:r w:rsidR="00A4662C">
        <w:rPr>
          <w:lang w:val="en-GB"/>
        </w:rPr>
        <w:t>.</w:t>
      </w:r>
      <w:r w:rsidR="00F4270B">
        <w:rPr>
          <w:lang w:val="en-GB"/>
        </w:rPr>
        <w:t xml:space="preserve"> Therefore the experiment will be based on hypotheses II &amp; III </w:t>
      </w:r>
      <w:r w:rsidR="00DC61AE">
        <w:rPr>
          <w:lang w:val="en-GB"/>
        </w:rPr>
        <w:t xml:space="preserve">as well. Testing these hypotheses will provide one the possibility to see whether and which biases are involved. A justification of </w:t>
      </w:r>
      <w:r w:rsidR="00CF4A13">
        <w:rPr>
          <w:lang w:val="en-GB"/>
        </w:rPr>
        <w:t>these hypotheses</w:t>
      </w:r>
      <w:r w:rsidR="00DC61AE">
        <w:rPr>
          <w:lang w:val="en-GB"/>
        </w:rPr>
        <w:t xml:space="preserve"> will be summarized and graphically shown. </w:t>
      </w:r>
    </w:p>
    <w:p w:rsidR="00772E6D" w:rsidRDefault="00772E6D" w:rsidP="00A312B8">
      <w:pPr>
        <w:spacing w:line="360" w:lineRule="auto"/>
        <w:jc w:val="both"/>
        <w:rPr>
          <w:i/>
          <w:lang w:val="en-GB"/>
        </w:rPr>
      </w:pPr>
    </w:p>
    <w:p w:rsidR="00772E6D" w:rsidRDefault="00772E6D" w:rsidP="00A312B8">
      <w:pPr>
        <w:spacing w:line="360" w:lineRule="auto"/>
        <w:jc w:val="both"/>
        <w:rPr>
          <w:i/>
          <w:lang w:val="en-GB"/>
        </w:rPr>
      </w:pPr>
    </w:p>
    <w:p w:rsidR="00772E6D" w:rsidRDefault="00772E6D" w:rsidP="00A312B8">
      <w:pPr>
        <w:spacing w:line="360" w:lineRule="auto"/>
        <w:jc w:val="both"/>
        <w:rPr>
          <w:i/>
          <w:lang w:val="en-GB"/>
        </w:rPr>
      </w:pPr>
    </w:p>
    <w:p w:rsidR="00772E6D" w:rsidRDefault="00772E6D" w:rsidP="00A312B8">
      <w:pPr>
        <w:spacing w:line="360" w:lineRule="auto"/>
        <w:jc w:val="both"/>
        <w:rPr>
          <w:i/>
          <w:lang w:val="en-GB"/>
        </w:rPr>
      </w:pPr>
    </w:p>
    <w:p w:rsidR="00772E6D" w:rsidRDefault="00772E6D" w:rsidP="00A312B8">
      <w:pPr>
        <w:spacing w:line="360" w:lineRule="auto"/>
        <w:jc w:val="both"/>
        <w:rPr>
          <w:i/>
          <w:lang w:val="en-GB"/>
        </w:rPr>
      </w:pPr>
    </w:p>
    <w:p w:rsidR="00DC61AE" w:rsidRDefault="00DC61AE" w:rsidP="00A312B8">
      <w:pPr>
        <w:spacing w:line="360" w:lineRule="auto"/>
        <w:jc w:val="both"/>
        <w:rPr>
          <w:lang w:val="en-GB"/>
        </w:rPr>
      </w:pPr>
      <w:r>
        <w:rPr>
          <w:i/>
          <w:lang w:val="en-GB"/>
        </w:rPr>
        <w:lastRenderedPageBreak/>
        <w:t>Overconfidence (positive business experience/hot deal market)</w:t>
      </w:r>
    </w:p>
    <w:p w:rsidR="00DB00F6" w:rsidRPr="009476A8" w:rsidRDefault="00DC61AE" w:rsidP="00A312B8">
      <w:pPr>
        <w:spacing w:line="360" w:lineRule="auto"/>
        <w:jc w:val="both"/>
        <w:rPr>
          <w:lang w:val="en-GB"/>
        </w:rPr>
      </w:pPr>
      <w:r>
        <w:object w:dxaOrig="10822" w:dyaOrig="49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85pt;height:188.7pt" o:ole="">
            <v:imagedata r:id="rId9" o:title=""/>
          </v:shape>
          <o:OLEObject Type="Embed" ProgID="SmartDraw.2" ShapeID="_x0000_i1025" DrawAspect="Content" ObjectID="_1471765358" r:id="rId10"/>
        </w:object>
      </w:r>
      <w:r w:rsidR="00A4662C">
        <w:rPr>
          <w:lang w:val="en-GB"/>
        </w:rPr>
        <w:t xml:space="preserve">  </w:t>
      </w:r>
      <w:r w:rsidR="007216F9">
        <w:rPr>
          <w:lang w:val="en-GB"/>
        </w:rPr>
        <w:t xml:space="preserve"> </w:t>
      </w:r>
    </w:p>
    <w:p w:rsidR="009476A8" w:rsidRDefault="00AE228F" w:rsidP="00A312B8">
      <w:pPr>
        <w:spacing w:line="360" w:lineRule="auto"/>
        <w:jc w:val="both"/>
        <w:rPr>
          <w:lang w:val="en-GB"/>
        </w:rPr>
      </w:pPr>
      <w:r>
        <w:rPr>
          <w:lang w:val="en-GB"/>
        </w:rPr>
        <w:t xml:space="preserve">As earlier described a positive business experience could lead to a higher level of overconfidence, which in turn could lead to a higher valuation. Therefore relationship ‘2’ and ‘4’ are positive. The opposite may hold as well: a negative business experience could lead to a lower level of overconfidence, which in turn could lead to a lower valuation. However, executives can be prone to overconfidence without a prior experience as well, since overconfidence is a natural tendency and related to the concept of </w:t>
      </w:r>
      <w:r w:rsidR="004C427B">
        <w:rPr>
          <w:lang w:val="en-GB"/>
        </w:rPr>
        <w:t xml:space="preserve">the </w:t>
      </w:r>
      <w:r>
        <w:rPr>
          <w:lang w:val="en-GB"/>
        </w:rPr>
        <w:t xml:space="preserve">self-serving bias. Therefore, valuations made by participants with and without a given business experience during their period in the role of CEO, could be both subject to overconfidence. However, the self-attribution bias is a cause or amplifying factor of overconfidence </w:t>
      </w:r>
      <w:r w:rsidR="004C427B">
        <w:rPr>
          <w:lang w:val="en-GB"/>
        </w:rPr>
        <w:t xml:space="preserve">and </w:t>
      </w:r>
      <w:r>
        <w:rPr>
          <w:lang w:val="en-GB"/>
        </w:rPr>
        <w:t>only applicable in a situation in which prior ambiguous information could be evaluated. Hence</w:t>
      </w:r>
      <w:r w:rsidR="004C427B">
        <w:rPr>
          <w:lang w:val="en-GB"/>
        </w:rPr>
        <w:t>, one could expect that the valuations made by participants who are framed in a setting of prior business success, are higher than valuations made by participants without a given prior business experience. This is because of the following reasoning: prior business successes will be attributed to one’s own actions, which enhances the level of overconfidence, which in turn leads to a highe</w:t>
      </w:r>
      <w:r w:rsidR="00A03715">
        <w:rPr>
          <w:lang w:val="en-GB"/>
        </w:rPr>
        <w:t xml:space="preserve">r valuation. However, </w:t>
      </w:r>
      <w:r w:rsidR="004C427B">
        <w:rPr>
          <w:lang w:val="en-GB"/>
        </w:rPr>
        <w:t xml:space="preserve"> feedback is necessary in order to attribute certain aspects of a success to one’s own actions. This feedbac</w:t>
      </w:r>
      <w:r w:rsidR="00C606A2">
        <w:rPr>
          <w:lang w:val="en-GB"/>
        </w:rPr>
        <w:t>k will</w:t>
      </w:r>
      <w:r w:rsidR="00A03715">
        <w:rPr>
          <w:lang w:val="en-GB"/>
        </w:rPr>
        <w:t xml:space="preserve"> not </w:t>
      </w:r>
      <w:r w:rsidR="00C606A2">
        <w:rPr>
          <w:lang w:val="en-GB"/>
        </w:rPr>
        <w:t xml:space="preserve">be </w:t>
      </w:r>
      <w:r w:rsidR="00A03715">
        <w:rPr>
          <w:lang w:val="en-GB"/>
        </w:rPr>
        <w:t>given to a group of</w:t>
      </w:r>
      <w:r w:rsidR="004C427B">
        <w:rPr>
          <w:lang w:val="en-GB"/>
        </w:rPr>
        <w:t xml:space="preserve"> participants</w:t>
      </w:r>
      <w:r w:rsidR="00A03715">
        <w:rPr>
          <w:lang w:val="en-GB"/>
        </w:rPr>
        <w:t xml:space="preserve"> and</w:t>
      </w:r>
      <w:r w:rsidR="00C606A2">
        <w:rPr>
          <w:lang w:val="en-GB"/>
        </w:rPr>
        <w:t xml:space="preserve"> consequently,</w:t>
      </w:r>
      <w:r w:rsidR="00A03715">
        <w:rPr>
          <w:lang w:val="en-GB"/>
        </w:rPr>
        <w:t xml:space="preserve"> their level of overconfidence cannot be altered by the self-attribution bias. </w:t>
      </w:r>
      <w:r w:rsidR="00A03715" w:rsidRPr="00E32F65">
        <w:rPr>
          <w:i/>
          <w:lang w:val="en-GB"/>
        </w:rPr>
        <w:t>If the findings of the experiment illustrate that no difference in valuations exists, then one could argue that there is no relationship between prior business experience and the level of overconfidence or that the experiment does not offer enough information for the participants to be able to attribute successes to themselves</w:t>
      </w:r>
      <w:r w:rsidR="00E32F65">
        <w:rPr>
          <w:i/>
          <w:lang w:val="en-GB"/>
        </w:rPr>
        <w:t xml:space="preserve"> (hypothesis II)</w:t>
      </w:r>
      <w:r w:rsidR="00A03715">
        <w:rPr>
          <w:lang w:val="en-GB"/>
        </w:rPr>
        <w:t xml:space="preserve">. The latter possibility could also be the result of the experiment’s inability to create a perception of groupthink and outside evaluation. If an executive has experienced successes, then this could lead to </w:t>
      </w:r>
      <w:r w:rsidR="00E32F65">
        <w:rPr>
          <w:lang w:val="en-GB"/>
        </w:rPr>
        <w:t xml:space="preserve">positive outsiders view (board of directors, media etc.), which in turn could enhance his level of overconfidence. </w:t>
      </w:r>
    </w:p>
    <w:p w:rsidR="007078D8" w:rsidRDefault="007078D8" w:rsidP="00C606A2">
      <w:pPr>
        <w:spacing w:line="360" w:lineRule="auto"/>
        <w:jc w:val="both"/>
        <w:rPr>
          <w:lang w:val="en-GB"/>
        </w:rPr>
      </w:pPr>
      <w:r w:rsidRPr="007078D8">
        <w:rPr>
          <w:lang w:val="en-GB"/>
        </w:rPr>
        <w:lastRenderedPageBreak/>
        <w:t>In case of a n</w:t>
      </w:r>
      <w:r>
        <w:rPr>
          <w:lang w:val="en-GB"/>
        </w:rPr>
        <w:t>egative prior business success, executives could</w:t>
      </w:r>
      <w:r w:rsidR="00AE7B22">
        <w:rPr>
          <w:lang w:val="en-GB"/>
        </w:rPr>
        <w:t xml:space="preserve"> still</w:t>
      </w:r>
      <w:r>
        <w:rPr>
          <w:lang w:val="en-GB"/>
        </w:rPr>
        <w:t xml:space="preserve"> be prone to </w:t>
      </w:r>
      <w:r w:rsidR="00AE7B22">
        <w:rPr>
          <w:lang w:val="en-GB"/>
        </w:rPr>
        <w:t>overconfidence. An</w:t>
      </w:r>
      <w:r w:rsidR="00CB3764">
        <w:rPr>
          <w:lang w:val="en-GB"/>
        </w:rPr>
        <w:t xml:space="preserve"> </w:t>
      </w:r>
      <w:r>
        <w:rPr>
          <w:lang w:val="en-GB"/>
        </w:rPr>
        <w:t>a contrario reasoning opposed to the previous described relationship, implies that  a negative</w:t>
      </w:r>
      <w:r w:rsidR="00CB3764">
        <w:rPr>
          <w:lang w:val="en-GB"/>
        </w:rPr>
        <w:t xml:space="preserve"> prior business experience will </w:t>
      </w:r>
      <w:r w:rsidR="00AE7B22">
        <w:rPr>
          <w:lang w:val="en-GB"/>
        </w:rPr>
        <w:t>decrease the level of overconfidence. This prior negative business experience, though, will</w:t>
      </w:r>
      <w:r w:rsidR="00CB3764">
        <w:rPr>
          <w:lang w:val="en-GB"/>
        </w:rPr>
        <w:t xml:space="preserve"> partly </w:t>
      </w:r>
      <w:r w:rsidR="00AE7B22">
        <w:rPr>
          <w:lang w:val="en-GB"/>
        </w:rPr>
        <w:t xml:space="preserve">be </w:t>
      </w:r>
      <w:r w:rsidR="00CB3764">
        <w:rPr>
          <w:lang w:val="en-GB"/>
        </w:rPr>
        <w:t xml:space="preserve">attributed to </w:t>
      </w:r>
      <w:r w:rsidR="00AE7B22">
        <w:rPr>
          <w:lang w:val="en-GB"/>
        </w:rPr>
        <w:t>exogenous circumstances, which will result in a smaller decrease of the level of overconfidence, than a positive experience enhances this level. Other potential explanations that have been earlier described</w:t>
      </w:r>
      <w:r w:rsidR="00CB46E5">
        <w:rPr>
          <w:lang w:val="en-GB"/>
        </w:rPr>
        <w:t>,</w:t>
      </w:r>
      <w:r w:rsidR="00AE7B22">
        <w:rPr>
          <w:lang w:val="en-GB"/>
        </w:rPr>
        <w:t xml:space="preserve"> are related to the concept of loss aversion. </w:t>
      </w:r>
      <w:r w:rsidR="00BC12F5">
        <w:rPr>
          <w:lang w:val="en-GB"/>
        </w:rPr>
        <w:t>L</w:t>
      </w:r>
      <w:r w:rsidR="00AE7B22">
        <w:rPr>
          <w:lang w:val="en-GB"/>
        </w:rPr>
        <w:t xml:space="preserve">oss aversion is due to risk perception, whilst overconfidence is due to the estimation of risk </w:t>
      </w:r>
      <w:sdt>
        <w:sdtPr>
          <w:rPr>
            <w:lang w:val="en-GB"/>
          </w:rPr>
          <w:id w:val="4667706"/>
          <w:citation/>
        </w:sdtPr>
        <w:sdtContent>
          <w:r w:rsidR="009966E0">
            <w:rPr>
              <w:lang w:val="en-GB"/>
            </w:rPr>
            <w:fldChar w:fldCharType="begin"/>
          </w:r>
          <w:r w:rsidR="00AE7B22" w:rsidRPr="00AE7B22">
            <w:rPr>
              <w:lang w:val="en-GB"/>
            </w:rPr>
            <w:instrText xml:space="preserve"> CITATION Smi10 \l 1043 </w:instrText>
          </w:r>
          <w:r w:rsidR="009966E0">
            <w:rPr>
              <w:lang w:val="en-GB"/>
            </w:rPr>
            <w:fldChar w:fldCharType="separate"/>
          </w:r>
          <w:r w:rsidR="00C32B5A" w:rsidRPr="00C32B5A">
            <w:rPr>
              <w:noProof/>
              <w:lang w:val="en-GB"/>
            </w:rPr>
            <w:t>(Smit &amp; Moraitis, Playing at serial acquisitions, 2010)</w:t>
          </w:r>
          <w:r w:rsidR="009966E0">
            <w:rPr>
              <w:lang w:val="en-GB"/>
            </w:rPr>
            <w:fldChar w:fldCharType="end"/>
          </w:r>
        </w:sdtContent>
      </w:sdt>
      <w:r w:rsidR="00C66606">
        <w:rPr>
          <w:lang w:val="en-GB"/>
        </w:rPr>
        <w:t>. T</w:t>
      </w:r>
      <w:r w:rsidR="00CB46E5">
        <w:rPr>
          <w:lang w:val="en-GB"/>
        </w:rPr>
        <w:t xml:space="preserve">hese concepts </w:t>
      </w:r>
      <w:r w:rsidR="00BC12F5">
        <w:rPr>
          <w:lang w:val="en-GB"/>
        </w:rPr>
        <w:t>are therefore in a different way related to valuations</w:t>
      </w:r>
      <w:r w:rsidR="00AE7B22">
        <w:rPr>
          <w:lang w:val="en-GB"/>
        </w:rPr>
        <w:t>.</w:t>
      </w:r>
      <w:r w:rsidR="00BC12F5">
        <w:rPr>
          <w:lang w:val="en-GB"/>
        </w:rPr>
        <w:t xml:space="preserve"> Loss aversion refers to one’s risk attitude</w:t>
      </w:r>
      <w:r w:rsidR="00CB46E5">
        <w:rPr>
          <w:lang w:val="en-GB"/>
        </w:rPr>
        <w:t xml:space="preserve"> and could lead to a status quo situation or reticence in a managerial context. Whilst, overconfidence refers to one’s estimation of chances and outcomes</w:t>
      </w:r>
      <w:r w:rsidR="00C66606">
        <w:rPr>
          <w:lang w:val="en-GB"/>
        </w:rPr>
        <w:t xml:space="preserve"> and could therefore alter the valuation in a managerial context. </w:t>
      </w:r>
      <w:r w:rsidR="00BF6356">
        <w:rPr>
          <w:lang w:val="en-GB"/>
        </w:rPr>
        <w:t xml:space="preserve">Loss aversion could be related to prior experiences and investment decisions in different ways, namely the earlier described house money effect and the escalation of commitment bias. The house money effect refers to the situation in which prior business experiences affect the risk attitude, which in turn affects investment decisions. One might say that escalation of commitment is related to valuation in a more indirect way. Prior business experiences </w:t>
      </w:r>
      <w:r w:rsidR="00F8617A">
        <w:rPr>
          <w:lang w:val="en-GB"/>
        </w:rPr>
        <w:t xml:space="preserve">may lead to the mental perception that one has the position of a certain loss. The loss aversion to this certain loss, may result in the willingness to accept more risk in a next decision. If this next decision is an investment opportunity, then this might lead to a higher individual valuation, since it offers the opportunity to offset the certain loss or demonstrate one’s abilities. The relationship described above, could be graphically shown. </w:t>
      </w:r>
    </w:p>
    <w:p w:rsidR="00D66F8A" w:rsidRDefault="00D66F8A" w:rsidP="00D66F8A">
      <w:pPr>
        <w:spacing w:line="360" w:lineRule="auto"/>
        <w:jc w:val="both"/>
        <w:rPr>
          <w:lang w:val="en-GB"/>
        </w:rPr>
      </w:pPr>
      <w:r>
        <w:rPr>
          <w:i/>
          <w:lang w:val="en-GB"/>
        </w:rPr>
        <w:t>House money effect (negative business experience/cold deal market)</w:t>
      </w:r>
    </w:p>
    <w:p w:rsidR="00F8617A" w:rsidRDefault="00D66F8A" w:rsidP="00C606A2">
      <w:pPr>
        <w:spacing w:line="360" w:lineRule="auto"/>
        <w:jc w:val="both"/>
      </w:pPr>
      <w:r>
        <w:object w:dxaOrig="10841" w:dyaOrig="4966">
          <v:shape id="_x0000_i1026" type="#_x0000_t75" style="width:403.45pt;height:184.95pt" o:ole="">
            <v:imagedata r:id="rId11" o:title=""/>
          </v:shape>
          <o:OLEObject Type="Embed" ProgID="SmartDraw.2" ShapeID="_x0000_i1026" DrawAspect="Content" ObjectID="_1471765359" r:id="rId12"/>
        </w:object>
      </w:r>
    </w:p>
    <w:p w:rsidR="001829A8" w:rsidRDefault="00182D4A" w:rsidP="00C606A2">
      <w:pPr>
        <w:spacing w:line="360" w:lineRule="auto"/>
        <w:jc w:val="both"/>
        <w:rPr>
          <w:lang w:val="en-GB"/>
        </w:rPr>
      </w:pPr>
      <w:r w:rsidRPr="00182D4A">
        <w:rPr>
          <w:lang w:val="en-GB"/>
        </w:rPr>
        <w:t>A negative  prior business e</w:t>
      </w:r>
      <w:r>
        <w:rPr>
          <w:lang w:val="en-GB"/>
        </w:rPr>
        <w:t>xperience will result in more risk aversion, therefore a positive relationship (2) exists between ‘1’ and ‘3’. More risk averse/less risk seeking behaviour will (indirectly) result in lower valuations and bid</w:t>
      </w:r>
      <w:r w:rsidR="00907D1B">
        <w:rPr>
          <w:lang w:val="en-GB"/>
        </w:rPr>
        <w:t>s</w:t>
      </w:r>
      <w:r>
        <w:rPr>
          <w:lang w:val="en-GB"/>
        </w:rPr>
        <w:t xml:space="preserve">, which implies a positive relationship between ‘3’ and </w:t>
      </w:r>
      <w:r>
        <w:rPr>
          <w:lang w:val="en-GB"/>
        </w:rPr>
        <w:lastRenderedPageBreak/>
        <w:t xml:space="preserve">‘4’. </w:t>
      </w:r>
      <w:r w:rsidR="00907D1B">
        <w:rPr>
          <w:lang w:val="en-GB"/>
        </w:rPr>
        <w:t xml:space="preserve">Consequently, </w:t>
      </w:r>
      <w:r w:rsidR="001829A8">
        <w:rPr>
          <w:lang w:val="en-GB"/>
        </w:rPr>
        <w:t xml:space="preserve">if the house money effect is involved in a managerial setting, </w:t>
      </w:r>
      <w:r w:rsidR="00907D1B">
        <w:rPr>
          <w:lang w:val="en-GB"/>
        </w:rPr>
        <w:t>the expected relationship between prior business experie</w:t>
      </w:r>
      <w:r w:rsidR="001829A8">
        <w:rPr>
          <w:lang w:val="en-GB"/>
        </w:rPr>
        <w:t>nces and valuations is positive.</w:t>
      </w:r>
    </w:p>
    <w:p w:rsidR="001829A8" w:rsidRDefault="00907D1B" w:rsidP="001829A8">
      <w:pPr>
        <w:spacing w:line="360" w:lineRule="auto"/>
        <w:jc w:val="both"/>
        <w:rPr>
          <w:lang w:val="en-GB"/>
        </w:rPr>
      </w:pPr>
      <w:r>
        <w:rPr>
          <w:lang w:val="en-GB"/>
        </w:rPr>
        <w:t xml:space="preserve"> </w:t>
      </w:r>
      <w:r w:rsidR="001829A8">
        <w:rPr>
          <w:i/>
          <w:lang w:val="en-GB"/>
        </w:rPr>
        <w:t>Escalation of commitment (negative business experience/cold deal market)</w:t>
      </w:r>
    </w:p>
    <w:p w:rsidR="00D66F8A" w:rsidRDefault="001829A8" w:rsidP="00C606A2">
      <w:pPr>
        <w:spacing w:line="360" w:lineRule="auto"/>
        <w:jc w:val="both"/>
      </w:pPr>
      <w:r>
        <w:object w:dxaOrig="10822" w:dyaOrig="4966">
          <v:shape id="_x0000_i1027" type="#_x0000_t75" style="width:408.4pt;height:187.45pt" o:ole="">
            <v:imagedata r:id="rId13" o:title=""/>
          </v:shape>
          <o:OLEObject Type="Embed" ProgID="SmartDraw.2" ShapeID="_x0000_i1027" DrawAspect="Content" ObjectID="_1471765360" r:id="rId14"/>
        </w:object>
      </w:r>
    </w:p>
    <w:p w:rsidR="00E21CCD" w:rsidRDefault="00E21CCD" w:rsidP="00C606A2">
      <w:pPr>
        <w:spacing w:line="360" w:lineRule="auto"/>
        <w:jc w:val="both"/>
        <w:rPr>
          <w:lang w:val="en-GB"/>
        </w:rPr>
      </w:pPr>
      <w:r w:rsidRPr="00E21CCD">
        <w:rPr>
          <w:lang w:val="en-GB"/>
        </w:rPr>
        <w:t>According to the escalation o</w:t>
      </w:r>
      <w:r>
        <w:rPr>
          <w:lang w:val="en-GB"/>
        </w:rPr>
        <w:t xml:space="preserve">f commitment bias, a negative prior business experience will result in the perception that one’s current position is a loss compared to a reference point. </w:t>
      </w:r>
      <w:r w:rsidR="00CF4A13">
        <w:rPr>
          <w:lang w:val="en-GB"/>
        </w:rPr>
        <w:t xml:space="preserve">This perception will lead to more risk seeking behaviour if an investment opportunity related to the prior business experience, is offered. </w:t>
      </w:r>
      <w:r>
        <w:rPr>
          <w:lang w:val="en-GB"/>
        </w:rPr>
        <w:t xml:space="preserve">Therefore a negative relationship between ‘1’ and ‘3’ should </w:t>
      </w:r>
      <w:r w:rsidR="00CF4A13">
        <w:rPr>
          <w:lang w:val="en-GB"/>
        </w:rPr>
        <w:t>exist</w:t>
      </w:r>
      <w:r>
        <w:rPr>
          <w:lang w:val="en-GB"/>
        </w:rPr>
        <w:t xml:space="preserve">. The relationship between ‘3’ and ‘4’ is supposed to be same as with the house money effect. The above results in the assumption that according to the escalation of commitment bias prior business experiences are negatively correlated to valuations. </w:t>
      </w:r>
    </w:p>
    <w:p w:rsidR="00E21CCD" w:rsidRDefault="00E21CCD" w:rsidP="00C606A2">
      <w:pPr>
        <w:spacing w:line="360" w:lineRule="auto"/>
        <w:jc w:val="both"/>
        <w:rPr>
          <w:lang w:val="en-GB"/>
        </w:rPr>
      </w:pPr>
      <w:r>
        <w:rPr>
          <w:lang w:val="en-GB"/>
        </w:rPr>
        <w:t>By testing hypothesis III, it is possible to see wh</w:t>
      </w:r>
      <w:r w:rsidR="00C51EAA">
        <w:rPr>
          <w:lang w:val="en-GB"/>
        </w:rPr>
        <w:t xml:space="preserve">ether the house money effect or escalation of commitment has a stronger effect on </w:t>
      </w:r>
      <w:r w:rsidR="007638E0">
        <w:rPr>
          <w:lang w:val="en-GB"/>
        </w:rPr>
        <w:t xml:space="preserve">the </w:t>
      </w:r>
      <w:r w:rsidR="00C51EAA">
        <w:rPr>
          <w:lang w:val="en-GB"/>
        </w:rPr>
        <w:t>valuation</w:t>
      </w:r>
      <w:r w:rsidR="007638E0">
        <w:rPr>
          <w:lang w:val="en-GB"/>
        </w:rPr>
        <w:t xml:space="preserve"> process</w:t>
      </w:r>
      <w:r w:rsidR="00C51EAA">
        <w:rPr>
          <w:lang w:val="en-GB"/>
        </w:rPr>
        <w:t xml:space="preserve">. A lower valuation by the participants who are given a negative prior business history gives an indication for the house money effects. Whilst a higher valuation compared to the participants who are not given a business history gives an indication for the escalation of commitment. </w:t>
      </w:r>
    </w:p>
    <w:p w:rsidR="007638E0" w:rsidRDefault="007638E0" w:rsidP="00C606A2">
      <w:pPr>
        <w:spacing w:line="360" w:lineRule="auto"/>
        <w:jc w:val="both"/>
        <w:rPr>
          <w:lang w:val="en-GB"/>
        </w:rPr>
      </w:pPr>
      <w:r>
        <w:rPr>
          <w:lang w:val="en-GB"/>
        </w:rPr>
        <w:t>In case hypothesis I is confirmed, it is difficult to make conclusions about the question which biases are the cause of the difference in valuations</w:t>
      </w:r>
      <w:r w:rsidR="00E2327C">
        <w:rPr>
          <w:lang w:val="en-GB"/>
        </w:rPr>
        <w:t>, and to what extent</w:t>
      </w:r>
      <w:r>
        <w:rPr>
          <w:lang w:val="en-GB"/>
        </w:rPr>
        <w:t xml:space="preserve">. </w:t>
      </w:r>
      <w:r w:rsidR="00E2327C">
        <w:rPr>
          <w:lang w:val="en-GB"/>
        </w:rPr>
        <w:t xml:space="preserve">However, testing hypotheses II &amp; III gives the opportunity to gather information about the involvement of certain biases, albeit in a single scenario (hot or cold deal market).  </w:t>
      </w:r>
    </w:p>
    <w:p w:rsidR="009444DC" w:rsidRPr="00E21CCD" w:rsidRDefault="009444DC" w:rsidP="00C606A2">
      <w:pPr>
        <w:spacing w:line="360" w:lineRule="auto"/>
        <w:jc w:val="both"/>
        <w:rPr>
          <w:lang w:val="en-GB"/>
        </w:rPr>
      </w:pPr>
    </w:p>
    <w:p w:rsidR="004A48E4" w:rsidRDefault="004A48E4" w:rsidP="00082B85">
      <w:pPr>
        <w:pStyle w:val="Heading2"/>
        <w:rPr>
          <w:color w:val="76923C" w:themeColor="accent3" w:themeShade="BF"/>
          <w:sz w:val="24"/>
          <w:szCs w:val="24"/>
          <w:lang w:val="en-GB"/>
        </w:rPr>
      </w:pPr>
      <w:bookmarkStart w:id="11" w:name="_Toc397238591"/>
    </w:p>
    <w:p w:rsidR="00424C35" w:rsidRDefault="00424C35" w:rsidP="00082B85">
      <w:pPr>
        <w:pStyle w:val="Heading2"/>
        <w:rPr>
          <w:color w:val="76923C" w:themeColor="accent3" w:themeShade="BF"/>
          <w:sz w:val="24"/>
          <w:szCs w:val="24"/>
          <w:lang w:val="en-GB"/>
        </w:rPr>
      </w:pPr>
      <w:r w:rsidRPr="00772E6D">
        <w:rPr>
          <w:color w:val="76923C" w:themeColor="accent3" w:themeShade="BF"/>
          <w:sz w:val="24"/>
          <w:szCs w:val="24"/>
          <w:lang w:val="en-GB"/>
        </w:rPr>
        <w:t>Real options</w:t>
      </w:r>
      <w:r w:rsidR="00D74406" w:rsidRPr="00772E6D">
        <w:rPr>
          <w:color w:val="76923C" w:themeColor="accent3" w:themeShade="BF"/>
          <w:sz w:val="24"/>
          <w:szCs w:val="24"/>
          <w:lang w:val="en-GB"/>
        </w:rPr>
        <w:t xml:space="preserve"> as a solution for static DCF valuations</w:t>
      </w:r>
      <w:bookmarkEnd w:id="11"/>
    </w:p>
    <w:p w:rsidR="00772E6D" w:rsidRPr="00772E6D" w:rsidRDefault="00772E6D" w:rsidP="00772E6D">
      <w:pPr>
        <w:rPr>
          <w:lang w:val="en-GB"/>
        </w:rPr>
      </w:pPr>
    </w:p>
    <w:p w:rsidR="00A255A0" w:rsidRPr="00A255A0" w:rsidRDefault="009444DC" w:rsidP="00A312B8">
      <w:pPr>
        <w:spacing w:line="360" w:lineRule="auto"/>
        <w:jc w:val="both"/>
        <w:rPr>
          <w:lang w:val="en-GB"/>
        </w:rPr>
      </w:pPr>
      <w:r>
        <w:rPr>
          <w:lang w:val="en-GB"/>
        </w:rPr>
        <w:t>If the question which psychological biases affect valuations and M&amp;A activity, is answered, then one could pose the question: how to ‘debias’ valuations?</w:t>
      </w:r>
      <w:r w:rsidR="00CD45D8">
        <w:rPr>
          <w:lang w:val="en-GB"/>
        </w:rPr>
        <w:t xml:space="preserve"> </w:t>
      </w:r>
      <w:r w:rsidR="00A255A0">
        <w:rPr>
          <w:lang w:val="en-GB"/>
        </w:rPr>
        <w:t xml:space="preserve">The easiest way would be to make executives aware of their biases. However, this awareness barely results in decisions which are less biased. An explanation is offered by </w:t>
      </w:r>
      <w:r w:rsidR="00A255A0" w:rsidRPr="00A255A0">
        <w:rPr>
          <w:noProof/>
          <w:lang w:val="en-GB"/>
        </w:rPr>
        <w:t>Kahneman, Lovallo, &amp; Sibony (2011). The</w:t>
      </w:r>
      <w:r w:rsidR="00A255A0">
        <w:rPr>
          <w:noProof/>
          <w:lang w:val="en-GB"/>
        </w:rPr>
        <w:t>y refer to the earlier described distinction in</w:t>
      </w:r>
      <w:r w:rsidR="00CD03CE">
        <w:rPr>
          <w:noProof/>
          <w:lang w:val="en-GB"/>
        </w:rPr>
        <w:t xml:space="preserve"> the way</w:t>
      </w:r>
      <w:r w:rsidR="00A255A0">
        <w:rPr>
          <w:noProof/>
          <w:lang w:val="en-GB"/>
        </w:rPr>
        <w:t xml:space="preserve"> of thinking: System one and System two. System one is the way of thinking which is more intuitive and effortlessly. This way of thinking enables people to talk, read or sport: people do not have to think about the question how to do something. System two is more effortful an</w:t>
      </w:r>
      <w:r w:rsidR="00CD03CE">
        <w:rPr>
          <w:noProof/>
          <w:lang w:val="en-GB"/>
        </w:rPr>
        <w:t>d</w:t>
      </w:r>
      <w:r w:rsidR="00A255A0">
        <w:rPr>
          <w:noProof/>
          <w:lang w:val="en-GB"/>
        </w:rPr>
        <w:t xml:space="preserve"> conscious. People use both systems, however sys</w:t>
      </w:r>
      <w:r w:rsidR="00B676C2">
        <w:rPr>
          <w:noProof/>
          <w:lang w:val="en-GB"/>
        </w:rPr>
        <w:t>tem one is used most of the time</w:t>
      </w:r>
      <w:r w:rsidR="00A255A0">
        <w:rPr>
          <w:noProof/>
          <w:lang w:val="en-GB"/>
        </w:rPr>
        <w:t xml:space="preserve">, unless a decision’s </w:t>
      </w:r>
      <w:r w:rsidR="00024D48">
        <w:rPr>
          <w:noProof/>
          <w:lang w:val="en-GB"/>
        </w:rPr>
        <w:t xml:space="preserve">interests are high or rule-based. </w:t>
      </w:r>
      <w:r w:rsidR="00B676C2">
        <w:rPr>
          <w:noProof/>
          <w:lang w:val="en-GB"/>
        </w:rPr>
        <w:t xml:space="preserve">The use of system one is mostly positive, since it helps forming a context instantly. However, it is almost impossible to be aware of an error at the moment people are making him intuitively. Therefore it is hard to find a solution for such an error, if one is unaware of the fact that he is making an error at that time. </w:t>
      </w:r>
    </w:p>
    <w:p w:rsidR="009444DC" w:rsidRDefault="00CD45D8" w:rsidP="00A312B8">
      <w:pPr>
        <w:spacing w:line="360" w:lineRule="auto"/>
        <w:jc w:val="both"/>
        <w:rPr>
          <w:lang w:val="en-GB"/>
        </w:rPr>
      </w:pPr>
      <w:r>
        <w:rPr>
          <w:lang w:val="en-GB"/>
        </w:rPr>
        <w:t>In the subject of M&amp;As</w:t>
      </w:r>
      <w:r w:rsidR="00FF6D66">
        <w:rPr>
          <w:lang w:val="en-GB"/>
        </w:rPr>
        <w:t>,</w:t>
      </w:r>
      <w:r>
        <w:rPr>
          <w:lang w:val="en-GB"/>
        </w:rPr>
        <w:t xml:space="preserve"> </w:t>
      </w:r>
      <w:r w:rsidR="009444DC">
        <w:rPr>
          <w:lang w:val="en-GB"/>
        </w:rPr>
        <w:t xml:space="preserve"> </w:t>
      </w:r>
      <w:r w:rsidR="00AF1162">
        <w:rPr>
          <w:noProof/>
          <w:lang w:val="en-GB"/>
        </w:rPr>
        <w:t>Garbuio, Lovallo, &amp; Horn (</w:t>
      </w:r>
      <w:r w:rsidR="00BD47C2" w:rsidRPr="00CD45D8">
        <w:rPr>
          <w:noProof/>
          <w:lang w:val="en-GB"/>
        </w:rPr>
        <w:t>2010)</w:t>
      </w:r>
      <w:r w:rsidR="009444DC">
        <w:rPr>
          <w:lang w:val="en-GB"/>
        </w:rPr>
        <w:t xml:space="preserve">  </w:t>
      </w:r>
      <w:r>
        <w:rPr>
          <w:lang w:val="en-GB"/>
        </w:rPr>
        <w:t>introduced the idea of targeted debiasing.</w:t>
      </w:r>
      <w:r w:rsidR="00FF6D66">
        <w:rPr>
          <w:lang w:val="en-GB"/>
        </w:rPr>
        <w:t xml:space="preserve"> </w:t>
      </w:r>
      <w:r w:rsidR="00CF4A13">
        <w:rPr>
          <w:lang w:val="en-GB"/>
        </w:rPr>
        <w:t xml:space="preserve">This way of debiasing is based on a breaking-down of the decion-making process into different stages and a subsequent identification of the biases which are related to these different phases. </w:t>
      </w:r>
      <w:r w:rsidR="00F866F1">
        <w:rPr>
          <w:lang w:val="en-GB"/>
        </w:rPr>
        <w:t xml:space="preserve">As a solution to the problem of overconfidence, the authors refer to </w:t>
      </w:r>
      <w:sdt>
        <w:sdtPr>
          <w:rPr>
            <w:lang w:val="en-GB"/>
          </w:rPr>
          <w:id w:val="4667708"/>
          <w:citation/>
        </w:sdtPr>
        <w:sdtContent>
          <w:r w:rsidR="009966E0">
            <w:rPr>
              <w:lang w:val="en-GB"/>
            </w:rPr>
            <w:fldChar w:fldCharType="begin"/>
          </w:r>
          <w:r w:rsidR="00F866F1" w:rsidRPr="00F866F1">
            <w:rPr>
              <w:lang w:val="en-GB"/>
            </w:rPr>
            <w:instrText xml:space="preserve"> CITATION Kah93 \l 1043 </w:instrText>
          </w:r>
          <w:r w:rsidR="009966E0">
            <w:rPr>
              <w:lang w:val="en-GB"/>
            </w:rPr>
            <w:fldChar w:fldCharType="separate"/>
          </w:r>
          <w:r w:rsidR="00C32B5A" w:rsidRPr="00C32B5A">
            <w:rPr>
              <w:noProof/>
              <w:lang w:val="en-GB"/>
            </w:rPr>
            <w:t>(Kahneman &amp; Lovallo, 1993)</w:t>
          </w:r>
          <w:r w:rsidR="009966E0">
            <w:rPr>
              <w:lang w:val="en-GB"/>
            </w:rPr>
            <w:fldChar w:fldCharType="end"/>
          </w:r>
        </w:sdtContent>
      </w:sdt>
      <w:r w:rsidR="00F866F1">
        <w:rPr>
          <w:lang w:val="en-GB"/>
        </w:rPr>
        <w:t xml:space="preserve">, who proposed the idea of using reference-class forecasting. The term itself helps explaining the concept. An executive has to form a group of comparable past investments and range the accompanied outcomes. This should help the executive to consider all the possible outcomes of the investment opportunity, instead of scenario-thinking about the investment opportunity. </w:t>
      </w:r>
      <w:r w:rsidR="00492C4A">
        <w:rPr>
          <w:lang w:val="en-GB"/>
        </w:rPr>
        <w:t xml:space="preserve">The executives could also range the past synergy advantages. In this way reference-class forecasting could be valuable to </w:t>
      </w:r>
      <w:r w:rsidR="00CF4A13">
        <w:rPr>
          <w:lang w:val="en-GB"/>
        </w:rPr>
        <w:t>over optimism</w:t>
      </w:r>
      <w:r w:rsidR="00492C4A">
        <w:rPr>
          <w:lang w:val="en-GB"/>
        </w:rPr>
        <w:t xml:space="preserve"> about external circumstances as well. Loss aversion and narrow framing are also part of the targeted-debiasing method. The authors recommend that executives perceive a risky investment opportunity in combination with other strategies choices. However, this could be difficult from an executive’s point of view, since </w:t>
      </w:r>
      <w:r w:rsidR="002C0383">
        <w:rPr>
          <w:lang w:val="en-GB"/>
        </w:rPr>
        <w:t>an executive</w:t>
      </w:r>
      <w:r w:rsidR="00492C4A">
        <w:rPr>
          <w:lang w:val="en-GB"/>
        </w:rPr>
        <w:t xml:space="preserve"> may be kept </w:t>
      </w:r>
      <w:r w:rsidR="002C0383">
        <w:rPr>
          <w:lang w:val="en-GB"/>
        </w:rPr>
        <w:t xml:space="preserve">responsible for the outcomes of an individual decision. </w:t>
      </w:r>
    </w:p>
    <w:p w:rsidR="00AF1162" w:rsidRDefault="00BE415E" w:rsidP="00A312B8">
      <w:pPr>
        <w:spacing w:line="360" w:lineRule="auto"/>
        <w:jc w:val="both"/>
        <w:rPr>
          <w:noProof/>
          <w:lang w:val="en-GB"/>
        </w:rPr>
      </w:pPr>
      <w:r w:rsidRPr="00BE415E">
        <w:rPr>
          <w:noProof/>
          <w:lang w:val="en-GB"/>
        </w:rPr>
        <w:t>Smit &amp; Moraitis (2010) p</w:t>
      </w:r>
      <w:r>
        <w:rPr>
          <w:noProof/>
          <w:lang w:val="en-GB"/>
        </w:rPr>
        <w:t>roposed the use of real options as a solution for the influence of cognitive biases on the valuation process. The characteristics of the use of real options as a valation method have on certain points the same meaning as the solutions described above. The</w:t>
      </w:r>
      <w:r w:rsidR="0009180E">
        <w:rPr>
          <w:noProof/>
          <w:lang w:val="en-GB"/>
        </w:rPr>
        <w:t xml:space="preserve">se solutions focus on undoing and preventing </w:t>
      </w:r>
      <w:r w:rsidR="00226F1F">
        <w:rPr>
          <w:noProof/>
          <w:lang w:val="en-GB"/>
        </w:rPr>
        <w:t xml:space="preserve">biases. Real options could also be used in order to be countereffective to the </w:t>
      </w:r>
      <w:r w:rsidR="00226F1F">
        <w:rPr>
          <w:noProof/>
          <w:lang w:val="en-GB"/>
        </w:rPr>
        <w:lastRenderedPageBreak/>
        <w:t>influen</w:t>
      </w:r>
      <w:r w:rsidR="00CD03CE">
        <w:rPr>
          <w:noProof/>
          <w:lang w:val="en-GB"/>
        </w:rPr>
        <w:t>ces of biases on</w:t>
      </w:r>
      <w:r w:rsidR="00226F1F">
        <w:rPr>
          <w:noProof/>
          <w:lang w:val="en-GB"/>
        </w:rPr>
        <w:t xml:space="preserve"> valuation</w:t>
      </w:r>
      <w:r w:rsidR="00CD03CE">
        <w:rPr>
          <w:noProof/>
          <w:lang w:val="en-GB"/>
        </w:rPr>
        <w:t>s</w:t>
      </w:r>
      <w:r w:rsidR="00226F1F">
        <w:rPr>
          <w:noProof/>
          <w:lang w:val="en-GB"/>
        </w:rPr>
        <w:t>. For example, loss aversion combined with a valuation based on the DCF method could lead to the decision to forego on an investment opportunity, since the DCF leads to the idea of a Go/No-go decision.</w:t>
      </w:r>
      <w:r w:rsidR="0009180E">
        <w:rPr>
          <w:noProof/>
          <w:lang w:val="en-GB"/>
        </w:rPr>
        <w:t xml:space="preserve"> However an option to stage</w:t>
      </w:r>
      <w:r w:rsidR="00CD03CE">
        <w:rPr>
          <w:noProof/>
          <w:lang w:val="en-GB"/>
        </w:rPr>
        <w:t xml:space="preserve"> an</w:t>
      </w:r>
      <w:r w:rsidR="0009180E">
        <w:rPr>
          <w:noProof/>
          <w:lang w:val="en-GB"/>
        </w:rPr>
        <w:t xml:space="preserve"> investment should also be considered in such situations, since this staging gives the opportunity to wait or abandon</w:t>
      </w:r>
      <w:r w:rsidR="00CD03CE">
        <w:rPr>
          <w:noProof/>
          <w:lang w:val="en-GB"/>
        </w:rPr>
        <w:t xml:space="preserve"> the investment</w:t>
      </w:r>
      <w:r w:rsidR="0009180E">
        <w:rPr>
          <w:noProof/>
          <w:lang w:val="en-GB"/>
        </w:rPr>
        <w:t xml:space="preserve">. </w:t>
      </w:r>
      <w:r w:rsidR="00226F1F">
        <w:rPr>
          <w:noProof/>
          <w:lang w:val="en-GB"/>
        </w:rPr>
        <w:t xml:space="preserve"> In order to see, how </w:t>
      </w:r>
      <w:r w:rsidR="00603C63">
        <w:rPr>
          <w:noProof/>
          <w:lang w:val="en-GB"/>
        </w:rPr>
        <w:t xml:space="preserve">real options could be a valuable addition to the DCF method, the problems with the DCF and characteristics of certain real options has to be considered. </w:t>
      </w:r>
    </w:p>
    <w:p w:rsidR="004A179B" w:rsidRDefault="00006DA6" w:rsidP="00A312B8">
      <w:pPr>
        <w:spacing w:line="360" w:lineRule="auto"/>
        <w:jc w:val="both"/>
        <w:rPr>
          <w:noProof/>
          <w:lang w:val="en-GB"/>
        </w:rPr>
      </w:pPr>
      <w:r>
        <w:rPr>
          <w:noProof/>
          <w:lang w:val="en-GB"/>
        </w:rPr>
        <w:t>The DCF method has a static nature, since it does</w:t>
      </w:r>
      <w:r w:rsidR="0009180E">
        <w:rPr>
          <w:noProof/>
          <w:lang w:val="en-GB"/>
        </w:rPr>
        <w:t xml:space="preserve"> not</w:t>
      </w:r>
      <w:r>
        <w:rPr>
          <w:noProof/>
          <w:lang w:val="en-GB"/>
        </w:rPr>
        <w:t xml:space="preserve"> embed the possibility of waiting and making follow-on decisions </w:t>
      </w:r>
      <w:sdt>
        <w:sdtPr>
          <w:rPr>
            <w:noProof/>
            <w:lang w:val="en-GB"/>
          </w:rPr>
          <w:id w:val="4667712"/>
          <w:citation/>
        </w:sdtPr>
        <w:sdtContent>
          <w:r w:rsidR="009966E0">
            <w:rPr>
              <w:noProof/>
              <w:lang w:val="en-GB"/>
            </w:rPr>
            <w:fldChar w:fldCharType="begin"/>
          </w:r>
          <w:r w:rsidRPr="00006DA6">
            <w:rPr>
              <w:noProof/>
              <w:lang w:val="en-GB"/>
            </w:rPr>
            <w:instrText xml:space="preserve"> CITATION Smi10 \l 1043 </w:instrText>
          </w:r>
          <w:r w:rsidR="009966E0">
            <w:rPr>
              <w:noProof/>
              <w:lang w:val="en-GB"/>
            </w:rPr>
            <w:fldChar w:fldCharType="separate"/>
          </w:r>
          <w:r w:rsidR="00C32B5A" w:rsidRPr="00C32B5A">
            <w:rPr>
              <w:noProof/>
              <w:lang w:val="en-GB"/>
            </w:rPr>
            <w:t>(Smit &amp; Moraitis, Playing at serial acquisitions, 2010)</w:t>
          </w:r>
          <w:r w:rsidR="009966E0">
            <w:rPr>
              <w:noProof/>
              <w:lang w:val="en-GB"/>
            </w:rPr>
            <w:fldChar w:fldCharType="end"/>
          </w:r>
        </w:sdtContent>
      </w:sdt>
      <w:r>
        <w:rPr>
          <w:noProof/>
          <w:lang w:val="en-GB"/>
        </w:rPr>
        <w:t xml:space="preserve">. The conclusion of a DCF analysis is invest or not invest: if the net present value of future cash flows is greater than zero, one needs to invest, opposed to the situation in which the NPV is less than zero. However, it is possible that the NPV </w:t>
      </w:r>
      <w:r w:rsidR="0009180E">
        <w:rPr>
          <w:noProof/>
          <w:lang w:val="en-GB"/>
        </w:rPr>
        <w:t xml:space="preserve">of an investment opportunity is </w:t>
      </w:r>
      <w:r>
        <w:rPr>
          <w:noProof/>
          <w:lang w:val="en-GB"/>
        </w:rPr>
        <w:t>negative</w:t>
      </w:r>
      <w:r w:rsidR="0009180E">
        <w:rPr>
          <w:noProof/>
          <w:lang w:val="en-GB"/>
        </w:rPr>
        <w:t xml:space="preserve">, but the best strategy is to invest nevertheless. This could be the result of the possibility of a follow-on investment if a prior investment is made. </w:t>
      </w:r>
      <w:r w:rsidR="00A30C63">
        <w:rPr>
          <w:noProof/>
          <w:lang w:val="en-GB"/>
        </w:rPr>
        <w:t>The value of this opportunity could offset the negative stand alone value of the first investment possibility. On the other hand, it is also possible that the NPV is positive, but the best strategy will be to wait, since the circumsta</w:t>
      </w:r>
      <w:r w:rsidR="004A179B">
        <w:rPr>
          <w:noProof/>
          <w:lang w:val="en-GB"/>
        </w:rPr>
        <w:t xml:space="preserve">nces could differ. </w:t>
      </w:r>
    </w:p>
    <w:p w:rsidR="00603C63" w:rsidRDefault="004A179B" w:rsidP="00A312B8">
      <w:pPr>
        <w:spacing w:line="360" w:lineRule="auto"/>
        <w:jc w:val="both"/>
        <w:rPr>
          <w:noProof/>
          <w:lang w:val="en-GB"/>
        </w:rPr>
      </w:pPr>
      <w:r>
        <w:rPr>
          <w:noProof/>
          <w:lang w:val="en-GB"/>
        </w:rPr>
        <w:t xml:space="preserve">Besides aforementioned shortcomings of the DCF method and the added value of the use of real options, the implementation of real options requires decision-makers to take certain variables into account which could be neglected or subjectively perceived due to cognitive biases. </w:t>
      </w:r>
    </w:p>
    <w:p w:rsidR="00D86AD9" w:rsidRDefault="000566BA" w:rsidP="00A312B8">
      <w:pPr>
        <w:spacing w:line="360" w:lineRule="auto"/>
        <w:jc w:val="both"/>
        <w:rPr>
          <w:noProof/>
          <w:lang w:val="en-GB"/>
        </w:rPr>
      </w:pPr>
      <w:r w:rsidRPr="000566BA">
        <w:rPr>
          <w:noProof/>
          <w:lang w:val="en-GB"/>
        </w:rPr>
        <w:t>After a strategy has been determined, a pro</w:t>
      </w:r>
      <w:r>
        <w:rPr>
          <w:noProof/>
          <w:lang w:val="en-GB"/>
        </w:rPr>
        <w:t xml:space="preserve">cess in which executives have a leading role, an executive could have the illusion that he has control over the entire process of the strategy and therefore could continue making acquisitions, although circumstances might have changed </w:t>
      </w:r>
      <w:sdt>
        <w:sdtPr>
          <w:rPr>
            <w:noProof/>
            <w:lang w:val="en-GB"/>
          </w:rPr>
          <w:id w:val="4667714"/>
          <w:citation/>
        </w:sdtPr>
        <w:sdtContent>
          <w:r w:rsidR="009966E0">
            <w:rPr>
              <w:noProof/>
              <w:lang w:val="en-GB"/>
            </w:rPr>
            <w:fldChar w:fldCharType="begin"/>
          </w:r>
          <w:r w:rsidRPr="000566BA">
            <w:rPr>
              <w:noProof/>
              <w:lang w:val="en-GB"/>
            </w:rPr>
            <w:instrText xml:space="preserve"> CITATION Smi10 \l 1043 </w:instrText>
          </w:r>
          <w:r w:rsidR="009966E0">
            <w:rPr>
              <w:noProof/>
              <w:lang w:val="en-GB"/>
            </w:rPr>
            <w:fldChar w:fldCharType="separate"/>
          </w:r>
          <w:r w:rsidR="00C32B5A" w:rsidRPr="00C32B5A">
            <w:rPr>
              <w:noProof/>
              <w:lang w:val="en-GB"/>
            </w:rPr>
            <w:t>(Smit &amp; Moraitis, Playing at serial acquisitions, 2010)</w:t>
          </w:r>
          <w:r w:rsidR="009966E0">
            <w:rPr>
              <w:noProof/>
              <w:lang w:val="en-GB"/>
            </w:rPr>
            <w:fldChar w:fldCharType="end"/>
          </w:r>
        </w:sdtContent>
      </w:sdt>
      <w:r>
        <w:rPr>
          <w:noProof/>
          <w:lang w:val="en-GB"/>
        </w:rPr>
        <w:t>. The use of real options requires an executive to take exogeneous circumstances into account and to beware of the possibilitie that potential follow-on investments are also subject to uncertainty. Real options could consequently have a preventive effect on the illusion of control bias. This effect could also prevent self-attribution, since executives need to estimate the influence of exogenous variables on the outcomes of an in</w:t>
      </w:r>
      <w:r w:rsidR="001E4E92">
        <w:rPr>
          <w:noProof/>
          <w:lang w:val="en-GB"/>
        </w:rPr>
        <w:t xml:space="preserve">vestment opportunity. Therefore, it is harder for an executive (and his team) to attribute positive results to their actions. The oppositie also holds: in case of negative outcomes, executives’ tendency to rationalize decisions retrospectively, could be reduced. </w:t>
      </w:r>
      <w:r w:rsidR="00CD03CE">
        <w:rPr>
          <w:noProof/>
          <w:lang w:val="en-GB"/>
        </w:rPr>
        <w:t xml:space="preserve">Real options could reduce the effect of narrow framing on valuations as well. Narrow framing could lead to seeing a decision in isolation of other risks and future decisions of the same kind. Executives are </w:t>
      </w:r>
      <w:r w:rsidR="00EF226E">
        <w:rPr>
          <w:noProof/>
          <w:lang w:val="en-GB"/>
        </w:rPr>
        <w:t xml:space="preserve">enforced to look for growth/expand options which are provided by making an initial investment. The potential follow-on investments also embed risk, with which the risk of the initial investment could be combined. </w:t>
      </w:r>
      <w:r w:rsidR="001D16B7" w:rsidRPr="001D16B7">
        <w:rPr>
          <w:noProof/>
          <w:lang w:val="en-GB"/>
        </w:rPr>
        <w:t>Smit &amp; Moraitis (2010) state that the use of real options c</w:t>
      </w:r>
      <w:r w:rsidR="001D16B7">
        <w:rPr>
          <w:noProof/>
          <w:lang w:val="en-GB"/>
        </w:rPr>
        <w:t xml:space="preserve">ould </w:t>
      </w:r>
      <w:r w:rsidR="001D16B7">
        <w:rPr>
          <w:noProof/>
          <w:lang w:val="en-GB"/>
        </w:rPr>
        <w:lastRenderedPageBreak/>
        <w:t xml:space="preserve">be the solution for problems related to overcommitment as well. If executives might have the perception that they are in the position of a loss compared to a certain reference point, they might continue to make investments in order to seize the opportunity to reach a position of gain. </w:t>
      </w:r>
      <w:r w:rsidR="00D86AD9">
        <w:rPr>
          <w:noProof/>
          <w:lang w:val="en-GB"/>
        </w:rPr>
        <w:t xml:space="preserve">This effect could be amplified if an executive have the perception that he is been taken responsible for failures. The use of real options provides an executive a predetermined target of which the chance of reaching it is subject to uncertainty, which therefore offers him the opportunity to limit his perceived accountability. </w:t>
      </w:r>
    </w:p>
    <w:p w:rsidR="00944515" w:rsidRDefault="00D86AD9" w:rsidP="00A312B8">
      <w:pPr>
        <w:spacing w:line="360" w:lineRule="auto"/>
        <w:jc w:val="both"/>
        <w:rPr>
          <w:noProof/>
          <w:lang w:val="en-GB"/>
        </w:rPr>
      </w:pPr>
      <w:r>
        <w:rPr>
          <w:noProof/>
          <w:lang w:val="en-GB"/>
        </w:rPr>
        <w:t>In order to make use of the described advantages of real options, executives should be able to see the conditions in which real options are existing.</w:t>
      </w:r>
      <w:r w:rsidR="00105605">
        <w:rPr>
          <w:noProof/>
          <w:lang w:val="en-GB"/>
        </w:rPr>
        <w:t xml:space="preserve"> In other words, executives should be able to recognize the characteristics which make certain opportunities valuable. The experiment will test this reciptivity for different real options. The choice for this real options and the setting (hot or cold deal market) in which they are examined, are based on a checklist proposed by Smit &amp; Lovallo (2014). This checklist should help executives to have a countereffect on their potential biases. Since the existence of these biases and their effect on valuations could vary for different conditions of the M&amp;A market (which is assumed to be</w:t>
      </w:r>
      <w:r w:rsidR="005A1602">
        <w:rPr>
          <w:noProof/>
          <w:lang w:val="en-GB"/>
        </w:rPr>
        <w:t xml:space="preserve"> related to the business cycle), awareness for different kind of real options is required as well. In situations of a cold deal market, which is related to prior negative business experiences, executives should be encouraged to seek for options to grow/expand or abandon. In situations of a hold deal market, executives should be cautioned and therefore encouraged to search for opportunities to stage or wait. In the experiment will be tested if the participants are able to recognize the characteristics of an option to stage/defer</w:t>
      </w:r>
      <w:r w:rsidR="007C3FF7">
        <w:rPr>
          <w:noProof/>
          <w:lang w:val="en-GB"/>
        </w:rPr>
        <w:t xml:space="preserve"> in a hot deal market and option to expand/grow in a cold deal market. </w:t>
      </w:r>
      <w:r w:rsidR="00944515">
        <w:rPr>
          <w:noProof/>
          <w:lang w:val="en-GB"/>
        </w:rPr>
        <w:t xml:space="preserve">The experiment will also be used to test whether participants are able to recognize the value of the possibility to exercise an option at multiple times, compared to a one time opportunity. This could be expected, since an option which is exerciseable at multiple moments could be converted into an option which is exerciseable at one moment. The first kind of option is therefore dominant to the second kind. </w:t>
      </w:r>
    </w:p>
    <w:p w:rsidR="003B37A2" w:rsidRDefault="00944515" w:rsidP="00A312B8">
      <w:pPr>
        <w:spacing w:line="360" w:lineRule="auto"/>
        <w:jc w:val="both"/>
        <w:rPr>
          <w:i/>
          <w:noProof/>
          <w:lang w:val="en-GB"/>
        </w:rPr>
      </w:pPr>
      <w:r w:rsidRPr="00B072C6">
        <w:rPr>
          <w:i/>
          <w:noProof/>
          <w:lang w:val="en-GB"/>
        </w:rPr>
        <w:t xml:space="preserve">Hypothesis IV </w:t>
      </w:r>
      <w:r w:rsidR="000566BA" w:rsidRPr="00B072C6">
        <w:rPr>
          <w:i/>
          <w:noProof/>
          <w:lang w:val="en-GB"/>
        </w:rPr>
        <w:t xml:space="preserve">         </w:t>
      </w:r>
    </w:p>
    <w:p w:rsidR="00B072C6" w:rsidRDefault="00B072C6" w:rsidP="00A312B8">
      <w:pPr>
        <w:spacing w:line="360" w:lineRule="auto"/>
        <w:jc w:val="both"/>
        <w:rPr>
          <w:noProof/>
          <w:lang w:val="en-GB"/>
        </w:rPr>
      </w:pPr>
      <w:r>
        <w:rPr>
          <w:i/>
          <w:noProof/>
          <w:lang w:val="en-GB"/>
        </w:rPr>
        <w:t>Participants are able to recognize and value the characteristics which add value to real options.</w:t>
      </w:r>
    </w:p>
    <w:p w:rsidR="00B072C6" w:rsidRPr="00B072C6" w:rsidRDefault="00B072C6" w:rsidP="00A312B8">
      <w:pPr>
        <w:spacing w:line="360" w:lineRule="auto"/>
        <w:jc w:val="both"/>
        <w:rPr>
          <w:lang w:val="en-GB"/>
        </w:rPr>
      </w:pPr>
      <w:r>
        <w:rPr>
          <w:noProof/>
          <w:lang w:val="en-GB"/>
        </w:rPr>
        <w:t>The recognition of value adding characteristics to real options should lead to higher valuation if the introduction of a such a characteristics is the only aspects that changes in a setting. As earlier stated, the real options which are implicitly added in a context are the option to stage</w:t>
      </w:r>
      <w:r w:rsidR="006C0DA3">
        <w:rPr>
          <w:noProof/>
          <w:lang w:val="en-GB"/>
        </w:rPr>
        <w:t xml:space="preserve"> or </w:t>
      </w:r>
      <w:r w:rsidR="00920FBA">
        <w:rPr>
          <w:noProof/>
          <w:lang w:val="en-GB"/>
        </w:rPr>
        <w:t>defer and grow/expand.</w:t>
      </w:r>
    </w:p>
    <w:p w:rsidR="00920FBA" w:rsidRPr="00772E6D" w:rsidRDefault="00C83E43" w:rsidP="00082B85">
      <w:pPr>
        <w:pStyle w:val="Heading3"/>
        <w:rPr>
          <w:i/>
          <w:color w:val="76923C" w:themeColor="accent3" w:themeShade="BF"/>
          <w:lang w:val="en-GB"/>
        </w:rPr>
      </w:pPr>
      <w:bookmarkStart w:id="12" w:name="_Toc397238592"/>
      <w:r>
        <w:rPr>
          <w:i/>
          <w:color w:val="76923C" w:themeColor="accent3" w:themeShade="BF"/>
          <w:lang w:val="en-GB"/>
        </w:rPr>
        <w:lastRenderedPageBreak/>
        <w:br/>
      </w:r>
      <w:r>
        <w:rPr>
          <w:i/>
          <w:color w:val="76923C" w:themeColor="accent3" w:themeShade="BF"/>
          <w:lang w:val="en-GB"/>
        </w:rPr>
        <w:br/>
      </w:r>
      <w:r w:rsidR="00C6669E" w:rsidRPr="00772E6D">
        <w:rPr>
          <w:i/>
          <w:color w:val="76923C" w:themeColor="accent3" w:themeShade="BF"/>
          <w:lang w:val="en-GB"/>
        </w:rPr>
        <w:t>Real options</w:t>
      </w:r>
      <w:bookmarkEnd w:id="12"/>
    </w:p>
    <w:p w:rsidR="00772E6D" w:rsidRPr="00772E6D" w:rsidRDefault="00772E6D" w:rsidP="00772E6D">
      <w:pPr>
        <w:rPr>
          <w:lang w:val="en-GB"/>
        </w:rPr>
      </w:pPr>
    </w:p>
    <w:p w:rsidR="006C0DA3" w:rsidRDefault="00C6669E" w:rsidP="00A312B8">
      <w:pPr>
        <w:spacing w:line="360" w:lineRule="auto"/>
        <w:jc w:val="both"/>
        <w:rPr>
          <w:noProof/>
          <w:lang w:val="en-GB"/>
        </w:rPr>
      </w:pPr>
      <w:r>
        <w:rPr>
          <w:lang w:val="en-GB"/>
        </w:rPr>
        <w:t>An option to defer</w:t>
      </w:r>
      <w:r w:rsidR="00C33DD0">
        <w:rPr>
          <w:lang w:val="en-GB"/>
        </w:rPr>
        <w:t xml:space="preserve"> </w:t>
      </w:r>
      <w:r w:rsidR="00A01239">
        <w:rPr>
          <w:lang w:val="en-GB"/>
        </w:rPr>
        <w:t>is characterized by the possibility to ‘wait-and-see’</w:t>
      </w:r>
      <w:r w:rsidR="0039236C">
        <w:rPr>
          <w:lang w:val="en-GB"/>
        </w:rPr>
        <w:t xml:space="preserve"> (a term which could be applicable to all real options, however, ‘wait’ refers in this case refers to waiting to invest)</w:t>
      </w:r>
      <w:r w:rsidR="00A01239">
        <w:rPr>
          <w:lang w:val="en-GB"/>
        </w:rPr>
        <w:t>. As earlier stated, an analysis based on the DCF method could lead to the conclusion to invest, because the NPV of the estimated cash flows is positive. However, if one waits in order to see if the market conditions turn out to be more positive for the investment opportunity, then this could be a better strategy. The possibility to be able to wait is valuable. The valuation of this option could be derived from</w:t>
      </w:r>
      <w:r w:rsidR="00675814">
        <w:rPr>
          <w:lang w:val="en-GB"/>
        </w:rPr>
        <w:t xml:space="preserve"> the method of</w:t>
      </w:r>
      <w:r w:rsidR="00A01239">
        <w:rPr>
          <w:lang w:val="en-GB"/>
        </w:rPr>
        <w:t xml:space="preserve"> option pricing in financial markets.</w:t>
      </w:r>
      <w:r w:rsidR="00675814">
        <w:rPr>
          <w:lang w:val="en-GB"/>
        </w:rPr>
        <w:t xml:space="preserve"> In this light, t</w:t>
      </w:r>
      <w:r w:rsidR="00A01239">
        <w:rPr>
          <w:lang w:val="en-GB"/>
        </w:rPr>
        <w:t>he option to defer could b</w:t>
      </w:r>
      <w:r w:rsidR="0039236C">
        <w:rPr>
          <w:lang w:val="en-GB"/>
        </w:rPr>
        <w:t xml:space="preserve">e seen as a call option with the investment outlay as </w:t>
      </w:r>
      <w:r w:rsidR="00A01239">
        <w:rPr>
          <w:lang w:val="en-GB"/>
        </w:rPr>
        <w:t>exercise price and</w:t>
      </w:r>
      <w:r w:rsidR="0039236C">
        <w:rPr>
          <w:lang w:val="en-GB"/>
        </w:rPr>
        <w:t xml:space="preserve"> </w:t>
      </w:r>
      <w:r w:rsidR="00A01239">
        <w:rPr>
          <w:lang w:val="en-GB"/>
        </w:rPr>
        <w:t>the NPV of the cash flows gene</w:t>
      </w:r>
      <w:r w:rsidR="0039236C">
        <w:rPr>
          <w:lang w:val="en-GB"/>
        </w:rPr>
        <w:t>rated during the lifetime of the investment, as underlying value.</w:t>
      </w:r>
      <w:r w:rsidR="006C0DA3">
        <w:rPr>
          <w:lang w:val="en-GB"/>
        </w:rPr>
        <w:t xml:space="preserve"> </w:t>
      </w:r>
      <w:r w:rsidR="00675814">
        <w:rPr>
          <w:lang w:val="en-GB"/>
        </w:rPr>
        <w:t>However, d</w:t>
      </w:r>
      <w:r w:rsidR="006C0DA3">
        <w:rPr>
          <w:lang w:val="en-GB"/>
        </w:rPr>
        <w:t>eferring an investment could have a disadvantage, since possible positive cash flows could be forgone. Options to defer are</w:t>
      </w:r>
      <w:r w:rsidR="00675814">
        <w:rPr>
          <w:lang w:val="en-GB"/>
        </w:rPr>
        <w:t xml:space="preserve"> especially</w:t>
      </w:r>
      <w:r w:rsidR="006C0DA3">
        <w:rPr>
          <w:lang w:val="en-GB"/>
        </w:rPr>
        <w:t xml:space="preserve"> valuable in cases </w:t>
      </w:r>
      <w:r w:rsidR="00675814">
        <w:rPr>
          <w:lang w:val="en-GB"/>
        </w:rPr>
        <w:t xml:space="preserve">where there is some kind of constraint for competitors, because in the period in which investment is deferred, competitors could not </w:t>
      </w:r>
      <w:r w:rsidR="00252A32">
        <w:rPr>
          <w:lang w:val="en-GB"/>
        </w:rPr>
        <w:t xml:space="preserve">alter an investment’s future profitability. After an investment </w:t>
      </w:r>
      <w:r w:rsidR="00BB3970">
        <w:rPr>
          <w:lang w:val="en-GB"/>
        </w:rPr>
        <w:t>has been</w:t>
      </w:r>
      <w:r w:rsidR="00252A32">
        <w:rPr>
          <w:lang w:val="en-GB"/>
        </w:rPr>
        <w:t xml:space="preserve"> made, one often has the opportunity </w:t>
      </w:r>
      <w:r w:rsidR="00BB3970">
        <w:rPr>
          <w:lang w:val="en-GB"/>
        </w:rPr>
        <w:t>to sell this project/patent/</w:t>
      </w:r>
      <w:r w:rsidR="00CF4A13">
        <w:rPr>
          <w:lang w:val="en-GB"/>
        </w:rPr>
        <w:t>division</w:t>
      </w:r>
      <w:r w:rsidR="00BB3970">
        <w:rPr>
          <w:lang w:val="en-GB"/>
        </w:rPr>
        <w:t>/etc. at various moments. This opportunity could be valuable in the event that at a certain moment the NPV of the future cash flows is lower than the potential selling price. The value of this opportunit</w:t>
      </w:r>
      <w:r w:rsidR="009A4D1E">
        <w:rPr>
          <w:lang w:val="en-GB"/>
        </w:rPr>
        <w:t xml:space="preserve">y can be determined by calculating the value of </w:t>
      </w:r>
      <w:r w:rsidR="00BB3970">
        <w:rPr>
          <w:lang w:val="en-GB"/>
        </w:rPr>
        <w:t>a put option with future cash</w:t>
      </w:r>
      <w:r w:rsidR="009A4D1E">
        <w:rPr>
          <w:lang w:val="en-GB"/>
        </w:rPr>
        <w:t xml:space="preserve"> flows as the underlying value and the potential selling price as </w:t>
      </w:r>
      <w:r w:rsidR="006E27C3">
        <w:rPr>
          <w:lang w:val="en-GB"/>
        </w:rPr>
        <w:t xml:space="preserve">the </w:t>
      </w:r>
      <w:r w:rsidR="009A4D1E">
        <w:rPr>
          <w:lang w:val="en-GB"/>
        </w:rPr>
        <w:t xml:space="preserve">exercise price. </w:t>
      </w:r>
      <w:r w:rsidR="006E27C3">
        <w:rPr>
          <w:lang w:val="en-GB"/>
        </w:rPr>
        <w:t>Another important real option is the growth option. This term is differently used by scholars. However, in this experiment a growth option is</w:t>
      </w:r>
      <w:r w:rsidR="000C7161">
        <w:rPr>
          <w:lang w:val="en-GB"/>
        </w:rPr>
        <w:t>,</w:t>
      </w:r>
      <w:r w:rsidR="006E27C3">
        <w:rPr>
          <w:lang w:val="en-GB"/>
        </w:rPr>
        <w:t xml:space="preserve"> simply stated: the possibility </w:t>
      </w:r>
      <w:r w:rsidR="000C7161">
        <w:rPr>
          <w:lang w:val="en-GB"/>
        </w:rPr>
        <w:t xml:space="preserve">to decide whether to make another decision, as a result of a decision that has been earlier made. In other words, by making an initial investment, the possibility of making following decisions is created. </w:t>
      </w:r>
      <w:r w:rsidR="009B38D4">
        <w:rPr>
          <w:lang w:val="en-GB"/>
        </w:rPr>
        <w:t>This opportunity could be valued as a call option, with the NPV of future cash flows as the underlying value and the required investment outlay for the follow-on investment as the exercise price. This valuation</w:t>
      </w:r>
      <w:r w:rsidR="004501D1">
        <w:rPr>
          <w:lang w:val="en-GB"/>
        </w:rPr>
        <w:t xml:space="preserve"> process</w:t>
      </w:r>
      <w:r w:rsidR="009B38D4">
        <w:rPr>
          <w:lang w:val="en-GB"/>
        </w:rPr>
        <w:t xml:space="preserve"> could be</w:t>
      </w:r>
      <w:r w:rsidR="004501D1">
        <w:rPr>
          <w:lang w:val="en-GB"/>
        </w:rPr>
        <w:t>come</w:t>
      </w:r>
      <w:r w:rsidR="009B38D4">
        <w:rPr>
          <w:lang w:val="en-GB"/>
        </w:rPr>
        <w:t xml:space="preserve"> complicated</w:t>
      </w:r>
      <w:r w:rsidR="004501D1">
        <w:rPr>
          <w:lang w:val="en-GB"/>
        </w:rPr>
        <w:t xml:space="preserve"> </w:t>
      </w:r>
      <w:r w:rsidR="00822BC1">
        <w:rPr>
          <w:lang w:val="en-GB"/>
        </w:rPr>
        <w:t>when</w:t>
      </w:r>
      <w:r w:rsidR="004501D1">
        <w:rPr>
          <w:lang w:val="en-GB"/>
        </w:rPr>
        <w:t xml:space="preserve"> </w:t>
      </w:r>
      <w:r w:rsidR="009B38D4">
        <w:rPr>
          <w:lang w:val="en-GB"/>
        </w:rPr>
        <w:t>the follow-on investment itself creates the opportunity for further investments</w:t>
      </w:r>
      <w:r w:rsidR="00822BC1">
        <w:rPr>
          <w:lang w:val="en-GB"/>
        </w:rPr>
        <w:t xml:space="preserve">. A combination of real options could be applicable to certain investment settings as well. An example is the option to stage an investment, which could be </w:t>
      </w:r>
      <w:r w:rsidR="00216E97">
        <w:rPr>
          <w:lang w:val="en-GB"/>
        </w:rPr>
        <w:t>seen as an option to defer</w:t>
      </w:r>
      <w:r w:rsidR="00822BC1">
        <w:rPr>
          <w:lang w:val="en-GB"/>
        </w:rPr>
        <w:t xml:space="preserve"> and </w:t>
      </w:r>
      <w:r w:rsidR="00216E97">
        <w:rPr>
          <w:lang w:val="en-GB"/>
        </w:rPr>
        <w:t xml:space="preserve">an </w:t>
      </w:r>
      <w:r w:rsidR="00822BC1">
        <w:rPr>
          <w:lang w:val="en-GB"/>
        </w:rPr>
        <w:t xml:space="preserve">option to abandon. Recall that </w:t>
      </w:r>
      <w:r w:rsidR="00216E97">
        <w:rPr>
          <w:noProof/>
          <w:lang w:val="en-GB"/>
        </w:rPr>
        <w:t>Smit &amp; Lovallo (2014) state</w:t>
      </w:r>
      <w:r w:rsidR="00822BC1" w:rsidRPr="00822BC1">
        <w:rPr>
          <w:noProof/>
          <w:lang w:val="en-GB"/>
        </w:rPr>
        <w:t xml:space="preserve"> that real options </w:t>
      </w:r>
      <w:r w:rsidR="00216E97">
        <w:rPr>
          <w:noProof/>
          <w:lang w:val="en-GB"/>
        </w:rPr>
        <w:t xml:space="preserve">could be used to offset the effect of certain cognitive biases on valuations. Since the effect of cognitive biases on valuations is dependent on the condition of the M&amp;A market, different real options should be used in these different conditions. The authors proposed to make executives aware of options to defer (cautionary) in hot deal markets, and to make executives aware of options to grow and to abandon in cold deal markets. Therefore the </w:t>
      </w:r>
      <w:r w:rsidR="00216E97">
        <w:rPr>
          <w:noProof/>
          <w:lang w:val="en-GB"/>
        </w:rPr>
        <w:lastRenderedPageBreak/>
        <w:t xml:space="preserve">option to stage investment could be applicable to both situations and will be tested in the experiment as well. </w:t>
      </w:r>
    </w:p>
    <w:p w:rsidR="00857741" w:rsidRPr="00822BC1" w:rsidRDefault="00857741" w:rsidP="00A312B8">
      <w:pPr>
        <w:spacing w:line="360" w:lineRule="auto"/>
        <w:jc w:val="both"/>
        <w:rPr>
          <w:lang w:val="en-GB"/>
        </w:rPr>
      </w:pPr>
      <w:r>
        <w:rPr>
          <w:noProof/>
          <w:lang w:val="en-GB"/>
        </w:rPr>
        <w:t>The hypotheses and their potential explanations described in this section are the subject of the conducted experiment. In the next section a justification for the steps taken in the experiment w</w:t>
      </w:r>
      <w:r w:rsidR="00754BD0">
        <w:rPr>
          <w:noProof/>
          <w:lang w:val="en-GB"/>
        </w:rPr>
        <w:t>ill be given, in order to demonstrate how</w:t>
      </w:r>
      <w:r>
        <w:rPr>
          <w:noProof/>
          <w:lang w:val="en-GB"/>
        </w:rPr>
        <w:t xml:space="preserve"> the concepts described in this section</w:t>
      </w:r>
      <w:r w:rsidR="00754BD0">
        <w:rPr>
          <w:noProof/>
          <w:lang w:val="en-GB"/>
        </w:rPr>
        <w:t xml:space="preserve"> could be translated into an experimental setting</w:t>
      </w:r>
      <w:r>
        <w:rPr>
          <w:noProof/>
          <w:lang w:val="en-GB"/>
        </w:rPr>
        <w:t xml:space="preserve">. </w:t>
      </w:r>
    </w:p>
    <w:p w:rsidR="00C6669E" w:rsidRPr="00C6669E" w:rsidRDefault="0039236C" w:rsidP="00A312B8">
      <w:pPr>
        <w:spacing w:line="360" w:lineRule="auto"/>
        <w:jc w:val="both"/>
        <w:rPr>
          <w:lang w:val="en-GB"/>
        </w:rPr>
      </w:pPr>
      <w:r>
        <w:rPr>
          <w:lang w:val="en-GB"/>
        </w:rPr>
        <w:t xml:space="preserve"> </w:t>
      </w:r>
    </w:p>
    <w:p w:rsidR="00C6669E" w:rsidRPr="00C6669E" w:rsidRDefault="00C6669E" w:rsidP="00A312B8">
      <w:pPr>
        <w:spacing w:line="360" w:lineRule="auto"/>
        <w:jc w:val="both"/>
        <w:rPr>
          <w:lang w:val="en-GB"/>
        </w:rPr>
      </w:pPr>
    </w:p>
    <w:p w:rsidR="00AE6462" w:rsidRPr="00424C35" w:rsidRDefault="00AE6462" w:rsidP="00A312B8">
      <w:pPr>
        <w:spacing w:line="360" w:lineRule="auto"/>
        <w:jc w:val="both"/>
        <w:rPr>
          <w:i/>
          <w:lang w:val="en-GB"/>
        </w:rPr>
      </w:pPr>
    </w:p>
    <w:p w:rsidR="00424C35" w:rsidRPr="00424C35" w:rsidRDefault="00424C35" w:rsidP="00A312B8">
      <w:pPr>
        <w:spacing w:line="360" w:lineRule="auto"/>
        <w:jc w:val="both"/>
        <w:rPr>
          <w:b/>
          <w:lang w:val="en-GB"/>
        </w:rPr>
      </w:pPr>
    </w:p>
    <w:p w:rsidR="00C65F22" w:rsidRDefault="00C65F22">
      <w:pPr>
        <w:rPr>
          <w:rFonts w:asciiTheme="majorHAnsi" w:eastAsiaTheme="majorEastAsia" w:hAnsiTheme="majorHAnsi" w:cstheme="majorBidi"/>
          <w:b/>
          <w:bCs/>
          <w:color w:val="365F91" w:themeColor="accent1" w:themeShade="BF"/>
          <w:sz w:val="28"/>
          <w:szCs w:val="28"/>
          <w:lang w:val="en-GB"/>
        </w:rPr>
      </w:pPr>
      <w:r>
        <w:rPr>
          <w:lang w:val="en-GB"/>
        </w:rPr>
        <w:br w:type="page"/>
      </w:r>
    </w:p>
    <w:p w:rsidR="00182A6D" w:rsidRPr="000C60D2" w:rsidRDefault="008555A5" w:rsidP="00182A6D">
      <w:pPr>
        <w:pStyle w:val="Heading1"/>
        <w:rPr>
          <w:color w:val="76923C" w:themeColor="accent3" w:themeShade="BF"/>
          <w:lang w:val="en-GB"/>
        </w:rPr>
      </w:pPr>
      <w:bookmarkStart w:id="13" w:name="_Toc397238593"/>
      <w:r w:rsidRPr="000C60D2">
        <w:rPr>
          <w:color w:val="76923C" w:themeColor="accent3" w:themeShade="BF"/>
          <w:lang w:val="en-GB"/>
        </w:rPr>
        <w:lastRenderedPageBreak/>
        <w:t>Experiment</w:t>
      </w:r>
      <w:bookmarkEnd w:id="13"/>
    </w:p>
    <w:p w:rsidR="00EC07DC" w:rsidRPr="000E0591" w:rsidRDefault="00EC07DC" w:rsidP="00EC07DC">
      <w:pPr>
        <w:rPr>
          <w:i/>
          <w:lang w:val="en-GB"/>
        </w:rPr>
      </w:pPr>
      <w:r>
        <w:rPr>
          <w:lang w:val="en-GB"/>
        </w:rPr>
        <w:br/>
      </w:r>
      <w:r w:rsidRPr="000E0591">
        <w:rPr>
          <w:i/>
          <w:lang w:val="en-GB"/>
        </w:rPr>
        <w:t xml:space="preserve">The composed experiment can be found in Appendix A. </w:t>
      </w:r>
      <w:r w:rsidR="00204204" w:rsidRPr="000E0591">
        <w:rPr>
          <w:i/>
          <w:lang w:val="en-GB"/>
        </w:rPr>
        <w:t xml:space="preserve">The headers used in this section correspond to the headers used in the experiment. One should read the paragraphs below in conjunction with the corresponding parts of the experiment. </w:t>
      </w:r>
    </w:p>
    <w:p w:rsidR="00AB6AB4" w:rsidRPr="00F16445" w:rsidRDefault="00F16445" w:rsidP="00182A6D">
      <w:pPr>
        <w:rPr>
          <w:b/>
          <w:i/>
          <w:lang w:val="en-GB"/>
        </w:rPr>
      </w:pPr>
      <w:r>
        <w:rPr>
          <w:b/>
          <w:i/>
          <w:lang w:val="en-GB"/>
        </w:rPr>
        <w:t>Operationali</w:t>
      </w:r>
      <w:r w:rsidR="00A167D7">
        <w:rPr>
          <w:b/>
          <w:i/>
          <w:lang w:val="en-GB"/>
        </w:rPr>
        <w:t>s</w:t>
      </w:r>
      <w:r w:rsidR="00D06A9F" w:rsidRPr="00F16445">
        <w:rPr>
          <w:b/>
          <w:i/>
          <w:lang w:val="en-GB"/>
        </w:rPr>
        <w:t>ation of hypotheses</w:t>
      </w:r>
    </w:p>
    <w:p w:rsidR="00EC07DC" w:rsidRDefault="001540B3" w:rsidP="001540B3">
      <w:pPr>
        <w:spacing w:line="360" w:lineRule="auto"/>
        <w:jc w:val="both"/>
        <w:rPr>
          <w:lang w:val="en-GB"/>
        </w:rPr>
      </w:pPr>
      <w:r>
        <w:rPr>
          <w:lang w:val="en-GB"/>
        </w:rPr>
        <w:t xml:space="preserve">The composed experiment aims to test </w:t>
      </w:r>
      <w:r w:rsidR="004B2CF8">
        <w:rPr>
          <w:lang w:val="en-GB"/>
        </w:rPr>
        <w:t xml:space="preserve">the two expectations, </w:t>
      </w:r>
      <w:r>
        <w:rPr>
          <w:lang w:val="en-GB"/>
        </w:rPr>
        <w:t>formed in the section above. Firstly, whether a difference occurs between participants’ valuations after being framed in a hot or cold deal market. Secondly, if the participants’ valuations give indication that they are receptive for the existence of certain real options in a managerial setting. If the latter is confirmed, this provides credibility to the statement that real options could alter potential biased valuations made by executives, as stated by Smit &amp; Lovallo (2014). In order to test these expectations a sample is divided</w:t>
      </w:r>
      <w:r w:rsidR="004B2CF8">
        <w:rPr>
          <w:lang w:val="en-GB"/>
        </w:rPr>
        <w:t xml:space="preserve"> into four groups of equal size</w:t>
      </w:r>
      <w:r>
        <w:rPr>
          <w:lang w:val="en-GB"/>
        </w:rPr>
        <w:t xml:space="preserve">. In the remainder of this section, these groups will be referred to as I, </w:t>
      </w:r>
      <w:r w:rsidR="004B2CF8">
        <w:rPr>
          <w:lang w:val="en-GB"/>
        </w:rPr>
        <w:t>II, III and IV. The treatment of</w:t>
      </w:r>
      <w:r>
        <w:rPr>
          <w:lang w:val="en-GB"/>
        </w:rPr>
        <w:t xml:space="preserve"> each of the groups is different. Group II and IV will serve as</w:t>
      </w:r>
      <w:r w:rsidR="00C07626">
        <w:rPr>
          <w:lang w:val="en-GB"/>
        </w:rPr>
        <w:t xml:space="preserve"> some kind of control group</w:t>
      </w:r>
      <w:r>
        <w:rPr>
          <w:lang w:val="en-GB"/>
        </w:rPr>
        <w:t xml:space="preserve"> to respectively group I and III. Group I and III </w:t>
      </w:r>
      <w:r w:rsidR="00002D5E">
        <w:rPr>
          <w:lang w:val="en-GB"/>
        </w:rPr>
        <w:t xml:space="preserve">will be manipulated into respectively a hot and cold deal market, which are related to a positive and negative prior business experience. Following the reasoning in the theoretical framework, the valuations of these framed groups I and III should differ. The average valuations of group I and II should also </w:t>
      </w:r>
      <w:r w:rsidR="00C07626">
        <w:rPr>
          <w:lang w:val="en-GB"/>
        </w:rPr>
        <w:t xml:space="preserve">be </w:t>
      </w:r>
      <w:r w:rsidR="00002D5E">
        <w:rPr>
          <w:lang w:val="en-GB"/>
        </w:rPr>
        <w:t>differ</w:t>
      </w:r>
      <w:r w:rsidR="00FF1038">
        <w:rPr>
          <w:lang w:val="en-GB"/>
        </w:rPr>
        <w:t>ent</w:t>
      </w:r>
      <w:r w:rsidR="00002D5E">
        <w:rPr>
          <w:lang w:val="en-GB"/>
        </w:rPr>
        <w:t xml:space="preserve">, since only group I </w:t>
      </w:r>
      <w:r w:rsidR="00FF1038">
        <w:rPr>
          <w:lang w:val="en-GB"/>
        </w:rPr>
        <w:t>is</w:t>
      </w:r>
      <w:r w:rsidR="00002D5E">
        <w:rPr>
          <w:lang w:val="en-GB"/>
        </w:rPr>
        <w:t xml:space="preserve"> a positive past business experience. The opposite should hold for the group III and IV, although</w:t>
      </w:r>
      <w:r w:rsidR="00AB6AB4">
        <w:rPr>
          <w:lang w:val="en-GB"/>
        </w:rPr>
        <w:t xml:space="preserve"> given</w:t>
      </w:r>
      <w:r w:rsidR="00002D5E">
        <w:rPr>
          <w:lang w:val="en-GB"/>
        </w:rPr>
        <w:t xml:space="preserve"> the ambiguity regarding the</w:t>
      </w:r>
      <w:r w:rsidR="00AB6AB4">
        <w:rPr>
          <w:lang w:val="en-GB"/>
        </w:rPr>
        <w:t xml:space="preserve"> aforementioned</w:t>
      </w:r>
      <w:r w:rsidR="00002D5E">
        <w:rPr>
          <w:lang w:val="en-GB"/>
        </w:rPr>
        <w:t xml:space="preserve"> literature on the effect of prior losses on current behaviour, this expectation could turn out differently. </w:t>
      </w:r>
      <w:r w:rsidR="00AB6AB4">
        <w:rPr>
          <w:lang w:val="en-GB"/>
        </w:rPr>
        <w:t>Since group II and IV are control groups and receive the same treatment</w:t>
      </w:r>
      <w:r w:rsidR="00350F19">
        <w:rPr>
          <w:lang w:val="en-GB"/>
        </w:rPr>
        <w:t xml:space="preserve"> (no prior performance results)</w:t>
      </w:r>
      <w:r w:rsidR="00AB6AB4">
        <w:rPr>
          <w:lang w:val="en-GB"/>
        </w:rPr>
        <w:t xml:space="preserve">, their initial valuations should not significantly differ. </w:t>
      </w:r>
      <w:r w:rsidR="00FF1038">
        <w:rPr>
          <w:lang w:val="en-GB"/>
        </w:rPr>
        <w:t>However, a</w:t>
      </w:r>
      <w:r w:rsidR="00AB6AB4">
        <w:rPr>
          <w:lang w:val="en-GB"/>
        </w:rPr>
        <w:t>fter the initial valuations, the control groups are given different questions, in order to match the questions of the groups they serve as control groups for</w:t>
      </w:r>
      <w:r w:rsidR="003D75E7">
        <w:rPr>
          <w:lang w:val="en-GB"/>
        </w:rPr>
        <w:t>, this should lead to differe</w:t>
      </w:r>
      <w:r w:rsidR="00FF1038">
        <w:rPr>
          <w:lang w:val="en-GB"/>
        </w:rPr>
        <w:t xml:space="preserve">nt outcomes. Testing the </w:t>
      </w:r>
      <w:r w:rsidR="003D75E7">
        <w:rPr>
          <w:lang w:val="en-GB"/>
        </w:rPr>
        <w:t>expectat</w:t>
      </w:r>
      <w:r w:rsidR="00FF1038">
        <w:rPr>
          <w:lang w:val="en-GB"/>
        </w:rPr>
        <w:t xml:space="preserve">ion regarding the receptivity to </w:t>
      </w:r>
      <w:r w:rsidR="003D75E7">
        <w:rPr>
          <w:lang w:val="en-GB"/>
        </w:rPr>
        <w:t xml:space="preserve">real options, should lead to relatively higher valuations </w:t>
      </w:r>
      <w:r w:rsidR="00326970">
        <w:rPr>
          <w:lang w:val="en-GB"/>
        </w:rPr>
        <w:t>for</w:t>
      </w:r>
      <w:r w:rsidR="003D75E7">
        <w:rPr>
          <w:lang w:val="en-GB"/>
        </w:rPr>
        <w:t xml:space="preserve"> all groups. If this is not the case, this could be an indication of the far-reaching influence of biases which were also present at the initial valuation</w:t>
      </w:r>
      <w:r w:rsidR="00350F19">
        <w:rPr>
          <w:lang w:val="en-GB"/>
        </w:rPr>
        <w:t>, or an indication that participants are not able to recognize important characteristics of real options in a real life setting</w:t>
      </w:r>
      <w:r w:rsidR="003D75E7">
        <w:rPr>
          <w:lang w:val="en-GB"/>
        </w:rPr>
        <w:t xml:space="preserve">. </w:t>
      </w:r>
    </w:p>
    <w:p w:rsidR="00A3342C" w:rsidRPr="00082B85" w:rsidRDefault="004B2CF8" w:rsidP="001540B3">
      <w:pPr>
        <w:spacing w:line="360" w:lineRule="auto"/>
        <w:jc w:val="both"/>
        <w:rPr>
          <w:b/>
          <w:lang w:val="en-GB"/>
        </w:rPr>
      </w:pPr>
      <w:r w:rsidRPr="00082B85">
        <w:rPr>
          <w:b/>
          <w:i/>
          <w:lang w:val="en-GB"/>
        </w:rPr>
        <w:t>Participants</w:t>
      </w:r>
    </w:p>
    <w:p w:rsidR="0019601F" w:rsidRPr="000E0591" w:rsidRDefault="0019601F" w:rsidP="001540B3">
      <w:pPr>
        <w:spacing w:line="360" w:lineRule="auto"/>
        <w:jc w:val="both"/>
        <w:rPr>
          <w:lang w:val="en-GB"/>
        </w:rPr>
      </w:pPr>
      <w:r>
        <w:rPr>
          <w:lang w:val="en-GB"/>
        </w:rPr>
        <w:t xml:space="preserve">The research question relates to valuations made by executives. However, the participants in the experiment are students. </w:t>
      </w:r>
      <w:r w:rsidRPr="0019601F">
        <w:rPr>
          <w:lang w:val="en-GB"/>
        </w:rPr>
        <w:t xml:space="preserve">One could </w:t>
      </w:r>
      <w:r>
        <w:rPr>
          <w:lang w:val="en-GB"/>
        </w:rPr>
        <w:t xml:space="preserve">therefore </w:t>
      </w:r>
      <w:r w:rsidRPr="0019601F">
        <w:rPr>
          <w:lang w:val="en-GB"/>
        </w:rPr>
        <w:t>pose the question whether the findings of the e</w:t>
      </w:r>
      <w:r>
        <w:rPr>
          <w:lang w:val="en-GB"/>
        </w:rPr>
        <w:t xml:space="preserve">xperiment have external validity. </w:t>
      </w:r>
      <w:r w:rsidR="00410A4E">
        <w:rPr>
          <w:lang w:val="en-GB"/>
        </w:rPr>
        <w:t>It could be</w:t>
      </w:r>
      <w:r w:rsidRPr="0019601F">
        <w:rPr>
          <w:lang w:val="en-GB"/>
        </w:rPr>
        <w:t xml:space="preserve"> expected that executives are more capable </w:t>
      </w:r>
      <w:r>
        <w:rPr>
          <w:lang w:val="en-GB"/>
        </w:rPr>
        <w:t xml:space="preserve">of making better/rational decisions than others, since the ability of making rational choices is </w:t>
      </w:r>
      <w:r w:rsidR="00CF4A13">
        <w:rPr>
          <w:lang w:val="en-GB"/>
        </w:rPr>
        <w:t>a</w:t>
      </w:r>
      <w:r>
        <w:rPr>
          <w:lang w:val="en-GB"/>
        </w:rPr>
        <w:t xml:space="preserve"> requirement for </w:t>
      </w:r>
      <w:r>
        <w:rPr>
          <w:lang w:val="en-GB"/>
        </w:rPr>
        <w:lastRenderedPageBreak/>
        <w:t xml:space="preserve">obtaining the role of </w:t>
      </w:r>
      <w:r w:rsidR="00A167D7">
        <w:rPr>
          <w:lang w:val="en-GB"/>
        </w:rPr>
        <w:t>e</w:t>
      </w:r>
      <w:r>
        <w:rPr>
          <w:lang w:val="en-GB"/>
        </w:rPr>
        <w:t>xecutive</w:t>
      </w:r>
      <w:r w:rsidR="00F16445">
        <w:rPr>
          <w:lang w:val="en-GB"/>
        </w:rPr>
        <w:t xml:space="preserve"> </w:t>
      </w:r>
      <w:sdt>
        <w:sdtPr>
          <w:rPr>
            <w:lang w:val="en-GB"/>
          </w:rPr>
          <w:id w:val="8256531"/>
          <w:citation/>
        </w:sdtPr>
        <w:sdtContent>
          <w:r w:rsidR="009966E0">
            <w:rPr>
              <w:lang w:val="en-GB"/>
            </w:rPr>
            <w:fldChar w:fldCharType="begin"/>
          </w:r>
          <w:r w:rsidR="00F16445" w:rsidRPr="00F16445">
            <w:rPr>
              <w:lang w:val="en-GB"/>
            </w:rPr>
            <w:instrText xml:space="preserve"> CITATION Lar77 \l 1043 </w:instrText>
          </w:r>
          <w:r w:rsidR="009966E0">
            <w:rPr>
              <w:lang w:val="en-GB"/>
            </w:rPr>
            <w:fldChar w:fldCharType="separate"/>
          </w:r>
          <w:r w:rsidR="00C32B5A" w:rsidRPr="00C32B5A">
            <w:rPr>
              <w:noProof/>
              <w:lang w:val="en-GB"/>
            </w:rPr>
            <w:t>(Larwood &amp; Whittaker, 1977)</w:t>
          </w:r>
          <w:r w:rsidR="009966E0">
            <w:rPr>
              <w:lang w:val="en-GB"/>
            </w:rPr>
            <w:fldChar w:fldCharType="end"/>
          </w:r>
        </w:sdtContent>
      </w:sdt>
      <w:r>
        <w:rPr>
          <w:lang w:val="en-GB"/>
        </w:rPr>
        <w:t xml:space="preserve">.  </w:t>
      </w:r>
      <w:r w:rsidR="00F16445" w:rsidRPr="00F16445">
        <w:rPr>
          <w:lang w:val="en-GB"/>
        </w:rPr>
        <w:t>However, it is questionable as well</w:t>
      </w:r>
      <w:r w:rsidR="00F16445">
        <w:rPr>
          <w:lang w:val="en-GB"/>
        </w:rPr>
        <w:t>,</w:t>
      </w:r>
      <w:r w:rsidR="00F16445" w:rsidRPr="00F16445">
        <w:rPr>
          <w:lang w:val="en-GB"/>
        </w:rPr>
        <w:t xml:space="preserve"> whether this statement i</w:t>
      </w:r>
      <w:r w:rsidR="00F16445">
        <w:rPr>
          <w:lang w:val="en-GB"/>
        </w:rPr>
        <w:t xml:space="preserve">mplies that executives are less sensitive to making biases. </w:t>
      </w:r>
      <w:r w:rsidR="00A167D7" w:rsidRPr="00A167D7">
        <w:rPr>
          <w:lang w:val="en-GB"/>
        </w:rPr>
        <w:t>If there is no negative correlation between the chances o</w:t>
      </w:r>
      <w:r w:rsidR="00A167D7">
        <w:rPr>
          <w:lang w:val="en-GB"/>
        </w:rPr>
        <w:t>f becoming an executive and the receptivity</w:t>
      </w:r>
      <w:r w:rsidR="00C25D2A">
        <w:rPr>
          <w:lang w:val="en-GB"/>
        </w:rPr>
        <w:t xml:space="preserve"> to biases, then one could conclude</w:t>
      </w:r>
      <w:r w:rsidR="00A167D7">
        <w:rPr>
          <w:lang w:val="en-GB"/>
        </w:rPr>
        <w:t xml:space="preserve"> that executives are sensitive to biases as well. </w:t>
      </w:r>
      <w:r w:rsidR="00A167D7" w:rsidRPr="00A167D7">
        <w:rPr>
          <w:lang w:val="en-GB"/>
        </w:rPr>
        <w:t xml:space="preserve">In the case of overconfidence,  </w:t>
      </w:r>
      <w:r w:rsidR="00A167D7" w:rsidRPr="00A167D7">
        <w:rPr>
          <w:noProof/>
          <w:lang w:val="en-GB"/>
        </w:rPr>
        <w:t>Goel &amp; Thakor (2000) argue that executi</w:t>
      </w:r>
      <w:r w:rsidR="000E0591">
        <w:rPr>
          <w:noProof/>
          <w:lang w:val="en-GB"/>
        </w:rPr>
        <w:t>ves could be the individuals who are more prone</w:t>
      </w:r>
      <w:r w:rsidR="00A167D7">
        <w:rPr>
          <w:noProof/>
          <w:lang w:val="en-GB"/>
        </w:rPr>
        <w:t xml:space="preserve"> to overestimation due to overconfidence, since the financial markets may value executives who</w:t>
      </w:r>
      <w:r w:rsidR="000E0591">
        <w:rPr>
          <w:noProof/>
          <w:lang w:val="en-GB"/>
        </w:rPr>
        <w:t xml:space="preserve"> make risk neutral decisions. As most individuals are risk-averse, overconfidence and consequently overestimation could offset the risk aversion factor in decision-making. Moreover, executives who underestimate risk, are more likely to encounter negatives outcomes, however, these executives are also more likely to encounter extraordinary outcomes compared to executives who did not invest because of a risk profile. </w:t>
      </w:r>
      <w:r w:rsidR="000E0591" w:rsidRPr="000E0591">
        <w:rPr>
          <w:noProof/>
          <w:lang w:val="en-GB"/>
        </w:rPr>
        <w:t>Therefore, some overconfident executives could have raised their profile a</w:t>
      </w:r>
      <w:r w:rsidR="000E0591">
        <w:rPr>
          <w:noProof/>
          <w:lang w:val="en-GB"/>
        </w:rPr>
        <w:t xml:space="preserve">nd become CEOs. </w:t>
      </w:r>
    </w:p>
    <w:p w:rsidR="00425AC3" w:rsidRDefault="004B2CF8" w:rsidP="001540B3">
      <w:pPr>
        <w:spacing w:line="360" w:lineRule="auto"/>
        <w:jc w:val="both"/>
        <w:rPr>
          <w:lang w:val="en-GB"/>
        </w:rPr>
      </w:pPr>
      <w:r>
        <w:rPr>
          <w:lang w:val="en-GB"/>
        </w:rPr>
        <w:t>Potential participants will be drawn from a pool of students who have an affinit</w:t>
      </w:r>
      <w:r w:rsidR="00410A4E">
        <w:rPr>
          <w:lang w:val="en-GB"/>
        </w:rPr>
        <w:t>y with financial economics. The reason behind this is</w:t>
      </w:r>
      <w:r>
        <w:rPr>
          <w:lang w:val="en-GB"/>
        </w:rPr>
        <w:t xml:space="preserve"> to exclude </w:t>
      </w:r>
      <w:r w:rsidR="00745087">
        <w:rPr>
          <w:lang w:val="en-GB"/>
        </w:rPr>
        <w:t xml:space="preserve">biases due to misunderstanding of valuation methods. The sample size should be large enough to be able to statistical inference. A small sample could constitute problems if the distribution does not closely resemble a normal distribution, is heavily skewed or comprises extreme outliers. Consequently, a sample should be as large as possible, however, the following research may be bounded by a budget. </w:t>
      </w:r>
      <w:r w:rsidR="00425AC3">
        <w:rPr>
          <w:lang w:val="en-GB"/>
        </w:rPr>
        <w:t>A</w:t>
      </w:r>
      <w:r w:rsidR="00745087">
        <w:rPr>
          <w:lang w:val="en-GB"/>
        </w:rPr>
        <w:t xml:space="preserve"> sample size of about 100 participants </w:t>
      </w:r>
      <w:r w:rsidR="003A426A">
        <w:rPr>
          <w:lang w:val="en-GB"/>
        </w:rPr>
        <w:t>would be</w:t>
      </w:r>
      <w:r w:rsidR="00425AC3">
        <w:rPr>
          <w:lang w:val="en-GB"/>
        </w:rPr>
        <w:t xml:space="preserve"> statistically sufficient, as well as not unrealistic given the budget restriction of the experiment. </w:t>
      </w:r>
    </w:p>
    <w:p w:rsidR="00D97E16" w:rsidRDefault="00425AC3" w:rsidP="001540B3">
      <w:pPr>
        <w:spacing w:line="360" w:lineRule="auto"/>
        <w:jc w:val="both"/>
        <w:rPr>
          <w:lang w:val="en-GB"/>
        </w:rPr>
      </w:pPr>
      <w:r>
        <w:rPr>
          <w:lang w:val="en-GB"/>
        </w:rPr>
        <w:t>During the conduct of the experiment, the participants will answer questions individually on a computer in a separated room. However, they should have the perception that other participants are examined simultaneously, as this creates the illusion of competition which is necessary for some parts of the experiment concerning auctions. The advantage of this setting is that the participants are not able to skip ahead to next questions, since this would greatly damage the reliability of any conclusions made from this participant’s answers, be</w:t>
      </w:r>
      <w:r w:rsidR="00D97E16">
        <w:rPr>
          <w:lang w:val="en-GB"/>
        </w:rPr>
        <w:t>cause the perception to the degree of information</w:t>
      </w:r>
      <w:r w:rsidR="004561F9">
        <w:rPr>
          <w:lang w:val="en-GB"/>
        </w:rPr>
        <w:t xml:space="preserve"> offered</w:t>
      </w:r>
      <w:r w:rsidR="00D97E16">
        <w:rPr>
          <w:lang w:val="en-GB"/>
        </w:rPr>
        <w:t xml:space="preserve"> is </w:t>
      </w:r>
      <w:r w:rsidR="004561F9">
        <w:rPr>
          <w:lang w:val="en-GB"/>
        </w:rPr>
        <w:t xml:space="preserve">partly </w:t>
      </w:r>
      <w:r w:rsidR="00D97E16">
        <w:rPr>
          <w:lang w:val="en-GB"/>
        </w:rPr>
        <w:t xml:space="preserve">the subject of the experiment. </w:t>
      </w:r>
      <w:r w:rsidR="003A426A">
        <w:rPr>
          <w:lang w:val="en-GB"/>
        </w:rPr>
        <w:t xml:space="preserve"> </w:t>
      </w:r>
    </w:p>
    <w:p w:rsidR="00D97E16" w:rsidRPr="00082B85" w:rsidRDefault="00D97E16" w:rsidP="001540B3">
      <w:pPr>
        <w:spacing w:line="360" w:lineRule="auto"/>
        <w:jc w:val="both"/>
        <w:rPr>
          <w:b/>
          <w:i/>
          <w:lang w:val="en-GB"/>
        </w:rPr>
      </w:pPr>
      <w:r w:rsidRPr="00082B85">
        <w:rPr>
          <w:b/>
          <w:i/>
          <w:lang w:val="en-GB"/>
        </w:rPr>
        <w:t>Introduction</w:t>
      </w:r>
    </w:p>
    <w:p w:rsidR="004B3974" w:rsidRDefault="00D97E16" w:rsidP="001540B3">
      <w:pPr>
        <w:spacing w:line="360" w:lineRule="auto"/>
        <w:jc w:val="both"/>
        <w:rPr>
          <w:lang w:val="en-GB"/>
        </w:rPr>
      </w:pPr>
      <w:r>
        <w:rPr>
          <w:lang w:val="en-GB"/>
        </w:rPr>
        <w:t>Firstly, the participants will be made familiar with</w:t>
      </w:r>
      <w:r w:rsidR="001717D8">
        <w:rPr>
          <w:lang w:val="en-GB"/>
        </w:rPr>
        <w:t xml:space="preserve"> the type of questions they can expect, namely that they take the role of a CEO. In this role they will make decisions which could affect their firm’s valuation, denominated in points. Importantly, the true subject</w:t>
      </w:r>
      <w:r w:rsidR="004561F9">
        <w:rPr>
          <w:lang w:val="en-GB"/>
        </w:rPr>
        <w:t xml:space="preserve"> of the experiment</w:t>
      </w:r>
      <w:r w:rsidR="001717D8">
        <w:rPr>
          <w:lang w:val="en-GB"/>
        </w:rPr>
        <w:t xml:space="preserve"> will not be revealed, since the goal of the experiment is to test whethe</w:t>
      </w:r>
      <w:r w:rsidR="004561F9">
        <w:rPr>
          <w:lang w:val="en-GB"/>
        </w:rPr>
        <w:t>r participants are receptive to</w:t>
      </w:r>
      <w:r w:rsidR="001717D8">
        <w:rPr>
          <w:lang w:val="en-GB"/>
        </w:rPr>
        <w:t xml:space="preserve"> real options when they are</w:t>
      </w:r>
      <w:r w:rsidR="004561F9">
        <w:rPr>
          <w:lang w:val="en-GB"/>
        </w:rPr>
        <w:t xml:space="preserve"> not explicitly given attention</w:t>
      </w:r>
      <w:r w:rsidR="001717D8">
        <w:rPr>
          <w:lang w:val="en-GB"/>
        </w:rPr>
        <w:t xml:space="preserve">. Furthermore, the participants are informed </w:t>
      </w:r>
      <w:r w:rsidR="001717D8">
        <w:rPr>
          <w:lang w:val="en-GB"/>
        </w:rPr>
        <w:lastRenderedPageBreak/>
        <w:t xml:space="preserve">about the relationship between their actions and monetary compensation in order to motivate them to answer the questions seriously. </w:t>
      </w:r>
      <w:r w:rsidR="003A1EB8">
        <w:rPr>
          <w:lang w:val="en-GB"/>
        </w:rPr>
        <w:t>The participants are also informed about the fact that the points, which represent the company’s value, are converted into their monetary compensation at the end of the experiment. The conversion will be 100 points for € 1,-. The reason behind the valuation being denominated in points is to prevent that the participants frame the questions in terms of real money, which could lead to a following idea: ‘</w:t>
      </w:r>
      <w:r w:rsidR="003A1EB8">
        <w:rPr>
          <w:i/>
          <w:lang w:val="en-GB"/>
        </w:rPr>
        <w:t>In the worst case scenario I’ll only lose €2,- by making this decision’</w:t>
      </w:r>
      <w:r w:rsidR="003A1EB8">
        <w:rPr>
          <w:lang w:val="en-GB"/>
        </w:rPr>
        <w:t xml:space="preserve"> whilst € 2,- represents 20% of the company’s</w:t>
      </w:r>
      <w:r w:rsidR="004B3974">
        <w:rPr>
          <w:lang w:val="en-GB"/>
        </w:rPr>
        <w:t xml:space="preserve"> initial value and such a loss should be perceived as heavily in practice. </w:t>
      </w:r>
    </w:p>
    <w:p w:rsidR="004B3974" w:rsidRPr="00082B85" w:rsidRDefault="004B3974" w:rsidP="001540B3">
      <w:pPr>
        <w:spacing w:line="360" w:lineRule="auto"/>
        <w:jc w:val="both"/>
        <w:rPr>
          <w:b/>
          <w:i/>
          <w:lang w:val="en-GB"/>
        </w:rPr>
      </w:pPr>
      <w:r w:rsidRPr="00082B85">
        <w:rPr>
          <w:b/>
          <w:i/>
          <w:lang w:val="en-GB"/>
        </w:rPr>
        <w:t>Part One</w:t>
      </w:r>
    </w:p>
    <w:p w:rsidR="004B3974" w:rsidRDefault="004B3974" w:rsidP="001540B3">
      <w:pPr>
        <w:spacing w:line="360" w:lineRule="auto"/>
        <w:jc w:val="both"/>
        <w:rPr>
          <w:lang w:val="en-GB"/>
        </w:rPr>
      </w:pPr>
      <w:r>
        <w:rPr>
          <w:lang w:val="en-GB"/>
        </w:rPr>
        <w:t>In this part, the participants will be informed about the company of which they will assume the role of CEO in, as well as make the first business decision.</w:t>
      </w:r>
    </w:p>
    <w:p w:rsidR="001064A6" w:rsidRDefault="00EC07DC" w:rsidP="001540B3">
      <w:pPr>
        <w:spacing w:line="360" w:lineRule="auto"/>
        <w:jc w:val="both"/>
        <w:rPr>
          <w:lang w:val="en-GB"/>
        </w:rPr>
      </w:pPr>
      <w:r>
        <w:rPr>
          <w:lang w:val="en-GB"/>
        </w:rPr>
        <w:t>The company</w:t>
      </w:r>
      <w:r w:rsidR="003A1EB8">
        <w:rPr>
          <w:lang w:val="en-GB"/>
        </w:rPr>
        <w:t xml:space="preserve"> </w:t>
      </w:r>
      <w:r w:rsidR="001717D8">
        <w:rPr>
          <w:lang w:val="en-GB"/>
        </w:rPr>
        <w:t xml:space="preserve"> </w:t>
      </w:r>
      <w:r>
        <w:rPr>
          <w:lang w:val="en-GB"/>
        </w:rPr>
        <w:t>of which the participants are fictionally in charge, is described. This company is active in the market of electronic devices, because this industry is characterized by the natural presence of real options and it is most likely familiar to the participants. The latter</w:t>
      </w:r>
      <w:r w:rsidR="00976D87">
        <w:rPr>
          <w:lang w:val="en-GB"/>
        </w:rPr>
        <w:t xml:space="preserve"> offers the </w:t>
      </w:r>
      <w:r w:rsidR="00FF7E2D">
        <w:rPr>
          <w:lang w:val="en-GB"/>
        </w:rPr>
        <w:t xml:space="preserve">participants the </w:t>
      </w:r>
      <w:r w:rsidR="00976D87">
        <w:rPr>
          <w:lang w:val="en-GB"/>
        </w:rPr>
        <w:t xml:space="preserve">opportunity to project knowledge about this industry into their decisions. In other words, from their own experience they could imagine certain growth and </w:t>
      </w:r>
      <w:r w:rsidR="00CF4A13">
        <w:rPr>
          <w:lang w:val="en-GB"/>
        </w:rPr>
        <w:t>spill over</w:t>
      </w:r>
      <w:r w:rsidR="00976D87">
        <w:rPr>
          <w:lang w:val="en-GB"/>
        </w:rPr>
        <w:t xml:space="preserve"> opportunities inherent to this industry. In the experiment this is enforced by naming various characteristics about the company. First information about geographical expansion in the past is given. This is done in order to give the participants the opportunity to be aware of the option to </w:t>
      </w:r>
      <w:r w:rsidR="00C6669E">
        <w:rPr>
          <w:lang w:val="en-GB"/>
        </w:rPr>
        <w:t>grow</w:t>
      </w:r>
      <w:r w:rsidR="00976D87">
        <w:rPr>
          <w:lang w:val="en-GB"/>
        </w:rPr>
        <w:t xml:space="preserve"> geographically.  Furthermore, it is posed that the company uses equipment some of which is rather specific to the company’s product line, others of which have a wide array of possible applications. This implies the option to switch or abandon. Moreover, information is presented about past successes regarding of the extension of know how over multiple product lines</w:t>
      </w:r>
      <w:r w:rsidR="00970814">
        <w:rPr>
          <w:lang w:val="en-GB"/>
        </w:rPr>
        <w:t>, in this case the implementation of display technology on numerous electronics devices (this might reinforce the aforementioned applicability of their real life experiences with this industry). This again points toward growth options. Hereafter, the value of the company at the moment of appointment as CEO is given. This value differs for all the</w:t>
      </w:r>
      <w:r w:rsidR="00FF7E2D">
        <w:rPr>
          <w:lang w:val="en-GB"/>
        </w:rPr>
        <w:t xml:space="preserve"> groups, respectively 600, 1000 and</w:t>
      </w:r>
      <w:r w:rsidR="00970814">
        <w:rPr>
          <w:lang w:val="en-GB"/>
        </w:rPr>
        <w:t xml:space="preserve"> </w:t>
      </w:r>
      <w:r w:rsidR="00FF7E2D">
        <w:rPr>
          <w:lang w:val="en-GB"/>
        </w:rPr>
        <w:t>1400</w:t>
      </w:r>
      <w:r w:rsidR="00970814">
        <w:rPr>
          <w:lang w:val="en-GB"/>
        </w:rPr>
        <w:t xml:space="preserve">. These values are provided by means of a graph, which includes valuations of the past nine years. This is done in order to emphasize the initial value at the moment of appointment (could be relevant for escalation of commitment). The </w:t>
      </w:r>
      <w:r w:rsidR="001064A6">
        <w:rPr>
          <w:lang w:val="en-GB"/>
        </w:rPr>
        <w:t xml:space="preserve">participants are informed that these past experiences are both attributable to chance (economic circumstances) and good management. This remark could be relevant for the possible self-attribution of </w:t>
      </w:r>
      <w:r w:rsidR="00FF7E2D">
        <w:rPr>
          <w:lang w:val="en-GB"/>
        </w:rPr>
        <w:t>past experiences and their influence on future decisions</w:t>
      </w:r>
      <w:r w:rsidR="001064A6">
        <w:rPr>
          <w:lang w:val="en-GB"/>
        </w:rPr>
        <w:t xml:space="preserve">. </w:t>
      </w:r>
    </w:p>
    <w:p w:rsidR="00BD0CD8" w:rsidRDefault="00BD0CD8" w:rsidP="001540B3">
      <w:pPr>
        <w:spacing w:line="360" w:lineRule="auto"/>
        <w:jc w:val="both"/>
        <w:rPr>
          <w:i/>
          <w:lang w:val="en-GB"/>
        </w:rPr>
      </w:pPr>
    </w:p>
    <w:p w:rsidR="001064A6" w:rsidRPr="00082B85" w:rsidRDefault="001064A6" w:rsidP="001540B3">
      <w:pPr>
        <w:spacing w:line="360" w:lineRule="auto"/>
        <w:jc w:val="both"/>
        <w:rPr>
          <w:b/>
          <w:lang w:val="en-GB"/>
        </w:rPr>
      </w:pPr>
      <w:r w:rsidRPr="00082B85">
        <w:rPr>
          <w:b/>
          <w:i/>
          <w:lang w:val="en-GB"/>
        </w:rPr>
        <w:lastRenderedPageBreak/>
        <w:t>First order of business</w:t>
      </w:r>
    </w:p>
    <w:p w:rsidR="00C456AB" w:rsidRDefault="001064A6" w:rsidP="001540B3">
      <w:pPr>
        <w:spacing w:line="360" w:lineRule="auto"/>
        <w:jc w:val="both"/>
        <w:rPr>
          <w:lang w:val="en-GB"/>
        </w:rPr>
      </w:pPr>
      <w:r>
        <w:rPr>
          <w:lang w:val="en-GB"/>
        </w:rPr>
        <w:t>The participants</w:t>
      </w:r>
      <w:r w:rsidR="00FF7E2D">
        <w:rPr>
          <w:lang w:val="en-GB"/>
        </w:rPr>
        <w:t xml:space="preserve"> (groups I&amp;III)</w:t>
      </w:r>
      <w:r>
        <w:rPr>
          <w:lang w:val="en-GB"/>
        </w:rPr>
        <w:t xml:space="preserve"> are asked to evaluate two geographical expansion possibilities. The purpose of this question is to get the participant in a managerial mindset as well as evoke a feeling of responsibility for the performance of the company. In case the participants do not feel responsible, they might think after they have been framed in a hot or cold deal mark</w:t>
      </w:r>
      <w:r w:rsidR="00C456AB">
        <w:rPr>
          <w:lang w:val="en-GB"/>
        </w:rPr>
        <w:t xml:space="preserve">et, which results in both </w:t>
      </w:r>
      <w:r>
        <w:rPr>
          <w:lang w:val="en-GB"/>
        </w:rPr>
        <w:t xml:space="preserve">scenarios in a company value of 1000 points: ‘I started with 1400 points, and without doing anything it is now 1000. So in fact I start with 1000.’ This would undermine the intended framing and is thereby likely to significantly reduce the reliability of the eventual conclusions. Another purpose of this question is to </w:t>
      </w:r>
      <w:r w:rsidR="00C456AB">
        <w:rPr>
          <w:lang w:val="en-GB"/>
        </w:rPr>
        <w:t>create the opportunity for the participants to</w:t>
      </w:r>
      <w:r w:rsidR="00647986">
        <w:rPr>
          <w:lang w:val="en-GB"/>
        </w:rPr>
        <w:t xml:space="preserve"> attribute potential upcoming successes</w:t>
      </w:r>
      <w:r w:rsidR="00C456AB">
        <w:rPr>
          <w:lang w:val="en-GB"/>
        </w:rPr>
        <w:t xml:space="preserve"> to their own actions, which could result in overconfidence. There is no extra information presented about the alternatives to which the company could expand, so the participants should use their own information about the countries, which could enforce their believe that in case of successes this due to their intelligence. </w:t>
      </w:r>
    </w:p>
    <w:p w:rsidR="00C456AB" w:rsidRPr="00082B85" w:rsidRDefault="00C456AB" w:rsidP="001540B3">
      <w:pPr>
        <w:spacing w:line="360" w:lineRule="auto"/>
        <w:jc w:val="both"/>
        <w:rPr>
          <w:b/>
          <w:i/>
          <w:lang w:val="en-GB"/>
        </w:rPr>
      </w:pPr>
      <w:r w:rsidRPr="00082B85">
        <w:rPr>
          <w:b/>
          <w:i/>
          <w:lang w:val="en-GB"/>
        </w:rPr>
        <w:t xml:space="preserve">Economic upturn/downturn </w:t>
      </w:r>
    </w:p>
    <w:p w:rsidR="00092690" w:rsidRDefault="00C456AB" w:rsidP="001540B3">
      <w:pPr>
        <w:spacing w:line="360" w:lineRule="auto"/>
        <w:jc w:val="both"/>
        <w:rPr>
          <w:lang w:val="en-GB"/>
        </w:rPr>
      </w:pPr>
      <w:r>
        <w:rPr>
          <w:lang w:val="en-GB"/>
        </w:rPr>
        <w:t xml:space="preserve">The participants are given information about the performances of the last period since they </w:t>
      </w:r>
      <w:r w:rsidR="00766B2F">
        <w:rPr>
          <w:lang w:val="en-GB"/>
        </w:rPr>
        <w:t>were</w:t>
      </w:r>
      <w:r>
        <w:rPr>
          <w:lang w:val="en-GB"/>
        </w:rPr>
        <w:t xml:space="preserve"> appointed as CEOs. The members of group I will experience</w:t>
      </w:r>
      <w:r w:rsidR="00766B2F">
        <w:rPr>
          <w:lang w:val="en-GB"/>
        </w:rPr>
        <w:t xml:space="preserve"> a</w:t>
      </w:r>
      <w:r>
        <w:rPr>
          <w:lang w:val="en-GB"/>
        </w:rPr>
        <w:t xml:space="preserve"> gain of 400 points. The participants are informed that this gain is caused by both economic circumstances and their previous decision concerning geographical expansion</w:t>
      </w:r>
      <w:r w:rsidR="00766B2F">
        <w:rPr>
          <w:lang w:val="en-GB"/>
        </w:rPr>
        <w:t xml:space="preserve">. Deliberately, no further </w:t>
      </w:r>
      <w:r w:rsidR="00CF4A13">
        <w:rPr>
          <w:lang w:val="en-GB"/>
        </w:rPr>
        <w:t>specifications are</w:t>
      </w:r>
      <w:r w:rsidR="00766B2F">
        <w:rPr>
          <w:lang w:val="en-GB"/>
        </w:rPr>
        <w:t xml:space="preserve"> given regarding the weight of these causes. Again, this gives the participants the possibility to attribute the gain to</w:t>
      </w:r>
      <w:r w:rsidR="00083148">
        <w:rPr>
          <w:lang w:val="en-GB"/>
        </w:rPr>
        <w:t xml:space="preserve"> their actions and enhance over</w:t>
      </w:r>
      <w:r w:rsidR="00766B2F">
        <w:rPr>
          <w:lang w:val="en-GB"/>
        </w:rPr>
        <w:t>confidence.  Members of group II</w:t>
      </w:r>
      <w:r w:rsidR="00647986">
        <w:rPr>
          <w:lang w:val="en-GB"/>
        </w:rPr>
        <w:t>I</w:t>
      </w:r>
      <w:r w:rsidR="00766B2F">
        <w:rPr>
          <w:lang w:val="en-GB"/>
        </w:rPr>
        <w:t xml:space="preserve"> will encounter a loss of 400 points, due to their prior decision and economic circumstances as well. The ambiguity of the cause of the value decline provides the participants the opportunity to attribute this to external factors (economic circumstances). As earlier mentioned, the </w:t>
      </w:r>
      <w:r w:rsidR="007520B7">
        <w:rPr>
          <w:lang w:val="en-GB"/>
        </w:rPr>
        <w:t xml:space="preserve">company value of both groups will eventually be 1000 points. In this way liquidity motives which could affect further investment choices, are excluded. </w:t>
      </w:r>
      <w:r w:rsidR="00092690">
        <w:rPr>
          <w:lang w:val="en-GB"/>
        </w:rPr>
        <w:br/>
        <w:t>Summarized, group I is framed in a hot deal market (which is related to a positive economic/business sentiment), whilst group II</w:t>
      </w:r>
      <w:r w:rsidR="00647986">
        <w:rPr>
          <w:lang w:val="en-GB"/>
        </w:rPr>
        <w:t>I</w:t>
      </w:r>
      <w:r w:rsidR="00092690">
        <w:rPr>
          <w:lang w:val="en-GB"/>
        </w:rPr>
        <w:t xml:space="preserve"> is framed in a cold deal market. The company value of the control groups I and IV will remain the same</w:t>
      </w:r>
      <w:r w:rsidR="00647986">
        <w:rPr>
          <w:lang w:val="en-GB"/>
        </w:rPr>
        <w:t>, since they are not given a history of performances during their period as CEO</w:t>
      </w:r>
      <w:r w:rsidR="00092690">
        <w:rPr>
          <w:lang w:val="en-GB"/>
        </w:rPr>
        <w:t>.</w:t>
      </w:r>
      <w:r w:rsidR="00647986">
        <w:rPr>
          <w:lang w:val="en-GB"/>
        </w:rPr>
        <w:t xml:space="preserve"> In other words, the part of the experiment concerning an economic up- or downturn is not applicable to the participants of group II &amp; IV.  </w:t>
      </w:r>
      <w:r w:rsidR="00092690">
        <w:rPr>
          <w:lang w:val="en-GB"/>
        </w:rPr>
        <w:t xml:space="preserve"> </w:t>
      </w:r>
    </w:p>
    <w:p w:rsidR="00092690" w:rsidRPr="00082B85" w:rsidRDefault="00092690" w:rsidP="001540B3">
      <w:pPr>
        <w:spacing w:line="360" w:lineRule="auto"/>
        <w:jc w:val="both"/>
        <w:rPr>
          <w:b/>
          <w:i/>
          <w:lang w:val="en-GB"/>
        </w:rPr>
      </w:pPr>
      <w:r w:rsidRPr="00082B85">
        <w:rPr>
          <w:b/>
          <w:i/>
          <w:lang w:val="en-GB"/>
        </w:rPr>
        <w:t>Part two</w:t>
      </w:r>
    </w:p>
    <w:p w:rsidR="006E4B56" w:rsidRDefault="00092690" w:rsidP="001540B3">
      <w:pPr>
        <w:spacing w:line="360" w:lineRule="auto"/>
        <w:jc w:val="both"/>
        <w:rPr>
          <w:lang w:val="en-GB"/>
        </w:rPr>
      </w:pPr>
      <w:r>
        <w:rPr>
          <w:lang w:val="en-GB"/>
        </w:rPr>
        <w:t>The</w:t>
      </w:r>
      <w:r w:rsidR="006D5C44">
        <w:rPr>
          <w:lang w:val="en-GB"/>
        </w:rPr>
        <w:t xml:space="preserve"> participants will all be</w:t>
      </w:r>
      <w:r>
        <w:rPr>
          <w:lang w:val="en-GB"/>
        </w:rPr>
        <w:t xml:space="preserve"> given the same valuation question about a potential venture. Before any information about the venture is given, the participants are again made aware of their prior business </w:t>
      </w:r>
      <w:r>
        <w:rPr>
          <w:lang w:val="en-GB"/>
        </w:rPr>
        <w:lastRenderedPageBreak/>
        <w:t>experience, in order to</w:t>
      </w:r>
      <w:r w:rsidR="00BA12B6">
        <w:rPr>
          <w:lang w:val="en-GB"/>
        </w:rPr>
        <w:t xml:space="preserve"> try to align the sentiment</w:t>
      </w:r>
      <w:r w:rsidR="006D5C44">
        <w:rPr>
          <w:lang w:val="en-GB"/>
        </w:rPr>
        <w:t xml:space="preserve"> with the</w:t>
      </w:r>
      <w:r>
        <w:rPr>
          <w:lang w:val="en-GB"/>
        </w:rPr>
        <w:t xml:space="preserve"> intended frame. </w:t>
      </w:r>
      <w:r w:rsidR="00BA12B6">
        <w:rPr>
          <w:lang w:val="en-GB"/>
        </w:rPr>
        <w:t>The valuation question</w:t>
      </w:r>
      <w:r w:rsidR="0070757C">
        <w:rPr>
          <w:lang w:val="en-GB"/>
        </w:rPr>
        <w:t xml:space="preserve"> in part two concerns the possibi</w:t>
      </w:r>
      <w:r w:rsidR="00BA12B6">
        <w:rPr>
          <w:lang w:val="en-GB"/>
        </w:rPr>
        <w:t xml:space="preserve">lity of buying a right to use </w:t>
      </w:r>
      <w:r w:rsidR="0070757C">
        <w:rPr>
          <w:lang w:val="en-GB"/>
        </w:rPr>
        <w:t xml:space="preserve">new technology which could be valuable to the company of which the participants are in charge. </w:t>
      </w:r>
      <w:r w:rsidR="00204204">
        <w:rPr>
          <w:lang w:val="en-GB"/>
        </w:rPr>
        <w:t xml:space="preserve">The participants are informed about this opportunity by stating that this new technology is the invention of a new resolution standard for </w:t>
      </w:r>
      <w:r w:rsidR="008F4A55">
        <w:rPr>
          <w:lang w:val="en-GB"/>
        </w:rPr>
        <w:t>TV displays</w:t>
      </w:r>
      <w:r w:rsidR="00204204">
        <w:rPr>
          <w:lang w:val="en-GB"/>
        </w:rPr>
        <w:t>, which is one of the products of the company. The name of this invention is related to a current development in the market of TV’s, so again the participants could relate to their real life experience. The description deliberately leaves</w:t>
      </w:r>
      <w:r w:rsidR="008F4A55">
        <w:rPr>
          <w:lang w:val="en-GB"/>
        </w:rPr>
        <w:t xml:space="preserve"> room for the idea that this new technology could be applied to other products of the company as well. </w:t>
      </w:r>
      <w:r w:rsidR="00BA12B6">
        <w:rPr>
          <w:lang w:val="en-GB"/>
        </w:rPr>
        <w:t xml:space="preserve">It is justifiable that the participants </w:t>
      </w:r>
      <w:r w:rsidR="008F4A55">
        <w:rPr>
          <w:lang w:val="en-GB"/>
        </w:rPr>
        <w:t>have this perception</w:t>
      </w:r>
      <w:r w:rsidR="00BA12B6">
        <w:rPr>
          <w:lang w:val="en-GB"/>
        </w:rPr>
        <w:t>, since</w:t>
      </w:r>
      <w:r w:rsidR="008F4A55">
        <w:rPr>
          <w:lang w:val="en-GB"/>
        </w:rPr>
        <w:t xml:space="preserve"> spill</w:t>
      </w:r>
      <w:r w:rsidR="00BA12B6">
        <w:rPr>
          <w:lang w:val="en-GB"/>
        </w:rPr>
        <w:t xml:space="preserve"> </w:t>
      </w:r>
      <w:r w:rsidR="008F4A55">
        <w:rPr>
          <w:lang w:val="en-GB"/>
        </w:rPr>
        <w:t>over effects are not rare to the company and have proven to be successful in the past (described in part one). The description also includes the remark that competition is interested as well and that the licence therefore is sold in an auction. The reason behind the choice for an auction, is to</w:t>
      </w:r>
      <w:r w:rsidR="00BA12B6">
        <w:rPr>
          <w:lang w:val="en-GB"/>
        </w:rPr>
        <w:t xml:space="preserve"> make the participant</w:t>
      </w:r>
      <w:r w:rsidR="00773D45">
        <w:rPr>
          <w:lang w:val="en-GB"/>
        </w:rPr>
        <w:t>s</w:t>
      </w:r>
      <w:r w:rsidR="006D5C44">
        <w:rPr>
          <w:lang w:val="en-GB"/>
        </w:rPr>
        <w:t xml:space="preserve"> </w:t>
      </w:r>
      <w:r w:rsidR="008F4A55">
        <w:rPr>
          <w:lang w:val="en-GB"/>
        </w:rPr>
        <w:t>give a bid as close as possible to their reservation price</w:t>
      </w:r>
      <w:r w:rsidR="006E04C0">
        <w:rPr>
          <w:lang w:val="en-GB"/>
        </w:rPr>
        <w:t>s</w:t>
      </w:r>
      <w:r w:rsidR="008F4A55">
        <w:rPr>
          <w:lang w:val="en-GB"/>
        </w:rPr>
        <w:t>. Otherwise, the participants might price the license in such a way that it maximizes profits later on (and thereb</w:t>
      </w:r>
      <w:r w:rsidR="006E04C0">
        <w:rPr>
          <w:lang w:val="en-GB"/>
        </w:rPr>
        <w:t>y their monetary compensation)</w:t>
      </w:r>
      <w:r w:rsidR="006D5C44">
        <w:rPr>
          <w:lang w:val="en-GB"/>
        </w:rPr>
        <w:t>,</w:t>
      </w:r>
      <w:r w:rsidR="006E04C0">
        <w:rPr>
          <w:lang w:val="en-GB"/>
        </w:rPr>
        <w:t xml:space="preserve"> </w:t>
      </w:r>
      <w:r w:rsidR="006D5C44">
        <w:rPr>
          <w:lang w:val="en-GB"/>
        </w:rPr>
        <w:t>in case they</w:t>
      </w:r>
      <w:r w:rsidR="008F4A55">
        <w:rPr>
          <w:lang w:val="en-GB"/>
        </w:rPr>
        <w:t xml:space="preserve">  </w:t>
      </w:r>
      <w:r w:rsidR="006E04C0">
        <w:rPr>
          <w:lang w:val="en-GB"/>
        </w:rPr>
        <w:t xml:space="preserve">think </w:t>
      </w:r>
      <w:r w:rsidR="008F4A55">
        <w:rPr>
          <w:lang w:val="en-GB"/>
        </w:rPr>
        <w:t xml:space="preserve">that the price they offer will </w:t>
      </w:r>
      <w:r w:rsidR="006D5C44">
        <w:rPr>
          <w:lang w:val="en-GB"/>
        </w:rPr>
        <w:t xml:space="preserve"> always results in obtaining the licence for the price they offered.</w:t>
      </w:r>
      <w:r w:rsidR="006E04C0">
        <w:rPr>
          <w:lang w:val="en-GB"/>
        </w:rPr>
        <w:t xml:space="preserve"> Therefore, the participants must have the perception that other people are simultaneously participating in this bidding contest. Moreover, the </w:t>
      </w:r>
      <w:r w:rsidR="006E2758">
        <w:rPr>
          <w:lang w:val="en-GB"/>
        </w:rPr>
        <w:t>interest of the competitors</w:t>
      </w:r>
      <w:r w:rsidR="006E04C0">
        <w:rPr>
          <w:lang w:val="en-GB"/>
        </w:rPr>
        <w:t xml:space="preserve"> could lead to the belief that this might be the only  opportunity to be able to use this technology and to position oneself in a situation of having the option to apply the technology to other products. </w:t>
      </w:r>
      <w:r w:rsidR="002B3B24">
        <w:rPr>
          <w:lang w:val="en-GB"/>
        </w:rPr>
        <w:t xml:space="preserve">The description offers plenty of indications to interpret certain aspects of the information as options to expand/grow, if participants are receptive to these options.  </w:t>
      </w:r>
    </w:p>
    <w:p w:rsidR="00473EE4" w:rsidRDefault="006E4B56" w:rsidP="001540B3">
      <w:pPr>
        <w:spacing w:line="360" w:lineRule="auto"/>
        <w:jc w:val="both"/>
        <w:rPr>
          <w:lang w:val="en-GB"/>
        </w:rPr>
      </w:pPr>
      <w:r>
        <w:rPr>
          <w:lang w:val="en-GB"/>
        </w:rPr>
        <w:t xml:space="preserve">The valuation is based on information which enables the participants to use the DCF method. This information exists of certain net payoffs during the planning period, an uncertain horizon value which (graphically emphasized with a question mark), and the total </w:t>
      </w:r>
      <w:r w:rsidR="00945136">
        <w:rPr>
          <w:lang w:val="en-GB"/>
        </w:rPr>
        <w:t>outlay</w:t>
      </w:r>
      <w:r>
        <w:rPr>
          <w:lang w:val="en-GB"/>
        </w:rPr>
        <w:t xml:space="preserve"> of the investment, which consists of implementation costs and the price paid for the licence fee. For reasons of simplicity, the discount </w:t>
      </w:r>
      <w:r w:rsidR="008B2475">
        <w:rPr>
          <w:lang w:val="en-GB"/>
        </w:rPr>
        <w:t xml:space="preserve">factor is 0. </w:t>
      </w:r>
      <w:r>
        <w:rPr>
          <w:lang w:val="en-GB"/>
        </w:rPr>
        <w:t xml:space="preserve"> </w:t>
      </w:r>
      <w:r w:rsidR="008B2475">
        <w:rPr>
          <w:lang w:val="en-GB"/>
        </w:rPr>
        <w:t xml:space="preserve">As a result of the fact that participants have been selected based on their affinity with financial economics, one </w:t>
      </w:r>
      <w:r w:rsidR="002C0502">
        <w:rPr>
          <w:lang w:val="en-GB"/>
        </w:rPr>
        <w:t>may expect that the participants are able to interpret the offered values correctly. An extra remark in the description is made that e</w:t>
      </w:r>
      <w:r w:rsidR="00945136">
        <w:rPr>
          <w:lang w:val="en-GB"/>
        </w:rPr>
        <w:t xml:space="preserve">ach </w:t>
      </w:r>
      <w:r w:rsidR="002C0502">
        <w:rPr>
          <w:lang w:val="en-GB"/>
        </w:rPr>
        <w:t>year involves at least some fixed costs. This remark has the purpose to make the participants aware of the fact that the project could also turn out to be negative, which could alter the valuation because of the concept of loss aversion. Providing the payoffs in the form described above, enables one to calculate the participant’s valuation of the horizon value</w:t>
      </w:r>
      <w:r w:rsidR="00945136">
        <w:rPr>
          <w:lang w:val="en-GB"/>
        </w:rPr>
        <w:t>.</w:t>
      </w:r>
      <w:r w:rsidR="00473EE4">
        <w:rPr>
          <w:lang w:val="en-GB"/>
        </w:rPr>
        <w:t xml:space="preserve"> </w:t>
      </w:r>
      <w:r w:rsidR="002C0502">
        <w:rPr>
          <w:lang w:val="en-GB"/>
        </w:rPr>
        <w:t>Recall that an indication for overconfidence</w:t>
      </w:r>
      <w:r w:rsidR="00473EE4">
        <w:rPr>
          <w:lang w:val="en-GB"/>
        </w:rPr>
        <w:t xml:space="preserve"> or </w:t>
      </w:r>
      <w:r w:rsidR="002C0502">
        <w:rPr>
          <w:lang w:val="en-GB"/>
        </w:rPr>
        <w:t>over</w:t>
      </w:r>
      <w:r w:rsidR="00DE6061">
        <w:rPr>
          <w:lang w:val="en-GB"/>
        </w:rPr>
        <w:t>-</w:t>
      </w:r>
      <w:r w:rsidR="002C0502">
        <w:rPr>
          <w:lang w:val="en-GB"/>
        </w:rPr>
        <w:t>optimism, as well as for nar</w:t>
      </w:r>
      <w:r w:rsidR="00473EE4">
        <w:rPr>
          <w:lang w:val="en-GB"/>
        </w:rPr>
        <w:t>row framing</w:t>
      </w:r>
      <w:r w:rsidR="00DE6061">
        <w:rPr>
          <w:lang w:val="en-GB"/>
        </w:rPr>
        <w:t>,</w:t>
      </w:r>
      <w:r w:rsidR="00473EE4">
        <w:rPr>
          <w:lang w:val="en-GB"/>
        </w:rPr>
        <w:t xml:space="preserve"> </w:t>
      </w:r>
      <w:r w:rsidR="002C0502">
        <w:rPr>
          <w:lang w:val="en-GB"/>
        </w:rPr>
        <w:t xml:space="preserve">will be </w:t>
      </w:r>
      <w:r w:rsidR="00F961FA">
        <w:rPr>
          <w:lang w:val="en-GB"/>
        </w:rPr>
        <w:t>reflected in a DCF method via the estimation of the horizon value.</w:t>
      </w:r>
      <w:r w:rsidR="00473EE4">
        <w:rPr>
          <w:lang w:val="en-GB"/>
        </w:rPr>
        <w:t xml:space="preserve"> However, the assumption that a bid reflects the participant’s reservation price has to be made in order to calculate the horizon value. The participant’s bid is the </w:t>
      </w:r>
      <w:r w:rsidR="00334F56">
        <w:rPr>
          <w:lang w:val="en-GB"/>
        </w:rPr>
        <w:t>sum</w:t>
      </w:r>
      <w:r w:rsidR="00473EE4">
        <w:rPr>
          <w:lang w:val="en-GB"/>
        </w:rPr>
        <w:t xml:space="preserve"> of his estimations of </w:t>
      </w:r>
      <w:r w:rsidR="00473EE4">
        <w:rPr>
          <w:lang w:val="en-GB"/>
        </w:rPr>
        <w:lastRenderedPageBreak/>
        <w:t>the positive and negative cash</w:t>
      </w:r>
      <w:r w:rsidR="00334F56">
        <w:rPr>
          <w:lang w:val="en-GB"/>
        </w:rPr>
        <w:t xml:space="preserve"> </w:t>
      </w:r>
      <w:r w:rsidR="00473EE4">
        <w:rPr>
          <w:lang w:val="en-GB"/>
        </w:rPr>
        <w:t>flows</w:t>
      </w:r>
      <w:r w:rsidR="00334F56">
        <w:rPr>
          <w:lang w:val="en-GB"/>
        </w:rPr>
        <w:t xml:space="preserve"> (except the licence fee)</w:t>
      </w:r>
      <w:r w:rsidR="00334F56">
        <w:rPr>
          <w:rStyle w:val="FootnoteReference"/>
          <w:lang w:val="en-GB"/>
        </w:rPr>
        <w:footnoteReference w:id="1"/>
      </w:r>
      <w:r w:rsidR="00334F56">
        <w:rPr>
          <w:lang w:val="en-GB"/>
        </w:rPr>
        <w:t xml:space="preserve">. Both the implementation costs and certain cash flows of the planning period are known, so the bid reveals the participant’s estimation of the horizon value. </w:t>
      </w:r>
    </w:p>
    <w:p w:rsidR="00931EA8" w:rsidRPr="00082B85" w:rsidRDefault="00931EA8" w:rsidP="001540B3">
      <w:pPr>
        <w:spacing w:line="360" w:lineRule="auto"/>
        <w:jc w:val="both"/>
        <w:rPr>
          <w:b/>
          <w:lang w:val="en-GB"/>
        </w:rPr>
      </w:pPr>
      <w:r w:rsidRPr="00082B85">
        <w:rPr>
          <w:b/>
          <w:i/>
          <w:lang w:val="en-GB"/>
        </w:rPr>
        <w:t>Part three</w:t>
      </w:r>
    </w:p>
    <w:p w:rsidR="00931EA8" w:rsidRDefault="00ED7B33" w:rsidP="001540B3">
      <w:pPr>
        <w:spacing w:line="360" w:lineRule="auto"/>
        <w:jc w:val="both"/>
        <w:rPr>
          <w:lang w:val="en-GB"/>
        </w:rPr>
      </w:pPr>
      <w:r>
        <w:rPr>
          <w:lang w:val="en-GB"/>
        </w:rPr>
        <w:t xml:space="preserve">The questions in the third part of the experiment differs for the groups I &amp; III, as well as for their control groups. This imposed difference is done in order to test whether the participants who are framed in a hot and cold deal market are receptive for the options which are proposed (in the theoretical framework) to be used in these distinctive settings. The members of group I and II are therefore confronted with questions concerning an option to defer, whilst members of group III and IV are confronted with questions concerning an option to grow/expand. </w:t>
      </w:r>
    </w:p>
    <w:p w:rsidR="00ED7B33" w:rsidRDefault="00ED7B33" w:rsidP="001540B3">
      <w:pPr>
        <w:spacing w:line="360" w:lineRule="auto"/>
        <w:jc w:val="both"/>
        <w:rPr>
          <w:lang w:val="en-GB"/>
        </w:rPr>
      </w:pPr>
      <w:r>
        <w:rPr>
          <w:lang w:val="en-GB"/>
        </w:rPr>
        <w:t xml:space="preserve">Group I and II are informed that </w:t>
      </w:r>
      <w:r w:rsidR="004C4437">
        <w:rPr>
          <w:lang w:val="en-GB"/>
        </w:rPr>
        <w:t xml:space="preserve">before the auction has taken place, </w:t>
      </w:r>
      <w:r>
        <w:rPr>
          <w:lang w:val="en-GB"/>
        </w:rPr>
        <w:t>they are approached</w:t>
      </w:r>
      <w:r w:rsidR="004C4437">
        <w:rPr>
          <w:lang w:val="en-GB"/>
        </w:rPr>
        <w:t xml:space="preserve"> </w:t>
      </w:r>
      <w:r>
        <w:rPr>
          <w:lang w:val="en-GB"/>
        </w:rPr>
        <w:t>by the company which developed the new technology to start a 50% - 50% joint venture</w:t>
      </w:r>
      <w:r w:rsidR="004C4437">
        <w:rPr>
          <w:lang w:val="en-GB"/>
        </w:rPr>
        <w:t xml:space="preserve">. The participants are also informed about an important feature of this offer, namely that they are given the opportunity to buy the other company out after six years for an amount which was half of the initial outlay presented in the previous question. The participant should be aware that this opportunity gives him the possibility to ‘wait-and-see’. Furthermore, the participants will be told that the company which developed the new technology also approaches the other players. This comment is made in order to prevent the participant to think that by refusing the offer, the auction will take place nonetheless. </w:t>
      </w:r>
      <w:r w:rsidR="00763346">
        <w:rPr>
          <w:lang w:val="en-GB"/>
        </w:rPr>
        <w:t>Because of the latter, the participants again have to come up with a bid for the licence fee</w:t>
      </w:r>
      <w:r w:rsidR="00F226C4">
        <w:rPr>
          <w:lang w:val="en-GB"/>
        </w:rPr>
        <w:t>, which could also be seen as the initial investment necessary to start the joint-venture</w:t>
      </w:r>
      <w:r w:rsidR="00763346">
        <w:rPr>
          <w:lang w:val="en-GB"/>
        </w:rPr>
        <w:t xml:space="preserve">. One could draw the conclusion that the participants value the possibility of a buy-out, if the </w:t>
      </w:r>
      <w:r w:rsidR="00F226C4">
        <w:rPr>
          <w:lang w:val="en-GB"/>
        </w:rPr>
        <w:t xml:space="preserve">new </w:t>
      </w:r>
      <w:r w:rsidR="00763346">
        <w:rPr>
          <w:lang w:val="en-GB"/>
        </w:rPr>
        <w:t>bid is more than half of the bid in t</w:t>
      </w:r>
      <w:r w:rsidR="007D6600">
        <w:rPr>
          <w:lang w:val="en-GB"/>
        </w:rPr>
        <w:t xml:space="preserve">he previous question. </w:t>
      </w:r>
      <w:r w:rsidR="006715E5">
        <w:rPr>
          <w:lang w:val="en-GB"/>
        </w:rPr>
        <w:t xml:space="preserve">This reasoning is based on the idea that the opportunity of starting a joint-venture implies a halving of both the initial investment outlay and future cash flows, which should consequently result in a halving of the valuation (if liquidity motives are neglected). </w:t>
      </w:r>
    </w:p>
    <w:p w:rsidR="00763346" w:rsidRDefault="00763346" w:rsidP="001540B3">
      <w:pPr>
        <w:spacing w:line="360" w:lineRule="auto"/>
        <w:jc w:val="both"/>
        <w:rPr>
          <w:lang w:val="en-GB"/>
        </w:rPr>
      </w:pPr>
      <w:r>
        <w:rPr>
          <w:lang w:val="en-GB"/>
        </w:rPr>
        <w:t xml:space="preserve">After the bid is made, the participants are faced with a fictional comment by the board of directors that they do not agree on the current terms and they propose a slight adjustment. </w:t>
      </w:r>
      <w:r w:rsidR="00CF4A13">
        <w:rPr>
          <w:lang w:val="en-GB"/>
        </w:rPr>
        <w:t xml:space="preserve">Namely, that the clause  allows the company to buy-out the other company at any moment after six years. </w:t>
      </w:r>
      <w:r>
        <w:rPr>
          <w:lang w:val="en-GB"/>
        </w:rPr>
        <w:t xml:space="preserve">The participant as the CEO has to communicate this proposed adjustment together with a new bid for the licence. Literature suggests that the participants should value this revised clause which constitutes an option to stage more than the previous clause, because the nature of the revised clause gives the </w:t>
      </w:r>
      <w:r>
        <w:rPr>
          <w:lang w:val="en-GB"/>
        </w:rPr>
        <w:lastRenderedPageBreak/>
        <w:t>opportunity to exercise the option at the same moment as the previous clause, as well as the possibility to pos</w:t>
      </w:r>
      <w:r w:rsidR="008A71D6">
        <w:rPr>
          <w:lang w:val="en-GB"/>
        </w:rPr>
        <w:t xml:space="preserve">tpone and wait. However, if participants are still biased by overconfidence, they may not value the extra possibilities the new clause offers compared to the clause proposed by the potential partner, due to the potential exuberance that they will exercise regardless of future circumstances. Of course, this will indicate a valuation error. </w:t>
      </w:r>
    </w:p>
    <w:p w:rsidR="001D273A" w:rsidRDefault="008A71D6" w:rsidP="001540B3">
      <w:pPr>
        <w:spacing w:line="360" w:lineRule="auto"/>
        <w:jc w:val="both"/>
        <w:rPr>
          <w:lang w:val="en-GB"/>
        </w:rPr>
      </w:pPr>
      <w:r>
        <w:rPr>
          <w:lang w:val="en-GB"/>
        </w:rPr>
        <w:t>The participants assig</w:t>
      </w:r>
      <w:r w:rsidR="00924E2C">
        <w:rPr>
          <w:lang w:val="en-GB"/>
        </w:rPr>
        <w:t xml:space="preserve">ned to the groups III &amp; IV are also confronted with new information before the auction takes place. The participants are informed that the new developed technology for TV displays may in the future also be applicable to the company’s </w:t>
      </w:r>
      <w:r w:rsidR="00CF4A13">
        <w:rPr>
          <w:lang w:val="en-GB"/>
        </w:rPr>
        <w:t>smart phones</w:t>
      </w:r>
      <w:r w:rsidR="00924E2C">
        <w:rPr>
          <w:lang w:val="en-GB"/>
        </w:rPr>
        <w:t xml:space="preserve">. Moreover, the participants are made aware of a comment by their R&amp;D department that the application of the technology to smart phones is contingent upon the acquiring and using of the licence for the production of TV’s and thereby accumulating know how required for the production of smart phones. However, it is uncertain whether the market for smart phones evolves in </w:t>
      </w:r>
      <w:r w:rsidR="00A318D8">
        <w:rPr>
          <w:lang w:val="en-GB"/>
        </w:rPr>
        <w:t xml:space="preserve">such a way that the use of the technology for smart phones is profitable. The situation stated is a text book example of an option to grow, because of both the potential of expanding after a certain period and the dependence of this potential on a prior commitment. The participants are further notified that if the market for smart phones eventually turns out to be positive for the implementation of the new technology, then the size of the cash flows will be twice as large as the cash flows associated with the production of TV’s. </w:t>
      </w:r>
      <w:r w:rsidR="001D273A">
        <w:rPr>
          <w:lang w:val="en-GB"/>
        </w:rPr>
        <w:t>If the market for smart phones turns out to be unfavourable</w:t>
      </w:r>
      <w:r w:rsidR="00AE6462">
        <w:rPr>
          <w:lang w:val="en-GB"/>
        </w:rPr>
        <w:t>,</w:t>
      </w:r>
      <w:r w:rsidR="001D273A">
        <w:rPr>
          <w:lang w:val="en-GB"/>
        </w:rPr>
        <w:t xml:space="preserve"> the participants are informed that there will be a certain loss for ten following years if</w:t>
      </w:r>
      <w:r w:rsidR="00AE6462">
        <w:rPr>
          <w:lang w:val="en-GB"/>
        </w:rPr>
        <w:t xml:space="preserve"> they</w:t>
      </w:r>
      <w:r w:rsidR="001D273A">
        <w:rPr>
          <w:lang w:val="en-GB"/>
        </w:rPr>
        <w:t xml:space="preserve"> invest. This should not matter: if </w:t>
      </w:r>
      <w:r w:rsidR="00CF4A13">
        <w:rPr>
          <w:lang w:val="en-GB"/>
        </w:rPr>
        <w:t>these unfavourable conditions</w:t>
      </w:r>
      <w:r w:rsidR="001D273A">
        <w:rPr>
          <w:lang w:val="en-GB"/>
        </w:rPr>
        <w:t xml:space="preserve"> occur, the participant will not/should not exercise the option. It is imperative that the participant understands that this does not affect the value of the option, he</w:t>
      </w:r>
      <w:r w:rsidR="00FE3877">
        <w:rPr>
          <w:lang w:val="en-GB"/>
        </w:rPr>
        <w:t>/</w:t>
      </w:r>
      <w:r w:rsidR="00CF4A13">
        <w:rPr>
          <w:lang w:val="en-GB"/>
        </w:rPr>
        <w:t>she</w:t>
      </w:r>
      <w:r w:rsidR="001D273A">
        <w:rPr>
          <w:lang w:val="en-GB"/>
        </w:rPr>
        <w:t xml:space="preserve"> should only take the upside potential into account. Again the participants are asked how much they are willing to bid for the licence to make use of this new technology. If these bids are higher than the bids made in the previous question, one could conclude that the participants value the possibility which is made more explicit. </w:t>
      </w:r>
    </w:p>
    <w:p w:rsidR="00FE3877" w:rsidRDefault="00FE3877" w:rsidP="001540B3">
      <w:pPr>
        <w:spacing w:line="360" w:lineRule="auto"/>
        <w:jc w:val="both"/>
        <w:rPr>
          <w:lang w:val="en-GB"/>
        </w:rPr>
      </w:pPr>
      <w:r>
        <w:rPr>
          <w:lang w:val="en-GB"/>
        </w:rPr>
        <w:t>Before the last valuation by group III &amp; IV is made, they will again encounter new information. Compared to the previous situation in which it seemed that only after a certain period (and only then) the market condition could be evaluated, the description of new information provides the participant with the perception that he/she is able to evaluate and choose if an implementation of the technology for the production of smart phones is profitable, at any point after this certain period.</w:t>
      </w:r>
      <w:r w:rsidR="0028330C">
        <w:rPr>
          <w:lang w:val="en-GB"/>
        </w:rPr>
        <w:t xml:space="preserve"> The description also includes the comment that the chance for a receptive smart phone market diminishes over time. The degree in which the likelihood diminishes over time is irrelevant, the participants should value the new possibility of ‘wait-and-see’, compared to the setting in the previous question. Again, this is expressed in a higher bid for the licence. </w:t>
      </w:r>
    </w:p>
    <w:p w:rsidR="00DD36E0" w:rsidRPr="00082B85" w:rsidRDefault="00DD36E0" w:rsidP="001540B3">
      <w:pPr>
        <w:spacing w:line="360" w:lineRule="auto"/>
        <w:jc w:val="both"/>
        <w:rPr>
          <w:b/>
          <w:i/>
          <w:lang w:val="en-GB"/>
        </w:rPr>
      </w:pPr>
      <w:r w:rsidRPr="00082B85">
        <w:rPr>
          <w:b/>
          <w:i/>
          <w:lang w:val="en-GB"/>
        </w:rPr>
        <w:lastRenderedPageBreak/>
        <w:t>End of the experiment</w:t>
      </w:r>
    </w:p>
    <w:p w:rsidR="00DD36E0" w:rsidRPr="00DD36E0" w:rsidRDefault="00DD36E0" w:rsidP="001540B3">
      <w:pPr>
        <w:spacing w:line="360" w:lineRule="auto"/>
        <w:jc w:val="both"/>
        <w:rPr>
          <w:lang w:val="en-GB"/>
        </w:rPr>
      </w:pPr>
      <w:r>
        <w:rPr>
          <w:lang w:val="en-GB"/>
        </w:rPr>
        <w:t xml:space="preserve">Because of the uncertainty </w:t>
      </w:r>
      <w:r w:rsidR="008C647A">
        <w:rPr>
          <w:lang w:val="en-GB"/>
        </w:rPr>
        <w:t xml:space="preserve">of the outcomes related to the implementation of the licence, the ultimate company’s value is arbitrary and provides a justification for any distribution of the monetary payments to the participants. </w:t>
      </w:r>
    </w:p>
    <w:p w:rsidR="00182A6D" w:rsidRPr="00BD0CD8" w:rsidRDefault="00082B85" w:rsidP="00BD0CD8">
      <w:pPr>
        <w:pStyle w:val="Heading1"/>
        <w:rPr>
          <w:color w:val="76923C" w:themeColor="accent3" w:themeShade="BF"/>
          <w:lang w:val="en-GB"/>
        </w:rPr>
      </w:pPr>
      <w:bookmarkStart w:id="14" w:name="_Toc397238594"/>
      <w:r>
        <w:rPr>
          <w:color w:val="76923C" w:themeColor="accent3" w:themeShade="BF"/>
          <w:lang w:val="en-GB"/>
        </w:rPr>
        <w:t>Conclusion</w:t>
      </w:r>
      <w:bookmarkEnd w:id="14"/>
    </w:p>
    <w:p w:rsidR="000E338A" w:rsidRDefault="001A1549" w:rsidP="007C0550">
      <w:pPr>
        <w:spacing w:line="360" w:lineRule="auto"/>
        <w:jc w:val="both"/>
        <w:rPr>
          <w:lang w:val="en-GB"/>
        </w:rPr>
      </w:pPr>
      <w:r>
        <w:rPr>
          <w:lang w:val="en-GB"/>
        </w:rPr>
        <w:br/>
      </w:r>
      <w:r w:rsidR="00BF169C">
        <w:rPr>
          <w:lang w:val="en-GB"/>
        </w:rPr>
        <w:t xml:space="preserve">The purpose of this article was to conduct an experiment which enables one to test whether certain real options could be the solution for the influence of cognitive biases on the valuation process of investment opportunities during so called hot and cold deal markets. The assumed influence of these cognitive biases is based on the observation that the valuations of investment opportunities differ during hot and cold deal market, without an underlying economic justification. </w:t>
      </w:r>
      <w:r w:rsidR="002A14F9">
        <w:rPr>
          <w:lang w:val="en-GB"/>
        </w:rPr>
        <w:t>If cognitive biases are the reason behind this observation, then this would imply</w:t>
      </w:r>
      <w:r w:rsidR="00BF169C">
        <w:rPr>
          <w:lang w:val="en-GB"/>
        </w:rPr>
        <w:t xml:space="preserve"> a relationship between the ‘temperature’ of the M&amp;A market and</w:t>
      </w:r>
      <w:r w:rsidR="002A14F9">
        <w:rPr>
          <w:lang w:val="en-GB"/>
        </w:rPr>
        <w:t xml:space="preserve"> these</w:t>
      </w:r>
      <w:r w:rsidR="00BF169C">
        <w:rPr>
          <w:lang w:val="en-GB"/>
        </w:rPr>
        <w:t xml:space="preserve"> cognitive biases as well.</w:t>
      </w:r>
      <w:r w:rsidR="002A14F9">
        <w:rPr>
          <w:lang w:val="en-GB"/>
        </w:rPr>
        <w:t xml:space="preserve"> In order to be able to test if the implementation of real options provides a solution, </w:t>
      </w:r>
      <w:r w:rsidR="007C0550">
        <w:rPr>
          <w:lang w:val="en-GB"/>
        </w:rPr>
        <w:t xml:space="preserve">it is required to have an answer on the question which biases effect executives’ decision-making process and under which circumstances are executives more prone to make systematic errors. Therefore, another part of the experiment focuses on the testing of the existence of certain cognitive biases in different conditions of the M&amp;A market. </w:t>
      </w:r>
      <w:r w:rsidR="00BF169C">
        <w:rPr>
          <w:lang w:val="en-GB"/>
        </w:rPr>
        <w:t xml:space="preserve"> </w:t>
      </w:r>
      <w:r w:rsidR="00CF4A13">
        <w:rPr>
          <w:lang w:val="en-GB"/>
        </w:rPr>
        <w:t xml:space="preserve">This experiment is designed to test for multiple biases including: overconfidence, anchoring and narrow framing. </w:t>
      </w:r>
      <w:r w:rsidR="007C0550">
        <w:rPr>
          <w:lang w:val="en-GB"/>
        </w:rPr>
        <w:t xml:space="preserve">However, these biases could be theoretically linked to the valuation process, through prior business experience, instead of </w:t>
      </w:r>
      <w:r w:rsidR="004432F5">
        <w:rPr>
          <w:lang w:val="en-GB"/>
        </w:rPr>
        <w:t xml:space="preserve">the condition of the M&amp;A market. Therefore, the assumption is made that the temperature of the M&amp;A market is positively correlated to the business cycle and to a company’s performances as well. A situation of a hot deal market is expected to be associated with a situation of an economic boom, which implies a prior business upturn. A cold deal market is expected to be associated with a situation of an economic depression, which implies a prior business downturn. These prior business experiences could be a prerequisite for the existence of cognitive biases or an enhancing factor. These relationships have been described, since an alteration of one these variables in an experiment, makes it possible to test whether the condition of the M&amp;A market could (indirectly) influence valuations of an investment opportunity. It is proposed that a prior positive business experience could enhance the level of overconfidence, due to self-attribution and </w:t>
      </w:r>
      <w:r w:rsidR="00B36272">
        <w:rPr>
          <w:lang w:val="en-GB"/>
        </w:rPr>
        <w:t xml:space="preserve">an </w:t>
      </w:r>
      <w:r w:rsidR="00CF4A13">
        <w:rPr>
          <w:lang w:val="en-GB"/>
        </w:rPr>
        <w:t>outsider’s</w:t>
      </w:r>
      <w:r w:rsidR="00B36272">
        <w:rPr>
          <w:lang w:val="en-GB"/>
        </w:rPr>
        <w:t xml:space="preserve"> view. This higher level of overconfidence could lead to an overestimation of the horizon value when the DCF method is used. Otherwise, a negative prior business experience could lead to more risk averse behaviour, and therefore to reticence regarding investments. However, it is also possible that a negative prior business experience leads to more risk seeking behaviour, due to </w:t>
      </w:r>
      <w:r w:rsidR="00B36272">
        <w:rPr>
          <w:lang w:val="en-GB"/>
        </w:rPr>
        <w:lastRenderedPageBreak/>
        <w:t>the effect of loss aversion. More risk seeking behaviour could in turn lead to higher valuations and M&amp;A activity. It is obvious that the effect of prior business performance on cognitive biases and consequently its effect on valuations could be contradictory. Therefore, the experiment is designed in such a manner that it is able to test for the relationship between cognitive biases in isolation.</w:t>
      </w:r>
      <w:r w:rsidR="003C3C10">
        <w:rPr>
          <w:lang w:val="en-GB"/>
        </w:rPr>
        <w:t xml:space="preserve"> After this relationship has been examined, the experiment tests the participants on their ability to recognize characteristics of real options that add value. </w:t>
      </w:r>
      <w:r w:rsidR="005D6286">
        <w:rPr>
          <w:lang w:val="en-GB"/>
        </w:rPr>
        <w:t xml:space="preserve">If the participants demonstrate that they are not able to recognize these </w:t>
      </w:r>
      <w:r w:rsidR="000E338A">
        <w:rPr>
          <w:lang w:val="en-GB"/>
        </w:rPr>
        <w:t xml:space="preserve">characteristics, then one could argue if the use of real options in addition to for example the DCF method, is useful. </w:t>
      </w:r>
    </w:p>
    <w:p w:rsidR="001E240F" w:rsidRDefault="000E338A" w:rsidP="007C0550">
      <w:pPr>
        <w:spacing w:line="360" w:lineRule="auto"/>
        <w:jc w:val="both"/>
        <w:rPr>
          <w:lang w:val="en-GB"/>
        </w:rPr>
      </w:pPr>
      <w:r>
        <w:rPr>
          <w:lang w:val="en-GB"/>
        </w:rPr>
        <w:t xml:space="preserve">The experiment tried to create a ‘real life’ setting. This could result in a situation in which participants will put emphasize on circumstances that are not relevant for the examined relationship. In other words, participants may come up with circumstances that are not described. However, in order to test cognitive biases in an applied setting, the </w:t>
      </w:r>
      <w:r w:rsidR="00CF4A13">
        <w:rPr>
          <w:lang w:val="en-GB"/>
        </w:rPr>
        <w:t>participants have</w:t>
      </w:r>
      <w:r>
        <w:rPr>
          <w:lang w:val="en-GB"/>
        </w:rPr>
        <w:t xml:space="preserve"> to be truly involved. Moreover, the </w:t>
      </w:r>
      <w:r w:rsidR="00CF4A13">
        <w:rPr>
          <w:lang w:val="en-GB"/>
        </w:rPr>
        <w:t>participants have</w:t>
      </w:r>
      <w:r>
        <w:rPr>
          <w:lang w:val="en-GB"/>
        </w:rPr>
        <w:t xml:space="preserve"> to be given the opportunity to demonstrate their overoptimistic estimations</w:t>
      </w:r>
      <w:r w:rsidR="001E240F">
        <w:rPr>
          <w:lang w:val="en-GB"/>
        </w:rPr>
        <w:t xml:space="preserve">, since this is one of the possible explanations for differences in valuations. By creating a setting to which the participants can relate, the influence of prior business experiences could become clear. Extensive research on the subject of cognitive biases has been conducted in a more abstract way. However, in these experiments the existence of one bias at a time is tested. In this experiment the combined effect of multiple biases will be tested. </w:t>
      </w:r>
    </w:p>
    <w:p w:rsidR="00B22377" w:rsidRDefault="001E240F" w:rsidP="007C0550">
      <w:pPr>
        <w:spacing w:line="360" w:lineRule="auto"/>
        <w:jc w:val="both"/>
        <w:rPr>
          <w:lang w:val="en-GB"/>
        </w:rPr>
      </w:pPr>
      <w:r>
        <w:rPr>
          <w:lang w:val="en-GB"/>
        </w:rPr>
        <w:t xml:space="preserve">However, despite the fact that cognitive biases could be the link in the relationship between the temperature of the M&amp;A market, there might be other causes for the overestimation of the horizon value in a hot deal market and the reticence to invest in cold deal markets. </w:t>
      </w:r>
      <w:r w:rsidR="00CF4A13">
        <w:rPr>
          <w:lang w:val="en-GB"/>
        </w:rPr>
        <w:t xml:space="preserve">For example, an executive’s perception about competition for a limited pool of investment opportunities or external influences. </w:t>
      </w:r>
      <w:r w:rsidR="00B22377">
        <w:rPr>
          <w:lang w:val="en-GB"/>
        </w:rPr>
        <w:t>The experiment is unable to correct for these potential influences, since a combination of causes is also possible. Moreover, combined with the real life setting of the experiment, participants could use own information about</w:t>
      </w:r>
      <w:r>
        <w:rPr>
          <w:lang w:val="en-GB"/>
        </w:rPr>
        <w:t xml:space="preserve"> </w:t>
      </w:r>
      <w:r w:rsidR="00B22377">
        <w:rPr>
          <w:lang w:val="en-GB"/>
        </w:rPr>
        <w:t>the valuation and acquisition processes during hot and cold deal market and use this for their valuation. This will be problematic in case this not all participants reason in this way.</w:t>
      </w:r>
    </w:p>
    <w:p w:rsidR="006266DF" w:rsidRDefault="00B22377" w:rsidP="007C0550">
      <w:pPr>
        <w:spacing w:line="360" w:lineRule="auto"/>
        <w:jc w:val="both"/>
        <w:rPr>
          <w:lang w:val="en-GB"/>
        </w:rPr>
      </w:pPr>
      <w:r>
        <w:rPr>
          <w:lang w:val="en-GB"/>
        </w:rPr>
        <w:t xml:space="preserve">Further research could include performing the proposed experiment. As well as to include corrections for other potentials causes of the relationship between the temperature of the market and valuations. Another possible addition to this experiment might be the examination of participants’ ability to recognize the characteristics of other real options, such as the option to switch. </w:t>
      </w:r>
      <w:r w:rsidR="00561048">
        <w:rPr>
          <w:lang w:val="en-GB"/>
        </w:rPr>
        <w:t xml:space="preserve">If the experiments findings conclude that participants are able to recognize the value adding characteristics of real options, one could test whether the increased ‘availability’ of real options </w:t>
      </w:r>
      <w:r w:rsidR="00561048">
        <w:rPr>
          <w:lang w:val="en-GB"/>
        </w:rPr>
        <w:lastRenderedPageBreak/>
        <w:t xml:space="preserve">alters the valuation when confronted with a new decision. The problem of giving participants a new task, is that they have encountered another business experience compared to the previous task. If one assumes that prior business experience has an influence on cognitive biases, then this may alter the valuations instead of the use of real options. Another possibility to test whether the use of real options alters valuations of investment opportunities, is to compare the valuations made by participants who were prior to the experiment given information about real options, to the valuations made by participant without such given information. </w:t>
      </w: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561048" w:rsidRDefault="00561048" w:rsidP="007C0550">
      <w:pPr>
        <w:spacing w:line="360" w:lineRule="auto"/>
        <w:jc w:val="both"/>
        <w:rPr>
          <w:lang w:val="en-GB"/>
        </w:rPr>
      </w:pPr>
    </w:p>
    <w:p w:rsidR="00D0725B" w:rsidRPr="003A34F3" w:rsidRDefault="00082B85" w:rsidP="00D0725B">
      <w:pPr>
        <w:rPr>
          <w:b/>
          <w:sz w:val="24"/>
          <w:lang w:val="en-GB"/>
        </w:rPr>
      </w:pPr>
      <w:bookmarkStart w:id="15" w:name="_Toc397238595"/>
      <w:r>
        <w:rPr>
          <w:rStyle w:val="Heading1Char"/>
          <w:color w:val="76923C" w:themeColor="accent3" w:themeShade="BF"/>
          <w:lang w:val="en-GB"/>
        </w:rPr>
        <w:lastRenderedPageBreak/>
        <w:t xml:space="preserve">Appendix </w:t>
      </w:r>
      <w:r w:rsidR="00182A6D" w:rsidRPr="000C60D2">
        <w:rPr>
          <w:rStyle w:val="Heading1Char"/>
          <w:color w:val="76923C" w:themeColor="accent3" w:themeShade="BF"/>
          <w:lang w:val="en-GB"/>
        </w:rPr>
        <w:t>: Experiment</w:t>
      </w:r>
      <w:bookmarkEnd w:id="15"/>
      <w:r w:rsidR="00D0725B">
        <w:rPr>
          <w:lang w:val="en-GB"/>
        </w:rPr>
        <w:br/>
      </w:r>
      <w:r w:rsidR="00D0725B" w:rsidRPr="003A34F3">
        <w:rPr>
          <w:b/>
          <w:sz w:val="24"/>
          <w:lang w:val="en-GB"/>
        </w:rPr>
        <w:t>Introduction experiment:</w:t>
      </w:r>
    </w:p>
    <w:p w:rsidR="00D0725B" w:rsidRDefault="00D0725B" w:rsidP="00D0725B">
      <w:pPr>
        <w:pStyle w:val="NoSpacing"/>
        <w:spacing w:line="276" w:lineRule="auto"/>
        <w:jc w:val="both"/>
        <w:rPr>
          <w:i/>
          <w:sz w:val="24"/>
        </w:rPr>
      </w:pPr>
      <w:r>
        <w:rPr>
          <w:i/>
          <w:sz w:val="24"/>
        </w:rPr>
        <w:t>In this experiment you will be put in charge of the operational activities of a firm. You are the CEO of a firm and you will have to make decisions regarding future ventures of the firm. This firm has a particular valuation when you are put in charge (t=0). This valuation is given in points. These points represent cash at the end of the experiment. Depending on your decisions, as well as the chance state of the economy, you will lose or gain points in the company’s valuation. At the end of the experiment, the valuation of your company (in points) reflects your remuneration. The conversion rate is €1,- for 100 points.</w:t>
      </w:r>
    </w:p>
    <w:p w:rsidR="00D0725B" w:rsidRDefault="00D0725B" w:rsidP="00D0725B">
      <w:pPr>
        <w:pStyle w:val="NoSpacing"/>
        <w:pBdr>
          <w:bottom w:val="single" w:sz="12" w:space="1" w:color="auto"/>
        </w:pBdr>
        <w:spacing w:line="276" w:lineRule="auto"/>
        <w:jc w:val="both"/>
        <w:rPr>
          <w:sz w:val="24"/>
        </w:rPr>
      </w:pPr>
    </w:p>
    <w:p w:rsidR="00D0725B" w:rsidRDefault="00D0725B" w:rsidP="00D0725B">
      <w:pPr>
        <w:pStyle w:val="NoSpacing"/>
        <w:jc w:val="both"/>
        <w:rPr>
          <w:i/>
          <w:sz w:val="24"/>
        </w:rPr>
      </w:pPr>
    </w:p>
    <w:p w:rsidR="00D0725B" w:rsidRPr="0069791A" w:rsidRDefault="00D0725B" w:rsidP="00D0725B">
      <w:pPr>
        <w:pStyle w:val="NoSpacing"/>
        <w:spacing w:line="276" w:lineRule="auto"/>
        <w:jc w:val="both"/>
        <w:rPr>
          <w:b/>
          <w:sz w:val="24"/>
          <w:u w:val="single"/>
        </w:rPr>
      </w:pPr>
      <w:r>
        <w:rPr>
          <w:b/>
          <w:sz w:val="24"/>
          <w:u w:val="single"/>
        </w:rPr>
        <w:t>Part One:</w:t>
      </w:r>
    </w:p>
    <w:p w:rsidR="00D0725B" w:rsidRDefault="00D0725B" w:rsidP="00D0725B">
      <w:pPr>
        <w:pStyle w:val="NoSpacing"/>
        <w:spacing w:line="276" w:lineRule="auto"/>
        <w:jc w:val="both"/>
        <w:rPr>
          <w:b/>
          <w:i/>
          <w:sz w:val="24"/>
        </w:rPr>
      </w:pPr>
    </w:p>
    <w:p w:rsidR="00D0725B" w:rsidRPr="00175550" w:rsidRDefault="00D0725B" w:rsidP="00D0725B">
      <w:pPr>
        <w:pStyle w:val="NoSpacing"/>
        <w:spacing w:line="276" w:lineRule="auto"/>
        <w:jc w:val="both"/>
        <w:rPr>
          <w:b/>
          <w:sz w:val="24"/>
        </w:rPr>
      </w:pPr>
      <w:r>
        <w:rPr>
          <w:b/>
          <w:i/>
          <w:sz w:val="24"/>
        </w:rPr>
        <w:t>Description of your company:</w:t>
      </w:r>
    </w:p>
    <w:p w:rsidR="00D0725B" w:rsidRDefault="00D0725B" w:rsidP="00D0725B">
      <w:pPr>
        <w:pStyle w:val="NoSpacing"/>
        <w:spacing w:line="276" w:lineRule="auto"/>
        <w:jc w:val="both"/>
        <w:rPr>
          <w:sz w:val="24"/>
        </w:rPr>
      </w:pPr>
      <w:r>
        <w:rPr>
          <w:sz w:val="24"/>
        </w:rPr>
        <w:t xml:space="preserve">You have taken over the position of CEO of KeenScreen, a </w:t>
      </w:r>
      <w:r w:rsidRPr="00DF4176">
        <w:rPr>
          <w:sz w:val="24"/>
        </w:rPr>
        <w:t xml:space="preserve">company which develops and produces screens for a number of different electronic devices. </w:t>
      </w:r>
      <w:r>
        <w:rPr>
          <w:sz w:val="24"/>
        </w:rPr>
        <w:t xml:space="preserve">KeenScreen is headquartered in the Netherlands, and has several foreign subsidiaries, primarily Germany and Belgium. Furthermore, KeenScreen makes use of many different forms of equipment, some of which is rather specific to KeenScreen’s products, others of which have a wide array of possible applications. Due to the successful development and implementation of various technologies, KeenScreen has established a firm position in the market. The introduction of a new standard of high resolution screens for TVs, which has been extended to the entire product line of KeenScreen, has accrued the company stable revenues over the past years. KeenScreen’s valuation over the last ten years is given in the figure below. At t=0 the valuation equals 600/1,400 points. </w:t>
      </w:r>
    </w:p>
    <w:p w:rsidR="00D0725B" w:rsidRDefault="00D0725B" w:rsidP="00D0725B">
      <w:pPr>
        <w:pStyle w:val="NoSpacing"/>
        <w:rPr>
          <w:sz w:val="24"/>
        </w:rPr>
      </w:pPr>
    </w:p>
    <w:p w:rsidR="00D0725B" w:rsidRDefault="00D0725B" w:rsidP="00D0725B">
      <w:pPr>
        <w:pStyle w:val="NoSpacing"/>
        <w:jc w:val="center"/>
        <w:rPr>
          <w:sz w:val="24"/>
        </w:rPr>
      </w:pPr>
      <w:r w:rsidRPr="0012116C">
        <w:rPr>
          <w:noProof/>
          <w:sz w:val="24"/>
        </w:rPr>
        <w:drawing>
          <wp:inline distT="0" distB="0" distL="0" distR="0">
            <wp:extent cx="5943600" cy="2294564"/>
            <wp:effectExtent l="0" t="0" r="0" b="0"/>
            <wp:docPr id="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294564"/>
                    </a:xfrm>
                    <a:prstGeom prst="rect">
                      <a:avLst/>
                    </a:prstGeom>
                    <a:noFill/>
                    <a:ln>
                      <a:noFill/>
                    </a:ln>
                  </pic:spPr>
                </pic:pic>
              </a:graphicData>
            </a:graphic>
          </wp:inline>
        </w:drawing>
      </w:r>
    </w:p>
    <w:p w:rsidR="00D0725B" w:rsidRDefault="00D0725B" w:rsidP="00D0725B">
      <w:pPr>
        <w:pStyle w:val="NoSpacing"/>
        <w:jc w:val="center"/>
        <w:rPr>
          <w:sz w:val="24"/>
        </w:rPr>
      </w:pPr>
    </w:p>
    <w:p w:rsidR="00D0725B" w:rsidRDefault="00D0725B" w:rsidP="00D0725B">
      <w:pPr>
        <w:pStyle w:val="NoSpacing"/>
        <w:jc w:val="center"/>
        <w:rPr>
          <w:sz w:val="24"/>
        </w:rPr>
      </w:pPr>
      <w:r w:rsidRPr="0012116C">
        <w:rPr>
          <w:noProof/>
          <w:sz w:val="24"/>
        </w:rPr>
        <w:lastRenderedPageBreak/>
        <w:drawing>
          <wp:inline distT="0" distB="0" distL="0" distR="0">
            <wp:extent cx="5943600" cy="2292178"/>
            <wp:effectExtent l="0" t="0" r="0" b="0"/>
            <wp:docPr id="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292178"/>
                    </a:xfrm>
                    <a:prstGeom prst="rect">
                      <a:avLst/>
                    </a:prstGeom>
                    <a:noFill/>
                    <a:ln>
                      <a:noFill/>
                    </a:ln>
                  </pic:spPr>
                </pic:pic>
              </a:graphicData>
            </a:graphic>
          </wp:inline>
        </w:drawing>
      </w:r>
    </w:p>
    <w:p w:rsidR="00D74406" w:rsidRDefault="00D74406" w:rsidP="00D0725B">
      <w:pPr>
        <w:pStyle w:val="NoSpacing"/>
        <w:jc w:val="center"/>
        <w:rPr>
          <w:sz w:val="24"/>
        </w:rPr>
      </w:pPr>
    </w:p>
    <w:p w:rsidR="00DC234F" w:rsidRDefault="00DC234F" w:rsidP="00D0725B">
      <w:pPr>
        <w:pStyle w:val="NoSpacing"/>
        <w:jc w:val="center"/>
        <w:rPr>
          <w:sz w:val="24"/>
        </w:rPr>
      </w:pPr>
      <w:r w:rsidRPr="00DC234F">
        <w:rPr>
          <w:noProof/>
          <w:sz w:val="24"/>
        </w:rPr>
        <w:drawing>
          <wp:inline distT="0" distB="0" distL="0" distR="0">
            <wp:extent cx="5760720" cy="221895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2218950"/>
                    </a:xfrm>
                    <a:prstGeom prst="rect">
                      <a:avLst/>
                    </a:prstGeom>
                    <a:noFill/>
                    <a:ln>
                      <a:noFill/>
                    </a:ln>
                  </pic:spPr>
                </pic:pic>
              </a:graphicData>
            </a:graphic>
          </wp:inline>
        </w:drawing>
      </w:r>
    </w:p>
    <w:p w:rsidR="00D74406" w:rsidRDefault="00D74406" w:rsidP="00D74406">
      <w:pPr>
        <w:pStyle w:val="NoSpacing"/>
        <w:rPr>
          <w:sz w:val="24"/>
        </w:rPr>
      </w:pPr>
    </w:p>
    <w:p w:rsidR="00D0725B" w:rsidRDefault="00D0725B" w:rsidP="00D0725B">
      <w:pPr>
        <w:pStyle w:val="NoSpacing"/>
        <w:jc w:val="center"/>
        <w:rPr>
          <w:sz w:val="24"/>
        </w:rPr>
      </w:pPr>
    </w:p>
    <w:p w:rsidR="00D0725B" w:rsidRDefault="00D0725B" w:rsidP="00D0725B">
      <w:pPr>
        <w:pStyle w:val="NoSpacing"/>
        <w:spacing w:line="276" w:lineRule="auto"/>
        <w:jc w:val="both"/>
        <w:rPr>
          <w:sz w:val="24"/>
        </w:rPr>
      </w:pPr>
      <w:r>
        <w:rPr>
          <w:sz w:val="24"/>
        </w:rPr>
        <w:t xml:space="preserve">The recent revenues of KeenScreen have benefitted from the relative economic upturn. Just like most other firms, KeenScreen is, at least in part, subject to economic circumstances. The foreign subsidiaries of KeenScreen in other countries, predominantly Germany and Belgium, has also attributed to the stable revenues of recent years. </w:t>
      </w:r>
    </w:p>
    <w:p w:rsidR="00D0725B" w:rsidRDefault="00D0725B" w:rsidP="00D0725B">
      <w:pPr>
        <w:pStyle w:val="NoSpacing"/>
        <w:pBdr>
          <w:bottom w:val="single" w:sz="12" w:space="1" w:color="auto"/>
        </w:pBdr>
        <w:spacing w:line="276" w:lineRule="auto"/>
        <w:jc w:val="both"/>
        <w:rPr>
          <w:sz w:val="24"/>
        </w:rPr>
      </w:pPr>
    </w:p>
    <w:p w:rsidR="00D0725B" w:rsidRDefault="00D0725B" w:rsidP="00D0725B">
      <w:pPr>
        <w:pStyle w:val="NoSpacing"/>
        <w:spacing w:line="276" w:lineRule="auto"/>
        <w:jc w:val="both"/>
        <w:rPr>
          <w:sz w:val="24"/>
        </w:rPr>
      </w:pPr>
    </w:p>
    <w:p w:rsidR="00D0725B" w:rsidRPr="00564732" w:rsidRDefault="00D0725B" w:rsidP="00D0725B">
      <w:pPr>
        <w:pStyle w:val="NoSpacing"/>
        <w:spacing w:line="276" w:lineRule="auto"/>
        <w:jc w:val="both"/>
        <w:rPr>
          <w:i/>
          <w:sz w:val="24"/>
        </w:rPr>
      </w:pPr>
      <w:r w:rsidRPr="00564732">
        <w:rPr>
          <w:b/>
          <w:i/>
          <w:sz w:val="24"/>
        </w:rPr>
        <w:t>First order of business:</w:t>
      </w:r>
    </w:p>
    <w:p w:rsidR="00D0725B" w:rsidRDefault="00D0725B" w:rsidP="00D0725B">
      <w:pPr>
        <w:pStyle w:val="NoSpacing"/>
        <w:spacing w:line="276" w:lineRule="auto"/>
        <w:jc w:val="both"/>
        <w:rPr>
          <w:sz w:val="24"/>
        </w:rPr>
      </w:pPr>
      <w:r>
        <w:rPr>
          <w:sz w:val="24"/>
        </w:rPr>
        <w:t xml:space="preserve">Your first order of business as the new CEO of KeenScreen is to make a decision regarding the possibility of expansion to a new country. The board of directors has assessed two possible alternatives: Sweden and Norway. You now have to make a decision in which country you want to set up a new subsidiary. Market research has provided you with little indication as to which country might be better, so it really is up to </w:t>
      </w:r>
      <w:r>
        <w:rPr>
          <w:i/>
          <w:sz w:val="24"/>
        </w:rPr>
        <w:t>you</w:t>
      </w:r>
      <w:r>
        <w:rPr>
          <w:sz w:val="24"/>
        </w:rPr>
        <w:t xml:space="preserve"> to make a choice.</w:t>
      </w: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r>
        <w:rPr>
          <w:sz w:val="24"/>
        </w:rPr>
        <w:t>Which country will you set up the new subsidiary?</w:t>
      </w:r>
    </w:p>
    <w:p w:rsidR="00D0725B" w:rsidRDefault="00D0725B" w:rsidP="00D0725B">
      <w:pPr>
        <w:pStyle w:val="NoSpacing"/>
        <w:spacing w:line="276" w:lineRule="auto"/>
        <w:jc w:val="both"/>
        <w:rPr>
          <w:sz w:val="24"/>
        </w:rPr>
      </w:pPr>
    </w:p>
    <w:p w:rsidR="00D0725B" w:rsidRPr="00773D8C" w:rsidRDefault="00D0725B" w:rsidP="00D0725B">
      <w:pPr>
        <w:pStyle w:val="NoSpacing"/>
        <w:spacing w:line="276" w:lineRule="auto"/>
        <w:jc w:val="both"/>
        <w:rPr>
          <w:i/>
          <w:sz w:val="24"/>
        </w:rPr>
      </w:pPr>
      <w:r>
        <w:rPr>
          <w:i/>
          <w:sz w:val="24"/>
        </w:rPr>
        <w:t>Sweden / Norway</w:t>
      </w:r>
    </w:p>
    <w:p w:rsidR="00D0725B" w:rsidRDefault="00D0725B" w:rsidP="00D0725B">
      <w:pPr>
        <w:pStyle w:val="NoSpacing"/>
        <w:pBdr>
          <w:bottom w:val="single" w:sz="12" w:space="1" w:color="auto"/>
        </w:pBdr>
        <w:spacing w:line="276" w:lineRule="auto"/>
        <w:jc w:val="both"/>
        <w:rPr>
          <w:sz w:val="24"/>
        </w:rPr>
      </w:pPr>
    </w:p>
    <w:p w:rsidR="00D0725B" w:rsidRDefault="00D0725B" w:rsidP="00D0725B">
      <w:pPr>
        <w:pStyle w:val="NoSpacing"/>
        <w:spacing w:line="276" w:lineRule="auto"/>
        <w:jc w:val="both"/>
        <w:rPr>
          <w:sz w:val="24"/>
        </w:rPr>
      </w:pPr>
    </w:p>
    <w:p w:rsidR="00D0725B" w:rsidRDefault="001F5E5F" w:rsidP="00D0725B">
      <w:pPr>
        <w:pStyle w:val="NoSpacing"/>
        <w:spacing w:line="276" w:lineRule="auto"/>
        <w:jc w:val="both"/>
        <w:rPr>
          <w:b/>
          <w:i/>
          <w:sz w:val="24"/>
        </w:rPr>
      </w:pPr>
      <w:r>
        <w:rPr>
          <w:b/>
          <w:i/>
          <w:sz w:val="24"/>
        </w:rPr>
        <w:t xml:space="preserve">Economic upturn </w:t>
      </w:r>
    </w:p>
    <w:p w:rsidR="00D0725B" w:rsidRDefault="00D0725B" w:rsidP="00D0725B">
      <w:pPr>
        <w:pStyle w:val="NoSpacing"/>
        <w:spacing w:line="276" w:lineRule="auto"/>
        <w:jc w:val="both"/>
        <w:rPr>
          <w:sz w:val="24"/>
        </w:rPr>
      </w:pPr>
      <w:r>
        <w:rPr>
          <w:sz w:val="24"/>
        </w:rPr>
        <w:t xml:space="preserve">It has been one year since your appointment as CEO of KeenScreen. Your decision to expand into [Enter ‘First order of business’-answer] has turned out to be rather successful and has mildly improved your revenues. Furthermore, an economic upturn has had a major impact on KeenScreen, significantly improving its valuation. The figure below depicts the situation at t=1, indicating a valuation of 1,000 points. In other words, the value has improved by 400 points. </w:t>
      </w:r>
    </w:p>
    <w:p w:rsidR="00D0725B" w:rsidRPr="005841E7" w:rsidRDefault="00D0725B" w:rsidP="00D0725B">
      <w:pPr>
        <w:pStyle w:val="NoSpacing"/>
        <w:spacing w:line="276" w:lineRule="auto"/>
        <w:jc w:val="both"/>
        <w:rPr>
          <w:sz w:val="24"/>
        </w:rPr>
      </w:pPr>
    </w:p>
    <w:p w:rsidR="00D0725B" w:rsidRDefault="00D0725B" w:rsidP="00D0725B">
      <w:pPr>
        <w:pStyle w:val="NoSpacing"/>
        <w:spacing w:line="276" w:lineRule="auto"/>
        <w:jc w:val="center"/>
        <w:rPr>
          <w:b/>
          <w:i/>
          <w:sz w:val="24"/>
        </w:rPr>
      </w:pPr>
      <w:r w:rsidRPr="00303492">
        <w:rPr>
          <w:noProof/>
        </w:rPr>
        <w:drawing>
          <wp:inline distT="0" distB="0" distL="0" distR="0">
            <wp:extent cx="3419475" cy="2245354"/>
            <wp:effectExtent l="0" t="0" r="0" b="0"/>
            <wp:docPr id="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33741" cy="2254722"/>
                    </a:xfrm>
                    <a:prstGeom prst="rect">
                      <a:avLst/>
                    </a:prstGeom>
                    <a:noFill/>
                    <a:ln>
                      <a:noFill/>
                    </a:ln>
                  </pic:spPr>
                </pic:pic>
              </a:graphicData>
            </a:graphic>
          </wp:inline>
        </w:drawing>
      </w:r>
    </w:p>
    <w:p w:rsidR="00D0725B" w:rsidRDefault="00D0725B" w:rsidP="00D0725B">
      <w:pPr>
        <w:pStyle w:val="NoSpacing"/>
        <w:pBdr>
          <w:bottom w:val="single" w:sz="12" w:space="1" w:color="auto"/>
        </w:pBdr>
        <w:spacing w:line="276" w:lineRule="auto"/>
        <w:jc w:val="both"/>
        <w:rPr>
          <w:sz w:val="24"/>
        </w:rPr>
      </w:pPr>
    </w:p>
    <w:p w:rsidR="00D0725B" w:rsidRPr="00773D8C" w:rsidRDefault="001F5E5F" w:rsidP="00D0725B">
      <w:pPr>
        <w:pStyle w:val="NoSpacing"/>
        <w:spacing w:line="276" w:lineRule="auto"/>
        <w:jc w:val="both"/>
        <w:rPr>
          <w:b/>
          <w:i/>
          <w:sz w:val="24"/>
        </w:rPr>
      </w:pPr>
      <w:r>
        <w:rPr>
          <w:b/>
          <w:i/>
          <w:sz w:val="24"/>
        </w:rPr>
        <w:t xml:space="preserve">Economic downturn </w:t>
      </w:r>
    </w:p>
    <w:p w:rsidR="00D0725B" w:rsidRPr="005841E7" w:rsidRDefault="00D0725B" w:rsidP="00D0725B">
      <w:pPr>
        <w:pStyle w:val="NoSpacing"/>
        <w:spacing w:line="276" w:lineRule="auto"/>
        <w:jc w:val="both"/>
        <w:rPr>
          <w:sz w:val="24"/>
        </w:rPr>
      </w:pPr>
      <w:r>
        <w:rPr>
          <w:sz w:val="24"/>
        </w:rPr>
        <w:t xml:space="preserve">It has been one year since your appointment as CEO of KeenScreen. Your decision to expand into [Enter ‘First order of business’-answer] has turned out to be rather unsuccessful and has mildly worsened your revenues. Furthermore, an economic downturn has had a major impact on KeenScreen, significantly lowering its valuation. The figure below depicts the situation at t=1, indicating a valuation of 1,000 points. In other words, the value has declined by 400 points. </w:t>
      </w: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center"/>
        <w:rPr>
          <w:sz w:val="24"/>
        </w:rPr>
      </w:pPr>
      <w:r w:rsidRPr="00303492">
        <w:rPr>
          <w:noProof/>
        </w:rPr>
        <w:drawing>
          <wp:inline distT="0" distB="0" distL="0" distR="0">
            <wp:extent cx="3539397" cy="2324100"/>
            <wp:effectExtent l="0" t="0" r="0" b="0"/>
            <wp:docPr id="1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46929" cy="2329046"/>
                    </a:xfrm>
                    <a:prstGeom prst="rect">
                      <a:avLst/>
                    </a:prstGeom>
                    <a:noFill/>
                    <a:ln>
                      <a:noFill/>
                    </a:ln>
                  </pic:spPr>
                </pic:pic>
              </a:graphicData>
            </a:graphic>
          </wp:inline>
        </w:drawing>
      </w:r>
    </w:p>
    <w:p w:rsidR="00D0725B" w:rsidRDefault="00D0725B" w:rsidP="00D0725B">
      <w:pPr>
        <w:pStyle w:val="NoSpacing"/>
        <w:pBdr>
          <w:bottom w:val="single" w:sz="12" w:space="1" w:color="auto"/>
        </w:pBdr>
        <w:spacing w:line="276" w:lineRule="auto"/>
        <w:jc w:val="both"/>
        <w:rPr>
          <w:sz w:val="24"/>
        </w:rPr>
      </w:pPr>
    </w:p>
    <w:p w:rsidR="00D0725B" w:rsidRPr="0069791A" w:rsidRDefault="00D0725B" w:rsidP="00D0725B">
      <w:pPr>
        <w:pStyle w:val="NoSpacing"/>
        <w:spacing w:line="276" w:lineRule="auto"/>
        <w:jc w:val="both"/>
        <w:rPr>
          <w:b/>
          <w:sz w:val="24"/>
          <w:u w:val="single"/>
        </w:rPr>
      </w:pPr>
      <w:r>
        <w:rPr>
          <w:b/>
          <w:sz w:val="24"/>
          <w:u w:val="single"/>
        </w:rPr>
        <w:lastRenderedPageBreak/>
        <w:t>Part Two:</w:t>
      </w:r>
    </w:p>
    <w:p w:rsidR="00D0725B" w:rsidRDefault="00D0725B" w:rsidP="00D0725B">
      <w:pPr>
        <w:pStyle w:val="NoSpacing"/>
        <w:spacing w:line="276" w:lineRule="auto"/>
        <w:jc w:val="both"/>
        <w:rPr>
          <w:sz w:val="24"/>
        </w:rPr>
      </w:pPr>
      <w:r>
        <w:rPr>
          <w:sz w:val="24"/>
        </w:rPr>
        <w:t xml:space="preserve">After the </w:t>
      </w:r>
      <w:r>
        <w:rPr>
          <w:i/>
          <w:sz w:val="24"/>
        </w:rPr>
        <w:t xml:space="preserve">good/bad/normal </w:t>
      </w:r>
      <w:r>
        <w:rPr>
          <w:sz w:val="24"/>
        </w:rPr>
        <w:t xml:space="preserve">year KeenScreen has had, it is time for you to make another decision. A research company, InnovaTV, has found a new technology called UltraHD, which significantly improves the resolution standard of TV’s. This new technology has sparked a wave of interest among competitors. Your marketing department also hinted that this new technology may be successful. InnovaTV now wants to sell the right to use this new technology. It wants to put the license to use the technology up for auction. </w:t>
      </w:r>
    </w:p>
    <w:p w:rsidR="00D0725B" w:rsidRDefault="00D0725B" w:rsidP="00D0725B">
      <w:pPr>
        <w:pStyle w:val="NoSpacing"/>
        <w:spacing w:line="276" w:lineRule="auto"/>
        <w:jc w:val="both"/>
        <w:rPr>
          <w:sz w:val="24"/>
        </w:rPr>
      </w:pPr>
    </w:p>
    <w:p w:rsidR="00D0725B" w:rsidRPr="00AE4813" w:rsidRDefault="00D0725B" w:rsidP="00D0725B">
      <w:pPr>
        <w:pStyle w:val="NoSpacing"/>
        <w:spacing w:line="276" w:lineRule="auto"/>
        <w:jc w:val="both"/>
        <w:rPr>
          <w:sz w:val="24"/>
        </w:rPr>
      </w:pPr>
      <w:r>
        <w:rPr>
          <w:sz w:val="24"/>
        </w:rPr>
        <w:t>Upon your request, KeenScreen’s finance department has forecasted the cash flows associated with the implementation of the technology in the production and sales of KeenScreen TV’s. The forecasts are depicted in the figure and table below.</w:t>
      </w:r>
    </w:p>
    <w:p w:rsidR="00D0725B" w:rsidRDefault="00D0725B" w:rsidP="00D0725B">
      <w:pPr>
        <w:pStyle w:val="NoSpacing"/>
        <w:spacing w:line="276" w:lineRule="auto"/>
        <w:jc w:val="both"/>
        <w:rPr>
          <w:sz w:val="24"/>
        </w:rPr>
      </w:pPr>
    </w:p>
    <w:p w:rsidR="00D0725B" w:rsidRDefault="009966E0" w:rsidP="00D0725B">
      <w:pPr>
        <w:pStyle w:val="NoSpacing"/>
        <w:spacing w:line="276" w:lineRule="auto"/>
        <w:jc w:val="both"/>
        <w:rPr>
          <w:sz w:val="24"/>
        </w:rPr>
      </w:pPr>
      <w:r>
        <w:rPr>
          <w:noProof/>
          <w:sz w:val="24"/>
        </w:rPr>
        <w:pict>
          <v:shape id="Tekstvak 15" o:spid="_x0000_s1058" type="#_x0000_t202" style="position:absolute;left:0;text-align:left;margin-left:412.75pt;margin-top:172.15pt;width:28.45pt;height:37.65pt;z-index:25166028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ViIAIAABwEAAAOAAAAZHJzL2Uyb0RvYy54bWysU9tu2zAMfR+wfxD0vjhJkzY14hRdugwD&#10;ugvQ7gNoWY6FSKInKbGzrx8lp2nQvQ3TgyCK1NHhIbm8641mB+m8QlvwyWjMmbQCK2W3Bf/5vPmw&#10;4MwHsBVotLLgR+n53er9u2XX5nKKDepKOkYg1uddW/AmhDbPMi8aacCPsJWWnDU6A4FMt80qBx2h&#10;G51Nx+PrrENXtQ6F9J5uHwYnXyX8upYifK9rLwPTBSduIe0u7WXcs9US8q2DtlHiRAP+gYUBZenT&#10;M9QDBGB7p/6CMko49FiHkUCTYV0rIVMOlM1k/CabpwZamXIhcXx7lsn/P1jx7fDDMVVR7eacWTBU&#10;o2e58+EAO0ZXpE/X+pzCnloKDP1H7Ck25erbRxQ7zyyuG7Bbee8cdo2EivhN4svs4umA4yNI2X3F&#10;iv6BfcAE1NfORPFIDkboVKfjuTayD0zQ5dX15CpSFOSa3Swm88Qtg/zlcet8+CzRsHgouKPSJ3A4&#10;PPoQyUD+EhL/8qhVtVFaJ8Nty7V27ADUJpu0Ev83YdqyruC38+k8IVuM71MHGRWojbUyBV+M4xoa&#10;K4rxyVYpJIDSw5mYaHtSJwoySBP6sqfAKFmJ1ZF0cji0K40XHRp0vznrqFUL7n/twUnO9BdLWt9O&#10;ZrPY28mYzW+mZLhLT3npASsIquCBs+G4Dmkeog4W76kmtUp6vTI5caUWTDKexiX2+KWdol6HevUH&#10;AAD//wMAUEsDBBQABgAIAAAAIQAtL1mM4AAAAAsBAAAPAAAAZHJzL2Rvd25yZXYueG1sTI9BboMw&#10;EEX3lXoHayJ1UzUmxBBCGaK2Uqtuk+YAA3YABdsIO4Hcvu6qWY7+0/9vit2se3ZVo+usQVgtI2DK&#10;1FZ2pkE4/ny+ZMCcJyOpt0Yh3JSDXfn4UFAu7WT26nrwDQslxuWE0Ho/5Jy7ulWa3NIOyoTsZEdN&#10;Ppxjw+VIUyjXPY+jKOWaOhMWWhrUR6vq8+GiEU7f03Oynaovf9zsRfpO3aayN8Snxfz2Csyr2f/D&#10;8Kcf1KEMTpW9GOlYj5DFSRJQhLUQa2CByLJYAKsQxGqbAi8Lfv9D+QsAAP//AwBQSwECLQAUAAYA&#10;CAAAACEAtoM4kv4AAADhAQAAEwAAAAAAAAAAAAAAAAAAAAAAW0NvbnRlbnRfVHlwZXNdLnhtbFBL&#10;AQItABQABgAIAAAAIQA4/SH/1gAAAJQBAAALAAAAAAAAAAAAAAAAAC8BAABfcmVscy8ucmVsc1BL&#10;AQItABQABgAIAAAAIQBwo/ViIAIAABwEAAAOAAAAAAAAAAAAAAAAAC4CAABkcnMvZTJvRG9jLnht&#10;bFBLAQItABQABgAIAAAAIQAtL1mM4AAAAAsBAAAPAAAAAAAAAAAAAAAAAHoEAABkcnMvZG93bnJl&#10;di54bWxQSwUGAAAAAAQABADzAAAAhwUAAAAA&#10;" stroked="f">
            <v:textbox style="mso-next-textbox:#Tekstvak 15">
              <w:txbxContent>
                <w:p w:rsidR="004A48E4" w:rsidRPr="0086558F" w:rsidRDefault="004A48E4" w:rsidP="00D0725B">
                  <w:pPr>
                    <w:rPr>
                      <w:b/>
                      <w:sz w:val="52"/>
                    </w:rPr>
                  </w:pPr>
                  <w:r w:rsidRPr="0086558F">
                    <w:rPr>
                      <w:b/>
                      <w:sz w:val="52"/>
                    </w:rPr>
                    <w:t>?</w:t>
                  </w:r>
                </w:p>
              </w:txbxContent>
            </v:textbox>
          </v:shape>
        </w:pict>
      </w:r>
      <w:r>
        <w:rPr>
          <w:noProof/>
          <w:sz w:val="24"/>
        </w:rPr>
        <w:pict>
          <v:shape id="Tekstvak 217" o:spid="_x0000_s1059" type="#_x0000_t202" style="position:absolute;left:0;text-align:left;margin-left:414.4pt;margin-top:103.5pt;width:28.45pt;height:37.65pt;z-index:25166131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MrJgIAACUEAAAOAAAAZHJzL2Uyb0RvYy54bWysU81u2zAMvg/YOwi6L47TuE2NOEWXLsOA&#10;7gdo9wC0LMdCZNGTlNjZ04+S0zTbbsN0EEiR/ER+JJd3Q6vZQVqn0BQ8nUw5k0Zgpcy24N+fN+8W&#10;nDkPpgKNRhb8KB2/W719s+y7XM6wQV1JywjEuLzvCt543+VJ4kQjW3AT7KQhY422BU+q3SaVhZ7Q&#10;W53MptPrpEdbdRaFdI5eH0YjX0X8upbCf61rJz3TBafcfLxtvMtwJ6sl5FsLXaPEKQ34hyxaUIY+&#10;PUM9gAe2t+ovqFYJiw5rPxHYJljXSshYA1WTTv+o5qmBTsZaiBzXnWly/w9WfDl8s0xVBZ+lN5wZ&#10;aKlJz3Ln/AF2LLwRQ33ncnJ86sjVD+9xoE7Hal33iGLnmMF1A2Yr763FvpFQUYZpiEwuQkccF0DK&#10;/jNW9BHsPUagobZtoI8IYYROnTqeuyMHzwQ9Xl2nV2nGmSDT/GaRZln8AfKX4M46/1Fiy4JQcEvN&#10;j+BweHQ+JAP5i0v4y6FW1UZpHRW7LdfasgPQoGziOaH/5qYN6wt+m82yiGwwxMcZapWnQdaqLfhi&#10;Gk4IhzyQ8cFUUfag9ChTJtqc2AmEjNT4oRxiKyJ1gbkSqyPRZXGcW9ozEhq0PznraWYL7n7swUrO&#10;9CdDlN+m83kY8qjMs5sZKfbSUl5awAiCKrjnbBTXPi5GSNvgPbWmVpG210xOKdMsRjZPexOG/VKP&#10;Xq/bvfoFAAD//wMAUEsDBBQABgAIAAAAIQAmNq4Y3wAAAAsBAAAPAAAAZHJzL2Rvd25yZXYueG1s&#10;TI/BTsMwEETvSPyDtUhcEHUItDFpnAqQQFxb+gFOvE2ixusodpv071lO9Dg7o9k3xWZ2vTjjGDpP&#10;Gp4WCQik2tuOGg37n89HBSJEQ9b0nlDDBQNsytubwuTWT7TF8y42gkso5EZDG+OQSxnqFp0JCz8g&#10;sXfwozOR5dhIO5qJy10v0yRZSWc64g+tGfCjxfq4OzkNh+/pYfk6VV9xn21fVu+myyp/0fr+bn5b&#10;g4g4x/8w/OEzOpTMVPkT2SB6DSpVjB41pEnGozih1DIDUfFFpc8gy0Jebyh/AQAA//8DAFBLAQIt&#10;ABQABgAIAAAAIQC2gziS/gAAAOEBAAATAAAAAAAAAAAAAAAAAAAAAABbQ29udGVudF9UeXBlc10u&#10;eG1sUEsBAi0AFAAGAAgAAAAhADj9If/WAAAAlAEAAAsAAAAAAAAAAAAAAAAALwEAAF9yZWxzLy5y&#10;ZWxzUEsBAi0AFAAGAAgAAAAhAJ338ysmAgAAJQQAAA4AAAAAAAAAAAAAAAAALgIAAGRycy9lMm9E&#10;b2MueG1sUEsBAi0AFAAGAAgAAAAhACY2rhjfAAAACwEAAA8AAAAAAAAAAAAAAAAAgAQAAGRycy9k&#10;b3ducmV2LnhtbFBLBQYAAAAABAAEAPMAAACMBQAAAAA=&#10;" stroked="f">
            <v:textbox style="mso-next-textbox:#Tekstvak 217">
              <w:txbxContent>
                <w:p w:rsidR="004A48E4" w:rsidRPr="0086558F" w:rsidRDefault="004A48E4" w:rsidP="00D0725B">
                  <w:pPr>
                    <w:rPr>
                      <w:b/>
                      <w:sz w:val="52"/>
                    </w:rPr>
                  </w:pPr>
                  <w:r w:rsidRPr="0086558F">
                    <w:rPr>
                      <w:b/>
                      <w:sz w:val="52"/>
                    </w:rPr>
                    <w:t>?</w:t>
                  </w:r>
                </w:p>
              </w:txbxContent>
            </v:textbox>
          </v:shape>
        </w:pict>
      </w:r>
      <w:r w:rsidR="00D0725B">
        <w:rPr>
          <w:noProof/>
        </w:rPr>
        <w:drawing>
          <wp:inline distT="0" distB="0" distL="0" distR="0">
            <wp:extent cx="5943600" cy="3237230"/>
            <wp:effectExtent l="0" t="0" r="0" b="1270"/>
            <wp:docPr id="1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D0725B" w:rsidRDefault="00D0725B" w:rsidP="00D0725B">
      <w:pPr>
        <w:pStyle w:val="NoSpacing"/>
        <w:spacing w:line="276" w:lineRule="auto"/>
        <w:jc w:val="both"/>
        <w:rPr>
          <w:sz w:val="24"/>
        </w:rPr>
      </w:pPr>
    </w:p>
    <w:tbl>
      <w:tblPr>
        <w:tblStyle w:val="TableGrid"/>
        <w:tblW w:w="9557" w:type="dxa"/>
        <w:tblLook w:val="04A0"/>
      </w:tblPr>
      <w:tblGrid>
        <w:gridCol w:w="1345"/>
        <w:gridCol w:w="1440"/>
        <w:gridCol w:w="541"/>
        <w:gridCol w:w="960"/>
        <w:gridCol w:w="960"/>
        <w:gridCol w:w="960"/>
        <w:gridCol w:w="960"/>
        <w:gridCol w:w="960"/>
        <w:gridCol w:w="1655"/>
      </w:tblGrid>
      <w:tr w:rsidR="00D0725B" w:rsidRPr="005A0615" w:rsidTr="003A34F3">
        <w:trPr>
          <w:trHeight w:val="300"/>
        </w:trPr>
        <w:tc>
          <w:tcPr>
            <w:tcW w:w="1345" w:type="dxa"/>
            <w:noWrap/>
            <w:hideMark/>
          </w:tcPr>
          <w:p w:rsidR="00D0725B" w:rsidRPr="005A0615" w:rsidRDefault="00D0725B" w:rsidP="003A34F3">
            <w:pPr>
              <w:pStyle w:val="NoSpacing"/>
              <w:spacing w:line="276" w:lineRule="auto"/>
              <w:jc w:val="both"/>
              <w:rPr>
                <w:sz w:val="24"/>
              </w:rPr>
            </w:pPr>
          </w:p>
        </w:tc>
        <w:tc>
          <w:tcPr>
            <w:tcW w:w="1440" w:type="dxa"/>
            <w:noWrap/>
            <w:hideMark/>
          </w:tcPr>
          <w:p w:rsidR="00D0725B" w:rsidRPr="005A0615" w:rsidRDefault="00D0725B" w:rsidP="003A34F3">
            <w:pPr>
              <w:pStyle w:val="NoSpacing"/>
              <w:spacing w:line="276" w:lineRule="auto"/>
              <w:jc w:val="center"/>
              <w:rPr>
                <w:b/>
                <w:bCs/>
                <w:sz w:val="24"/>
              </w:rPr>
            </w:pPr>
            <w:r w:rsidRPr="005A0615">
              <w:rPr>
                <w:b/>
                <w:bCs/>
                <w:sz w:val="24"/>
              </w:rPr>
              <w:t>t=1</w:t>
            </w:r>
            <w:r>
              <w:rPr>
                <w:b/>
                <w:bCs/>
                <w:sz w:val="24"/>
              </w:rPr>
              <w:t xml:space="preserve"> (=now)</w:t>
            </w:r>
          </w:p>
        </w:tc>
        <w:tc>
          <w:tcPr>
            <w:tcW w:w="317" w:type="dxa"/>
            <w:noWrap/>
            <w:hideMark/>
          </w:tcPr>
          <w:p w:rsidR="00D0725B" w:rsidRPr="005A0615" w:rsidRDefault="00D0725B" w:rsidP="003A34F3">
            <w:pPr>
              <w:pStyle w:val="NoSpacing"/>
              <w:spacing w:line="276" w:lineRule="auto"/>
              <w:jc w:val="center"/>
              <w:rPr>
                <w:b/>
                <w:bCs/>
                <w:sz w:val="24"/>
              </w:rPr>
            </w:pPr>
            <w:r w:rsidRPr="005A0615">
              <w:rPr>
                <w:b/>
                <w:bCs/>
                <w:sz w:val="24"/>
              </w:rPr>
              <w:t>t=2</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t=3</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t=4</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t=5</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t=6</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t=7</w:t>
            </w:r>
          </w:p>
        </w:tc>
        <w:tc>
          <w:tcPr>
            <w:tcW w:w="1655" w:type="dxa"/>
            <w:noWrap/>
            <w:hideMark/>
          </w:tcPr>
          <w:p w:rsidR="00D0725B" w:rsidRPr="005A0615" w:rsidRDefault="00D0725B" w:rsidP="003A34F3">
            <w:pPr>
              <w:pStyle w:val="NoSpacing"/>
              <w:spacing w:line="276" w:lineRule="auto"/>
              <w:jc w:val="both"/>
              <w:rPr>
                <w:b/>
                <w:bCs/>
                <w:sz w:val="24"/>
              </w:rPr>
            </w:pPr>
            <w:r w:rsidRPr="005A0615">
              <w:rPr>
                <w:b/>
                <w:bCs/>
                <w:sz w:val="24"/>
              </w:rPr>
              <w:t>Horizon value</w:t>
            </w:r>
          </w:p>
        </w:tc>
      </w:tr>
      <w:tr w:rsidR="00D0725B" w:rsidRPr="005A0615" w:rsidTr="003A34F3">
        <w:trPr>
          <w:trHeight w:val="485"/>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Cash flow</w:t>
            </w:r>
          </w:p>
        </w:tc>
        <w:tc>
          <w:tcPr>
            <w:tcW w:w="1440" w:type="dxa"/>
            <w:noWrap/>
            <w:hideMark/>
          </w:tcPr>
          <w:p w:rsidR="00D0725B" w:rsidRPr="005A0615" w:rsidRDefault="00D0725B" w:rsidP="003A34F3">
            <w:pPr>
              <w:pStyle w:val="NoSpacing"/>
              <w:spacing w:line="276" w:lineRule="auto"/>
              <w:jc w:val="center"/>
              <w:rPr>
                <w:sz w:val="24"/>
              </w:rPr>
            </w:pPr>
            <w:r w:rsidRPr="005A0615">
              <w:rPr>
                <w:sz w:val="24"/>
              </w:rPr>
              <w:t>-50</w:t>
            </w:r>
          </w:p>
        </w:tc>
        <w:tc>
          <w:tcPr>
            <w:tcW w:w="317"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15</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5</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20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1655" w:type="dxa"/>
            <w:noWrap/>
            <w:hideMark/>
          </w:tcPr>
          <w:p w:rsidR="00D0725B" w:rsidRPr="005A0615" w:rsidRDefault="00D0725B" w:rsidP="003A34F3">
            <w:pPr>
              <w:pStyle w:val="NoSpacing"/>
              <w:spacing w:line="276" w:lineRule="auto"/>
              <w:jc w:val="center"/>
              <w:rPr>
                <w:sz w:val="24"/>
              </w:rPr>
            </w:pPr>
            <w:r w:rsidRPr="005A0615">
              <w:rPr>
                <w:sz w:val="24"/>
              </w:rPr>
              <w:t>?</w:t>
            </w:r>
          </w:p>
        </w:tc>
      </w:tr>
      <w:tr w:rsidR="00D0725B" w:rsidRPr="005A0615" w:rsidTr="003A34F3">
        <w:trPr>
          <w:gridAfter w:val="7"/>
          <w:wAfter w:w="6772" w:type="dxa"/>
          <w:trHeight w:val="300"/>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License fee</w:t>
            </w:r>
          </w:p>
        </w:tc>
        <w:tc>
          <w:tcPr>
            <w:tcW w:w="1440" w:type="dxa"/>
            <w:noWrap/>
            <w:hideMark/>
          </w:tcPr>
          <w:p w:rsidR="00D0725B" w:rsidRPr="005A0615" w:rsidRDefault="00D0725B" w:rsidP="003A34F3">
            <w:pPr>
              <w:pStyle w:val="NoSpacing"/>
              <w:spacing w:line="276" w:lineRule="auto"/>
              <w:jc w:val="center"/>
              <w:rPr>
                <w:sz w:val="24"/>
              </w:rPr>
            </w:pPr>
            <w:r w:rsidRPr="005A0615">
              <w:rPr>
                <w:sz w:val="24"/>
              </w:rPr>
              <w:t>?</w:t>
            </w:r>
          </w:p>
        </w:tc>
      </w:tr>
    </w:tbl>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r>
        <w:rPr>
          <w:sz w:val="24"/>
        </w:rPr>
        <w:t>The interest rate is 0. Values are given in points.</w:t>
      </w: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r>
        <w:rPr>
          <w:sz w:val="24"/>
        </w:rPr>
        <w:t xml:space="preserve">The values above are </w:t>
      </w:r>
      <w:r>
        <w:rPr>
          <w:i/>
          <w:sz w:val="24"/>
        </w:rPr>
        <w:t xml:space="preserve">net </w:t>
      </w:r>
      <w:r>
        <w:rPr>
          <w:sz w:val="24"/>
        </w:rPr>
        <w:t xml:space="preserve">values. Every time period the production and sales of TV’s with UltraHD are associated with at least some fixed costs. Therefore, every given cash flow is the balance of the expected costs and revenues for that period. The cash outflow at t=1 is divided into two parts; the initial outlay (think: the purchase of machines required to produce the new televisions, as well as setting up sales channels) and the license fee. This license fee is the fee you have to pay to InnovaTV in order to use UltraHD technology, if you </w:t>
      </w:r>
      <w:r>
        <w:rPr>
          <w:sz w:val="24"/>
        </w:rPr>
        <w:lastRenderedPageBreak/>
        <w:t xml:space="preserve">win the auction. There are 10 competitors (other participants of the experiment) also interested in UltraHD and are all planning to make a bid at the auction. </w:t>
      </w:r>
    </w:p>
    <w:p w:rsidR="00D0725B" w:rsidRDefault="00D0725B" w:rsidP="00D0725B">
      <w:pPr>
        <w:pStyle w:val="NoSpacing"/>
        <w:spacing w:line="276" w:lineRule="auto"/>
        <w:jc w:val="both"/>
        <w:rPr>
          <w:sz w:val="24"/>
        </w:rPr>
      </w:pPr>
    </w:p>
    <w:p w:rsidR="00D0725B" w:rsidRPr="00C472A0" w:rsidRDefault="00D0725B" w:rsidP="00D0725B">
      <w:pPr>
        <w:pStyle w:val="NoSpacing"/>
        <w:spacing w:line="276" w:lineRule="auto"/>
        <w:jc w:val="both"/>
        <w:rPr>
          <w:sz w:val="24"/>
        </w:rPr>
      </w:pPr>
      <w:r>
        <w:rPr>
          <w:sz w:val="24"/>
        </w:rPr>
        <w:t xml:space="preserve">You now have to make a decision: </w:t>
      </w:r>
      <w:r w:rsidRPr="00050C91">
        <w:rPr>
          <w:b/>
          <w:sz w:val="24"/>
        </w:rPr>
        <w:t xml:space="preserve">what is the maximum amount of points you are willing to pay </w:t>
      </w:r>
      <w:r>
        <w:rPr>
          <w:b/>
          <w:sz w:val="24"/>
        </w:rPr>
        <w:t>in order to receive the license</w:t>
      </w:r>
      <w:r w:rsidRPr="00050C91">
        <w:rPr>
          <w:b/>
          <w:sz w:val="24"/>
        </w:rPr>
        <w:t>?</w:t>
      </w:r>
    </w:p>
    <w:p w:rsidR="00D0725B" w:rsidRDefault="00D0725B" w:rsidP="00D0725B">
      <w:pPr>
        <w:pStyle w:val="NoSpacing"/>
        <w:pBdr>
          <w:bottom w:val="single" w:sz="12" w:space="1" w:color="auto"/>
        </w:pBdr>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jc w:val="center"/>
        <w:rPr>
          <w:sz w:val="24"/>
        </w:rPr>
      </w:pPr>
      <w:r w:rsidRPr="00B75424">
        <w:rPr>
          <w:b/>
          <w:i/>
          <w:noProof/>
          <w:sz w:val="24"/>
        </w:rPr>
        <w:drawing>
          <wp:inline distT="0" distB="0" distL="0" distR="0">
            <wp:extent cx="1724025" cy="1111436"/>
            <wp:effectExtent l="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3070" cy="1123714"/>
                    </a:xfrm>
                    <a:prstGeom prst="rect">
                      <a:avLst/>
                    </a:prstGeom>
                    <a:noFill/>
                    <a:ln>
                      <a:noFill/>
                    </a:ln>
                  </pic:spPr>
                </pic:pic>
              </a:graphicData>
            </a:graphic>
          </wp:inline>
        </w:drawing>
      </w:r>
      <w:r>
        <w:rPr>
          <w:i/>
          <w:sz w:val="18"/>
          <w:szCs w:val="18"/>
        </w:rPr>
        <w:t xml:space="preserve">current </w:t>
      </w:r>
      <w:r w:rsidRPr="00BE6346">
        <w:rPr>
          <w:i/>
          <w:sz w:val="18"/>
          <w:szCs w:val="18"/>
        </w:rPr>
        <w:t>amount of points</w:t>
      </w:r>
      <w:r>
        <w:rPr>
          <w:i/>
          <w:sz w:val="18"/>
          <w:szCs w:val="18"/>
        </w:rPr>
        <w:t>*</w:t>
      </w: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p>
    <w:p w:rsidR="00DC234F" w:rsidRDefault="00D0725B" w:rsidP="00D0725B">
      <w:pPr>
        <w:pStyle w:val="NoSpacing"/>
        <w:spacing w:line="276" w:lineRule="auto"/>
        <w:jc w:val="both"/>
        <w:rPr>
          <w:b/>
          <w:sz w:val="24"/>
          <w:u w:val="single"/>
        </w:rPr>
      </w:pPr>
      <w:r>
        <w:rPr>
          <w:b/>
          <w:sz w:val="24"/>
          <w:u w:val="single"/>
        </w:rPr>
        <w:br/>
      </w:r>
      <w:r>
        <w:rPr>
          <w:b/>
          <w:sz w:val="24"/>
          <w:u w:val="single"/>
        </w:rPr>
        <w:br/>
      </w:r>
      <w:r>
        <w:rPr>
          <w:b/>
          <w:sz w:val="24"/>
          <w:u w:val="single"/>
        </w:rPr>
        <w:br/>
      </w:r>
      <w:r>
        <w:rPr>
          <w:b/>
          <w:sz w:val="24"/>
          <w:u w:val="single"/>
        </w:rPr>
        <w:br/>
      </w:r>
    </w:p>
    <w:p w:rsidR="00DC234F" w:rsidRDefault="00DC234F" w:rsidP="00D0725B">
      <w:pPr>
        <w:pStyle w:val="NoSpacing"/>
        <w:spacing w:line="276" w:lineRule="auto"/>
        <w:jc w:val="both"/>
        <w:rPr>
          <w:b/>
          <w:sz w:val="24"/>
          <w:u w:val="single"/>
        </w:rPr>
      </w:pPr>
    </w:p>
    <w:p w:rsidR="00D0725B" w:rsidRDefault="00D0725B" w:rsidP="00D0725B">
      <w:pPr>
        <w:pStyle w:val="NoSpacing"/>
        <w:spacing w:line="276" w:lineRule="auto"/>
        <w:jc w:val="both"/>
        <w:rPr>
          <w:b/>
          <w:sz w:val="24"/>
          <w:u w:val="single"/>
        </w:rPr>
      </w:pPr>
      <w:r>
        <w:rPr>
          <w:b/>
          <w:sz w:val="24"/>
          <w:u w:val="single"/>
        </w:rPr>
        <w:lastRenderedPageBreak/>
        <w:t>Part Three</w:t>
      </w:r>
      <w:r w:rsidR="001F5E5F">
        <w:rPr>
          <w:b/>
          <w:sz w:val="24"/>
          <w:u w:val="single"/>
        </w:rPr>
        <w:t>:</w:t>
      </w:r>
    </w:p>
    <w:p w:rsidR="00DC234F" w:rsidRPr="00D12513" w:rsidRDefault="00DC234F" w:rsidP="00D0725B">
      <w:pPr>
        <w:pStyle w:val="NoSpacing"/>
        <w:spacing w:line="276" w:lineRule="auto"/>
        <w:jc w:val="both"/>
        <w:rPr>
          <w:b/>
          <w:sz w:val="24"/>
          <w:u w:val="single"/>
        </w:rPr>
      </w:pPr>
    </w:p>
    <w:p w:rsidR="00D0725B" w:rsidRDefault="00D0725B" w:rsidP="00D0725B">
      <w:pPr>
        <w:pStyle w:val="NoSpacing"/>
        <w:spacing w:line="276" w:lineRule="auto"/>
        <w:jc w:val="both"/>
        <w:rPr>
          <w:sz w:val="24"/>
        </w:rPr>
      </w:pPr>
      <w:r>
        <w:rPr>
          <w:sz w:val="24"/>
        </w:rPr>
        <w:t>Before the auction takes place, InnovaTV calls you and gives you an offer which entails a 50% -50% joint venture. Thus, KeenScreen and InnovaTV would equally share all revenues, as well as split all costs of the project UltraHD. Furthermore, InnovaTV is willing to provide you with a clause which gives you (KeenScreen) the opportunity to buy out InnovaTV’s share of 50% after six years (at the end of t=7) for the other half of the initial outlay (25). After six years, you will have a better understanding of the market for UltraHD and will therefore have more certainty regarding the future of the project.</w:t>
      </w:r>
    </w:p>
    <w:p w:rsidR="00D0725B" w:rsidRDefault="00D0725B" w:rsidP="00D0725B">
      <w:pPr>
        <w:pStyle w:val="NoSpacing"/>
        <w:spacing w:line="276" w:lineRule="auto"/>
        <w:jc w:val="both"/>
        <w:rPr>
          <w:sz w:val="24"/>
        </w:rPr>
      </w:pPr>
      <w:r>
        <w:rPr>
          <w:sz w:val="24"/>
        </w:rPr>
        <w:t xml:space="preserve">For this venture InnovaTV still demands a certain license fee.  </w:t>
      </w: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r>
        <w:rPr>
          <w:sz w:val="24"/>
        </w:rPr>
        <w:t xml:space="preserve">Thus, if you would agree to this offer without invoking the clause, your cash flows would be as depicted below: </w:t>
      </w:r>
    </w:p>
    <w:p w:rsidR="00D0725B" w:rsidRDefault="009966E0" w:rsidP="00D0725B">
      <w:pPr>
        <w:pStyle w:val="NoSpacing"/>
        <w:jc w:val="both"/>
        <w:rPr>
          <w:sz w:val="24"/>
        </w:rPr>
      </w:pPr>
      <w:r w:rsidRPr="009966E0">
        <w:rPr>
          <w:noProof/>
        </w:rPr>
        <w:pict>
          <v:shape id="Tekstvak 17" o:spid="_x0000_s1060" type="#_x0000_t202" style="position:absolute;left:0;text-align:left;margin-left:401.25pt;margin-top:.45pt;width:110.65pt;height:39.55pt;z-index:-25165414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IeSJAIAACQEAAAOAAAAZHJzL2Uyb0RvYy54bWysU8Fu2zAMvQ/YPwi6L3aMeG2NOEWXLsOA&#10;rhvQ7gNoWY6FyKInKbGzrx8lp2m23Yb5IIgm+fj4SC1vx06zg7ROoSn5fJZyJo3AWpltyb8/b95d&#10;c+Y8mBo0Glnyo3T8dvX2zXLoC5lhi7qWlhGIccXQl7z1vi+SxIlWduBm2EtDzgZtB55Mu01qCwOh&#10;dzrJ0vR9MqCte4tCOkd/7ycnX0X8ppHCf20aJz3TJSduPp42nlU4k9USiq2FvlXiRAP+gUUHylDR&#10;M9Q9eGB7q/6C6pSw6LDxM4Fdgk2jhIw9UDfz9I9unlroZeyFxHH9WSb3/2DF4+GbZaqm2V1xZqCj&#10;GT3LnfMH2DH6RfoMvSso7KmnQD9+wJFiY6+uf0Cxc8zgugWzlXfW4tBKqInfPGQmF6kTjgsg1fAF&#10;a6oDe48RaGxsF8QjORih05yO59nI0TMRSi7SPMtzzgT58jTLrvNYAoqX7N46/0lix8Kl5JZmH9Hh&#10;8OB8YAPFS0go5lCreqO0jobdVmtt2QFoTzbxO6H/FqYNG0p+Q0QissGQH1eoU572WKuu5Ndp+EI6&#10;FEGNj6aOdw9KT3dios1JnqDIpI0fqzFOIgu5QboK6yPpZXFaW3pmdGnR/uRsoJUtufuxBys5058N&#10;aX4zXyzCjkdjkV9lZNhLT3XpASMIquSes+m69vFdBNoG72g2jYqyvTI5UaZVjGqenk3Y9Us7Rr0+&#10;7tUvAAAA//8DAFBLAwQUAAYACAAAACEAREh5LdsAAAAIAQAADwAAAGRycy9kb3ducmV2LnhtbEyP&#10;y07DMBBF90j8gzWV2CBqE+grxKkACcS2pR8wiadJ1HgcxW6T/j3Oii5H5+rOudl2tK24UO8bxxqe&#10;5woEcelMw5WGw+/X0xqED8gGW8ek4Uoetvn9XYapcQPv6LIPlYgl7FPUUIfQpVL6siaLfu464siO&#10;rrcY4tlX0vQ4xHLbykSppbTYcPxQY0efNZWn/dlqOP4Mj4vNUHyHw2r3uvzAZlW4q9YPs/H9DUSg&#10;MfyHYdKP6pBHp8Kd2XjRalirZBGjGjYgJqySlzilmIACmWfydkD+BwAA//8DAFBLAQItABQABgAI&#10;AAAAIQC2gziS/gAAAOEBAAATAAAAAAAAAAAAAAAAAAAAAABbQ29udGVudF9UeXBlc10ueG1sUEsB&#10;Ai0AFAAGAAgAAAAhADj9If/WAAAAlAEAAAsAAAAAAAAAAAAAAAAALwEAAF9yZWxzLy5yZWxzUEsB&#10;Ai0AFAAGAAgAAAAhALTIh5IkAgAAJAQAAA4AAAAAAAAAAAAAAAAALgIAAGRycy9lMm9Eb2MueG1s&#10;UEsBAi0AFAAGAAgAAAAhAERIeS3bAAAACAEAAA8AAAAAAAAAAAAAAAAAfgQAAGRycy9kb3ducmV2&#10;LnhtbFBLBQYAAAAABAAEAPMAAACGBQAAAAA=&#10;" stroked="f">
            <v:textbox style="mso-next-textbox:#Tekstvak 17">
              <w:txbxContent>
                <w:p w:rsidR="004A48E4" w:rsidRPr="00D0725B" w:rsidRDefault="004A48E4" w:rsidP="00D0725B">
                  <w:pPr>
                    <w:rPr>
                      <w:lang w:val="en-GB"/>
                    </w:rPr>
                  </w:pPr>
                  <w:r w:rsidRPr="00D0725B">
                    <w:rPr>
                      <w:lang w:val="en-GB"/>
                    </w:rPr>
                    <w:t>Possibility to invoke clause for -25</w:t>
                  </w:r>
                </w:p>
              </w:txbxContent>
            </v:textbox>
          </v:shape>
        </w:pict>
      </w:r>
    </w:p>
    <w:p w:rsidR="00D0725B" w:rsidRDefault="00D0725B" w:rsidP="00D0725B">
      <w:pPr>
        <w:pStyle w:val="NoSpacing"/>
        <w:jc w:val="both"/>
        <w:rPr>
          <w:sz w:val="24"/>
        </w:rPr>
      </w:pPr>
    </w:p>
    <w:p w:rsidR="00D0725B" w:rsidRDefault="009966E0" w:rsidP="00D0725B">
      <w:pPr>
        <w:pStyle w:val="NoSpacing"/>
        <w:jc w:val="both"/>
        <w:rPr>
          <w:sz w:val="24"/>
        </w:rPr>
      </w:pPr>
      <w:r w:rsidRPr="009966E0">
        <w:rPr>
          <w:noProof/>
          <w:color w:val="FF0000"/>
        </w:rPr>
        <w:pict>
          <v:line id="Rechte verbindingslijn 16" o:spid="_x0000_s1061" style="position:absolute;left:0;text-align:left;z-index:-251653120;visibility:visible;mso-wrap-distance-left:3.17489mm;mso-wrap-distance-right:3.17489mm;mso-position-horizontal-relative:margin" from="449.2pt,1.3pt" to="449.2pt,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OXt3QEAAKoDAAAOAAAAZHJzL2Uyb0RvYy54bWysU8tu2zAQvBfoPxC811KMOkgFyznESC9B&#10;azTpB6wpUmLLF7isJf99l5TtOO2tqA4EyeXO7syO1veTNewgI2rvWn6zqDmTTvhOu77l318eP9xx&#10;hglcB8Y72fKjRH6/ef9uPYZGLv3gTScjIxCHzRhaPqQUmqpCMUgLuPBBOgoqHy0kOsa+6iKMhG5N&#10;tazr22r0sQvRC4lIt9s5yDcFXykp0lelUCZmWk69pbLGsu7zWm3W0PQRwqDFqQ34hy4saEdFL1Bb&#10;SMB+Rf0XlNUievQqLYS3lVdKC1k4EJub+g82zwMEWbiQOBguMuH/gxVfDrvIdEezu+XMgaUZfZNi&#10;SDJPda9dniQa/cMxekBqjQEbSnpwu5j5isk9hycvfiLFqjfBfMAwP5tUtPk5EWZTUf94UV9OiYn5&#10;UtDtarX8uCqDqaA554WI6bP0luVNy412WRdo4PCEKVeG5vwkXzv/qI0pszWOjUTuU02YTABZTBlI&#10;tLWBSKPrOQPTk3dFigUSvdFdTs9AeMQHE9kByD7kus6PL9QuZwYwUYA4lC8LQy28Sc39bAGHObmE&#10;ZrdZncjyRtuW311nG5crymLaE6tXCfNu77vjLp51JkOUoifzZsddn2l//YttfgMAAP//AwBQSwME&#10;FAAGAAgAAAAhAKXTFazdAAAACAEAAA8AAABkcnMvZG93bnJldi54bWxMj0FLw0AQhe9C/8MyBW92&#10;YwkhjdkUWyiCB8FWweMmOybR7GzIbtLor3eKB73N4715802+nW0nJhx860jB7SoCgVQ501Kt4OV0&#10;uElB+KDJ6M4RKvhCD9ticZXrzLgzPeN0DLXgEvKZVtCE0GdS+qpBq/3K9UjsvbvB6sByqKUZ9JnL&#10;bSfXUZRIq1viC43ucd9g9XkcLWPY78NDu9vMT/IDH5PpNX4by1ip6+V8fwci4Bz+wnDB5x0omKl0&#10;IxkvOgXpJo05qmCdgGD/V5eXIQFZ5PL/A8UPAAAA//8DAFBLAQItABQABgAIAAAAIQC2gziS/gAA&#10;AOEBAAATAAAAAAAAAAAAAAAAAAAAAABbQ29udGVudF9UeXBlc10ueG1sUEsBAi0AFAAGAAgAAAAh&#10;ADj9If/WAAAAlAEAAAsAAAAAAAAAAAAAAAAALwEAAF9yZWxzLy5yZWxzUEsBAi0AFAAGAAgAAAAh&#10;ABKM5e3dAQAAqgMAAA4AAAAAAAAAAAAAAAAALgIAAGRycy9lMm9Eb2MueG1sUEsBAi0AFAAGAAgA&#10;AAAhAKXTFazdAAAACAEAAA8AAAAAAAAAAAAAAAAANwQAAGRycy9kb3ducmV2LnhtbFBLBQYAAAAA&#10;BAAEAPMAAABBBQAAAAA=&#10;" strokecolor="windowText" strokeweight="1.5pt">
            <v:stroke joinstyle="miter"/>
            <o:lock v:ext="edit" shapetype="f"/>
            <w10:wrap anchorx="margin"/>
          </v:line>
        </w:pict>
      </w:r>
    </w:p>
    <w:p w:rsidR="00D0725B" w:rsidRDefault="00D0725B" w:rsidP="00D0725B">
      <w:pPr>
        <w:pStyle w:val="NoSpacing"/>
        <w:jc w:val="both"/>
        <w:rPr>
          <w:sz w:val="24"/>
        </w:rPr>
      </w:pPr>
      <w:r>
        <w:rPr>
          <w:sz w:val="24"/>
        </w:rPr>
        <w:t xml:space="preserve">  </w:t>
      </w:r>
    </w:p>
    <w:p w:rsidR="00D0725B" w:rsidRDefault="00D0725B" w:rsidP="00D0725B">
      <w:pPr>
        <w:pStyle w:val="NoSpacing"/>
        <w:jc w:val="both"/>
        <w:rPr>
          <w:sz w:val="24"/>
        </w:rPr>
      </w:pPr>
    </w:p>
    <w:tbl>
      <w:tblPr>
        <w:tblStyle w:val="TableGrid"/>
        <w:tblW w:w="10615" w:type="dxa"/>
        <w:tblLook w:val="04A0"/>
      </w:tblPr>
      <w:tblGrid>
        <w:gridCol w:w="1345"/>
        <w:gridCol w:w="2430"/>
        <w:gridCol w:w="720"/>
        <w:gridCol w:w="660"/>
        <w:gridCol w:w="690"/>
        <w:gridCol w:w="900"/>
        <w:gridCol w:w="1170"/>
        <w:gridCol w:w="1080"/>
        <w:gridCol w:w="1620"/>
      </w:tblGrid>
      <w:tr w:rsidR="00D0725B" w:rsidRPr="005A0615" w:rsidTr="003A34F3">
        <w:trPr>
          <w:trHeight w:val="300"/>
        </w:trPr>
        <w:tc>
          <w:tcPr>
            <w:tcW w:w="1345" w:type="dxa"/>
            <w:noWrap/>
            <w:hideMark/>
          </w:tcPr>
          <w:p w:rsidR="00D0725B" w:rsidRPr="005A0615" w:rsidRDefault="00D0725B" w:rsidP="003A34F3">
            <w:pPr>
              <w:pStyle w:val="NoSpacing"/>
              <w:spacing w:line="276" w:lineRule="auto"/>
              <w:jc w:val="both"/>
              <w:rPr>
                <w:sz w:val="24"/>
              </w:rPr>
            </w:pPr>
          </w:p>
        </w:tc>
        <w:tc>
          <w:tcPr>
            <w:tcW w:w="2430" w:type="dxa"/>
            <w:noWrap/>
            <w:hideMark/>
          </w:tcPr>
          <w:p w:rsidR="00D0725B" w:rsidRPr="005A0615" w:rsidRDefault="00D0725B" w:rsidP="003A34F3">
            <w:pPr>
              <w:pStyle w:val="NoSpacing"/>
              <w:spacing w:line="276" w:lineRule="auto"/>
              <w:jc w:val="center"/>
              <w:rPr>
                <w:b/>
                <w:bCs/>
                <w:sz w:val="24"/>
              </w:rPr>
            </w:pPr>
            <w:r w:rsidRPr="005A0615">
              <w:rPr>
                <w:b/>
                <w:bCs/>
                <w:sz w:val="24"/>
              </w:rPr>
              <w:t>t=1</w:t>
            </w:r>
            <w:r>
              <w:rPr>
                <w:b/>
                <w:bCs/>
                <w:sz w:val="24"/>
              </w:rPr>
              <w:t xml:space="preserve"> (=now)</w:t>
            </w:r>
          </w:p>
        </w:tc>
        <w:tc>
          <w:tcPr>
            <w:tcW w:w="720" w:type="dxa"/>
            <w:noWrap/>
            <w:hideMark/>
          </w:tcPr>
          <w:p w:rsidR="00D0725B" w:rsidRPr="005A0615" w:rsidRDefault="00D0725B" w:rsidP="003A34F3">
            <w:pPr>
              <w:pStyle w:val="NoSpacing"/>
              <w:spacing w:line="276" w:lineRule="auto"/>
              <w:jc w:val="center"/>
              <w:rPr>
                <w:b/>
                <w:bCs/>
                <w:sz w:val="24"/>
              </w:rPr>
            </w:pPr>
            <w:r w:rsidRPr="005A0615">
              <w:rPr>
                <w:b/>
                <w:bCs/>
                <w:sz w:val="24"/>
              </w:rPr>
              <w:t>t=2</w:t>
            </w:r>
          </w:p>
        </w:tc>
        <w:tc>
          <w:tcPr>
            <w:tcW w:w="660" w:type="dxa"/>
            <w:noWrap/>
            <w:hideMark/>
          </w:tcPr>
          <w:p w:rsidR="00D0725B" w:rsidRPr="005A0615" w:rsidRDefault="00D0725B" w:rsidP="003A34F3">
            <w:pPr>
              <w:pStyle w:val="NoSpacing"/>
              <w:spacing w:line="276" w:lineRule="auto"/>
              <w:jc w:val="center"/>
              <w:rPr>
                <w:b/>
                <w:bCs/>
                <w:sz w:val="24"/>
              </w:rPr>
            </w:pPr>
            <w:r w:rsidRPr="005A0615">
              <w:rPr>
                <w:b/>
                <w:bCs/>
                <w:sz w:val="24"/>
              </w:rPr>
              <w:t>t=3</w:t>
            </w:r>
          </w:p>
        </w:tc>
        <w:tc>
          <w:tcPr>
            <w:tcW w:w="690" w:type="dxa"/>
            <w:noWrap/>
            <w:hideMark/>
          </w:tcPr>
          <w:p w:rsidR="00D0725B" w:rsidRPr="005A0615" w:rsidRDefault="00D0725B" w:rsidP="003A34F3">
            <w:pPr>
              <w:pStyle w:val="NoSpacing"/>
              <w:spacing w:line="276" w:lineRule="auto"/>
              <w:jc w:val="center"/>
              <w:rPr>
                <w:b/>
                <w:bCs/>
                <w:sz w:val="24"/>
              </w:rPr>
            </w:pPr>
            <w:r w:rsidRPr="005A0615">
              <w:rPr>
                <w:b/>
                <w:bCs/>
                <w:sz w:val="24"/>
              </w:rPr>
              <w:t>t=4</w:t>
            </w:r>
          </w:p>
        </w:tc>
        <w:tc>
          <w:tcPr>
            <w:tcW w:w="900" w:type="dxa"/>
            <w:noWrap/>
            <w:hideMark/>
          </w:tcPr>
          <w:p w:rsidR="00D0725B" w:rsidRPr="005A0615" w:rsidRDefault="00D0725B" w:rsidP="003A34F3">
            <w:pPr>
              <w:pStyle w:val="NoSpacing"/>
              <w:spacing w:line="276" w:lineRule="auto"/>
              <w:jc w:val="center"/>
              <w:rPr>
                <w:b/>
                <w:bCs/>
                <w:sz w:val="24"/>
              </w:rPr>
            </w:pPr>
            <w:r w:rsidRPr="005A0615">
              <w:rPr>
                <w:b/>
                <w:bCs/>
                <w:sz w:val="24"/>
              </w:rPr>
              <w:t>t=5</w:t>
            </w:r>
          </w:p>
        </w:tc>
        <w:tc>
          <w:tcPr>
            <w:tcW w:w="1170" w:type="dxa"/>
            <w:noWrap/>
            <w:hideMark/>
          </w:tcPr>
          <w:p w:rsidR="00D0725B" w:rsidRPr="005A0615" w:rsidRDefault="00D0725B" w:rsidP="003A34F3">
            <w:pPr>
              <w:pStyle w:val="NoSpacing"/>
              <w:spacing w:line="276" w:lineRule="auto"/>
              <w:jc w:val="center"/>
              <w:rPr>
                <w:b/>
                <w:bCs/>
                <w:sz w:val="24"/>
              </w:rPr>
            </w:pPr>
            <w:r w:rsidRPr="005A0615">
              <w:rPr>
                <w:b/>
                <w:bCs/>
                <w:sz w:val="24"/>
              </w:rPr>
              <w:t>t=6</w:t>
            </w:r>
          </w:p>
        </w:tc>
        <w:tc>
          <w:tcPr>
            <w:tcW w:w="1080" w:type="dxa"/>
            <w:noWrap/>
            <w:hideMark/>
          </w:tcPr>
          <w:p w:rsidR="00D0725B" w:rsidRPr="005A0615" w:rsidRDefault="00D0725B" w:rsidP="003A34F3">
            <w:pPr>
              <w:pStyle w:val="NoSpacing"/>
              <w:spacing w:line="276" w:lineRule="auto"/>
              <w:jc w:val="center"/>
              <w:rPr>
                <w:b/>
                <w:bCs/>
                <w:sz w:val="24"/>
              </w:rPr>
            </w:pPr>
            <w:r w:rsidRPr="005A0615">
              <w:rPr>
                <w:b/>
                <w:bCs/>
                <w:sz w:val="24"/>
              </w:rPr>
              <w:t>t=7</w:t>
            </w:r>
          </w:p>
        </w:tc>
        <w:tc>
          <w:tcPr>
            <w:tcW w:w="1620" w:type="dxa"/>
            <w:noWrap/>
            <w:hideMark/>
          </w:tcPr>
          <w:p w:rsidR="00D0725B" w:rsidRPr="005A0615" w:rsidRDefault="00D0725B" w:rsidP="003A34F3">
            <w:pPr>
              <w:pStyle w:val="NoSpacing"/>
              <w:spacing w:line="276" w:lineRule="auto"/>
              <w:jc w:val="both"/>
              <w:rPr>
                <w:b/>
                <w:bCs/>
                <w:sz w:val="24"/>
              </w:rPr>
            </w:pPr>
            <w:r w:rsidRPr="005A0615">
              <w:rPr>
                <w:b/>
                <w:bCs/>
                <w:sz w:val="24"/>
              </w:rPr>
              <w:t>Horizon value</w:t>
            </w:r>
          </w:p>
        </w:tc>
      </w:tr>
      <w:tr w:rsidR="00D0725B" w:rsidRPr="005A0615" w:rsidTr="003A34F3">
        <w:trPr>
          <w:trHeight w:val="485"/>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Cash flow</w:t>
            </w:r>
          </w:p>
        </w:tc>
        <w:tc>
          <w:tcPr>
            <w:tcW w:w="2430" w:type="dxa"/>
            <w:noWrap/>
            <w:hideMark/>
          </w:tcPr>
          <w:p w:rsidR="00D0725B" w:rsidRPr="005A0615" w:rsidRDefault="00D0725B" w:rsidP="003A34F3">
            <w:pPr>
              <w:pStyle w:val="NoSpacing"/>
              <w:spacing w:line="276" w:lineRule="auto"/>
              <w:jc w:val="center"/>
              <w:rPr>
                <w:sz w:val="24"/>
              </w:rPr>
            </w:pPr>
            <w:r w:rsidRPr="005A0615">
              <w:rPr>
                <w:sz w:val="24"/>
              </w:rPr>
              <w:t>-</w:t>
            </w:r>
            <w:r>
              <w:rPr>
                <w:sz w:val="24"/>
              </w:rPr>
              <w:t>25</w:t>
            </w:r>
          </w:p>
        </w:tc>
        <w:tc>
          <w:tcPr>
            <w:tcW w:w="720" w:type="dxa"/>
            <w:noWrap/>
            <w:hideMark/>
          </w:tcPr>
          <w:p w:rsidR="00D0725B" w:rsidRPr="005A0615" w:rsidRDefault="00D0725B" w:rsidP="003A34F3">
            <w:pPr>
              <w:pStyle w:val="NoSpacing"/>
              <w:spacing w:line="276" w:lineRule="auto"/>
              <w:jc w:val="center"/>
              <w:rPr>
                <w:sz w:val="24"/>
              </w:rPr>
            </w:pPr>
            <w:r>
              <w:rPr>
                <w:sz w:val="24"/>
              </w:rPr>
              <w:t>5</w:t>
            </w:r>
          </w:p>
        </w:tc>
        <w:tc>
          <w:tcPr>
            <w:tcW w:w="660" w:type="dxa"/>
            <w:noWrap/>
            <w:hideMark/>
          </w:tcPr>
          <w:p w:rsidR="00D0725B" w:rsidRPr="005A0615" w:rsidRDefault="00D0725B" w:rsidP="003A34F3">
            <w:pPr>
              <w:pStyle w:val="NoSpacing"/>
              <w:spacing w:line="276" w:lineRule="auto"/>
              <w:jc w:val="center"/>
              <w:rPr>
                <w:sz w:val="24"/>
              </w:rPr>
            </w:pPr>
            <w:r>
              <w:rPr>
                <w:sz w:val="24"/>
              </w:rPr>
              <w:t>7.5</w:t>
            </w:r>
          </w:p>
        </w:tc>
        <w:tc>
          <w:tcPr>
            <w:tcW w:w="690" w:type="dxa"/>
            <w:noWrap/>
            <w:hideMark/>
          </w:tcPr>
          <w:p w:rsidR="00D0725B" w:rsidRPr="005A0615" w:rsidRDefault="00D0725B" w:rsidP="003A34F3">
            <w:pPr>
              <w:pStyle w:val="NoSpacing"/>
              <w:spacing w:line="276" w:lineRule="auto"/>
              <w:jc w:val="center"/>
              <w:rPr>
                <w:sz w:val="24"/>
              </w:rPr>
            </w:pPr>
            <w:r>
              <w:rPr>
                <w:sz w:val="24"/>
              </w:rPr>
              <w:t>5</w:t>
            </w:r>
          </w:p>
        </w:tc>
        <w:tc>
          <w:tcPr>
            <w:tcW w:w="900" w:type="dxa"/>
            <w:noWrap/>
            <w:hideMark/>
          </w:tcPr>
          <w:p w:rsidR="00D0725B" w:rsidRPr="005A0615" w:rsidRDefault="00D0725B" w:rsidP="003A34F3">
            <w:pPr>
              <w:pStyle w:val="NoSpacing"/>
              <w:spacing w:line="276" w:lineRule="auto"/>
              <w:jc w:val="center"/>
              <w:rPr>
                <w:sz w:val="24"/>
              </w:rPr>
            </w:pPr>
            <w:r>
              <w:rPr>
                <w:sz w:val="24"/>
              </w:rPr>
              <w:t>2.</w:t>
            </w:r>
            <w:r w:rsidRPr="005A0615">
              <w:rPr>
                <w:sz w:val="24"/>
              </w:rPr>
              <w:t>5</w:t>
            </w:r>
            <w:r>
              <w:rPr>
                <w:sz w:val="24"/>
              </w:rPr>
              <w:t xml:space="preserve"> </w:t>
            </w:r>
          </w:p>
        </w:tc>
        <w:tc>
          <w:tcPr>
            <w:tcW w:w="1170" w:type="dxa"/>
            <w:noWrap/>
            <w:hideMark/>
          </w:tcPr>
          <w:p w:rsidR="00D0725B" w:rsidRPr="005A0615" w:rsidRDefault="00D0725B" w:rsidP="003A34F3">
            <w:pPr>
              <w:pStyle w:val="NoSpacing"/>
              <w:spacing w:line="276" w:lineRule="auto"/>
              <w:jc w:val="center"/>
              <w:rPr>
                <w:sz w:val="24"/>
              </w:rPr>
            </w:pPr>
            <w:r>
              <w:rPr>
                <w:sz w:val="24"/>
              </w:rPr>
              <w:t>1</w:t>
            </w:r>
            <w:r w:rsidRPr="005A0615">
              <w:rPr>
                <w:sz w:val="24"/>
              </w:rPr>
              <w:t>0</w:t>
            </w:r>
            <w:r>
              <w:rPr>
                <w:sz w:val="24"/>
              </w:rPr>
              <w:t xml:space="preserve"> </w:t>
            </w:r>
          </w:p>
        </w:tc>
        <w:tc>
          <w:tcPr>
            <w:tcW w:w="1080" w:type="dxa"/>
            <w:noWrap/>
            <w:hideMark/>
          </w:tcPr>
          <w:p w:rsidR="00D0725B" w:rsidRPr="005A0615" w:rsidRDefault="00D0725B" w:rsidP="003A34F3">
            <w:pPr>
              <w:pStyle w:val="NoSpacing"/>
              <w:spacing w:line="276" w:lineRule="auto"/>
              <w:jc w:val="center"/>
              <w:rPr>
                <w:sz w:val="24"/>
              </w:rPr>
            </w:pPr>
            <w:r>
              <w:rPr>
                <w:sz w:val="24"/>
              </w:rPr>
              <w:t xml:space="preserve">5 </w:t>
            </w:r>
          </w:p>
        </w:tc>
        <w:tc>
          <w:tcPr>
            <w:tcW w:w="1620" w:type="dxa"/>
            <w:noWrap/>
            <w:hideMark/>
          </w:tcPr>
          <w:p w:rsidR="00D0725B" w:rsidRPr="005A0615" w:rsidRDefault="00D0725B" w:rsidP="003A34F3">
            <w:pPr>
              <w:pStyle w:val="NoSpacing"/>
              <w:spacing w:line="276" w:lineRule="auto"/>
              <w:jc w:val="center"/>
              <w:rPr>
                <w:sz w:val="24"/>
              </w:rPr>
            </w:pPr>
            <w:r w:rsidRPr="005A0615">
              <w:rPr>
                <w:sz w:val="24"/>
              </w:rPr>
              <w:t>?</w:t>
            </w:r>
          </w:p>
        </w:tc>
      </w:tr>
      <w:tr w:rsidR="00D0725B" w:rsidRPr="005A0615" w:rsidTr="003A34F3">
        <w:trPr>
          <w:gridAfter w:val="7"/>
          <w:wAfter w:w="6840" w:type="dxa"/>
          <w:trHeight w:val="300"/>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License fee</w:t>
            </w:r>
          </w:p>
        </w:tc>
        <w:tc>
          <w:tcPr>
            <w:tcW w:w="2430" w:type="dxa"/>
            <w:noWrap/>
            <w:hideMark/>
          </w:tcPr>
          <w:p w:rsidR="00D0725B" w:rsidRPr="005A0615" w:rsidRDefault="00D0725B" w:rsidP="003A34F3">
            <w:pPr>
              <w:pStyle w:val="NoSpacing"/>
              <w:spacing w:line="276" w:lineRule="auto"/>
              <w:jc w:val="center"/>
              <w:rPr>
                <w:sz w:val="24"/>
              </w:rPr>
            </w:pPr>
            <w:r>
              <w:rPr>
                <w:sz w:val="24"/>
              </w:rPr>
              <w:t>?</w:t>
            </w:r>
          </w:p>
        </w:tc>
      </w:tr>
    </w:tbl>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r>
        <w:rPr>
          <w:sz w:val="24"/>
        </w:rPr>
        <w:t>Again, the interest rate is 0. KeenScreen still has the same valuation: 1,400 points.</w:t>
      </w:r>
      <w:r>
        <w:rPr>
          <w:sz w:val="24"/>
        </w:rPr>
        <w:br/>
      </w:r>
      <w:r>
        <w:rPr>
          <w:sz w:val="24"/>
        </w:rPr>
        <w:br/>
        <w:t>InnovaTV has assured you that if you do not agree to this joint venture, it will approach one of your interested competitors, therefore disabling you from doing any project related to UltraHD.</w:t>
      </w:r>
    </w:p>
    <w:p w:rsidR="00D0725B" w:rsidRDefault="00D0725B" w:rsidP="00D0725B">
      <w:pPr>
        <w:pStyle w:val="NoSpacing"/>
        <w:jc w:val="both"/>
        <w:rPr>
          <w:sz w:val="24"/>
        </w:rPr>
      </w:pPr>
    </w:p>
    <w:p w:rsidR="00D0725B" w:rsidRDefault="00D0725B" w:rsidP="00D0725B">
      <w:pPr>
        <w:pStyle w:val="NoSpacing"/>
        <w:spacing w:line="276" w:lineRule="auto"/>
        <w:jc w:val="both"/>
        <w:rPr>
          <w:sz w:val="24"/>
        </w:rPr>
      </w:pPr>
      <w:r>
        <w:rPr>
          <w:sz w:val="24"/>
        </w:rPr>
        <w:br/>
        <w:t xml:space="preserve">The board of directors asks you to evaluate the offer: </w:t>
      </w:r>
      <w:r>
        <w:rPr>
          <w:b/>
          <w:sz w:val="24"/>
        </w:rPr>
        <w:t>how much are you willing to pay for the license?</w:t>
      </w:r>
    </w:p>
    <w:p w:rsidR="00D0725B" w:rsidRDefault="00D0725B" w:rsidP="00D0725B">
      <w:pPr>
        <w:pStyle w:val="NoSpacing"/>
        <w:pBdr>
          <w:bottom w:val="single" w:sz="12" w:space="1" w:color="auto"/>
        </w:pBdr>
        <w:spacing w:line="276" w:lineRule="auto"/>
        <w:jc w:val="both"/>
        <w:rPr>
          <w:sz w:val="24"/>
        </w:rPr>
      </w:pPr>
    </w:p>
    <w:p w:rsidR="00D0725B" w:rsidRDefault="00D0725B" w:rsidP="00D0725B">
      <w:pPr>
        <w:pStyle w:val="NoSpacing"/>
        <w:spacing w:line="276" w:lineRule="auto"/>
        <w:jc w:val="both"/>
        <w:rPr>
          <w:sz w:val="24"/>
        </w:rPr>
      </w:pPr>
      <w:r>
        <w:rPr>
          <w:sz w:val="24"/>
        </w:rPr>
        <w:t>Your board of directors has given a negative advice concerning InnovaTV’s offer. They propose a counterbid for you which has the same characteristics as the previous bid, but now the clause should entail the possibility to buy InnovaTV’s 50% shares at the end of t=7 or any other moment later.</w:t>
      </w:r>
    </w:p>
    <w:p w:rsidR="00D0725B" w:rsidRPr="00E230E1" w:rsidRDefault="009966E0" w:rsidP="00D0725B">
      <w:pPr>
        <w:pStyle w:val="NoSpacing"/>
        <w:spacing w:line="276" w:lineRule="auto"/>
        <w:jc w:val="both"/>
        <w:rPr>
          <w:sz w:val="24"/>
        </w:rPr>
      </w:pPr>
      <w:r w:rsidRPr="009966E0">
        <w:rPr>
          <w:noProof/>
        </w:rPr>
        <w:pict>
          <v:shapetype id="_x0000_t32" coordsize="21600,21600" o:spt="32" o:oned="t" path="m,l21600,21600e" filled="f">
            <v:path arrowok="t" fillok="f" o:connecttype="none"/>
            <o:lock v:ext="edit" shapetype="t"/>
          </v:shapetype>
          <v:shape id="Rechte verbindingslijn met pijl 14" o:spid="_x0000_s1062" type="#_x0000_t32" style="position:absolute;left:0;text-align:left;margin-left:394.45pt;margin-top:13.8pt;width:86.25pt;height:.7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wYGTQIAAJYEAAAOAAAAZHJzL2Uyb0RvYy54bWysVNuO0zAQfUfiHyy/t0m6abeNmq5Q0vKy&#10;QMUuH+DaTuPFsS3bbVoh/p2xe1kKQkKIPDh2PHNm5syZzB8OnUR7bp3QqsTZMMWIK6qZUNsSf3le&#10;DaYYOU8UI1IrXuIjd/hh8fbNvDcFH+lWS8YtAhDlit6UuPXeFEniaMs74obacAWXjbYd8XC024RZ&#10;0gN6J5NRmk6SXltmrKbcOfhany7xIuI3Daf+U9M47pEsMeTm42rjuglrspiTYmuJaQU9p0H+IYuO&#10;CAVBr1A18QTtrPgNqhPUaqcbP6S6S3TTCMpjDVBNlv5SzVNLDI+1ADnOXGly/w+WftyvLRIMepdj&#10;pEgHPfrMaet56OpGqNBJJ8WLQh2waMSLRGAJtPXGFeBdqbUNhdODejKPmn51SOmqJWrLY/rPRwOQ&#10;WfBIblzCwRkIvuk/aAY2ZOd15PDQ2C5AAjvoEFt1vLaKHzyi8DFLZ+O7+zFGFO5m49E4BiDFxddY&#10;599z3aGwKbHzloht6yutFGhC2yxGIvtH50NmpLg4hMBKr4SUURpSof4cINw4LQULl/Fgt5tKWrQn&#10;QVzxOWdxY2b1TrEI1nLCloohHzlRMBA4oHecYSQ5zE/YRUtPhHy19FYAn/IP1pC8VCEf4AbKOe9O&#10;6vs2S2fL6XKaD/LRZDnI07oevFtV+WCyyu7H9V1dVXX2PXCR5UUrGOMqVHeZhCz/O6WdZ/Kk4ess&#10;XGlMbtEj35Ds5R2TjuIIejgpa6PZcW1Da4JOQPzR+DyoYbp+Pker19/J4gcAAAD//wMAUEsDBBQA&#10;BgAIAAAAIQBxE6yk4QAAAAkBAAAPAAAAZHJzL2Rvd25yZXYueG1sTI/BTsMwDIbvSLxDZCRuLO2E&#10;srY0nYAJ0QuT2NC0Y9aEpqJxqibbOp4ec4Kj7U+/v79cTq5nJzOGzqOEdJYAM9h43WEr4WP7cpcB&#10;C1GhVr1HI+FiAiyr66tSFdqf8d2cNrFlFIKhUBJsjEPBeWiscSrM/GCQbp9+dCrSOLZcj+pM4a7n&#10;8yQR3KkO6YNVg3m2pvnaHJ2EuNpfrNg1T3m33r6+ie67ruuVlLc30+MDsGim+AfDrz6pQ0VOB39E&#10;HVgvYZFlOaES5gsBjIBcpPfADrTIU+BVyf83qH4AAAD//wMAUEsBAi0AFAAGAAgAAAAhALaDOJL+&#10;AAAA4QEAABMAAAAAAAAAAAAAAAAAAAAAAFtDb250ZW50X1R5cGVzXS54bWxQSwECLQAUAAYACAAA&#10;ACEAOP0h/9YAAACUAQAACwAAAAAAAAAAAAAAAAAvAQAAX3JlbHMvLnJlbHNQSwECLQAUAAYACAAA&#10;ACEAWxMGBk0CAACWBAAADgAAAAAAAAAAAAAAAAAuAgAAZHJzL2Uyb0RvYy54bWxQSwECLQAUAAYA&#10;CAAAACEAcROspOEAAAAJAQAADwAAAAAAAAAAAAAAAACnBAAAZHJzL2Rvd25yZXYueG1sUEsFBgAA&#10;AAAEAAQA8wAAALUFAAAAAA==&#10;">
            <v:stroke endarrow="block"/>
          </v:shape>
        </w:pict>
      </w:r>
      <w:r w:rsidRPr="009966E0">
        <w:rPr>
          <w:noProof/>
          <w:color w:val="FF0000"/>
        </w:rPr>
        <w:pict>
          <v:line id="Rechte verbindingslijn 13" o:spid="_x0000_s1063" style="position:absolute;left:0;text-align:left;z-index:-251651072;visibility:visible;mso-wrap-distance-left:3.17489mm;mso-wrap-distance-right:3.17489mm" from="394.4pt,13.8pt" to="394.4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rwh3QEAAKoDAAAOAAAAZHJzL2Uyb0RvYy54bWysU8tu2zAQvBfoPxC811LcpEgFyznESC9B&#10;azTpB6wpUmLLF7isJf99l5TtOu0tiA4EyeXO7syOVneTNWwvI2rvWn61qDmTTvhOu77lP54fPtxy&#10;hglcB8Y72fKDRH63fv9uNYZGLv3gTScjIxCHzRhaPqQUmqpCMUgLuPBBOgoqHy0kOsa+6iKMhG5N&#10;tazrT9XoYxeiFxKRbjdzkK8LvlJSpG9KoUzMtJx6S2WNZd3ltVqvoOkjhEGLYxvwii4saEdFz1Ab&#10;SMB+R/0flNUievQqLYS3lVdKC1k4EJur+h82TwMEWbiQOBjOMuHbwYqv+21kuqPZfeTMgaUZfZdi&#10;SDJPdaddniQa/dMxekBqjQEbSrp325j5isk9hUcvfiHFqhfBfMAwP5tUtPk5EWZTUf9wVl9OiYn5&#10;UtDt9fLm+qYMpoLmlBcipi/SW5Y3LTfaZV2ggf0jplwZmtOTfO38gzamzNY4NhK5zzVhMgFkMWUg&#10;0dYGIo2u5wxMT94VKRZI9EZ3OT0D4QHvTWR7IPuQ6zo/PlO7nBnARAHiUL4sDLXwIjX3swEc5uQS&#10;mt1mdSLLG21bfnuZbVyuKItpj6z+Sph3O98dtvGkMxmiFD2aNzvu8kz7y19s/QcAAP//AwBQSwME&#10;FAAGAAgAAAAhAFJqwaLfAAAACQEAAA8AAABkcnMvZG93bnJldi54bWxMj0FLw0AQhe8F/8MyBW/t&#10;piWkacymqFAED4JVweMmOybR7GzIbtLor3fEgx7nzZv3vskPs+3EhINvHSnYrCMQSJUzLdUKnp+O&#10;qxSED5qM7hyhgk/0cCguFrnOjDvTI06nUAsOIZ9pBU0IfSalrxq02q9dj8S7NzdYHXgcamkGfeZw&#10;28ltFCXS6pa4odE93jZYfZxGyxj263jX3uznB/mO98n0Er+OZazU5XK+vgIRcA5/ZvjB5xsomKl0&#10;IxkvOgW7NGX0oGC7S0Cw4VcoFezjBGSRy/8fFN8AAAD//wMAUEsBAi0AFAAGAAgAAAAhALaDOJL+&#10;AAAA4QEAABMAAAAAAAAAAAAAAAAAAAAAAFtDb250ZW50X1R5cGVzXS54bWxQSwECLQAUAAYACAAA&#10;ACEAOP0h/9YAAACUAQAACwAAAAAAAAAAAAAAAAAvAQAAX3JlbHMvLnJlbHNQSwECLQAUAAYACAAA&#10;ACEAZWq8Id0BAACqAwAADgAAAAAAAAAAAAAAAAAuAgAAZHJzL2Uyb0RvYy54bWxQSwECLQAUAAYA&#10;CAAAACEAUmrBot8AAAAJAQAADwAAAAAAAAAAAAAAAAA3BAAAZHJzL2Rvd25yZXYueG1sUEsFBgAA&#10;AAAEAAQA8wAAAEMFAAAAAA==&#10;" strokecolor="windowText" strokeweight="1.5pt">
            <v:stroke joinstyle="miter"/>
            <o:lock v:ext="edit" shapetype="f"/>
          </v:line>
        </w:pict>
      </w:r>
      <w:r w:rsidRPr="009966E0">
        <w:rPr>
          <w:noProof/>
        </w:rPr>
        <w:pict>
          <v:shape id="Tekstvak 12" o:spid="_x0000_s1064" type="#_x0000_t202" style="position:absolute;left:0;text-align:left;margin-left:392.25pt;margin-top:11.55pt;width:110.65pt;height:39.55pt;z-index:-25165004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3LeJAIAACQEAAAOAAAAZHJzL2Uyb0RvYy54bWysU9tu2zAMfR+wfxD0vtjx4i014hRdugwD&#10;ugvQ7gNoWY6FyKInKbG7ry8lp2m2vQ3zgyCa5OHhIbW6HjvNjtI6habk81nKmTQCa2V2Jf/xsH2z&#10;5Mx5MDVoNLLkj9Lx6/XrV6uhL2SGLepaWkYgxhVDX/LW+75IEida2YGbYS8NORu0HXgy7S6pLQyE&#10;3ukkS9N3yYC27i0K6Rz9vZ2cfB3xm0YK/61pnPRMl5y4+XjaeFbhTNYrKHYW+laJEw34BxYdKENF&#10;z1C34IEdrPoLqlPCosPGzwR2CTaNEjL2QN3M0z+6uW+hl7EXEsf1Z5nc/4MVX4/fLVM1zS7jzEBH&#10;M3qQe+ePsGf0i/QZeldQ2H1PgX78gCPFxl5df4di75jBTQtmJ2+sxaGVUBO/echMLlInHBdAquEL&#10;1lQHDh4j0NjYLohHcjBCpzk9nmcjR89EKLlI8yzPORPky9MsW+axBBTP2b11/pPEjoVLyS3NPqLD&#10;8c75wAaK55BQzKFW9VZpHQ27qzbasiPQnmzjd0L/LUwbNpT8iohEZIMhP65QpzztsVZdyZdp+EI6&#10;FEGNj6aOdw9KT3dios1JnqDIpI0fqzFO4m3IDdJVWD+SXhantaVnRpcW7S/OBlrZkrufB7CSM/3Z&#10;kOZX88Ui7Hg0Fvn7jAx76akuPWAEQZXcczZdNz6+i0Db4A3NplFRthcmJ8q0ilHN07MJu35px6iX&#10;x71+AgAA//8DAFBLAwQUAAYACAAAACEADe5uat8AAAALAQAADwAAAGRycy9kb3ducmV2LnhtbEyP&#10;wU6DQBCG7ya+w2ZMvBi7FEtpKUujJhqvrX2AgZ0CkZ0l7LbQt3c56W0m8+Wf78/3k+nElQbXWlaw&#10;XEQgiCurW64VnL4/njcgnEfW2FkmBTdysC/u73LMtB35QNejr0UIYZehgsb7PpPSVQ0ZdAvbE4fb&#10;2Q4GfViHWuoBxxBuOhlH0VoabDl8aLCn94aqn+PFKDh/jU/Jdiw//Sk9rNZv2KalvSn1+DC97kB4&#10;mvwfDLN+UIciOJX2wtqJTkG6WSUBVRC/LEHMQBQloUw5T3EMssjl/w7FLwAAAP//AwBQSwECLQAU&#10;AAYACAAAACEAtoM4kv4AAADhAQAAEwAAAAAAAAAAAAAAAAAAAAAAW0NvbnRlbnRfVHlwZXNdLnht&#10;bFBLAQItABQABgAIAAAAIQA4/SH/1gAAAJQBAAALAAAAAAAAAAAAAAAAAC8BAABfcmVscy8ucmVs&#10;c1BLAQItABQABgAIAAAAIQALN3LeJAIAACQEAAAOAAAAAAAAAAAAAAAAAC4CAABkcnMvZTJvRG9j&#10;LnhtbFBLAQItABQABgAIAAAAIQAN7m5q3wAAAAsBAAAPAAAAAAAAAAAAAAAAAH4EAABkcnMvZG93&#10;bnJldi54bWxQSwUGAAAAAAQABADzAAAAigUAAAAA&#10;" stroked="f">
            <v:textbox style="mso-next-textbox:#Tekstvak 12">
              <w:txbxContent>
                <w:p w:rsidR="004A48E4" w:rsidRPr="00D0725B" w:rsidRDefault="004A48E4" w:rsidP="00D0725B">
                  <w:pPr>
                    <w:rPr>
                      <w:lang w:val="en-GB"/>
                    </w:rPr>
                  </w:pPr>
                  <w:r w:rsidRPr="00D0725B">
                    <w:rPr>
                      <w:lang w:val="en-GB"/>
                    </w:rPr>
                    <w:t>Possibility to invoke clause for -25</w:t>
                  </w:r>
                </w:p>
              </w:txbxContent>
            </v:textbox>
          </v:shape>
        </w:pict>
      </w:r>
    </w:p>
    <w:p w:rsidR="00D0725B" w:rsidRPr="00D0725B" w:rsidRDefault="00D0725B" w:rsidP="00D0725B">
      <w:pPr>
        <w:spacing w:after="0" w:line="240" w:lineRule="auto"/>
        <w:jc w:val="both"/>
        <w:rPr>
          <w:b/>
          <w:color w:val="000000" w:themeColor="text1"/>
          <w:sz w:val="24"/>
          <w:lang w:val="en-GB"/>
        </w:rPr>
      </w:pPr>
    </w:p>
    <w:p w:rsidR="00D0725B" w:rsidRPr="00D0725B" w:rsidRDefault="00D0725B" w:rsidP="00D0725B">
      <w:pPr>
        <w:spacing w:after="0" w:line="240" w:lineRule="auto"/>
        <w:jc w:val="both"/>
        <w:rPr>
          <w:b/>
          <w:color w:val="000000" w:themeColor="text1"/>
          <w:sz w:val="24"/>
          <w:lang w:val="en-GB"/>
        </w:rPr>
      </w:pPr>
    </w:p>
    <w:tbl>
      <w:tblPr>
        <w:tblStyle w:val="Tabelraster1"/>
        <w:tblW w:w="9648" w:type="dxa"/>
        <w:tblLook w:val="04A0"/>
      </w:tblPr>
      <w:tblGrid>
        <w:gridCol w:w="1525"/>
        <w:gridCol w:w="833"/>
        <w:gridCol w:w="722"/>
        <w:gridCol w:w="960"/>
        <w:gridCol w:w="960"/>
        <w:gridCol w:w="960"/>
        <w:gridCol w:w="960"/>
        <w:gridCol w:w="960"/>
        <w:gridCol w:w="1768"/>
      </w:tblGrid>
      <w:tr w:rsidR="00D0725B" w:rsidRPr="0025540F" w:rsidTr="003A34F3">
        <w:trPr>
          <w:trHeight w:val="300"/>
        </w:trPr>
        <w:tc>
          <w:tcPr>
            <w:tcW w:w="1525" w:type="dxa"/>
            <w:noWrap/>
            <w:hideMark/>
          </w:tcPr>
          <w:p w:rsidR="00D0725B" w:rsidRPr="0025540F" w:rsidRDefault="00D0725B" w:rsidP="003A34F3">
            <w:pPr>
              <w:jc w:val="both"/>
              <w:rPr>
                <w:b/>
                <w:color w:val="000000" w:themeColor="text1"/>
                <w:sz w:val="24"/>
              </w:rPr>
            </w:pPr>
          </w:p>
        </w:tc>
        <w:tc>
          <w:tcPr>
            <w:tcW w:w="833"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t=1</w:t>
            </w:r>
          </w:p>
        </w:tc>
        <w:tc>
          <w:tcPr>
            <w:tcW w:w="722"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t=2</w:t>
            </w:r>
          </w:p>
        </w:tc>
        <w:tc>
          <w:tcPr>
            <w:tcW w:w="960"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t=3</w:t>
            </w:r>
          </w:p>
        </w:tc>
        <w:tc>
          <w:tcPr>
            <w:tcW w:w="960"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t=4</w:t>
            </w:r>
          </w:p>
        </w:tc>
        <w:tc>
          <w:tcPr>
            <w:tcW w:w="960"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t=5</w:t>
            </w:r>
          </w:p>
        </w:tc>
        <w:tc>
          <w:tcPr>
            <w:tcW w:w="960"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t=6</w:t>
            </w:r>
          </w:p>
        </w:tc>
        <w:tc>
          <w:tcPr>
            <w:tcW w:w="960"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t=7</w:t>
            </w:r>
          </w:p>
        </w:tc>
        <w:tc>
          <w:tcPr>
            <w:tcW w:w="1768" w:type="dxa"/>
            <w:noWrap/>
            <w:hideMark/>
          </w:tcPr>
          <w:p w:rsidR="00D0725B" w:rsidRPr="0025540F" w:rsidRDefault="00D0725B" w:rsidP="003A34F3">
            <w:pPr>
              <w:jc w:val="center"/>
              <w:rPr>
                <w:b/>
                <w:bCs/>
                <w:color w:val="000000" w:themeColor="text1"/>
                <w:sz w:val="24"/>
              </w:rPr>
            </w:pPr>
            <w:r w:rsidRPr="0025540F">
              <w:rPr>
                <w:b/>
                <w:bCs/>
                <w:color w:val="000000" w:themeColor="text1"/>
                <w:sz w:val="24"/>
              </w:rPr>
              <w:t>Horizon value</w:t>
            </w:r>
          </w:p>
        </w:tc>
      </w:tr>
      <w:tr w:rsidR="00D0725B" w:rsidRPr="0025540F" w:rsidTr="003A34F3">
        <w:trPr>
          <w:trHeight w:val="300"/>
        </w:trPr>
        <w:tc>
          <w:tcPr>
            <w:tcW w:w="1525" w:type="dxa"/>
            <w:noWrap/>
            <w:hideMark/>
          </w:tcPr>
          <w:p w:rsidR="00D0725B" w:rsidRPr="0025540F" w:rsidRDefault="00D0725B" w:rsidP="003A34F3">
            <w:pPr>
              <w:jc w:val="both"/>
              <w:rPr>
                <w:b/>
                <w:bCs/>
                <w:color w:val="000000" w:themeColor="text1"/>
                <w:sz w:val="24"/>
              </w:rPr>
            </w:pPr>
            <w:r w:rsidRPr="0025540F">
              <w:rPr>
                <w:b/>
                <w:bCs/>
                <w:color w:val="000000" w:themeColor="text1"/>
                <w:sz w:val="24"/>
              </w:rPr>
              <w:t>Cash flow</w:t>
            </w:r>
          </w:p>
        </w:tc>
        <w:tc>
          <w:tcPr>
            <w:tcW w:w="833" w:type="dxa"/>
            <w:noWrap/>
            <w:hideMark/>
          </w:tcPr>
          <w:p w:rsidR="00D0725B" w:rsidRPr="0025540F" w:rsidRDefault="00D0725B" w:rsidP="003A34F3">
            <w:pPr>
              <w:jc w:val="center"/>
              <w:rPr>
                <w:color w:val="000000" w:themeColor="text1"/>
                <w:sz w:val="24"/>
              </w:rPr>
            </w:pPr>
            <w:r w:rsidRPr="0025540F">
              <w:rPr>
                <w:color w:val="000000" w:themeColor="text1"/>
                <w:sz w:val="24"/>
              </w:rPr>
              <w:t>-25</w:t>
            </w:r>
          </w:p>
        </w:tc>
        <w:tc>
          <w:tcPr>
            <w:tcW w:w="722" w:type="dxa"/>
            <w:noWrap/>
            <w:hideMark/>
          </w:tcPr>
          <w:p w:rsidR="00D0725B" w:rsidRPr="0025540F" w:rsidRDefault="00D0725B" w:rsidP="003A34F3">
            <w:pPr>
              <w:jc w:val="center"/>
              <w:rPr>
                <w:color w:val="000000" w:themeColor="text1"/>
                <w:sz w:val="24"/>
              </w:rPr>
            </w:pPr>
            <w:r w:rsidRPr="0025540F">
              <w:rPr>
                <w:color w:val="000000" w:themeColor="text1"/>
                <w:sz w:val="24"/>
              </w:rPr>
              <w:t>5</w:t>
            </w:r>
          </w:p>
        </w:tc>
        <w:tc>
          <w:tcPr>
            <w:tcW w:w="960" w:type="dxa"/>
            <w:noWrap/>
            <w:hideMark/>
          </w:tcPr>
          <w:p w:rsidR="00D0725B" w:rsidRPr="0025540F" w:rsidRDefault="00D0725B" w:rsidP="003A34F3">
            <w:pPr>
              <w:jc w:val="center"/>
              <w:rPr>
                <w:color w:val="000000" w:themeColor="text1"/>
                <w:sz w:val="24"/>
              </w:rPr>
            </w:pPr>
            <w:r w:rsidRPr="0025540F">
              <w:rPr>
                <w:color w:val="000000" w:themeColor="text1"/>
                <w:sz w:val="24"/>
              </w:rPr>
              <w:t>7.5</w:t>
            </w:r>
          </w:p>
        </w:tc>
        <w:tc>
          <w:tcPr>
            <w:tcW w:w="960" w:type="dxa"/>
            <w:noWrap/>
            <w:hideMark/>
          </w:tcPr>
          <w:p w:rsidR="00D0725B" w:rsidRPr="0025540F" w:rsidRDefault="00D0725B" w:rsidP="003A34F3">
            <w:pPr>
              <w:jc w:val="center"/>
              <w:rPr>
                <w:color w:val="000000" w:themeColor="text1"/>
                <w:sz w:val="24"/>
              </w:rPr>
            </w:pPr>
            <w:r w:rsidRPr="0025540F">
              <w:rPr>
                <w:color w:val="000000" w:themeColor="text1"/>
                <w:sz w:val="24"/>
              </w:rPr>
              <w:t>5</w:t>
            </w:r>
          </w:p>
        </w:tc>
        <w:tc>
          <w:tcPr>
            <w:tcW w:w="960" w:type="dxa"/>
            <w:noWrap/>
            <w:hideMark/>
          </w:tcPr>
          <w:p w:rsidR="00D0725B" w:rsidRPr="0025540F" w:rsidRDefault="00D0725B" w:rsidP="003A34F3">
            <w:pPr>
              <w:jc w:val="center"/>
              <w:rPr>
                <w:color w:val="000000" w:themeColor="text1"/>
                <w:sz w:val="24"/>
              </w:rPr>
            </w:pPr>
            <w:r w:rsidRPr="0025540F">
              <w:rPr>
                <w:color w:val="000000" w:themeColor="text1"/>
                <w:sz w:val="24"/>
              </w:rPr>
              <w:t>2.5</w:t>
            </w:r>
          </w:p>
        </w:tc>
        <w:tc>
          <w:tcPr>
            <w:tcW w:w="960" w:type="dxa"/>
            <w:noWrap/>
            <w:hideMark/>
          </w:tcPr>
          <w:p w:rsidR="00D0725B" w:rsidRPr="0025540F" w:rsidRDefault="00D0725B" w:rsidP="003A34F3">
            <w:pPr>
              <w:jc w:val="center"/>
              <w:rPr>
                <w:color w:val="000000" w:themeColor="text1"/>
                <w:sz w:val="24"/>
              </w:rPr>
            </w:pPr>
            <w:r w:rsidRPr="0025540F">
              <w:rPr>
                <w:color w:val="000000" w:themeColor="text1"/>
                <w:sz w:val="24"/>
              </w:rPr>
              <w:t>10</w:t>
            </w:r>
          </w:p>
        </w:tc>
        <w:tc>
          <w:tcPr>
            <w:tcW w:w="960" w:type="dxa"/>
            <w:noWrap/>
            <w:hideMark/>
          </w:tcPr>
          <w:p w:rsidR="00D0725B" w:rsidRPr="0025540F" w:rsidRDefault="00D0725B" w:rsidP="003A34F3">
            <w:pPr>
              <w:jc w:val="center"/>
              <w:rPr>
                <w:color w:val="000000" w:themeColor="text1"/>
                <w:sz w:val="24"/>
              </w:rPr>
            </w:pPr>
            <w:r w:rsidRPr="0025540F">
              <w:rPr>
                <w:color w:val="000000" w:themeColor="text1"/>
                <w:sz w:val="24"/>
              </w:rPr>
              <w:t>5</w:t>
            </w:r>
          </w:p>
        </w:tc>
        <w:tc>
          <w:tcPr>
            <w:tcW w:w="1768" w:type="dxa"/>
            <w:noWrap/>
            <w:hideMark/>
          </w:tcPr>
          <w:p w:rsidR="00D0725B" w:rsidRPr="0025540F" w:rsidRDefault="00D0725B" w:rsidP="003A34F3">
            <w:pPr>
              <w:jc w:val="center"/>
              <w:rPr>
                <w:color w:val="000000" w:themeColor="text1"/>
                <w:sz w:val="24"/>
              </w:rPr>
            </w:pPr>
            <w:r w:rsidRPr="0025540F">
              <w:rPr>
                <w:color w:val="000000" w:themeColor="text1"/>
                <w:sz w:val="24"/>
              </w:rPr>
              <w:t>?</w:t>
            </w:r>
          </w:p>
        </w:tc>
      </w:tr>
      <w:tr w:rsidR="00D0725B" w:rsidRPr="0025540F" w:rsidTr="003A34F3">
        <w:trPr>
          <w:gridAfter w:val="7"/>
          <w:wAfter w:w="7290" w:type="dxa"/>
          <w:trHeight w:val="300"/>
        </w:trPr>
        <w:tc>
          <w:tcPr>
            <w:tcW w:w="1525" w:type="dxa"/>
            <w:noWrap/>
            <w:hideMark/>
          </w:tcPr>
          <w:p w:rsidR="00D0725B" w:rsidRPr="0025540F" w:rsidRDefault="00D0725B" w:rsidP="003A34F3">
            <w:pPr>
              <w:jc w:val="both"/>
              <w:rPr>
                <w:b/>
                <w:bCs/>
                <w:color w:val="000000" w:themeColor="text1"/>
                <w:sz w:val="24"/>
              </w:rPr>
            </w:pPr>
            <w:r w:rsidRPr="0025540F">
              <w:rPr>
                <w:b/>
                <w:bCs/>
                <w:color w:val="000000" w:themeColor="text1"/>
                <w:sz w:val="24"/>
              </w:rPr>
              <w:t>License fee</w:t>
            </w:r>
          </w:p>
        </w:tc>
        <w:tc>
          <w:tcPr>
            <w:tcW w:w="833" w:type="dxa"/>
            <w:noWrap/>
            <w:hideMark/>
          </w:tcPr>
          <w:p w:rsidR="00D0725B" w:rsidRPr="0025540F" w:rsidRDefault="00D0725B" w:rsidP="003A34F3">
            <w:pPr>
              <w:jc w:val="center"/>
              <w:rPr>
                <w:color w:val="000000" w:themeColor="text1"/>
                <w:sz w:val="24"/>
              </w:rPr>
            </w:pPr>
            <w:r w:rsidRPr="0025540F">
              <w:rPr>
                <w:color w:val="000000" w:themeColor="text1"/>
                <w:sz w:val="24"/>
              </w:rPr>
              <w:t>?</w:t>
            </w:r>
          </w:p>
        </w:tc>
      </w:tr>
    </w:tbl>
    <w:p w:rsidR="00D0725B" w:rsidRPr="001009F8" w:rsidRDefault="00D0725B" w:rsidP="00D0725B">
      <w:pPr>
        <w:pStyle w:val="NoSpacing"/>
        <w:spacing w:line="276" w:lineRule="auto"/>
        <w:jc w:val="both"/>
        <w:rPr>
          <w:b/>
          <w:sz w:val="24"/>
        </w:rPr>
      </w:pPr>
      <w:r>
        <w:rPr>
          <w:sz w:val="24"/>
        </w:rPr>
        <w:lastRenderedPageBreak/>
        <w:br/>
      </w:r>
      <w:r>
        <w:rPr>
          <w:sz w:val="24"/>
        </w:rPr>
        <w:br/>
      </w:r>
      <w:r w:rsidRPr="001009F8">
        <w:rPr>
          <w:sz w:val="24"/>
        </w:rPr>
        <w:t xml:space="preserve">You are asked to convey this new proposition to InnovaTV, together with your offer for the license under the renewed circumstances. </w:t>
      </w:r>
      <w:r>
        <w:rPr>
          <w:b/>
          <w:sz w:val="24"/>
        </w:rPr>
        <w:t>How much are you willing to offer for the license under these circumstances?</w:t>
      </w:r>
    </w:p>
    <w:p w:rsidR="00D0725B" w:rsidRDefault="00D0725B" w:rsidP="00D0725B">
      <w:pPr>
        <w:pStyle w:val="NoSpacing"/>
        <w:pBdr>
          <w:bottom w:val="single" w:sz="12" w:space="1" w:color="auto"/>
        </w:pBdr>
        <w:spacing w:line="276" w:lineRule="auto"/>
        <w:jc w:val="both"/>
        <w:rPr>
          <w:sz w:val="24"/>
        </w:rPr>
      </w:pPr>
    </w:p>
    <w:p w:rsidR="00D0725B" w:rsidRDefault="00D0725B" w:rsidP="00D0725B">
      <w:pPr>
        <w:pStyle w:val="NoSpacing"/>
        <w:jc w:val="both"/>
        <w:rPr>
          <w:b/>
          <w:sz w:val="24"/>
          <w:u w:val="single"/>
        </w:rPr>
      </w:pPr>
    </w:p>
    <w:p w:rsidR="00D0725B" w:rsidRDefault="00D0725B" w:rsidP="00D0725B">
      <w:pPr>
        <w:pStyle w:val="NoSpacing"/>
        <w:jc w:val="both"/>
        <w:rPr>
          <w:b/>
          <w:sz w:val="24"/>
          <w:u w:val="single"/>
        </w:rPr>
      </w:pPr>
    </w:p>
    <w:p w:rsidR="00D0725B" w:rsidRDefault="00D0725B" w:rsidP="00D0725B">
      <w:pPr>
        <w:pStyle w:val="NoSpacing"/>
        <w:jc w:val="both"/>
        <w:rPr>
          <w:b/>
          <w:sz w:val="24"/>
          <w:u w:val="single"/>
        </w:rPr>
      </w:pPr>
      <w:r>
        <w:rPr>
          <w:b/>
          <w:sz w:val="24"/>
          <w:u w:val="single"/>
        </w:rPr>
        <w:t>Part Three</w:t>
      </w:r>
      <w:r w:rsidR="001F5E5F">
        <w:rPr>
          <w:b/>
          <w:sz w:val="24"/>
          <w:u w:val="single"/>
        </w:rPr>
        <w:t>:</w:t>
      </w:r>
    </w:p>
    <w:p w:rsidR="00D0725B" w:rsidRDefault="00D0725B" w:rsidP="00D0725B">
      <w:pPr>
        <w:pStyle w:val="NoSpacing"/>
        <w:spacing w:line="276" w:lineRule="auto"/>
        <w:jc w:val="both"/>
        <w:rPr>
          <w:sz w:val="24"/>
        </w:rPr>
      </w:pPr>
      <w:r>
        <w:rPr>
          <w:sz w:val="24"/>
        </w:rPr>
        <w:t xml:space="preserve">Before the auction takes place, your R&amp;D department informs you about possible opportunities the production of UltraHD TV’s provides for your </w:t>
      </w:r>
      <w:r w:rsidR="00CF4A13">
        <w:rPr>
          <w:sz w:val="24"/>
        </w:rPr>
        <w:t>smart phone</w:t>
      </w:r>
      <w:r>
        <w:rPr>
          <w:sz w:val="24"/>
        </w:rPr>
        <w:t xml:space="preserve"> screen product line. If you don’t possess the license to produce TV’s with the UltraHD technology, you will not build the know-how necessary to implement this technology in the production of </w:t>
      </w:r>
      <w:r w:rsidR="00CF4A13">
        <w:rPr>
          <w:sz w:val="24"/>
        </w:rPr>
        <w:t>smart phone</w:t>
      </w:r>
      <w:r>
        <w:rPr>
          <w:sz w:val="24"/>
        </w:rPr>
        <w:t xml:space="preserve"> screens. At this point in time (t=1) it is uncertain whether this technology will prove to be the new standard for </w:t>
      </w:r>
      <w:r w:rsidR="00CF4A13">
        <w:rPr>
          <w:sz w:val="24"/>
        </w:rPr>
        <w:t>smart phone</w:t>
      </w:r>
      <w:r>
        <w:rPr>
          <w:sz w:val="24"/>
        </w:rPr>
        <w:t xml:space="preserve"> screens, or if the economic demand for </w:t>
      </w:r>
      <w:r w:rsidR="00CF4A13">
        <w:rPr>
          <w:sz w:val="24"/>
        </w:rPr>
        <w:t>smart phone</w:t>
      </w:r>
      <w:r>
        <w:rPr>
          <w:sz w:val="24"/>
        </w:rPr>
        <w:t xml:space="preserve"> will differ from the current demand. Therefore, the potential cash flows of the UltraHD Smartphone project are prone to uncertainty. </w:t>
      </w: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r>
        <w:rPr>
          <w:sz w:val="24"/>
        </w:rPr>
        <w:t xml:space="preserve">Your marketing department has made a crude estimation about the potential of this UltraHD Smartphone project. They establish that the know-how required to implement this technology in the </w:t>
      </w:r>
      <w:r w:rsidR="00CF4A13">
        <w:rPr>
          <w:sz w:val="24"/>
        </w:rPr>
        <w:t>smart phone</w:t>
      </w:r>
      <w:r>
        <w:rPr>
          <w:sz w:val="24"/>
        </w:rPr>
        <w:t xml:space="preserve"> product line will be readily available at the beginning of t=5. If the market for this new </w:t>
      </w:r>
      <w:r w:rsidR="00CF4A13">
        <w:rPr>
          <w:sz w:val="24"/>
        </w:rPr>
        <w:t>smart phone</w:t>
      </w:r>
      <w:r>
        <w:rPr>
          <w:sz w:val="24"/>
        </w:rPr>
        <w:t xml:space="preserve"> technology turns out to be favorable, this project will be twice the size of the project UltraHD TV’s. The probability for a favorable state of the market is expected to be 20%. If the market turns out to be unfavorable (with a probability of 80%), investing in this project will result in a yearly loss of 10 for ten consecutive years, after an initial outlay of 100.</w:t>
      </w:r>
    </w:p>
    <w:p w:rsidR="00D0725B" w:rsidRDefault="00D0725B" w:rsidP="00D0725B">
      <w:pPr>
        <w:pStyle w:val="NoSpacing"/>
        <w:spacing w:line="276" w:lineRule="auto"/>
        <w:jc w:val="both"/>
        <w:rPr>
          <w:sz w:val="24"/>
        </w:rPr>
      </w:pPr>
    </w:p>
    <w:p w:rsidR="00D0725B" w:rsidRDefault="00D0725B" w:rsidP="00D0725B">
      <w:pPr>
        <w:pStyle w:val="NoSpacing"/>
        <w:spacing w:line="276" w:lineRule="auto"/>
        <w:jc w:val="both"/>
        <w:rPr>
          <w:sz w:val="24"/>
        </w:rPr>
      </w:pPr>
      <w:r>
        <w:rPr>
          <w:sz w:val="24"/>
        </w:rPr>
        <w:t>In short, the project for UltraHD TV’s now entails the following:</w:t>
      </w:r>
    </w:p>
    <w:p w:rsidR="00D0725B" w:rsidRDefault="009966E0" w:rsidP="00D0725B">
      <w:pPr>
        <w:pStyle w:val="NoSpacing"/>
        <w:jc w:val="both"/>
        <w:rPr>
          <w:sz w:val="24"/>
        </w:rPr>
      </w:pPr>
      <w:r w:rsidRPr="009966E0">
        <w:rPr>
          <w:noProof/>
        </w:rPr>
        <w:pict>
          <v:shape id="Tekstvak 20" o:spid="_x0000_s1065" type="#_x0000_t202" style="position:absolute;left:0;text-align:left;margin-left:214pt;margin-top:4.4pt;width:110.65pt;height:39.55pt;z-index:-25164902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RH0JAIAACQEAAAOAAAAZHJzL2Uyb0RvYy54bWysU9tu2zAMfR+wfxD0vtgx4i014hRdugwD&#10;ugvQ7gNoWY6FyKInKbGzrx8lp2m2vQ3zg0CZ5OHhIbW6HTvNjtI6habk81nKmTQCa2V2Jf/+tH2z&#10;5Mx5MDVoNLLkJ+n47fr1q9XQFzLDFnUtLSMQ44qhL3nrfV8kiROt7MDNsJeGnA3aDjxd7S6pLQyE&#10;3ukkS9O3yYC27i0K6Rz9vZ+cfB3xm0YK/7VpnPRMl5y4+XjaeFbhTNYrKHYW+laJMw34BxYdKENF&#10;L1D34IEdrPoLqlPCosPGzwR2CTaNEjL2QN3M0z+6eWyhl7EXEsf1F5nc/4MVX47fLFN1yTOSx0BH&#10;M3qSe+ePsGf0i/QZeldQ2GNPgX58jyPNOfbq+gcUe8cMblowO3lnLQ6thJr4zUNmcpU64bgAUg2f&#10;saY6cPAYgcbGdkE8koMROhE5XWYjR89EKLlI8yzPORPky9MsW+axBBTP2b11/qPEjgWj5JZmH9Hh&#10;+OB8YAPFc0go5lCrequ0jhe7qzbasiPQnmzjd0b/LUwbNpT8hohEZIMhP65QpzztsVZdyZdp+EI6&#10;FEGND6aOtgelJ5uYaHOWJygyaePHaoyTWITcIF2F9Yn0sjitLT0zMlq0PzkbaGVL7n4cwErO9CdD&#10;mt/MF4uw4/GyyN+FidprT3XtASMIquSes8nc+PguAm2DdzSbRkXZXpicKdMqRjXPzybs+vU9Rr08&#10;7vUvAAAA//8DAFBLAwQUAAYACAAAACEAoGK4A9wAAAAIAQAADwAAAGRycy9kb3ducmV2LnhtbEyP&#10;y07DMBBF90j8gzVIbBB1KCGvxqkACcS2pR8wid0kajyOYrdJ/55hBcurO7pzTrld7CAuZvK9IwVP&#10;qwiEocbpnloFh++PxwyED0gaB0dGwdV42Fa3NyUW2s20M5d9aAWPkC9QQRfCWEjpm85Y9Cs3GuLu&#10;6CaLgePUSj3hzON2kOsoSqTFnvhDh6N570xz2p+tguPX/PCSz/VnOKS7OHnDPq3dVan7u+V1AyKY&#10;Jfwdwy8+o0PFTLU7k/ZiUBCvM3YJCjI24D6J82cQNec0B1mV8r9A9QMAAP//AwBQSwECLQAUAAYA&#10;CAAAACEAtoM4kv4AAADhAQAAEwAAAAAAAAAAAAAAAAAAAAAAW0NvbnRlbnRfVHlwZXNdLnhtbFBL&#10;AQItABQABgAIAAAAIQA4/SH/1gAAAJQBAAALAAAAAAAAAAAAAAAAAC8BAABfcmVscy8ucmVsc1BL&#10;AQItABQABgAIAAAAIQDVwRH0JAIAACQEAAAOAAAAAAAAAAAAAAAAAC4CAABkcnMvZTJvRG9jLnht&#10;bFBLAQItABQABgAIAAAAIQCgYrgD3AAAAAgBAAAPAAAAAAAAAAAAAAAAAH4EAABkcnMvZG93bnJl&#10;di54bWxQSwUGAAAAAAQABADzAAAAhwUAAAAA&#10;" stroked="f">
            <v:textbox style="mso-next-textbox:#Tekstvak 20">
              <w:txbxContent>
                <w:p w:rsidR="004A48E4" w:rsidRPr="00D0725B" w:rsidRDefault="004A48E4" w:rsidP="00D0725B">
                  <w:pPr>
                    <w:rPr>
                      <w:lang w:val="en-GB"/>
                    </w:rPr>
                  </w:pPr>
                  <w:r w:rsidRPr="00D0725B">
                    <w:rPr>
                      <w:lang w:val="en-GB"/>
                    </w:rPr>
                    <w:t>Know-how ready for UltraHD Smartphone</w:t>
                  </w:r>
                </w:p>
              </w:txbxContent>
            </v:textbox>
          </v:shape>
        </w:pict>
      </w:r>
    </w:p>
    <w:p w:rsidR="00D0725B" w:rsidRDefault="009966E0" w:rsidP="00D0725B">
      <w:pPr>
        <w:pStyle w:val="NoSpacing"/>
        <w:jc w:val="both"/>
        <w:rPr>
          <w:sz w:val="24"/>
        </w:rPr>
      </w:pPr>
      <w:r w:rsidRPr="009966E0">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Gebogen verbindingslijn 11" o:spid="_x0000_s1066" type="#_x0000_t34" style="position:absolute;left:0;text-align:left;margin-left:-11.25pt;margin-top:4.5pt;width:225.25pt;height:129pt;rotation:180;flip:y;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wmeigIAAPsEAAAOAAAAZHJzL2Uyb0RvYy54bWysVE1v2zAMvQ/YfxB0T20naeIadYrBTnrp&#10;tgLtdlcsOVanL0hKnGDYfy8lO9m6XYZhOSj6IB8fH0nf3h2lQAdmHdeqxNlVihFTjaZc7Ur85Xkz&#10;yTFynihKhFasxCfm8N3q/bvb3hRsqjstKLMIQJQrelPizntTJIlrOiaJu9KGKXhstZXEw9HuEmpJ&#10;D+hSJNM0XSS9ttRY3TDn4LYeHvEq4rcta/zntnXMI1Fi4ObjauO6DWuyuiXFzhLT8WakQf6BhSRc&#10;QdALVE08QXvL/4CSvLHa6dZfNVomum15w2IOkE2W/pbNU0cMi7mAOM5cZHL/D7b5dHi0iFOoXYaR&#10;IhJqdM+2esdUKOuWq1BKJ/iLQmABcvXGFeBVqUcbEm6O6sk86OabQ0pXHVE7Fmk/nwxARY/kjUs4&#10;OANBt/1HTcGG7L2O2h1bK5HVUKMszdPww6gV3HwNOCEWyIWOsXanS+3Y0aMGLqf5Il0srzFq4C1b&#10;zPIZuAPdhBQBN7gb6/w90xKFTYm3TPlKKwU9ou0sBiCHB+djGemoBaEvoEsrBXTFgQgEzJb5cgQe&#10;zSHEGTr4Kr3hQsTGEgr1wGa6BC7hyWnBaXiNh9DjrBIWAXCJ/XFIUuwl6DLcZYMKA9ZeQisP9+fM&#10;4pgEiJjnG3TJPQyW4LLEo5YRpWOErhWNe0+4gD3ysVTeciieYDhQloxiJBiMdNiBNeQoVGANeo8a&#10;BeVji3+/SW/W+TqfT+bTxXoyT+t68mFTzSeLTba8rmd1VdXZjyBANi86TilTQYPzuGXzv2vncfCH&#10;QbkM3EXt5C16pAwUz/+RdOzE0HxDG281PT3akF1oSpiwaDx+DcII/3qOVj+/WatXAAAA//8DAFBL&#10;AwQUAAYACAAAACEARDMl2d8AAAAJAQAADwAAAGRycy9kb3ducmV2LnhtbEyPwU7DMBBE70j8g7VI&#10;3FobC0Ia4lQVUiUQqIhQ7m68TSJiO9hum/49ywluO5rR7JtyOdmBHTHE3jsFN3MBDF3jTe9aBduP&#10;9SwHFpN2Rg/eoYIzRlhWlxelLow/uXc81qllVOJioRV0KY0F57Hp0Oo49yM68vY+WJ1IhpaboE9U&#10;bgcuhci41b2jD50e8bHD5qs+WAWbt/NT+q7X/efLs1i1Ibxm+5QrdX01rR6AJZzSXxh+8QkdKmLa&#10;+YMzkQ0KZlLeUVTBgiaRfytzOnYKZHYvgFcl/7+g+gEAAP//AwBQSwECLQAUAAYACAAAACEAtoM4&#10;kv4AAADhAQAAEwAAAAAAAAAAAAAAAAAAAAAAW0NvbnRlbnRfVHlwZXNdLnhtbFBLAQItABQABgAI&#10;AAAAIQA4/SH/1gAAAJQBAAALAAAAAAAAAAAAAAAAAC8BAABfcmVscy8ucmVsc1BLAQItABQABgAI&#10;AAAAIQD5kwmeigIAAPsEAAAOAAAAAAAAAAAAAAAAAC4CAABkcnMvZTJvRG9jLnhtbFBLAQItABQA&#10;BgAIAAAAIQBEMyXZ3wAAAAkBAAAPAAAAAAAAAAAAAAAAAOQEAABkcnMvZG93bnJldi54bWxQSwUG&#10;AAAAAAQABADzAAAA8AUAAAAA&#10;" adj="23498" strokecolor="black [3213]" strokeweight="1pt">
            <v:stroke endarrow="block"/>
          </v:shape>
        </w:pict>
      </w:r>
    </w:p>
    <w:p w:rsidR="00D0725B" w:rsidRDefault="009966E0" w:rsidP="00D0725B">
      <w:pPr>
        <w:pStyle w:val="NoSpacing"/>
        <w:jc w:val="both"/>
        <w:rPr>
          <w:sz w:val="24"/>
        </w:rPr>
      </w:pPr>
      <w:r>
        <w:rPr>
          <w:noProof/>
          <w:sz w:val="24"/>
        </w:rPr>
        <w:pict>
          <v:line id="Rechte verbindingslijn 19" o:spid="_x0000_s1067" style="position:absolute;left:0;text-align:left;flip:x;z-index:251669504;visibility:visible;mso-wrap-distance-left:3.17492mm;mso-wrap-distance-right:3.17492mm;mso-width-relative:margin;mso-height-relative:margin" from="255.65pt,7.9pt" to="255.65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3GA7gEAADgEAAAOAAAAZHJzL2Uyb0RvYy54bWysU02P0zAQvSPxHyzfadJKBTZquoddLRxW&#10;UO3CD3CdcWPwl2zTpP+esZ2m2+UE4mLFnnlv5r2ZbG5HrcgRfJDWtHS5qCkBw20nzaGl3789vPtI&#10;SYjMdExZAy09QaC327dvNoNrYGV7qzrwBElMaAbX0j5G11RV4D1oFhbWgcGgsF6ziFd/qDrPBmTX&#10;qlrV9ftqsL5z3nIIAV/vS5BuM78QwONXIQJEolqKvcV8+nzu01ltN6w5eOZ6yac22D90oZk0WHSm&#10;umeRkV9e/kGlJfc2WBEX3OrKCiE5ZA2oZlm/UvPcMwdZC5oT3GxT+H+0/Mtx54nscHY3lBimcUZP&#10;wPsIaap7adIkg5I/DMEEdGtwoUHQndn5pJeP5tk9Wv4zYKy6CqZLcCVtFF4ToaT7jIWyUSidjHkO&#10;p3kOMEbCyyPH19X65sNynYpWrEkMqaDzIX4Cq0n6aKmSJjnEGnZ8DLGknlPSszJkSNrqdZ3TglWy&#10;e5BKpWDeMrhTnhwZ7kccl1OxF1lYWplJWlGTdcWTgsL/BAL9w66LrlecjHMw8cyrDGYnmMAOZuDU&#10;WVr5SzPXwCk/QSFv9d+AZ0SubE2cwVoa64sv19UvVoiSf3ag6E4W7G132vnz1HE985imXynt/8t7&#10;hl9++O1vAAAA//8DAFBLAwQUAAYACAAAACEAw35fqtwAAAAJAQAADwAAAGRycy9kb3ducmV2Lnht&#10;bEyPQU/DMAyF70j8h8hI3FjKYBsqTSdAQgLEDhv8ALcxTbXGqZpsLf8eIw7jZvs9PX+vWE++U0ca&#10;YhvYwPUsA0VcB9tyY+Dz4/nqDlRMyBa7wGTgmyKsy/OzAnMbRt7ScZcaJSEcczTgUupzrWPtyGOc&#10;hZ5YtK8weEyyDo22A44S7js9z7Kl9tiyfHDY05Ojer87eAP162a12QcaK21Denux23d8dMZcXkwP&#10;96ASTelkhl98QYdSmKpwYBtVZ2Axv7kVqwgLqSCGv0Mlw3IFuiz0/wblDwAAAP//AwBQSwECLQAU&#10;AAYACAAAACEAtoM4kv4AAADhAQAAEwAAAAAAAAAAAAAAAAAAAAAAW0NvbnRlbnRfVHlwZXNdLnht&#10;bFBLAQItABQABgAIAAAAIQA4/SH/1gAAAJQBAAALAAAAAAAAAAAAAAAAAC8BAABfcmVscy8ucmVs&#10;c1BLAQItABQABgAIAAAAIQDdK3GA7gEAADgEAAAOAAAAAAAAAAAAAAAAAC4CAABkcnMvZTJvRG9j&#10;LnhtbFBLAQItABQABgAIAAAAIQDDfl+q3AAAAAkBAAAPAAAAAAAAAAAAAAAAAEgEAABkcnMvZG93&#10;bnJldi54bWxQSwUGAAAAAAQABADzAAAAUQUAAAAA&#10;" strokecolor="black [3213]" strokeweight="1.5pt">
            <v:stroke joinstyle="miter"/>
            <o:lock v:ext="edit" shapetype="f"/>
          </v:line>
        </w:pict>
      </w:r>
    </w:p>
    <w:p w:rsidR="00D0725B" w:rsidRPr="00C424AF" w:rsidRDefault="00D0725B" w:rsidP="00D0725B">
      <w:pPr>
        <w:pStyle w:val="NoSpacing"/>
        <w:jc w:val="both"/>
        <w:rPr>
          <w:b/>
          <w:sz w:val="20"/>
        </w:rPr>
      </w:pPr>
      <w:r>
        <w:rPr>
          <w:b/>
          <w:sz w:val="20"/>
        </w:rPr>
        <w:t xml:space="preserve">Estimated cash flows for project </w:t>
      </w:r>
      <w:r w:rsidRPr="006867DB">
        <w:rPr>
          <w:b/>
          <w:sz w:val="20"/>
          <w:u w:val="single"/>
        </w:rPr>
        <w:t>UltraHD TV</w:t>
      </w:r>
      <w:r>
        <w:rPr>
          <w:b/>
          <w:sz w:val="20"/>
        </w:rPr>
        <w:t>:</w:t>
      </w:r>
    </w:p>
    <w:tbl>
      <w:tblPr>
        <w:tblStyle w:val="TableGrid"/>
        <w:tblW w:w="10165" w:type="dxa"/>
        <w:tblLook w:val="04A0"/>
      </w:tblPr>
      <w:tblGrid>
        <w:gridCol w:w="1345"/>
        <w:gridCol w:w="1440"/>
        <w:gridCol w:w="720"/>
        <w:gridCol w:w="781"/>
        <w:gridCol w:w="960"/>
        <w:gridCol w:w="960"/>
        <w:gridCol w:w="960"/>
        <w:gridCol w:w="960"/>
        <w:gridCol w:w="2039"/>
      </w:tblGrid>
      <w:tr w:rsidR="00D0725B" w:rsidRPr="005A0615" w:rsidTr="003A34F3">
        <w:trPr>
          <w:trHeight w:val="300"/>
        </w:trPr>
        <w:tc>
          <w:tcPr>
            <w:tcW w:w="1345" w:type="dxa"/>
            <w:noWrap/>
            <w:hideMark/>
          </w:tcPr>
          <w:p w:rsidR="00D0725B" w:rsidRPr="005A0615" w:rsidRDefault="00D0725B" w:rsidP="003A34F3">
            <w:pPr>
              <w:pStyle w:val="NoSpacing"/>
              <w:spacing w:line="276" w:lineRule="auto"/>
              <w:jc w:val="both"/>
              <w:rPr>
                <w:sz w:val="24"/>
              </w:rPr>
            </w:pPr>
          </w:p>
        </w:tc>
        <w:tc>
          <w:tcPr>
            <w:tcW w:w="1440" w:type="dxa"/>
            <w:noWrap/>
            <w:hideMark/>
          </w:tcPr>
          <w:p w:rsidR="00D0725B" w:rsidRPr="005A0615" w:rsidRDefault="00D0725B" w:rsidP="003A34F3">
            <w:pPr>
              <w:pStyle w:val="NoSpacing"/>
              <w:spacing w:line="276" w:lineRule="auto"/>
              <w:jc w:val="center"/>
              <w:rPr>
                <w:b/>
                <w:bCs/>
                <w:sz w:val="24"/>
              </w:rPr>
            </w:pPr>
            <w:r w:rsidRPr="005A0615">
              <w:rPr>
                <w:b/>
                <w:bCs/>
                <w:sz w:val="24"/>
              </w:rPr>
              <w:t>t=1</w:t>
            </w:r>
            <w:r>
              <w:rPr>
                <w:b/>
                <w:bCs/>
                <w:sz w:val="24"/>
              </w:rPr>
              <w:t xml:space="preserve"> (=now)</w:t>
            </w:r>
          </w:p>
        </w:tc>
        <w:tc>
          <w:tcPr>
            <w:tcW w:w="720" w:type="dxa"/>
            <w:noWrap/>
            <w:hideMark/>
          </w:tcPr>
          <w:p w:rsidR="00D0725B" w:rsidRPr="005A0615" w:rsidRDefault="00D0725B" w:rsidP="003A34F3">
            <w:pPr>
              <w:pStyle w:val="NoSpacing"/>
              <w:spacing w:line="276" w:lineRule="auto"/>
              <w:jc w:val="center"/>
              <w:rPr>
                <w:b/>
                <w:bCs/>
                <w:sz w:val="24"/>
              </w:rPr>
            </w:pPr>
            <w:r w:rsidRPr="005A0615">
              <w:rPr>
                <w:b/>
                <w:bCs/>
                <w:sz w:val="24"/>
              </w:rPr>
              <w:t>t=2</w:t>
            </w:r>
          </w:p>
        </w:tc>
        <w:tc>
          <w:tcPr>
            <w:tcW w:w="781" w:type="dxa"/>
            <w:noWrap/>
            <w:hideMark/>
          </w:tcPr>
          <w:p w:rsidR="00D0725B" w:rsidRPr="005A0615" w:rsidRDefault="00D0725B" w:rsidP="003A34F3">
            <w:pPr>
              <w:pStyle w:val="NoSpacing"/>
              <w:spacing w:line="276" w:lineRule="auto"/>
              <w:jc w:val="center"/>
              <w:rPr>
                <w:b/>
                <w:bCs/>
                <w:sz w:val="24"/>
              </w:rPr>
            </w:pPr>
            <w:r w:rsidRPr="005A0615">
              <w:rPr>
                <w:b/>
                <w:bCs/>
                <w:sz w:val="24"/>
              </w:rPr>
              <w:t>t=3</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t=4</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t=5</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t=6</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t=7</w:t>
            </w:r>
          </w:p>
        </w:tc>
        <w:tc>
          <w:tcPr>
            <w:tcW w:w="2039" w:type="dxa"/>
            <w:noWrap/>
            <w:hideMark/>
          </w:tcPr>
          <w:p w:rsidR="00D0725B" w:rsidRPr="005A0615" w:rsidRDefault="00D0725B" w:rsidP="003A34F3">
            <w:pPr>
              <w:pStyle w:val="NoSpacing"/>
              <w:spacing w:line="276" w:lineRule="auto"/>
              <w:jc w:val="both"/>
              <w:rPr>
                <w:b/>
                <w:bCs/>
                <w:sz w:val="24"/>
              </w:rPr>
            </w:pPr>
            <w:r w:rsidRPr="005A0615">
              <w:rPr>
                <w:b/>
                <w:bCs/>
                <w:sz w:val="24"/>
              </w:rPr>
              <w:t>Horizon value</w:t>
            </w:r>
          </w:p>
        </w:tc>
      </w:tr>
      <w:tr w:rsidR="00D0725B" w:rsidRPr="005A0615" w:rsidTr="003A34F3">
        <w:trPr>
          <w:trHeight w:val="485"/>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Cash flow</w:t>
            </w:r>
          </w:p>
        </w:tc>
        <w:tc>
          <w:tcPr>
            <w:tcW w:w="1440" w:type="dxa"/>
            <w:noWrap/>
            <w:hideMark/>
          </w:tcPr>
          <w:p w:rsidR="00D0725B" w:rsidRPr="005A0615" w:rsidRDefault="00D0725B" w:rsidP="003A34F3">
            <w:pPr>
              <w:pStyle w:val="NoSpacing"/>
              <w:spacing w:line="276" w:lineRule="auto"/>
              <w:jc w:val="center"/>
              <w:rPr>
                <w:sz w:val="24"/>
              </w:rPr>
            </w:pPr>
            <w:r w:rsidRPr="005A0615">
              <w:rPr>
                <w:sz w:val="24"/>
              </w:rPr>
              <w:t>-50</w:t>
            </w:r>
          </w:p>
        </w:tc>
        <w:tc>
          <w:tcPr>
            <w:tcW w:w="720"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781" w:type="dxa"/>
            <w:noWrap/>
            <w:hideMark/>
          </w:tcPr>
          <w:p w:rsidR="00D0725B" w:rsidRPr="005A0615" w:rsidRDefault="00D0725B" w:rsidP="003A34F3">
            <w:pPr>
              <w:pStyle w:val="NoSpacing"/>
              <w:spacing w:line="276" w:lineRule="auto"/>
              <w:jc w:val="center"/>
              <w:rPr>
                <w:sz w:val="24"/>
              </w:rPr>
            </w:pPr>
            <w:r w:rsidRPr="005A0615">
              <w:rPr>
                <w:sz w:val="24"/>
              </w:rPr>
              <w:t>15</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5</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20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2039" w:type="dxa"/>
            <w:noWrap/>
            <w:hideMark/>
          </w:tcPr>
          <w:p w:rsidR="00D0725B" w:rsidRPr="005A0615" w:rsidRDefault="00D0725B" w:rsidP="003A34F3">
            <w:pPr>
              <w:pStyle w:val="NoSpacing"/>
              <w:spacing w:line="276" w:lineRule="auto"/>
              <w:jc w:val="center"/>
              <w:rPr>
                <w:sz w:val="24"/>
              </w:rPr>
            </w:pPr>
            <w:r w:rsidRPr="005A0615">
              <w:rPr>
                <w:sz w:val="24"/>
              </w:rPr>
              <w:t>?</w:t>
            </w:r>
          </w:p>
        </w:tc>
      </w:tr>
      <w:tr w:rsidR="00D0725B" w:rsidRPr="005A0615" w:rsidTr="003A34F3">
        <w:trPr>
          <w:gridAfter w:val="7"/>
          <w:wAfter w:w="7380" w:type="dxa"/>
          <w:trHeight w:val="300"/>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License fee</w:t>
            </w:r>
          </w:p>
        </w:tc>
        <w:tc>
          <w:tcPr>
            <w:tcW w:w="1440" w:type="dxa"/>
            <w:noWrap/>
            <w:hideMark/>
          </w:tcPr>
          <w:p w:rsidR="00D0725B" w:rsidRPr="005A0615" w:rsidRDefault="00D0725B" w:rsidP="003A34F3">
            <w:pPr>
              <w:pStyle w:val="NoSpacing"/>
              <w:spacing w:line="276" w:lineRule="auto"/>
              <w:jc w:val="center"/>
              <w:rPr>
                <w:sz w:val="24"/>
              </w:rPr>
            </w:pPr>
            <w:r w:rsidRPr="005A0615">
              <w:rPr>
                <w:sz w:val="24"/>
              </w:rPr>
              <w:t>?</w:t>
            </w:r>
          </w:p>
        </w:tc>
      </w:tr>
    </w:tbl>
    <w:p w:rsidR="00D0725B" w:rsidRDefault="00D0725B" w:rsidP="00D0725B">
      <w:pPr>
        <w:pStyle w:val="NoSpacing"/>
        <w:jc w:val="both"/>
        <w:rPr>
          <w:sz w:val="24"/>
        </w:rPr>
      </w:pPr>
    </w:p>
    <w:p w:rsidR="00D0725B" w:rsidRPr="003F4C08" w:rsidRDefault="00D0725B" w:rsidP="00D0725B">
      <w:pPr>
        <w:pStyle w:val="NoSpacing"/>
        <w:jc w:val="both"/>
        <w:rPr>
          <w:b/>
          <w:sz w:val="20"/>
        </w:rPr>
      </w:pPr>
      <w:r>
        <w:rPr>
          <w:b/>
          <w:sz w:val="20"/>
        </w:rPr>
        <w:t xml:space="preserve">Estimated cash flows for project </w:t>
      </w:r>
      <w:r w:rsidRPr="006867DB">
        <w:rPr>
          <w:b/>
          <w:sz w:val="20"/>
          <w:u w:val="single"/>
        </w:rPr>
        <w:t>UltraHD Smartphone</w:t>
      </w:r>
      <w:r>
        <w:rPr>
          <w:b/>
          <w:sz w:val="20"/>
        </w:rPr>
        <w:t xml:space="preserve">, </w:t>
      </w:r>
      <w:r w:rsidRPr="006867DB">
        <w:rPr>
          <w:b/>
          <w:i/>
          <w:sz w:val="20"/>
        </w:rPr>
        <w:t>if market is favorable</w:t>
      </w:r>
      <w:r>
        <w:rPr>
          <w:b/>
          <w:sz w:val="20"/>
        </w:rPr>
        <w:t>:</w:t>
      </w:r>
    </w:p>
    <w:tbl>
      <w:tblPr>
        <w:tblStyle w:val="TableGrid"/>
        <w:tblW w:w="10165" w:type="dxa"/>
        <w:tblLook w:val="04A0"/>
      </w:tblPr>
      <w:tblGrid>
        <w:gridCol w:w="1345"/>
        <w:gridCol w:w="900"/>
        <w:gridCol w:w="900"/>
        <w:gridCol w:w="895"/>
        <w:gridCol w:w="960"/>
        <w:gridCol w:w="960"/>
        <w:gridCol w:w="960"/>
        <w:gridCol w:w="960"/>
        <w:gridCol w:w="2285"/>
      </w:tblGrid>
      <w:tr w:rsidR="00D0725B" w:rsidRPr="003F4C08" w:rsidTr="003A34F3">
        <w:trPr>
          <w:trHeight w:val="300"/>
        </w:trPr>
        <w:tc>
          <w:tcPr>
            <w:tcW w:w="1345" w:type="dxa"/>
            <w:noWrap/>
            <w:hideMark/>
          </w:tcPr>
          <w:p w:rsidR="00D0725B" w:rsidRPr="003F4C08" w:rsidRDefault="00D0725B" w:rsidP="003A34F3">
            <w:pPr>
              <w:pStyle w:val="NoSpacing"/>
              <w:jc w:val="center"/>
              <w:rPr>
                <w:sz w:val="24"/>
              </w:rPr>
            </w:pPr>
          </w:p>
        </w:tc>
        <w:tc>
          <w:tcPr>
            <w:tcW w:w="900" w:type="dxa"/>
            <w:noWrap/>
            <w:hideMark/>
          </w:tcPr>
          <w:p w:rsidR="00D0725B" w:rsidRPr="003F4C08" w:rsidRDefault="00D0725B" w:rsidP="003A34F3">
            <w:pPr>
              <w:pStyle w:val="NoSpacing"/>
              <w:jc w:val="center"/>
              <w:rPr>
                <w:b/>
                <w:bCs/>
                <w:sz w:val="24"/>
              </w:rPr>
            </w:pPr>
            <w:r w:rsidRPr="003F4C08">
              <w:rPr>
                <w:b/>
                <w:bCs/>
                <w:sz w:val="24"/>
              </w:rPr>
              <w:t>t=5</w:t>
            </w:r>
          </w:p>
        </w:tc>
        <w:tc>
          <w:tcPr>
            <w:tcW w:w="900" w:type="dxa"/>
            <w:noWrap/>
            <w:hideMark/>
          </w:tcPr>
          <w:p w:rsidR="00D0725B" w:rsidRPr="003F4C08" w:rsidRDefault="00D0725B" w:rsidP="003A34F3">
            <w:pPr>
              <w:pStyle w:val="NoSpacing"/>
              <w:jc w:val="center"/>
              <w:rPr>
                <w:b/>
                <w:bCs/>
                <w:sz w:val="24"/>
              </w:rPr>
            </w:pPr>
            <w:r w:rsidRPr="003F4C08">
              <w:rPr>
                <w:b/>
                <w:bCs/>
                <w:sz w:val="24"/>
              </w:rPr>
              <w:t>t=6</w:t>
            </w:r>
          </w:p>
        </w:tc>
        <w:tc>
          <w:tcPr>
            <w:tcW w:w="895" w:type="dxa"/>
            <w:noWrap/>
            <w:hideMark/>
          </w:tcPr>
          <w:p w:rsidR="00D0725B" w:rsidRPr="003F4C08" w:rsidRDefault="00D0725B" w:rsidP="003A34F3">
            <w:pPr>
              <w:pStyle w:val="NoSpacing"/>
              <w:jc w:val="center"/>
              <w:rPr>
                <w:b/>
                <w:bCs/>
                <w:sz w:val="24"/>
              </w:rPr>
            </w:pPr>
            <w:r w:rsidRPr="003F4C08">
              <w:rPr>
                <w:b/>
                <w:bCs/>
                <w:sz w:val="24"/>
              </w:rPr>
              <w:t>t=7</w:t>
            </w:r>
          </w:p>
        </w:tc>
        <w:tc>
          <w:tcPr>
            <w:tcW w:w="960" w:type="dxa"/>
            <w:noWrap/>
            <w:hideMark/>
          </w:tcPr>
          <w:p w:rsidR="00D0725B" w:rsidRPr="003F4C08" w:rsidRDefault="00D0725B" w:rsidP="003A34F3">
            <w:pPr>
              <w:pStyle w:val="NoSpacing"/>
              <w:jc w:val="center"/>
              <w:rPr>
                <w:b/>
                <w:bCs/>
                <w:sz w:val="24"/>
              </w:rPr>
            </w:pPr>
            <w:r w:rsidRPr="003F4C08">
              <w:rPr>
                <w:b/>
                <w:bCs/>
                <w:sz w:val="24"/>
              </w:rPr>
              <w:t>t=8</w:t>
            </w:r>
          </w:p>
        </w:tc>
        <w:tc>
          <w:tcPr>
            <w:tcW w:w="960" w:type="dxa"/>
            <w:noWrap/>
            <w:hideMark/>
          </w:tcPr>
          <w:p w:rsidR="00D0725B" w:rsidRPr="003F4C08" w:rsidRDefault="00D0725B" w:rsidP="003A34F3">
            <w:pPr>
              <w:pStyle w:val="NoSpacing"/>
              <w:jc w:val="center"/>
              <w:rPr>
                <w:b/>
                <w:bCs/>
                <w:sz w:val="24"/>
              </w:rPr>
            </w:pPr>
            <w:r w:rsidRPr="003F4C08">
              <w:rPr>
                <w:b/>
                <w:bCs/>
                <w:sz w:val="24"/>
              </w:rPr>
              <w:t>t=9</w:t>
            </w:r>
          </w:p>
        </w:tc>
        <w:tc>
          <w:tcPr>
            <w:tcW w:w="960" w:type="dxa"/>
            <w:noWrap/>
            <w:hideMark/>
          </w:tcPr>
          <w:p w:rsidR="00D0725B" w:rsidRPr="003F4C08" w:rsidRDefault="00D0725B" w:rsidP="003A34F3">
            <w:pPr>
              <w:pStyle w:val="NoSpacing"/>
              <w:jc w:val="center"/>
              <w:rPr>
                <w:b/>
                <w:bCs/>
                <w:sz w:val="24"/>
              </w:rPr>
            </w:pPr>
            <w:r w:rsidRPr="003F4C08">
              <w:rPr>
                <w:b/>
                <w:bCs/>
                <w:sz w:val="24"/>
              </w:rPr>
              <w:t>t=10</w:t>
            </w:r>
          </w:p>
        </w:tc>
        <w:tc>
          <w:tcPr>
            <w:tcW w:w="960" w:type="dxa"/>
            <w:noWrap/>
            <w:hideMark/>
          </w:tcPr>
          <w:p w:rsidR="00D0725B" w:rsidRPr="003F4C08" w:rsidRDefault="00D0725B" w:rsidP="003A34F3">
            <w:pPr>
              <w:pStyle w:val="NoSpacing"/>
              <w:jc w:val="center"/>
              <w:rPr>
                <w:b/>
                <w:bCs/>
                <w:sz w:val="24"/>
              </w:rPr>
            </w:pPr>
            <w:r w:rsidRPr="003F4C08">
              <w:rPr>
                <w:b/>
                <w:bCs/>
                <w:sz w:val="24"/>
              </w:rPr>
              <w:t>t=11</w:t>
            </w:r>
          </w:p>
        </w:tc>
        <w:tc>
          <w:tcPr>
            <w:tcW w:w="2285" w:type="dxa"/>
            <w:noWrap/>
            <w:hideMark/>
          </w:tcPr>
          <w:p w:rsidR="00D0725B" w:rsidRPr="003F4C08" w:rsidRDefault="00D0725B" w:rsidP="003A34F3">
            <w:pPr>
              <w:pStyle w:val="NoSpacing"/>
              <w:jc w:val="center"/>
              <w:rPr>
                <w:b/>
                <w:bCs/>
                <w:sz w:val="24"/>
              </w:rPr>
            </w:pPr>
            <w:r w:rsidRPr="003F4C08">
              <w:rPr>
                <w:b/>
                <w:bCs/>
                <w:sz w:val="24"/>
              </w:rPr>
              <w:t>Horizon value</w:t>
            </w:r>
          </w:p>
        </w:tc>
      </w:tr>
      <w:tr w:rsidR="00D0725B" w:rsidRPr="003F4C08" w:rsidTr="003A34F3">
        <w:trPr>
          <w:trHeight w:val="300"/>
        </w:trPr>
        <w:tc>
          <w:tcPr>
            <w:tcW w:w="1345" w:type="dxa"/>
            <w:noWrap/>
            <w:hideMark/>
          </w:tcPr>
          <w:p w:rsidR="00D0725B" w:rsidRPr="003F4C08" w:rsidRDefault="00D0725B" w:rsidP="003A34F3">
            <w:pPr>
              <w:pStyle w:val="NoSpacing"/>
              <w:jc w:val="center"/>
              <w:rPr>
                <w:b/>
                <w:bCs/>
                <w:sz w:val="24"/>
              </w:rPr>
            </w:pPr>
            <w:r w:rsidRPr="003F4C08">
              <w:rPr>
                <w:b/>
                <w:bCs/>
                <w:sz w:val="24"/>
              </w:rPr>
              <w:t>Cash flow</w:t>
            </w:r>
          </w:p>
        </w:tc>
        <w:tc>
          <w:tcPr>
            <w:tcW w:w="900" w:type="dxa"/>
            <w:noWrap/>
            <w:hideMark/>
          </w:tcPr>
          <w:p w:rsidR="00D0725B" w:rsidRPr="003F4C08" w:rsidRDefault="00D0725B" w:rsidP="003A34F3">
            <w:pPr>
              <w:pStyle w:val="NoSpacing"/>
              <w:jc w:val="center"/>
              <w:rPr>
                <w:sz w:val="24"/>
              </w:rPr>
            </w:pPr>
            <w:r w:rsidRPr="003F4C08">
              <w:rPr>
                <w:sz w:val="24"/>
              </w:rPr>
              <w:t>-100</w:t>
            </w:r>
          </w:p>
        </w:tc>
        <w:tc>
          <w:tcPr>
            <w:tcW w:w="900" w:type="dxa"/>
            <w:noWrap/>
            <w:hideMark/>
          </w:tcPr>
          <w:p w:rsidR="00D0725B" w:rsidRPr="003F4C08" w:rsidRDefault="00D0725B" w:rsidP="003A34F3">
            <w:pPr>
              <w:pStyle w:val="NoSpacing"/>
              <w:jc w:val="center"/>
              <w:rPr>
                <w:sz w:val="24"/>
              </w:rPr>
            </w:pPr>
            <w:r w:rsidRPr="003F4C08">
              <w:rPr>
                <w:sz w:val="24"/>
              </w:rPr>
              <w:t>20</w:t>
            </w:r>
          </w:p>
        </w:tc>
        <w:tc>
          <w:tcPr>
            <w:tcW w:w="895" w:type="dxa"/>
            <w:noWrap/>
            <w:hideMark/>
          </w:tcPr>
          <w:p w:rsidR="00D0725B" w:rsidRPr="003F4C08" w:rsidRDefault="00D0725B" w:rsidP="003A34F3">
            <w:pPr>
              <w:pStyle w:val="NoSpacing"/>
              <w:jc w:val="center"/>
              <w:rPr>
                <w:sz w:val="24"/>
              </w:rPr>
            </w:pPr>
            <w:r w:rsidRPr="003F4C08">
              <w:rPr>
                <w:sz w:val="24"/>
              </w:rPr>
              <w:t>30</w:t>
            </w:r>
          </w:p>
        </w:tc>
        <w:tc>
          <w:tcPr>
            <w:tcW w:w="960" w:type="dxa"/>
            <w:noWrap/>
            <w:hideMark/>
          </w:tcPr>
          <w:p w:rsidR="00D0725B" w:rsidRPr="003F4C08" w:rsidRDefault="00D0725B" w:rsidP="003A34F3">
            <w:pPr>
              <w:pStyle w:val="NoSpacing"/>
              <w:jc w:val="center"/>
              <w:rPr>
                <w:sz w:val="24"/>
              </w:rPr>
            </w:pPr>
            <w:r w:rsidRPr="003F4C08">
              <w:rPr>
                <w:sz w:val="24"/>
              </w:rPr>
              <w:t>20</w:t>
            </w:r>
          </w:p>
        </w:tc>
        <w:tc>
          <w:tcPr>
            <w:tcW w:w="960" w:type="dxa"/>
            <w:noWrap/>
            <w:hideMark/>
          </w:tcPr>
          <w:p w:rsidR="00D0725B" w:rsidRPr="003F4C08" w:rsidRDefault="00D0725B" w:rsidP="003A34F3">
            <w:pPr>
              <w:pStyle w:val="NoSpacing"/>
              <w:jc w:val="center"/>
              <w:rPr>
                <w:sz w:val="24"/>
              </w:rPr>
            </w:pPr>
            <w:r w:rsidRPr="003F4C08">
              <w:rPr>
                <w:sz w:val="24"/>
              </w:rPr>
              <w:t>10</w:t>
            </w:r>
          </w:p>
        </w:tc>
        <w:tc>
          <w:tcPr>
            <w:tcW w:w="960" w:type="dxa"/>
            <w:noWrap/>
            <w:hideMark/>
          </w:tcPr>
          <w:p w:rsidR="00D0725B" w:rsidRPr="003F4C08" w:rsidRDefault="00D0725B" w:rsidP="003A34F3">
            <w:pPr>
              <w:pStyle w:val="NoSpacing"/>
              <w:jc w:val="center"/>
              <w:rPr>
                <w:sz w:val="24"/>
              </w:rPr>
            </w:pPr>
            <w:r w:rsidRPr="003F4C08">
              <w:rPr>
                <w:sz w:val="24"/>
              </w:rPr>
              <w:t>40</w:t>
            </w:r>
          </w:p>
        </w:tc>
        <w:tc>
          <w:tcPr>
            <w:tcW w:w="960" w:type="dxa"/>
            <w:noWrap/>
            <w:hideMark/>
          </w:tcPr>
          <w:p w:rsidR="00D0725B" w:rsidRPr="003F4C08" w:rsidRDefault="00D0725B" w:rsidP="003A34F3">
            <w:pPr>
              <w:pStyle w:val="NoSpacing"/>
              <w:jc w:val="center"/>
              <w:rPr>
                <w:sz w:val="24"/>
              </w:rPr>
            </w:pPr>
            <w:r w:rsidRPr="003F4C08">
              <w:rPr>
                <w:sz w:val="24"/>
              </w:rPr>
              <w:t>20</w:t>
            </w:r>
          </w:p>
        </w:tc>
        <w:tc>
          <w:tcPr>
            <w:tcW w:w="2285" w:type="dxa"/>
            <w:noWrap/>
            <w:hideMark/>
          </w:tcPr>
          <w:p w:rsidR="00D0725B" w:rsidRPr="003F4C08" w:rsidRDefault="00D0725B" w:rsidP="003A34F3">
            <w:pPr>
              <w:pStyle w:val="NoSpacing"/>
              <w:jc w:val="center"/>
              <w:rPr>
                <w:sz w:val="24"/>
              </w:rPr>
            </w:pPr>
            <w:r w:rsidRPr="003F4C08">
              <w:rPr>
                <w:sz w:val="24"/>
              </w:rPr>
              <w:t>?</w:t>
            </w:r>
          </w:p>
        </w:tc>
      </w:tr>
    </w:tbl>
    <w:p w:rsidR="00D0725B" w:rsidRDefault="00D0725B" w:rsidP="00D0725B">
      <w:pPr>
        <w:pStyle w:val="NoSpacing"/>
        <w:jc w:val="both"/>
        <w:rPr>
          <w:sz w:val="24"/>
        </w:rPr>
      </w:pPr>
    </w:p>
    <w:p w:rsidR="00D0725B" w:rsidRDefault="00D0725B" w:rsidP="00D0725B">
      <w:pPr>
        <w:pStyle w:val="NoSpacing"/>
        <w:jc w:val="both"/>
        <w:rPr>
          <w:sz w:val="24"/>
        </w:rPr>
      </w:pPr>
      <w:r>
        <w:rPr>
          <w:sz w:val="24"/>
        </w:rPr>
        <w:t>The interest rate is equal to 0.</w:t>
      </w:r>
    </w:p>
    <w:p w:rsidR="00D0725B" w:rsidRDefault="00D0725B" w:rsidP="00D0725B">
      <w:pPr>
        <w:pStyle w:val="NoSpacing"/>
        <w:jc w:val="both"/>
        <w:rPr>
          <w:sz w:val="24"/>
        </w:rPr>
      </w:pPr>
    </w:p>
    <w:p w:rsidR="00D0725B" w:rsidRDefault="00D0725B" w:rsidP="00D0725B">
      <w:pPr>
        <w:pStyle w:val="NoSpacing"/>
        <w:spacing w:line="276" w:lineRule="auto"/>
        <w:jc w:val="both"/>
        <w:rPr>
          <w:b/>
          <w:sz w:val="24"/>
        </w:rPr>
      </w:pPr>
      <w:r>
        <w:rPr>
          <w:sz w:val="24"/>
        </w:rPr>
        <w:lastRenderedPageBreak/>
        <w:t>You now have to make a decision:</w:t>
      </w:r>
      <w:r w:rsidRPr="001009F8">
        <w:rPr>
          <w:b/>
          <w:sz w:val="24"/>
        </w:rPr>
        <w:t xml:space="preserve"> </w:t>
      </w:r>
      <w:r>
        <w:rPr>
          <w:b/>
          <w:sz w:val="24"/>
        </w:rPr>
        <w:t>how much are you willing to pay for the license in order to produce the UltraHD TV’s?</w:t>
      </w:r>
    </w:p>
    <w:p w:rsidR="00D0725B" w:rsidRDefault="00D0725B" w:rsidP="00D0725B">
      <w:pPr>
        <w:pStyle w:val="NoSpacing"/>
        <w:pBdr>
          <w:bottom w:val="single" w:sz="12" w:space="1" w:color="auto"/>
        </w:pBdr>
        <w:spacing w:line="276" w:lineRule="auto"/>
        <w:jc w:val="both"/>
        <w:rPr>
          <w:sz w:val="24"/>
        </w:rPr>
      </w:pPr>
    </w:p>
    <w:p w:rsidR="00D0725B" w:rsidRDefault="00D0725B" w:rsidP="00D0725B">
      <w:pPr>
        <w:pStyle w:val="NoSpacing"/>
        <w:jc w:val="both"/>
        <w:rPr>
          <w:sz w:val="24"/>
        </w:rPr>
      </w:pPr>
    </w:p>
    <w:p w:rsidR="00D0725B" w:rsidRDefault="00D0725B" w:rsidP="00D0725B">
      <w:pPr>
        <w:pStyle w:val="NoSpacing"/>
        <w:jc w:val="both"/>
        <w:rPr>
          <w:sz w:val="24"/>
        </w:rPr>
      </w:pPr>
    </w:p>
    <w:p w:rsidR="00D0725B" w:rsidRDefault="00D0725B" w:rsidP="00D0725B">
      <w:pPr>
        <w:pStyle w:val="NoSpacing"/>
        <w:jc w:val="both"/>
        <w:rPr>
          <w:sz w:val="24"/>
        </w:rPr>
      </w:pPr>
    </w:p>
    <w:p w:rsidR="00D0725B" w:rsidRPr="004B20B1" w:rsidRDefault="00D0725B" w:rsidP="00D0725B">
      <w:pPr>
        <w:pStyle w:val="NoSpacing"/>
        <w:jc w:val="both"/>
        <w:rPr>
          <w:sz w:val="24"/>
        </w:rPr>
      </w:pPr>
      <w:r>
        <w:rPr>
          <w:sz w:val="24"/>
        </w:rPr>
        <w:t xml:space="preserve">Before the auction takes place, your finance department approaches you with a new insight. They inform you that the marketing departments’ estimation was incomplete and does not properly reflect the possible outcomes of project UltraHD Smartphone. Even if the market turns out to be unfavorable at t=5, there is still a chance in the following years that the market might suddenly be receptive towards the UltraHD Smartphone. At t=5 the probability is for a favorable market is 20%. In the following years the likelihood for a receptive market diminishes, until t=10, where there is no more chance for a favorable market. If the market is favorable </w:t>
      </w:r>
      <w:r>
        <w:rPr>
          <w:i/>
          <w:sz w:val="24"/>
        </w:rPr>
        <w:t xml:space="preserve">and </w:t>
      </w:r>
      <w:r>
        <w:rPr>
          <w:sz w:val="24"/>
        </w:rPr>
        <w:t xml:space="preserve">the investment for UltraHD Smartphone is made, this project will still be twice the size of project UltraHD TV. </w:t>
      </w:r>
    </w:p>
    <w:p w:rsidR="00D0725B" w:rsidRDefault="00D0725B" w:rsidP="00D0725B">
      <w:pPr>
        <w:pStyle w:val="NoSpacing"/>
        <w:jc w:val="both"/>
        <w:rPr>
          <w:sz w:val="24"/>
        </w:rPr>
      </w:pPr>
    </w:p>
    <w:p w:rsidR="00D0725B" w:rsidRDefault="009966E0" w:rsidP="00D0725B">
      <w:pPr>
        <w:pStyle w:val="NoSpacing"/>
        <w:jc w:val="both"/>
        <w:rPr>
          <w:sz w:val="24"/>
        </w:rPr>
      </w:pPr>
      <w:r w:rsidRPr="009966E0">
        <w:rPr>
          <w:noProof/>
        </w:rPr>
        <w:pict>
          <v:shape id="Tekstvak 10" o:spid="_x0000_s1068" type="#_x0000_t202" style="position:absolute;left:0;text-align:left;margin-left:215.25pt;margin-top:4.1pt;width:110.65pt;height:39.55pt;z-index:-25164595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celIwIAACQEAAAOAAAAZHJzL2Uyb0RvYy54bWysU9tu2zAMfR+wfxD0vtgx4i014hRdugwD&#10;ugvQ7gNoWY6FyKInKbGzrx8lp2m2vQ3zgyCa5OHhIbW6HTvNjtI6habk81nKmTQCa2V2Jf/+tH2z&#10;5Mx5MDVoNLLkJ+n47fr1q9XQFzLDFnUtLSMQ44qhL3nrfV8kiROt7MDNsJeGnA3aDjyZdpfUFgZC&#10;73SSpenbZEBb9xaFdI7+3k9Ovo74TSOF/9o0TnqmS07cfDxtPKtwJusVFDsLfavEmQb8A4sOlKGi&#10;F6h78MAOVv0F1Slh0WHjZwK7BJtGCRl7oG7m6R/dPLbQy9gLieP6i0zu/8GKL8dvlqmaZkfyGOho&#10;Rk9y7/wR9ox+kT5D7woKe+wp0I/vcaTY2KvrH1DsHTO4acHs5J21OLQSauI3D5nJVeqE4wJINXzG&#10;murAwWMEGhvbBfFIDkboROR0mY0cPROh5CLNszznTJAvT7NsmccSUDxn99b5jxI7Fi4ltzT7iA7H&#10;B+cDGyieQ0Ixh1rVW6V1NOyu2mjLjkB7so3fGf23MG3YUPIbIhKRDYb8uEKd8rTHWnUlX6bhC+lQ&#10;BDU+mDrePSg93YmJNmd5giKTNn6sxjiJ2FiQrsL6RHpZnNaWnhldWrQ/ORtoZUvufhzASs70J0Oa&#10;38wXi7Dj0Vjk7zIy7LWnuvaAEQRVcs/ZdN34+C4CbYN3NJtGRdlemJwp0ypGNc/PJuz6tR2jXh73&#10;+hcAAAD//wMAUEsDBBQABgAIAAAAIQBfa6hJ3QAAAAgBAAAPAAAAZHJzL2Rvd25yZXYueG1sTI/d&#10;ToNAFITvTXyHzTHxxtilP0BFlkZNNN629gEOcApE9ixht4W+vccrvZzMZOabfDfbXl1o9J1jA8tF&#10;BIq4cnXHjYHj1/vjFpQPyDX2jsnAlTzsitubHLPaTbynyyE0SkrYZ2igDWHItPZVSxb9wg3E4p3c&#10;aDGIHBtdjzhJue31KooSbbFjWWhxoLeWqu/D2Ro4fU4P8dNUfoRjut8kr9ilpbsac383vzyDCjSH&#10;vzD84gs6FMJUujPXXvUGNusolqiB7QqU+Em8lCul6HQNusj1/wPFDwAAAP//AwBQSwECLQAUAAYA&#10;CAAAACEAtoM4kv4AAADhAQAAEwAAAAAAAAAAAAAAAAAAAAAAW0NvbnRlbnRfVHlwZXNdLnhtbFBL&#10;AQItABQABgAIAAAAIQA4/SH/1gAAAJQBAAALAAAAAAAAAAAAAAAAAC8BAABfcmVscy8ucmVsc1BL&#10;AQItABQABgAIAAAAIQCjCcelIwIAACQEAAAOAAAAAAAAAAAAAAAAAC4CAABkcnMvZTJvRG9jLnht&#10;bFBLAQItABQABgAIAAAAIQBfa6hJ3QAAAAgBAAAPAAAAAAAAAAAAAAAAAH0EAABkcnMvZG93bnJl&#10;di54bWxQSwUGAAAAAAQABADzAAAAhwUAAAAA&#10;" stroked="f">
            <v:textbox style="mso-next-textbox:#Tekstvak 10">
              <w:txbxContent>
                <w:p w:rsidR="004A48E4" w:rsidRPr="00D0725B" w:rsidRDefault="004A48E4" w:rsidP="00D0725B">
                  <w:pPr>
                    <w:rPr>
                      <w:lang w:val="en-GB"/>
                    </w:rPr>
                  </w:pPr>
                  <w:r w:rsidRPr="00D0725B">
                    <w:rPr>
                      <w:lang w:val="en-GB"/>
                    </w:rPr>
                    <w:t>Know-how ready for UltraHD Smartphone</w:t>
                  </w:r>
                </w:p>
              </w:txbxContent>
            </v:textbox>
          </v:shape>
        </w:pict>
      </w:r>
    </w:p>
    <w:p w:rsidR="00D0725B" w:rsidRDefault="009966E0" w:rsidP="00D0725B">
      <w:pPr>
        <w:pStyle w:val="NoSpacing"/>
        <w:jc w:val="both"/>
        <w:rPr>
          <w:sz w:val="24"/>
        </w:rPr>
      </w:pPr>
      <w:r w:rsidRPr="009966E0">
        <w:rPr>
          <w:noProof/>
        </w:rPr>
        <w:pict>
          <v:shape id="Gebogen verbindingslijn 9" o:spid="_x0000_s1069" type="#_x0000_t34" style="position:absolute;left:0;text-align:left;margin-left:-9.75pt;margin-top:4.25pt;width:223.5pt;height:134.25pt;rotation:180;flip:y;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xE0iQIAAPkEAAAOAAAAZHJzL2Uyb0RvYy54bWysVE1v2zAMvQ/YfxB0T20nbpMYdYrBTnrp&#10;tgLtdlcsOVanL0hKnGDYfy8lu+naXYZhOSj6IB/Jx0df3xylQAdmHdeqxNlFihFTjaZc7Ur87XEz&#10;WWDkPFGUCK1YiU/M4ZvVxw/XvSnYVHdaUGYRgChX9KbEnfemSBLXdEwSd6ENU/DYaiuJh6PdJdSS&#10;HtClSKZpepX02lJjdcOcg9t6eMSriN+2rPFf29Yxj0SJITcfVxvXbViT1TUpdpaYjjdjGuQfspCE&#10;Kwh6hqqJJ2hv+R9QkjdWO936i0bLRLctb1isAarJ0nfVPHTEsFgLkOPMmSb3/2CbL4d7izgt8RIj&#10;RSS06JZt9Y6p0NUtV6GTTvAnhZaBrN64AnwqdW9Duc1RPZg73fxwSOmqI2rHYtKPJwNIWfBI3riE&#10;gzMQctt/1hRsyN7ryNyxtRJZDR3K0kUafhi1gpvvASfEArLQMXbudO4cO3rUwOV0MVvkl+DRwFs2&#10;T/Pl/DIGJ0XADe7GOn/LtERhU+ItU77SSoFCtJ3FAORw53xsIh2pIPQpgyykAE0ciEBZOoM4I/Bo&#10;nrxCB1+lN1yIKCuhUA/ZTOdQSnhyWnAaXuMhKJxVwiIALrE/DkWKvQRehrtsYGHA2ksQ8nAfVQth&#10;45AECCD5HbrkHsZKcFnikcuI0jFC14rGvSdcwB752CpvOTRPMBxSloxiJBgMdNiBNcALFbIGvkeO&#10;AvNR4D+X6XK9WC/yST69Wk/ytK4nnzZVPrnaZPPLelZXVZ39CgRkedFxSpkKHLwMW5b/nZjHsR/G&#10;5DxuZ7aTt+gxZUjx5T8mHZUYxDfIeKvp6d6G6oIoYb6i8fgtCAP8+zlavX6xVs8AAAD//wMAUEsD&#10;BBQABgAIAAAAIQCWosMJ4AAAAAkBAAAPAAAAZHJzL2Rvd25yZXYueG1sTI9BT4NAEIXvJv6HzZh4&#10;axeIFkSGxhg1NvVi7aHetuwKRHaWsEuh/97xpKeZyXt5871iPdtOnMzgW0cI8TICYahyuqUaYf/x&#10;vMhA+KBIq86RQTgbD+vy8qJQuXYTvZvTLtSCQ8jnCqEJoc+l9FVjrPJL1xti7csNVgU+h1rqQU0c&#10;bjuZRNFKWtUSf2hUbx4bU33vRoswfrrz5vWFxgNtN6vpEO/fsuoJ8fpqfrgHEcwc/szwi8/oUDLT&#10;0Y2kvegQFvHdLVsRMh6s3yQpL0eEJE0jkGUh/zcofwAAAP//AwBQSwECLQAUAAYACAAAACEAtoM4&#10;kv4AAADhAQAAEwAAAAAAAAAAAAAAAAAAAAAAW0NvbnRlbnRfVHlwZXNdLnhtbFBLAQItABQABgAI&#10;AAAAIQA4/SH/1gAAAJQBAAALAAAAAAAAAAAAAAAAAC8BAABfcmVscy8ucmVsc1BLAQItABQABgAI&#10;AAAAIQBSPxE0iQIAAPkEAAAOAAAAAAAAAAAAAAAAAC4CAABkcnMvZTJvRG9jLnhtbFBLAQItABQA&#10;BgAIAAAAIQCWosMJ4AAAAAkBAAAPAAAAAAAAAAAAAAAAAOMEAABkcnMvZG93bnJldi54bWxQSwUG&#10;AAAAAAQABADzAAAA8AUAAAAA&#10;" adj="22331" strokecolor="black [3213]" strokeweight="1pt">
            <v:stroke endarrow="block"/>
          </v:shape>
        </w:pict>
      </w:r>
    </w:p>
    <w:p w:rsidR="00D0725B" w:rsidRDefault="009966E0" w:rsidP="00D0725B">
      <w:pPr>
        <w:pStyle w:val="NoSpacing"/>
        <w:jc w:val="both"/>
        <w:rPr>
          <w:sz w:val="24"/>
        </w:rPr>
      </w:pPr>
      <w:r>
        <w:rPr>
          <w:noProof/>
          <w:sz w:val="24"/>
        </w:rPr>
        <w:pict>
          <v:line id="Rechte verbindingslijn 6" o:spid="_x0000_s1070" style="position:absolute;left:0;text-align:left;flip:x;z-index:251672576;visibility:visible;mso-wrap-distance-left:3.17492mm;mso-wrap-distance-right:3.17492mm;mso-width-relative:margin;mso-height-relative:margin" from="255.5pt,5.75pt" to="255.5pt,2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7BF7gEAADYEAAAOAAAAZHJzL2Uyb0RvYy54bWysU8tu2zAQvBfIPxC8x5IN2G0EyzkkSHoI&#10;WiNJP4CmlhYbvkCylvz3XVKyHKenFr0QIndndmd2tb7ttSIH8EFaU9P5rKQEDLeNNPua/nh9uP5C&#10;SYjMNExZAzU9QqC3m6tP685VsLCtVQ14giQmVJ2raRujq4oi8BY0CzPrwGBQWK9ZxKvfF41nHbJr&#10;VSzKclV01jfOWw4h4Ov9EKSbzC8E8PhdiACRqJpibzGfPp+7dBabNav2nrlW8rEN9g9daCYNFp2o&#10;7llk5JeXf1Bpyb0NVsQZt7qwQkgOWQOqmZcf1Ly0zEHWguYEN9kU/h8t/3bYeiKbmq4oMUzjiJ6B&#10;txHSUHfSpEEGJX8askpedS5UCLkzW5/U8t68uCfL3wLGiotgugQ3pPXCayKUdF9xRbJNKJz0eQrH&#10;aQrQR8KHR46vi+XN5/kyFS1YlRhSQedDfASrSfqoqZIm+cMqdngKcUg9paRnZUiHJW/KZZnTglWy&#10;eZBKpWDeMbhTnhwYbkfs52Oxd1lYWplR2qAm64pHBQP/Mwh0D7sedH3gZJyDiSdeZTA7wQR2MAHH&#10;ztLCn5u5BI75CQp5p/8GPCFyZWviBNbSWD/4cln9bIUY8k8ODLqTBTvbHLf+NHVczjym8UdK2//+&#10;nuHn333zGwAA//8DAFBLAwQUAAYACAAAACEAK7SetNwAAAAJAQAADwAAAGRycy9kb3ducmV2Lnht&#10;bEyPwU7DQAxE70j8w8pI3OimgUIVsqkACQlQe2jpBzhZk0TNeqPstgl/jysOcLM9o/GbfDW5Tp1o&#10;CK1nA/NZAoq48rbl2sD+8/VmCSpEZIudZzLwTQFWxeVFjpn1I2/ptIu1khAOGRpoYuwzrUPVkMMw&#10;8z2xaF9+cBhlHWptBxwl3HU6TZJ77bBl+dBgTy8NVYfd0Rmo3jcPm4OnsdTWx483u13jc2PM9dX0&#10;9Agq0hT/zHDGF3QohKn0R7ZBdQYW6W0qVhHmC1Bi+D2U5+EOdJHr/w2KHwAAAP//AwBQSwECLQAU&#10;AAYACAAAACEAtoM4kv4AAADhAQAAEwAAAAAAAAAAAAAAAAAAAAAAW0NvbnRlbnRfVHlwZXNdLnht&#10;bFBLAQItABQABgAIAAAAIQA4/SH/1gAAAJQBAAALAAAAAAAAAAAAAAAAAC8BAABfcmVscy8ucmVs&#10;c1BLAQItABQABgAIAAAAIQDJV7BF7gEAADYEAAAOAAAAAAAAAAAAAAAAAC4CAABkcnMvZTJvRG9j&#10;LnhtbFBLAQItABQABgAIAAAAIQArtJ603AAAAAkBAAAPAAAAAAAAAAAAAAAAAEgEAABkcnMvZG93&#10;bnJldi54bWxQSwUGAAAAAAQABADzAAAAUQUAAAAA&#10;" strokecolor="black [3213]" strokeweight="1.5pt">
            <v:stroke joinstyle="miter"/>
            <o:lock v:ext="edit" shapetype="f"/>
          </v:line>
        </w:pict>
      </w:r>
      <w:r>
        <w:rPr>
          <w:noProof/>
          <w:sz w:val="24"/>
        </w:rPr>
        <w:pict>
          <v:shape id="Tekstvak 8" o:spid="_x0000_s1071" type="#_x0000_t202" style="position:absolute;left:0;text-align:left;margin-left:333.65pt;margin-top:5.75pt;width:186.75pt;height:31.3pt;z-index:-251642880;visibility:visible;mso-wrap-distance-top:3.6pt;mso-wrap-distance-bottom:3.6pt;mso-position-horizont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73oJAIAACIEAAAOAAAAZHJzL2Uyb0RvYy54bWysU9uO2yAQfa/Uf0C8N46zyWZjxVlts01V&#10;aXuRdvsBGOMYBRgKJHb69TvgJI22b1V5QAwzc5g5Z1je91qRg3BegilpPhpTIgyHWpptSX++bD7c&#10;UeIDMzVTYERJj8LT+9X7d8vOFmICLahaOIIgxhedLWkbgi2yzPNWaOZHYIVBZwNOs4Cm22a1Yx2i&#10;a5VNxuPbrANXWwdceI+3j4OTrhJ+0wgevjeNF4GokmJtIe0u7VXcs9WSFVvHbCv5qQz2D1VoJg0+&#10;eoF6ZIGRvZN/QWnJHXhowoiDzqBpJBepB+wmH7/p5rllVqRekBxvLzT5/wfLvx1+OCLrkqJQhmmU&#10;6EXsfDiwHbmL7HTWFxj0bDEs9B+hR5VTp94+Ad95YmDdMrMVD85B1wpWY3V5zMyuUgccH0Gq7ivU&#10;+AzbB0hAfeN0pA7JIIiOKh0vyog+EI6Xk5t5Pp/MKOHou1nMZ3mSLmPFOds6Hz4L0CQeSupQ+YTO&#10;Dk8+xGpYcQ6Jj3lQst5IpZLhttVaOXJgOCWbtFIDb8KUIV1JFzOsI2YZiPlpgLQMOMVKaqRxHNcw&#10;V5GNT6ZOIYFJNZyxEmVO9ERGBm5CX/VJh9sz6xXUR+TLwTC0+Mnw0IL7TUmHA1tS/2vPnKBEfTHI&#10;+SKfTuOEJ2M6m0/QcNee6trDDEeokgZKhuM6pF8xNPaA2jQy0RZFHCo5lYyDmNg8fZo46dd2ivrz&#10;tVevAAAA//8DAFBLAwQUAAYACAAAACEA/AK9lt0AAAAKAQAADwAAAGRycy9kb3ducmV2LnhtbEyP&#10;QU7DMBBF90jcwRokNojagTSBEKcCJBDblh5gEk+TiNiOYrdJb890BcvRf/rzfrlZ7CBONIXeOw3J&#10;SoEg13jTu1bD/vvj/glEiOgMDt6RhjMF2FTXVyUWxs9uS6ddbAWXuFCghi7GsZAyNB1ZDCs/kuPs&#10;4CeLkc+plWbCmcvtIB+UyqTF3vGHDkd676j52R2thsPXfLd+nuvPuM+3afaGfV77s9a3N8vrC4hI&#10;S/yD4aLP6lCxU+2PzgQxaMiy/JFRDpI1iAugUsVjag15moCsSvl/QvULAAD//wMAUEsBAi0AFAAG&#10;AAgAAAAhALaDOJL+AAAA4QEAABMAAAAAAAAAAAAAAAAAAAAAAFtDb250ZW50X1R5cGVzXS54bWxQ&#10;SwECLQAUAAYACAAAACEAOP0h/9YAAACUAQAACwAAAAAAAAAAAAAAAAAvAQAAX3JlbHMvLnJlbHNQ&#10;SwECLQAUAAYACAAAACEAzNu96CQCAAAiBAAADgAAAAAAAAAAAAAAAAAuAgAAZHJzL2Uyb0RvYy54&#10;bWxQSwECLQAUAAYACAAAACEA/AK9lt0AAAAKAQAADwAAAAAAAAAAAAAAAAB+BAAAZHJzL2Rvd25y&#10;ZXYueG1sUEsFBgAAAAAEAAQA8wAAAIgFAAAAAA==&#10;" stroked="f">
            <v:textbox style="mso-next-textbox:#Tekstvak 8">
              <w:txbxContent>
                <w:p w:rsidR="004A48E4" w:rsidRPr="00D0725B" w:rsidRDefault="004A48E4" w:rsidP="00D0725B">
                  <w:pPr>
                    <w:rPr>
                      <w:sz w:val="20"/>
                      <w:lang w:val="en-GB"/>
                    </w:rPr>
                  </w:pPr>
                  <w:r w:rsidRPr="00D0725B">
                    <w:rPr>
                      <w:sz w:val="18"/>
                      <w:szCs w:val="18"/>
                      <w:lang w:val="en-GB"/>
                    </w:rPr>
                    <w:t>Possibility for favorable market until t=10</w:t>
                  </w:r>
                  <w:r w:rsidRPr="00D0725B">
                    <w:rPr>
                      <w:sz w:val="20"/>
                      <w:lang w:val="en-GB"/>
                    </w:rPr>
                    <w:t>.</w:t>
                  </w:r>
                </w:p>
              </w:txbxContent>
            </v:textbox>
            <w10:wrap anchorx="page"/>
          </v:shape>
        </w:pict>
      </w:r>
      <w:r>
        <w:rPr>
          <w:noProof/>
          <w:sz w:val="24"/>
        </w:rPr>
        <w:pict>
          <v:shape id="Rechte verbindingslijn met pijl 7" o:spid="_x0000_s1072" type="#_x0000_t32" style="position:absolute;left:0;text-align:left;margin-left:260.9pt;margin-top:4.6pt;width:165pt;height:.95pt;flip:y;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CUqCAIAAGQEAAAOAAAAZHJzL2Uyb0RvYy54bWysVMFuEzEQvSPxD5bvZDeR0kKUTQ8p5VJB&#10;1BbujnecdbHHlm2Szd8z9iYbCggJxMWKd+bNm/dmnOVNbw3bQ4jaYcOnk5ozQOlajbuGf366e/OW&#10;s5gEtsI4hIYfIfKb1etXy4NfwMx1zrQQGBXBuDj4hncp+UVVRdmBFXHiPCAFlQtWJLqGXdUGcaDq&#10;1lSzur6qDi60PjgJMdLX2yHIV6W+UiDTJ6UiJGYaTr2lcoZybvNZrZZisQvCd1qe2hD/0IUVGol0&#10;LHUrkmDfgv6llNUyuOhUmkhnK6eUllA0kJpp/ZOax054KFrInOhHm+L/Kys/7jeB6bbh15yhsDSi&#10;B5BdgjzUrcY8yGj0MzJLJnr9bNh1Nu3g44Kwa9yELFv2+OjvnfwaKVa9COZL9ENar4Jlymj/hXal&#10;+EUOsL6M4ziOA/rEJH2c1e/m85qmJik2ndVX88xciUUuk1l9iOkDOMvyj4bHFITedWntEGnwLgwU&#10;Yn8f0wA8AzLYYD6jM7q908aUS946WJvA9oL2JfXTE+GLrCS0eY8tS0dPbqWgBe4MnDJz1aJ/kFzE&#10;p6OBgfEBFHlN0obOypZf+ISUgOnMaZCyM0xRdyOwLq79EXjKz1AoL+BvwCOiMDtMI9hqdOF37Beb&#10;1JB/dmDQnS3Yuva4CefVoFUuYzw9u/xWfrwX+OXPYfUdAAD//wMAUEsDBBQABgAIAAAAIQA7Z4cW&#10;3gAAAAgBAAAPAAAAZHJzL2Rvd25yZXYueG1sTI9PT4NAFMTvJn6HzTPxZhcwVUSWxj9pDyYeipJ4&#10;3MKDJbJvCbu0+O19PelxMpOZ3+SbxQ7iiJPvHSmIVxEIpNo1PXUKPj+2NykIHzQ1enCECn7Qw6a4&#10;vMh11rgT7fFYhk5wCflMKzAhjJmUvjZotV+5EYm91k1WB5ZTJ5tJn7jcDjKJojtpdU+8YPSILwbr&#10;73K2PPL2Xt63X9tbml/TXdVWzztT7ZW6vlqeHkEEXMJfGM74jA4FMx3cTI0Xg4J1EjN6UPCQgGA/&#10;XZ/1gYNxDLLI5f8DxS8AAAD//wMAUEsBAi0AFAAGAAgAAAAhALaDOJL+AAAA4QEAABMAAAAAAAAA&#10;AAAAAAAAAAAAAFtDb250ZW50X1R5cGVzXS54bWxQSwECLQAUAAYACAAAACEAOP0h/9YAAACUAQAA&#10;CwAAAAAAAAAAAAAAAAAvAQAAX3JlbHMvLnJlbHNQSwECLQAUAAYACAAAACEAxdQlKggCAABkBAAA&#10;DgAAAAAAAAAAAAAAAAAuAgAAZHJzL2Uyb0RvYy54bWxQSwECLQAUAAYACAAAACEAO2eHFt4AAAAI&#10;AQAADwAAAAAAAAAAAAAAAABiBAAAZHJzL2Rvd25yZXYueG1sUEsFBgAAAAAEAAQA8wAAAG0FAAAA&#10;AA==&#10;" strokecolor="black [3213]" strokeweight=".5pt">
            <v:stroke endarrow="block" joinstyle="miter"/>
            <o:lock v:ext="edit" shapetype="f"/>
          </v:shape>
        </w:pict>
      </w:r>
    </w:p>
    <w:p w:rsidR="00D0725B" w:rsidRPr="00C424AF" w:rsidRDefault="00D0725B" w:rsidP="00D0725B">
      <w:pPr>
        <w:pStyle w:val="NoSpacing"/>
        <w:jc w:val="both"/>
        <w:rPr>
          <w:b/>
          <w:sz w:val="20"/>
        </w:rPr>
      </w:pPr>
      <w:r>
        <w:rPr>
          <w:b/>
          <w:sz w:val="20"/>
        </w:rPr>
        <w:t xml:space="preserve">Estimated cash flows for project </w:t>
      </w:r>
      <w:r w:rsidRPr="006867DB">
        <w:rPr>
          <w:b/>
          <w:sz w:val="20"/>
          <w:u w:val="single"/>
        </w:rPr>
        <w:t>UltraHD TV</w:t>
      </w:r>
      <w:r>
        <w:rPr>
          <w:b/>
          <w:sz w:val="20"/>
        </w:rPr>
        <w:t>:</w:t>
      </w:r>
    </w:p>
    <w:tbl>
      <w:tblPr>
        <w:tblStyle w:val="TableGrid"/>
        <w:tblW w:w="9557" w:type="dxa"/>
        <w:tblLook w:val="04A0"/>
      </w:tblPr>
      <w:tblGrid>
        <w:gridCol w:w="1345"/>
        <w:gridCol w:w="1440"/>
        <w:gridCol w:w="541"/>
        <w:gridCol w:w="960"/>
        <w:gridCol w:w="960"/>
        <w:gridCol w:w="960"/>
        <w:gridCol w:w="960"/>
        <w:gridCol w:w="960"/>
        <w:gridCol w:w="1655"/>
      </w:tblGrid>
      <w:tr w:rsidR="00D0725B" w:rsidRPr="005A0615" w:rsidTr="003A34F3">
        <w:trPr>
          <w:trHeight w:val="300"/>
        </w:trPr>
        <w:tc>
          <w:tcPr>
            <w:tcW w:w="1345" w:type="dxa"/>
            <w:noWrap/>
            <w:hideMark/>
          </w:tcPr>
          <w:p w:rsidR="00D0725B" w:rsidRPr="005A0615" w:rsidRDefault="00D0725B" w:rsidP="003A34F3">
            <w:pPr>
              <w:pStyle w:val="NoSpacing"/>
              <w:spacing w:line="276" w:lineRule="auto"/>
              <w:jc w:val="both"/>
              <w:rPr>
                <w:sz w:val="24"/>
              </w:rPr>
            </w:pPr>
          </w:p>
        </w:tc>
        <w:tc>
          <w:tcPr>
            <w:tcW w:w="1440" w:type="dxa"/>
            <w:noWrap/>
            <w:hideMark/>
          </w:tcPr>
          <w:p w:rsidR="00D0725B" w:rsidRPr="005A0615" w:rsidRDefault="00D0725B" w:rsidP="003A34F3">
            <w:pPr>
              <w:pStyle w:val="NoSpacing"/>
              <w:spacing w:line="276" w:lineRule="auto"/>
              <w:jc w:val="center"/>
              <w:rPr>
                <w:b/>
                <w:bCs/>
                <w:sz w:val="24"/>
              </w:rPr>
            </w:pPr>
            <w:r w:rsidRPr="005A0615">
              <w:rPr>
                <w:b/>
                <w:bCs/>
                <w:sz w:val="24"/>
              </w:rPr>
              <w:t>t=1</w:t>
            </w:r>
            <w:r>
              <w:rPr>
                <w:b/>
                <w:bCs/>
                <w:sz w:val="24"/>
              </w:rPr>
              <w:t xml:space="preserve"> (=now)</w:t>
            </w:r>
          </w:p>
        </w:tc>
        <w:tc>
          <w:tcPr>
            <w:tcW w:w="317" w:type="dxa"/>
            <w:noWrap/>
            <w:hideMark/>
          </w:tcPr>
          <w:p w:rsidR="00D0725B" w:rsidRPr="005A0615" w:rsidRDefault="00D0725B" w:rsidP="003A34F3">
            <w:pPr>
              <w:pStyle w:val="NoSpacing"/>
              <w:spacing w:line="276" w:lineRule="auto"/>
              <w:jc w:val="center"/>
              <w:rPr>
                <w:b/>
                <w:bCs/>
                <w:sz w:val="24"/>
              </w:rPr>
            </w:pPr>
            <w:r w:rsidRPr="005A0615">
              <w:rPr>
                <w:b/>
                <w:bCs/>
                <w:sz w:val="24"/>
              </w:rPr>
              <w:t>t=2</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t=3</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t=4</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t=5</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t=6</w:t>
            </w:r>
          </w:p>
        </w:tc>
        <w:tc>
          <w:tcPr>
            <w:tcW w:w="960" w:type="dxa"/>
            <w:noWrap/>
            <w:hideMark/>
          </w:tcPr>
          <w:p w:rsidR="00D0725B" w:rsidRPr="005A0615" w:rsidRDefault="00D0725B" w:rsidP="003A34F3">
            <w:pPr>
              <w:pStyle w:val="NoSpacing"/>
              <w:spacing w:line="276" w:lineRule="auto"/>
              <w:jc w:val="center"/>
              <w:rPr>
                <w:b/>
                <w:bCs/>
                <w:sz w:val="24"/>
              </w:rPr>
            </w:pPr>
            <w:r w:rsidRPr="005A0615">
              <w:rPr>
                <w:b/>
                <w:bCs/>
                <w:sz w:val="24"/>
              </w:rPr>
              <w:t>t=7</w:t>
            </w:r>
          </w:p>
        </w:tc>
        <w:tc>
          <w:tcPr>
            <w:tcW w:w="1655" w:type="dxa"/>
            <w:noWrap/>
            <w:hideMark/>
          </w:tcPr>
          <w:p w:rsidR="00D0725B" w:rsidRPr="005A0615" w:rsidRDefault="00D0725B" w:rsidP="003A34F3">
            <w:pPr>
              <w:pStyle w:val="NoSpacing"/>
              <w:spacing w:line="276" w:lineRule="auto"/>
              <w:jc w:val="both"/>
              <w:rPr>
                <w:b/>
                <w:bCs/>
                <w:sz w:val="24"/>
              </w:rPr>
            </w:pPr>
            <w:r w:rsidRPr="005A0615">
              <w:rPr>
                <w:b/>
                <w:bCs/>
                <w:sz w:val="24"/>
              </w:rPr>
              <w:t>Horizon value</w:t>
            </w:r>
          </w:p>
        </w:tc>
      </w:tr>
      <w:tr w:rsidR="00D0725B" w:rsidRPr="005A0615" w:rsidTr="003A34F3">
        <w:trPr>
          <w:trHeight w:val="485"/>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Cash flow</w:t>
            </w:r>
          </w:p>
        </w:tc>
        <w:tc>
          <w:tcPr>
            <w:tcW w:w="1440" w:type="dxa"/>
            <w:noWrap/>
            <w:hideMark/>
          </w:tcPr>
          <w:p w:rsidR="00D0725B" w:rsidRPr="005A0615" w:rsidRDefault="00D0725B" w:rsidP="003A34F3">
            <w:pPr>
              <w:pStyle w:val="NoSpacing"/>
              <w:spacing w:line="276" w:lineRule="auto"/>
              <w:jc w:val="center"/>
              <w:rPr>
                <w:sz w:val="24"/>
              </w:rPr>
            </w:pPr>
            <w:r w:rsidRPr="005A0615">
              <w:rPr>
                <w:sz w:val="24"/>
              </w:rPr>
              <w:t>-50</w:t>
            </w:r>
          </w:p>
        </w:tc>
        <w:tc>
          <w:tcPr>
            <w:tcW w:w="317"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15</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5</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20</w:t>
            </w:r>
          </w:p>
        </w:tc>
        <w:tc>
          <w:tcPr>
            <w:tcW w:w="960" w:type="dxa"/>
            <w:noWrap/>
            <w:hideMark/>
          </w:tcPr>
          <w:p w:rsidR="00D0725B" w:rsidRPr="005A0615" w:rsidRDefault="00D0725B" w:rsidP="003A34F3">
            <w:pPr>
              <w:pStyle w:val="NoSpacing"/>
              <w:spacing w:line="276" w:lineRule="auto"/>
              <w:jc w:val="center"/>
              <w:rPr>
                <w:sz w:val="24"/>
              </w:rPr>
            </w:pPr>
            <w:r w:rsidRPr="005A0615">
              <w:rPr>
                <w:sz w:val="24"/>
              </w:rPr>
              <w:t>10</w:t>
            </w:r>
          </w:p>
        </w:tc>
        <w:tc>
          <w:tcPr>
            <w:tcW w:w="1655" w:type="dxa"/>
            <w:noWrap/>
            <w:hideMark/>
          </w:tcPr>
          <w:p w:rsidR="00D0725B" w:rsidRPr="005A0615" w:rsidRDefault="00D0725B" w:rsidP="003A34F3">
            <w:pPr>
              <w:pStyle w:val="NoSpacing"/>
              <w:spacing w:line="276" w:lineRule="auto"/>
              <w:jc w:val="center"/>
              <w:rPr>
                <w:sz w:val="24"/>
              </w:rPr>
            </w:pPr>
            <w:r w:rsidRPr="005A0615">
              <w:rPr>
                <w:sz w:val="24"/>
              </w:rPr>
              <w:t>?</w:t>
            </w:r>
          </w:p>
        </w:tc>
      </w:tr>
      <w:tr w:rsidR="00D0725B" w:rsidRPr="005A0615" w:rsidTr="003A34F3">
        <w:trPr>
          <w:gridAfter w:val="7"/>
          <w:wAfter w:w="6772" w:type="dxa"/>
          <w:trHeight w:val="300"/>
        </w:trPr>
        <w:tc>
          <w:tcPr>
            <w:tcW w:w="1345" w:type="dxa"/>
            <w:noWrap/>
            <w:hideMark/>
          </w:tcPr>
          <w:p w:rsidR="00D0725B" w:rsidRPr="005A0615" w:rsidRDefault="00D0725B" w:rsidP="003A34F3">
            <w:pPr>
              <w:pStyle w:val="NoSpacing"/>
              <w:spacing w:line="276" w:lineRule="auto"/>
              <w:jc w:val="both"/>
              <w:rPr>
                <w:b/>
                <w:bCs/>
                <w:sz w:val="24"/>
              </w:rPr>
            </w:pPr>
            <w:r w:rsidRPr="005A0615">
              <w:rPr>
                <w:b/>
                <w:bCs/>
                <w:sz w:val="24"/>
              </w:rPr>
              <w:t>License fee</w:t>
            </w:r>
          </w:p>
        </w:tc>
        <w:tc>
          <w:tcPr>
            <w:tcW w:w="1440" w:type="dxa"/>
            <w:noWrap/>
            <w:hideMark/>
          </w:tcPr>
          <w:p w:rsidR="00D0725B" w:rsidRPr="005A0615" w:rsidRDefault="00D0725B" w:rsidP="003A34F3">
            <w:pPr>
              <w:pStyle w:val="NoSpacing"/>
              <w:spacing w:line="276" w:lineRule="auto"/>
              <w:jc w:val="center"/>
              <w:rPr>
                <w:sz w:val="24"/>
              </w:rPr>
            </w:pPr>
            <w:r w:rsidRPr="005A0615">
              <w:rPr>
                <w:sz w:val="24"/>
              </w:rPr>
              <w:t>?</w:t>
            </w:r>
          </w:p>
        </w:tc>
      </w:tr>
    </w:tbl>
    <w:p w:rsidR="00D0725B" w:rsidRDefault="00D0725B" w:rsidP="00D0725B">
      <w:pPr>
        <w:pStyle w:val="NoSpacing"/>
        <w:jc w:val="both"/>
        <w:rPr>
          <w:sz w:val="24"/>
        </w:rPr>
      </w:pPr>
    </w:p>
    <w:p w:rsidR="00D0725B" w:rsidRPr="003F4C08" w:rsidRDefault="00D0725B" w:rsidP="00D0725B">
      <w:pPr>
        <w:pStyle w:val="NoSpacing"/>
        <w:jc w:val="both"/>
        <w:rPr>
          <w:b/>
          <w:sz w:val="20"/>
        </w:rPr>
      </w:pPr>
      <w:r>
        <w:rPr>
          <w:b/>
          <w:sz w:val="20"/>
        </w:rPr>
        <w:t xml:space="preserve">Estimated cash flows for project </w:t>
      </w:r>
      <w:r w:rsidRPr="006867DB">
        <w:rPr>
          <w:b/>
          <w:sz w:val="20"/>
          <w:u w:val="single"/>
        </w:rPr>
        <w:t>UltraHD Smartphone</w:t>
      </w:r>
      <w:r>
        <w:rPr>
          <w:b/>
          <w:sz w:val="20"/>
        </w:rPr>
        <w:t xml:space="preserve">, </w:t>
      </w:r>
      <w:r w:rsidRPr="006867DB">
        <w:rPr>
          <w:b/>
          <w:i/>
          <w:sz w:val="20"/>
        </w:rPr>
        <w:t>if market is favorable</w:t>
      </w:r>
      <w:r>
        <w:rPr>
          <w:b/>
          <w:sz w:val="20"/>
        </w:rPr>
        <w:t>:</w:t>
      </w:r>
    </w:p>
    <w:tbl>
      <w:tblPr>
        <w:tblStyle w:val="TableGrid"/>
        <w:tblW w:w="9805" w:type="dxa"/>
        <w:tblLook w:val="04A0"/>
      </w:tblPr>
      <w:tblGrid>
        <w:gridCol w:w="1345"/>
        <w:gridCol w:w="900"/>
        <w:gridCol w:w="900"/>
        <w:gridCol w:w="895"/>
        <w:gridCol w:w="960"/>
        <w:gridCol w:w="960"/>
        <w:gridCol w:w="960"/>
        <w:gridCol w:w="1175"/>
        <w:gridCol w:w="1710"/>
      </w:tblGrid>
      <w:tr w:rsidR="00D0725B" w:rsidRPr="003F4C08" w:rsidTr="003A34F3">
        <w:trPr>
          <w:trHeight w:val="300"/>
        </w:trPr>
        <w:tc>
          <w:tcPr>
            <w:tcW w:w="1345" w:type="dxa"/>
            <w:noWrap/>
            <w:hideMark/>
          </w:tcPr>
          <w:p w:rsidR="00D0725B" w:rsidRPr="003F4C08" w:rsidRDefault="00D0725B" w:rsidP="003A34F3">
            <w:pPr>
              <w:pStyle w:val="NoSpacing"/>
              <w:jc w:val="center"/>
              <w:rPr>
                <w:sz w:val="24"/>
              </w:rPr>
            </w:pPr>
          </w:p>
        </w:tc>
        <w:tc>
          <w:tcPr>
            <w:tcW w:w="900" w:type="dxa"/>
            <w:noWrap/>
            <w:hideMark/>
          </w:tcPr>
          <w:p w:rsidR="00D0725B" w:rsidRPr="003F4C08" w:rsidRDefault="00D0725B" w:rsidP="003A34F3">
            <w:pPr>
              <w:pStyle w:val="NoSpacing"/>
              <w:jc w:val="center"/>
              <w:rPr>
                <w:b/>
                <w:bCs/>
                <w:sz w:val="24"/>
              </w:rPr>
            </w:pPr>
            <w:r w:rsidRPr="003F4C08">
              <w:rPr>
                <w:b/>
                <w:bCs/>
                <w:sz w:val="24"/>
              </w:rPr>
              <w:t>t=5</w:t>
            </w:r>
          </w:p>
        </w:tc>
        <w:tc>
          <w:tcPr>
            <w:tcW w:w="900" w:type="dxa"/>
            <w:noWrap/>
            <w:hideMark/>
          </w:tcPr>
          <w:p w:rsidR="00D0725B" w:rsidRPr="003F4C08" w:rsidRDefault="00D0725B" w:rsidP="003A34F3">
            <w:pPr>
              <w:pStyle w:val="NoSpacing"/>
              <w:jc w:val="center"/>
              <w:rPr>
                <w:b/>
                <w:bCs/>
                <w:sz w:val="24"/>
              </w:rPr>
            </w:pPr>
            <w:r w:rsidRPr="003F4C08">
              <w:rPr>
                <w:b/>
                <w:bCs/>
                <w:sz w:val="24"/>
              </w:rPr>
              <w:t>t=6</w:t>
            </w:r>
          </w:p>
        </w:tc>
        <w:tc>
          <w:tcPr>
            <w:tcW w:w="895" w:type="dxa"/>
            <w:noWrap/>
            <w:hideMark/>
          </w:tcPr>
          <w:p w:rsidR="00D0725B" w:rsidRPr="003F4C08" w:rsidRDefault="00D0725B" w:rsidP="003A34F3">
            <w:pPr>
              <w:pStyle w:val="NoSpacing"/>
              <w:jc w:val="center"/>
              <w:rPr>
                <w:b/>
                <w:bCs/>
                <w:sz w:val="24"/>
              </w:rPr>
            </w:pPr>
            <w:r w:rsidRPr="003F4C08">
              <w:rPr>
                <w:b/>
                <w:bCs/>
                <w:sz w:val="24"/>
              </w:rPr>
              <w:t>t=7</w:t>
            </w:r>
          </w:p>
        </w:tc>
        <w:tc>
          <w:tcPr>
            <w:tcW w:w="960" w:type="dxa"/>
            <w:noWrap/>
            <w:hideMark/>
          </w:tcPr>
          <w:p w:rsidR="00D0725B" w:rsidRPr="003F4C08" w:rsidRDefault="00D0725B" w:rsidP="003A34F3">
            <w:pPr>
              <w:pStyle w:val="NoSpacing"/>
              <w:jc w:val="center"/>
              <w:rPr>
                <w:b/>
                <w:bCs/>
                <w:sz w:val="24"/>
              </w:rPr>
            </w:pPr>
            <w:r w:rsidRPr="003F4C08">
              <w:rPr>
                <w:b/>
                <w:bCs/>
                <w:sz w:val="24"/>
              </w:rPr>
              <w:t>t=8</w:t>
            </w:r>
          </w:p>
        </w:tc>
        <w:tc>
          <w:tcPr>
            <w:tcW w:w="960" w:type="dxa"/>
            <w:noWrap/>
            <w:hideMark/>
          </w:tcPr>
          <w:p w:rsidR="00D0725B" w:rsidRPr="003F4C08" w:rsidRDefault="00D0725B" w:rsidP="003A34F3">
            <w:pPr>
              <w:pStyle w:val="NoSpacing"/>
              <w:jc w:val="center"/>
              <w:rPr>
                <w:b/>
                <w:bCs/>
                <w:sz w:val="24"/>
              </w:rPr>
            </w:pPr>
            <w:r w:rsidRPr="003F4C08">
              <w:rPr>
                <w:b/>
                <w:bCs/>
                <w:sz w:val="24"/>
              </w:rPr>
              <w:t>t=9</w:t>
            </w:r>
          </w:p>
        </w:tc>
        <w:tc>
          <w:tcPr>
            <w:tcW w:w="960" w:type="dxa"/>
            <w:noWrap/>
            <w:hideMark/>
          </w:tcPr>
          <w:p w:rsidR="00D0725B" w:rsidRPr="003F4C08" w:rsidRDefault="00D0725B" w:rsidP="003A34F3">
            <w:pPr>
              <w:pStyle w:val="NoSpacing"/>
              <w:jc w:val="center"/>
              <w:rPr>
                <w:b/>
                <w:bCs/>
                <w:sz w:val="24"/>
              </w:rPr>
            </w:pPr>
            <w:r w:rsidRPr="003F4C08">
              <w:rPr>
                <w:b/>
                <w:bCs/>
                <w:sz w:val="24"/>
              </w:rPr>
              <w:t>t=10</w:t>
            </w:r>
          </w:p>
        </w:tc>
        <w:tc>
          <w:tcPr>
            <w:tcW w:w="1175" w:type="dxa"/>
            <w:noWrap/>
            <w:hideMark/>
          </w:tcPr>
          <w:p w:rsidR="00D0725B" w:rsidRPr="003F4C08" w:rsidRDefault="00D0725B" w:rsidP="003A34F3">
            <w:pPr>
              <w:pStyle w:val="NoSpacing"/>
              <w:jc w:val="center"/>
              <w:rPr>
                <w:b/>
                <w:bCs/>
                <w:sz w:val="24"/>
              </w:rPr>
            </w:pPr>
            <w:r w:rsidRPr="003F4C08">
              <w:rPr>
                <w:b/>
                <w:bCs/>
                <w:sz w:val="24"/>
              </w:rPr>
              <w:t>t=11</w:t>
            </w:r>
          </w:p>
        </w:tc>
        <w:tc>
          <w:tcPr>
            <w:tcW w:w="1710" w:type="dxa"/>
            <w:noWrap/>
            <w:hideMark/>
          </w:tcPr>
          <w:p w:rsidR="00D0725B" w:rsidRPr="003F4C08" w:rsidRDefault="00D0725B" w:rsidP="003A34F3">
            <w:pPr>
              <w:pStyle w:val="NoSpacing"/>
              <w:jc w:val="center"/>
              <w:rPr>
                <w:b/>
                <w:bCs/>
                <w:sz w:val="24"/>
              </w:rPr>
            </w:pPr>
            <w:r w:rsidRPr="003F4C08">
              <w:rPr>
                <w:b/>
                <w:bCs/>
                <w:sz w:val="24"/>
              </w:rPr>
              <w:t>Horizon value</w:t>
            </w:r>
          </w:p>
        </w:tc>
      </w:tr>
      <w:tr w:rsidR="00D0725B" w:rsidRPr="003F4C08" w:rsidTr="003A34F3">
        <w:trPr>
          <w:trHeight w:val="300"/>
        </w:trPr>
        <w:tc>
          <w:tcPr>
            <w:tcW w:w="1345" w:type="dxa"/>
            <w:noWrap/>
            <w:hideMark/>
          </w:tcPr>
          <w:p w:rsidR="00D0725B" w:rsidRPr="003F4C08" w:rsidRDefault="00D0725B" w:rsidP="003A34F3">
            <w:pPr>
              <w:pStyle w:val="NoSpacing"/>
              <w:jc w:val="center"/>
              <w:rPr>
                <w:b/>
                <w:bCs/>
                <w:sz w:val="24"/>
              </w:rPr>
            </w:pPr>
            <w:r w:rsidRPr="003F4C08">
              <w:rPr>
                <w:b/>
                <w:bCs/>
                <w:sz w:val="24"/>
              </w:rPr>
              <w:t>Cash flow</w:t>
            </w:r>
          </w:p>
        </w:tc>
        <w:tc>
          <w:tcPr>
            <w:tcW w:w="900" w:type="dxa"/>
            <w:noWrap/>
            <w:hideMark/>
          </w:tcPr>
          <w:p w:rsidR="00D0725B" w:rsidRPr="003F4C08" w:rsidRDefault="00D0725B" w:rsidP="003A34F3">
            <w:pPr>
              <w:pStyle w:val="NoSpacing"/>
              <w:jc w:val="center"/>
              <w:rPr>
                <w:sz w:val="24"/>
              </w:rPr>
            </w:pPr>
            <w:r w:rsidRPr="003F4C08">
              <w:rPr>
                <w:sz w:val="24"/>
              </w:rPr>
              <w:t>-100</w:t>
            </w:r>
          </w:p>
        </w:tc>
        <w:tc>
          <w:tcPr>
            <w:tcW w:w="900" w:type="dxa"/>
            <w:noWrap/>
            <w:hideMark/>
          </w:tcPr>
          <w:p w:rsidR="00D0725B" w:rsidRPr="003F4C08" w:rsidRDefault="00D0725B" w:rsidP="003A34F3">
            <w:pPr>
              <w:pStyle w:val="NoSpacing"/>
              <w:jc w:val="center"/>
              <w:rPr>
                <w:sz w:val="24"/>
              </w:rPr>
            </w:pPr>
            <w:r w:rsidRPr="003F4C08">
              <w:rPr>
                <w:sz w:val="24"/>
              </w:rPr>
              <w:t>20</w:t>
            </w:r>
          </w:p>
        </w:tc>
        <w:tc>
          <w:tcPr>
            <w:tcW w:w="895" w:type="dxa"/>
            <w:noWrap/>
            <w:hideMark/>
          </w:tcPr>
          <w:p w:rsidR="00D0725B" w:rsidRPr="003F4C08" w:rsidRDefault="00D0725B" w:rsidP="003A34F3">
            <w:pPr>
              <w:pStyle w:val="NoSpacing"/>
              <w:jc w:val="center"/>
              <w:rPr>
                <w:sz w:val="24"/>
              </w:rPr>
            </w:pPr>
            <w:r w:rsidRPr="003F4C08">
              <w:rPr>
                <w:sz w:val="24"/>
              </w:rPr>
              <w:t>30</w:t>
            </w:r>
          </w:p>
        </w:tc>
        <w:tc>
          <w:tcPr>
            <w:tcW w:w="960" w:type="dxa"/>
            <w:noWrap/>
            <w:hideMark/>
          </w:tcPr>
          <w:p w:rsidR="00D0725B" w:rsidRPr="003F4C08" w:rsidRDefault="00D0725B" w:rsidP="003A34F3">
            <w:pPr>
              <w:pStyle w:val="NoSpacing"/>
              <w:jc w:val="center"/>
              <w:rPr>
                <w:sz w:val="24"/>
              </w:rPr>
            </w:pPr>
            <w:r w:rsidRPr="003F4C08">
              <w:rPr>
                <w:sz w:val="24"/>
              </w:rPr>
              <w:t>20</w:t>
            </w:r>
          </w:p>
        </w:tc>
        <w:tc>
          <w:tcPr>
            <w:tcW w:w="960" w:type="dxa"/>
            <w:noWrap/>
            <w:hideMark/>
          </w:tcPr>
          <w:p w:rsidR="00D0725B" w:rsidRPr="003F4C08" w:rsidRDefault="00D0725B" w:rsidP="003A34F3">
            <w:pPr>
              <w:pStyle w:val="NoSpacing"/>
              <w:jc w:val="center"/>
              <w:rPr>
                <w:sz w:val="24"/>
              </w:rPr>
            </w:pPr>
            <w:r w:rsidRPr="003F4C08">
              <w:rPr>
                <w:sz w:val="24"/>
              </w:rPr>
              <w:t>10</w:t>
            </w:r>
          </w:p>
        </w:tc>
        <w:tc>
          <w:tcPr>
            <w:tcW w:w="960" w:type="dxa"/>
            <w:noWrap/>
            <w:hideMark/>
          </w:tcPr>
          <w:p w:rsidR="00D0725B" w:rsidRPr="003F4C08" w:rsidRDefault="00D0725B" w:rsidP="003A34F3">
            <w:pPr>
              <w:pStyle w:val="NoSpacing"/>
              <w:jc w:val="center"/>
              <w:rPr>
                <w:sz w:val="24"/>
              </w:rPr>
            </w:pPr>
            <w:r w:rsidRPr="003F4C08">
              <w:rPr>
                <w:sz w:val="24"/>
              </w:rPr>
              <w:t>40</w:t>
            </w:r>
          </w:p>
        </w:tc>
        <w:tc>
          <w:tcPr>
            <w:tcW w:w="1175" w:type="dxa"/>
            <w:noWrap/>
            <w:hideMark/>
          </w:tcPr>
          <w:p w:rsidR="00D0725B" w:rsidRPr="003F4C08" w:rsidRDefault="00D0725B" w:rsidP="003A34F3">
            <w:pPr>
              <w:pStyle w:val="NoSpacing"/>
              <w:jc w:val="center"/>
              <w:rPr>
                <w:sz w:val="24"/>
              </w:rPr>
            </w:pPr>
            <w:r w:rsidRPr="003F4C08">
              <w:rPr>
                <w:sz w:val="24"/>
              </w:rPr>
              <w:t>20</w:t>
            </w:r>
          </w:p>
        </w:tc>
        <w:tc>
          <w:tcPr>
            <w:tcW w:w="1710" w:type="dxa"/>
            <w:noWrap/>
            <w:hideMark/>
          </w:tcPr>
          <w:p w:rsidR="00D0725B" w:rsidRPr="003F4C08" w:rsidRDefault="00D0725B" w:rsidP="003A34F3">
            <w:pPr>
              <w:pStyle w:val="NoSpacing"/>
              <w:jc w:val="center"/>
              <w:rPr>
                <w:sz w:val="24"/>
              </w:rPr>
            </w:pPr>
            <w:r w:rsidRPr="003F4C08">
              <w:rPr>
                <w:sz w:val="24"/>
              </w:rPr>
              <w:t>?</w:t>
            </w:r>
          </w:p>
        </w:tc>
      </w:tr>
    </w:tbl>
    <w:p w:rsidR="00D0725B" w:rsidRDefault="00D0725B" w:rsidP="00D0725B">
      <w:pPr>
        <w:pStyle w:val="NoSpacing"/>
        <w:jc w:val="both"/>
        <w:rPr>
          <w:sz w:val="24"/>
        </w:rPr>
      </w:pPr>
    </w:p>
    <w:p w:rsidR="00D0725B" w:rsidRDefault="00D0725B" w:rsidP="00D0725B">
      <w:pPr>
        <w:pStyle w:val="NoSpacing"/>
        <w:jc w:val="both"/>
        <w:rPr>
          <w:sz w:val="24"/>
        </w:rPr>
      </w:pPr>
      <w:r>
        <w:rPr>
          <w:sz w:val="24"/>
        </w:rPr>
        <w:t>The interest rate is equal to 0.</w:t>
      </w:r>
    </w:p>
    <w:p w:rsidR="00D0725B" w:rsidRDefault="00D0725B" w:rsidP="00D0725B">
      <w:pPr>
        <w:pStyle w:val="NoSpacing"/>
        <w:jc w:val="both"/>
        <w:rPr>
          <w:sz w:val="24"/>
        </w:rPr>
      </w:pPr>
    </w:p>
    <w:p w:rsidR="00D0725B" w:rsidRDefault="00D0725B" w:rsidP="00D0725B">
      <w:pPr>
        <w:pStyle w:val="NoSpacing"/>
        <w:spacing w:line="276" w:lineRule="auto"/>
        <w:jc w:val="both"/>
        <w:rPr>
          <w:b/>
          <w:sz w:val="24"/>
        </w:rPr>
      </w:pPr>
      <w:r>
        <w:rPr>
          <w:sz w:val="24"/>
        </w:rPr>
        <w:t xml:space="preserve">You now have to make a bid at the auction: </w:t>
      </w:r>
      <w:r>
        <w:rPr>
          <w:b/>
          <w:sz w:val="24"/>
        </w:rPr>
        <w:t>how much are you willing to bid for the license in order to produce the UltraHD TV’s?</w:t>
      </w:r>
      <w:bookmarkStart w:id="16" w:name="_GoBack"/>
      <w:bookmarkEnd w:id="16"/>
    </w:p>
    <w:p w:rsidR="00D0725B" w:rsidRDefault="00D0725B" w:rsidP="00D0725B">
      <w:pPr>
        <w:pStyle w:val="NoSpacing"/>
        <w:pBdr>
          <w:bottom w:val="single" w:sz="12" w:space="1" w:color="auto"/>
        </w:pBdr>
        <w:spacing w:line="276" w:lineRule="auto"/>
        <w:jc w:val="both"/>
        <w:rPr>
          <w:sz w:val="24"/>
        </w:rPr>
      </w:pPr>
    </w:p>
    <w:p w:rsidR="00D0725B" w:rsidRDefault="00D0725B"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1F5E5F">
      <w:pPr>
        <w:pStyle w:val="NoSpacing"/>
        <w:jc w:val="both"/>
        <w:rPr>
          <w:b/>
          <w:i/>
          <w:sz w:val="24"/>
          <w:u w:val="single"/>
        </w:rPr>
      </w:pPr>
    </w:p>
    <w:p w:rsidR="007F7DF4" w:rsidRDefault="007F7DF4" w:rsidP="001F5E5F">
      <w:pPr>
        <w:pStyle w:val="NoSpacing"/>
        <w:jc w:val="both"/>
        <w:rPr>
          <w:b/>
          <w:i/>
          <w:sz w:val="24"/>
          <w:u w:val="single"/>
        </w:rPr>
      </w:pPr>
    </w:p>
    <w:p w:rsidR="007F7DF4" w:rsidRDefault="007F7DF4" w:rsidP="001F5E5F">
      <w:pPr>
        <w:pStyle w:val="NoSpacing"/>
        <w:jc w:val="both"/>
        <w:rPr>
          <w:b/>
          <w:i/>
          <w:sz w:val="24"/>
          <w:u w:val="single"/>
        </w:rPr>
      </w:pPr>
    </w:p>
    <w:sdt>
      <w:sdtPr>
        <w:rPr>
          <w:rFonts w:asciiTheme="minorHAnsi" w:eastAsiaTheme="minorHAnsi" w:hAnsiTheme="minorHAnsi" w:cstheme="minorBidi"/>
          <w:b w:val="0"/>
          <w:bCs w:val="0"/>
          <w:color w:val="auto"/>
          <w:sz w:val="22"/>
          <w:szCs w:val="22"/>
        </w:rPr>
        <w:id w:val="9558667"/>
        <w:docPartObj>
          <w:docPartGallery w:val="Bibliographies"/>
          <w:docPartUnique/>
        </w:docPartObj>
      </w:sdtPr>
      <w:sdtContent>
        <w:bookmarkStart w:id="17" w:name="_Toc397238596" w:displacedByCustomXml="prev"/>
        <w:p w:rsidR="00EA1371" w:rsidRDefault="00082B85">
          <w:pPr>
            <w:pStyle w:val="Heading1"/>
          </w:pPr>
          <w:r>
            <w:t>Bibliography</w:t>
          </w:r>
          <w:bookmarkEnd w:id="17"/>
        </w:p>
        <w:sdt>
          <w:sdtPr>
            <w:id w:val="111145805"/>
            <w:bibliography/>
          </w:sdtPr>
          <w:sdtContent>
            <w:p w:rsidR="00C32B5A" w:rsidRPr="00C32B5A" w:rsidRDefault="009966E0" w:rsidP="00C32B5A">
              <w:pPr>
                <w:pStyle w:val="Bibliography"/>
                <w:rPr>
                  <w:noProof/>
                  <w:lang w:val="en-GB"/>
                </w:rPr>
              </w:pPr>
              <w:r>
                <w:fldChar w:fldCharType="begin"/>
              </w:r>
              <w:r w:rsidR="00EA1371">
                <w:instrText xml:space="preserve"> BIBLIOGRAPHY </w:instrText>
              </w:r>
              <w:r>
                <w:fldChar w:fldCharType="separate"/>
              </w:r>
              <w:r w:rsidR="00C32B5A">
                <w:rPr>
                  <w:noProof/>
                </w:rPr>
                <w:t xml:space="preserve">Alicke, M., Klotz, M., Breitenbecher, D., Yurak, T., &amp; Vredenburg, D. (1995). </w:t>
              </w:r>
              <w:r w:rsidR="00C32B5A" w:rsidRPr="00C32B5A">
                <w:rPr>
                  <w:noProof/>
                  <w:lang w:val="en-GB"/>
                </w:rPr>
                <w:t xml:space="preserve">Personal contact, individuation, and the better-than-average effect. </w:t>
              </w:r>
              <w:r w:rsidR="00C32B5A" w:rsidRPr="00C32B5A">
                <w:rPr>
                  <w:i/>
                  <w:iCs/>
                  <w:noProof/>
                  <w:lang w:val="en-GB"/>
                </w:rPr>
                <w:t>Journal of personality and social psychology</w:t>
              </w:r>
              <w:r w:rsidR="00C32B5A" w:rsidRPr="00C32B5A">
                <w:rPr>
                  <w:noProof/>
                  <w:lang w:val="en-GB"/>
                </w:rPr>
                <w:t xml:space="preserve"> </w:t>
              </w:r>
              <w:r w:rsidR="00C32B5A" w:rsidRPr="00C32B5A">
                <w:rPr>
                  <w:i/>
                  <w:iCs/>
                  <w:noProof/>
                  <w:lang w:val="en-GB"/>
                </w:rPr>
                <w:t>, 68</w:t>
              </w:r>
              <w:r w:rsidR="00C32B5A" w:rsidRPr="00C32B5A">
                <w:rPr>
                  <w:noProof/>
                  <w:lang w:val="en-GB"/>
                </w:rPr>
                <w:t xml:space="preserve"> (5), 804-825.</w:t>
              </w:r>
            </w:p>
            <w:p w:rsidR="00C32B5A" w:rsidRPr="00C32B5A" w:rsidRDefault="00C32B5A" w:rsidP="00C32B5A">
              <w:pPr>
                <w:pStyle w:val="Bibliography"/>
                <w:rPr>
                  <w:noProof/>
                  <w:lang w:val="en-GB"/>
                </w:rPr>
              </w:pPr>
              <w:r w:rsidRPr="00C32B5A">
                <w:rPr>
                  <w:noProof/>
                  <w:lang w:val="en-GB"/>
                </w:rPr>
                <w:t xml:space="preserve">Alloy, L., &amp; Abramson, L. Y. (1979). Judgement of contigency in depressed and nondepressed students: sadder but wiser? </w:t>
              </w:r>
              <w:r w:rsidRPr="00C32B5A">
                <w:rPr>
                  <w:i/>
                  <w:iCs/>
                  <w:noProof/>
                  <w:lang w:val="en-GB"/>
                </w:rPr>
                <w:t>Journal of Experimental Psychology</w:t>
              </w:r>
              <w:r w:rsidRPr="00C32B5A">
                <w:rPr>
                  <w:noProof/>
                  <w:lang w:val="en-GB"/>
                </w:rPr>
                <w:t xml:space="preserve"> </w:t>
              </w:r>
              <w:r w:rsidRPr="00C32B5A">
                <w:rPr>
                  <w:i/>
                  <w:iCs/>
                  <w:noProof/>
                  <w:lang w:val="en-GB"/>
                </w:rPr>
                <w:t>, 108</w:t>
              </w:r>
              <w:r w:rsidRPr="00C32B5A">
                <w:rPr>
                  <w:noProof/>
                  <w:lang w:val="en-GB"/>
                </w:rPr>
                <w:t xml:space="preserve"> (4), 441-485.</w:t>
              </w:r>
            </w:p>
            <w:p w:rsidR="00C32B5A" w:rsidRPr="00C32B5A" w:rsidRDefault="00C32B5A" w:rsidP="00C32B5A">
              <w:pPr>
                <w:pStyle w:val="Bibliography"/>
                <w:rPr>
                  <w:noProof/>
                  <w:lang w:val="en-GB"/>
                </w:rPr>
              </w:pPr>
              <w:r w:rsidRPr="00C32B5A">
                <w:rPr>
                  <w:noProof/>
                  <w:lang w:val="en-GB"/>
                </w:rPr>
                <w:t xml:space="preserve">Andrade, G., &amp; Stafford, E. (2004). Investigating the economic role of mergers. </w:t>
              </w:r>
              <w:r w:rsidRPr="00C32B5A">
                <w:rPr>
                  <w:i/>
                  <w:iCs/>
                  <w:noProof/>
                  <w:lang w:val="en-GB"/>
                </w:rPr>
                <w:t>Journal of Corporate Finance</w:t>
              </w:r>
              <w:r w:rsidRPr="00C32B5A">
                <w:rPr>
                  <w:noProof/>
                  <w:lang w:val="en-GB"/>
                </w:rPr>
                <w:t xml:space="preserve"> , 1-36.</w:t>
              </w:r>
            </w:p>
            <w:p w:rsidR="00C32B5A" w:rsidRPr="00482401" w:rsidRDefault="00C32B5A" w:rsidP="00C32B5A">
              <w:pPr>
                <w:pStyle w:val="Bibliography"/>
                <w:rPr>
                  <w:noProof/>
                  <w:lang w:val="en-GB"/>
                </w:rPr>
              </w:pPr>
              <w:r w:rsidRPr="00C32B5A">
                <w:rPr>
                  <w:noProof/>
                  <w:lang w:val="en-GB"/>
                </w:rPr>
                <w:t xml:space="preserve">Ariely, D., Loewenstein, G., &amp; Prelec, D. (2003). Coherent arbitrariness: Stable demand curves without stable preferences. </w:t>
              </w:r>
              <w:r w:rsidRPr="00482401">
                <w:rPr>
                  <w:i/>
                  <w:iCs/>
                  <w:noProof/>
                  <w:lang w:val="en-GB"/>
                </w:rPr>
                <w:t>Quarterly Journal of Economics</w:t>
              </w:r>
              <w:r w:rsidRPr="00482401">
                <w:rPr>
                  <w:noProof/>
                  <w:lang w:val="en-GB"/>
                </w:rPr>
                <w:t xml:space="preserve"> </w:t>
              </w:r>
              <w:r w:rsidRPr="00482401">
                <w:rPr>
                  <w:i/>
                  <w:iCs/>
                  <w:noProof/>
                  <w:lang w:val="en-GB"/>
                </w:rPr>
                <w:t>, 118</w:t>
              </w:r>
              <w:r w:rsidRPr="00482401">
                <w:rPr>
                  <w:noProof/>
                  <w:lang w:val="en-GB"/>
                </w:rPr>
                <w:t>, 73-105.</w:t>
              </w:r>
            </w:p>
            <w:p w:rsidR="00C32B5A" w:rsidRPr="00482401" w:rsidRDefault="00C32B5A" w:rsidP="00C32B5A">
              <w:pPr>
                <w:pStyle w:val="Bibliography"/>
                <w:rPr>
                  <w:noProof/>
                  <w:lang w:val="en-GB"/>
                </w:rPr>
              </w:pPr>
              <w:r w:rsidRPr="00482401">
                <w:rPr>
                  <w:noProof/>
                  <w:lang w:val="en-GB"/>
                </w:rPr>
                <w:t xml:space="preserve">Baker, M., Pan, X., &amp; Wurgler, J. (2012). The effect of reference point prices on mergers and acquisitions. </w:t>
              </w:r>
              <w:r w:rsidRPr="00482401">
                <w:rPr>
                  <w:i/>
                  <w:iCs/>
                  <w:noProof/>
                  <w:lang w:val="en-GB"/>
                </w:rPr>
                <w:t>Journal of Financial Economics</w:t>
              </w:r>
              <w:r w:rsidRPr="00482401">
                <w:rPr>
                  <w:noProof/>
                  <w:lang w:val="en-GB"/>
                </w:rPr>
                <w:t xml:space="preserve"> </w:t>
              </w:r>
              <w:r w:rsidRPr="00482401">
                <w:rPr>
                  <w:i/>
                  <w:iCs/>
                  <w:noProof/>
                  <w:lang w:val="en-GB"/>
                </w:rPr>
                <w:t>, 106</w:t>
              </w:r>
              <w:r w:rsidRPr="00482401">
                <w:rPr>
                  <w:noProof/>
                  <w:lang w:val="en-GB"/>
                </w:rPr>
                <w:t xml:space="preserve"> (1), 49-71.</w:t>
              </w:r>
            </w:p>
            <w:p w:rsidR="00C32B5A" w:rsidRPr="00482401" w:rsidRDefault="00C32B5A" w:rsidP="00C32B5A">
              <w:pPr>
                <w:pStyle w:val="Bibliography"/>
                <w:rPr>
                  <w:noProof/>
                  <w:lang w:val="en-GB"/>
                </w:rPr>
              </w:pPr>
              <w:r w:rsidRPr="00482401">
                <w:rPr>
                  <w:noProof/>
                  <w:lang w:val="en-GB"/>
                </w:rPr>
                <w:t xml:space="preserve">Barberis, N., &amp; Huang, M. (2008). The loss aversion/narrow framing approach to the equity premium puzzle. In R. Mehra, </w:t>
              </w:r>
              <w:r w:rsidRPr="00482401">
                <w:rPr>
                  <w:i/>
                  <w:iCs/>
                  <w:noProof/>
                  <w:lang w:val="en-GB"/>
                </w:rPr>
                <w:t>Handbook of the equity risk premium</w:t>
              </w:r>
              <w:r w:rsidRPr="00482401">
                <w:rPr>
                  <w:noProof/>
                  <w:lang w:val="en-GB"/>
                </w:rPr>
                <w:t xml:space="preserve"> (pp. 199-236). Amsterdam, Netherlands: Elsevier.</w:t>
              </w:r>
            </w:p>
            <w:p w:rsidR="00C32B5A" w:rsidRPr="00482401" w:rsidRDefault="00C32B5A" w:rsidP="00C32B5A">
              <w:pPr>
                <w:pStyle w:val="Bibliography"/>
                <w:rPr>
                  <w:noProof/>
                  <w:lang w:val="en-GB"/>
                </w:rPr>
              </w:pPr>
              <w:r w:rsidRPr="00482401">
                <w:rPr>
                  <w:noProof/>
                  <w:lang w:val="en-GB"/>
                </w:rPr>
                <w:t xml:space="preserve">Bateman, T. (1986). The escalation of commitment in sequential decision making: situational and personal moderators and limiting conditions. </w:t>
              </w:r>
              <w:r w:rsidRPr="00482401">
                <w:rPr>
                  <w:i/>
                  <w:iCs/>
                  <w:noProof/>
                  <w:lang w:val="en-GB"/>
                </w:rPr>
                <w:t>Decision Sciences</w:t>
              </w:r>
              <w:r w:rsidRPr="00482401">
                <w:rPr>
                  <w:noProof/>
                  <w:lang w:val="en-GB"/>
                </w:rPr>
                <w:t xml:space="preserve"> </w:t>
              </w:r>
              <w:r w:rsidRPr="00482401">
                <w:rPr>
                  <w:i/>
                  <w:iCs/>
                  <w:noProof/>
                  <w:lang w:val="en-GB"/>
                </w:rPr>
                <w:t>, 17</w:t>
              </w:r>
              <w:r w:rsidRPr="00482401">
                <w:rPr>
                  <w:noProof/>
                  <w:lang w:val="en-GB"/>
                </w:rPr>
                <w:t xml:space="preserve"> (1), 33-49.</w:t>
              </w:r>
            </w:p>
            <w:p w:rsidR="00C32B5A" w:rsidRPr="00482401" w:rsidRDefault="00C32B5A" w:rsidP="00C32B5A">
              <w:pPr>
                <w:pStyle w:val="Bibliography"/>
                <w:rPr>
                  <w:noProof/>
                  <w:lang w:val="en-GB"/>
                </w:rPr>
              </w:pPr>
              <w:r w:rsidRPr="00482401">
                <w:rPr>
                  <w:noProof/>
                  <w:lang w:val="en-GB"/>
                </w:rPr>
                <w:t xml:space="preserve">Bateman, T., &amp; Zeithaml, C. (1989). The psychological context of strategic decisions: a model and convergent experimental findings. </w:t>
              </w:r>
              <w:r w:rsidRPr="00482401">
                <w:rPr>
                  <w:i/>
                  <w:iCs/>
                  <w:noProof/>
                  <w:lang w:val="en-GB"/>
                </w:rPr>
                <w:t>Strategic Management Journal</w:t>
              </w:r>
              <w:r w:rsidRPr="00482401">
                <w:rPr>
                  <w:noProof/>
                  <w:lang w:val="en-GB"/>
                </w:rPr>
                <w:t xml:space="preserve"> </w:t>
              </w:r>
              <w:r w:rsidRPr="00482401">
                <w:rPr>
                  <w:i/>
                  <w:iCs/>
                  <w:noProof/>
                  <w:lang w:val="en-GB"/>
                </w:rPr>
                <w:t>, 10</w:t>
              </w:r>
              <w:r w:rsidRPr="00482401">
                <w:rPr>
                  <w:noProof/>
                  <w:lang w:val="en-GB"/>
                </w:rPr>
                <w:t>, 59-74.</w:t>
              </w:r>
            </w:p>
            <w:p w:rsidR="00C32B5A" w:rsidRPr="00482401" w:rsidRDefault="00C32B5A" w:rsidP="00C32B5A">
              <w:pPr>
                <w:pStyle w:val="Bibliography"/>
                <w:rPr>
                  <w:noProof/>
                  <w:lang w:val="en-GB"/>
                </w:rPr>
              </w:pPr>
              <w:r w:rsidRPr="00482401">
                <w:rPr>
                  <w:noProof/>
                  <w:lang w:val="en-GB"/>
                </w:rPr>
                <w:t xml:space="preserve">Bazerman, M. (1984). The relevance of Kahneman and Tversky's concept of framing to organizational behavior. </w:t>
              </w:r>
              <w:r w:rsidRPr="00482401">
                <w:rPr>
                  <w:i/>
                  <w:iCs/>
                  <w:noProof/>
                  <w:lang w:val="en-GB"/>
                </w:rPr>
                <w:t>Journal of Management</w:t>
              </w:r>
              <w:r w:rsidRPr="00482401">
                <w:rPr>
                  <w:noProof/>
                  <w:lang w:val="en-GB"/>
                </w:rPr>
                <w:t xml:space="preserve"> </w:t>
              </w:r>
              <w:r w:rsidRPr="00482401">
                <w:rPr>
                  <w:i/>
                  <w:iCs/>
                  <w:noProof/>
                  <w:lang w:val="en-GB"/>
                </w:rPr>
                <w:t>, 10</w:t>
              </w:r>
              <w:r w:rsidRPr="00482401">
                <w:rPr>
                  <w:noProof/>
                  <w:lang w:val="en-GB"/>
                </w:rPr>
                <w:t xml:space="preserve"> (3), 333-343.</w:t>
              </w:r>
            </w:p>
            <w:p w:rsidR="00C32B5A" w:rsidRPr="00482401" w:rsidRDefault="00C32B5A" w:rsidP="00C32B5A">
              <w:pPr>
                <w:pStyle w:val="Bibliography"/>
                <w:rPr>
                  <w:noProof/>
                  <w:lang w:val="en-GB"/>
                </w:rPr>
              </w:pPr>
              <w:r w:rsidRPr="00482401">
                <w:rPr>
                  <w:noProof/>
                  <w:lang w:val="en-GB"/>
                </w:rPr>
                <w:t xml:space="preserve">Becketti, S. (1986). Corporate Mergers and the Business Cycle. </w:t>
              </w:r>
              <w:r w:rsidRPr="00482401">
                <w:rPr>
                  <w:i/>
                  <w:iCs/>
                  <w:noProof/>
                  <w:lang w:val="en-GB"/>
                </w:rPr>
                <w:t>Federal Reserve Bank of Kansas City: Economic Review</w:t>
              </w:r>
              <w:r w:rsidRPr="00482401">
                <w:rPr>
                  <w:noProof/>
                  <w:lang w:val="en-GB"/>
                </w:rPr>
                <w:t xml:space="preserve"> , 13-26.</w:t>
              </w:r>
            </w:p>
            <w:p w:rsidR="00C32B5A" w:rsidRPr="00482401" w:rsidRDefault="00C32B5A" w:rsidP="00C32B5A">
              <w:pPr>
                <w:pStyle w:val="Bibliography"/>
                <w:rPr>
                  <w:noProof/>
                  <w:lang w:val="en-GB"/>
                </w:rPr>
              </w:pPr>
              <w:r>
                <w:rPr>
                  <w:noProof/>
                </w:rPr>
                <w:t xml:space="preserve">Bettman, J. R., &amp; Weitz, B. (1983). </w:t>
              </w:r>
              <w:r w:rsidRPr="00482401">
                <w:rPr>
                  <w:noProof/>
                  <w:lang w:val="en-GB"/>
                </w:rPr>
                <w:t xml:space="preserve">Attributions in the board room: causal reasoning in corporate annual reports. </w:t>
              </w:r>
              <w:r w:rsidRPr="00482401">
                <w:rPr>
                  <w:i/>
                  <w:iCs/>
                  <w:noProof/>
                  <w:lang w:val="en-GB"/>
                </w:rPr>
                <w:t>Administrative Science Quarterly</w:t>
              </w:r>
              <w:r w:rsidRPr="00482401">
                <w:rPr>
                  <w:noProof/>
                  <w:lang w:val="en-GB"/>
                </w:rPr>
                <w:t xml:space="preserve"> </w:t>
              </w:r>
              <w:r w:rsidRPr="00482401">
                <w:rPr>
                  <w:i/>
                  <w:iCs/>
                  <w:noProof/>
                  <w:lang w:val="en-GB"/>
                </w:rPr>
                <w:t>, 28</w:t>
              </w:r>
              <w:r w:rsidRPr="00482401">
                <w:rPr>
                  <w:noProof/>
                  <w:lang w:val="en-GB"/>
                </w:rPr>
                <w:t xml:space="preserve"> (2), 165-183.</w:t>
              </w:r>
            </w:p>
            <w:p w:rsidR="00C32B5A" w:rsidRPr="00482401" w:rsidRDefault="00C32B5A" w:rsidP="00C32B5A">
              <w:pPr>
                <w:pStyle w:val="Bibliography"/>
                <w:rPr>
                  <w:noProof/>
                  <w:lang w:val="en-GB"/>
                </w:rPr>
              </w:pPr>
              <w:r w:rsidRPr="00482401">
                <w:rPr>
                  <w:noProof/>
                  <w:lang w:val="en-GB"/>
                </w:rPr>
                <w:t xml:space="preserve">Bradley, G. (1978). Self-serving biases in the attribution process: A reexamination of the fact or fiction question. </w:t>
              </w:r>
              <w:r w:rsidRPr="00482401">
                <w:rPr>
                  <w:i/>
                  <w:iCs/>
                  <w:noProof/>
                  <w:lang w:val="en-GB"/>
                </w:rPr>
                <w:t>Journal of Personality and Social Psychology</w:t>
              </w:r>
              <w:r w:rsidRPr="00482401">
                <w:rPr>
                  <w:noProof/>
                  <w:lang w:val="en-GB"/>
                </w:rPr>
                <w:t xml:space="preserve"> </w:t>
              </w:r>
              <w:r w:rsidRPr="00482401">
                <w:rPr>
                  <w:i/>
                  <w:iCs/>
                  <w:noProof/>
                  <w:lang w:val="en-GB"/>
                </w:rPr>
                <w:t>, 36</w:t>
              </w:r>
              <w:r w:rsidRPr="00482401">
                <w:rPr>
                  <w:noProof/>
                  <w:lang w:val="en-GB"/>
                </w:rPr>
                <w:t>, 56-71.</w:t>
              </w:r>
            </w:p>
            <w:p w:rsidR="00C32B5A" w:rsidRPr="00482401" w:rsidRDefault="00C32B5A" w:rsidP="00C32B5A">
              <w:pPr>
                <w:pStyle w:val="Bibliography"/>
                <w:rPr>
                  <w:noProof/>
                  <w:lang w:val="en-GB"/>
                </w:rPr>
              </w:pPr>
              <w:r w:rsidRPr="00482401">
                <w:rPr>
                  <w:noProof/>
                  <w:lang w:val="en-GB"/>
                </w:rPr>
                <w:t xml:space="preserve">Buehler, Griffin, &amp; Ross. (1994). Exploring the planning fallacy: why people underestimate their task completion times. </w:t>
              </w:r>
              <w:r w:rsidRPr="00482401">
                <w:rPr>
                  <w:i/>
                  <w:iCs/>
                  <w:noProof/>
                  <w:lang w:val="en-GB"/>
                </w:rPr>
                <w:t>Journal of Personality and Social Psychology</w:t>
              </w:r>
              <w:r w:rsidRPr="00482401">
                <w:rPr>
                  <w:noProof/>
                  <w:lang w:val="en-GB"/>
                </w:rPr>
                <w:t xml:space="preserve"> , 366-381.</w:t>
              </w:r>
            </w:p>
            <w:p w:rsidR="00C32B5A" w:rsidRPr="00082B85" w:rsidRDefault="00C32B5A" w:rsidP="00C32B5A">
              <w:pPr>
                <w:pStyle w:val="Bibliography"/>
                <w:rPr>
                  <w:noProof/>
                  <w:lang w:val="en-GB"/>
                </w:rPr>
              </w:pPr>
              <w:r w:rsidRPr="00482401">
                <w:rPr>
                  <w:noProof/>
                  <w:lang w:val="en-GB"/>
                </w:rPr>
                <w:t xml:space="preserve">Burger, J. (1986). Desire for control and the illusion of control: the effects of familiarity and sequence of outcomes. </w:t>
              </w:r>
              <w:r w:rsidRPr="00082B85">
                <w:rPr>
                  <w:i/>
                  <w:iCs/>
                  <w:noProof/>
                  <w:lang w:val="en-GB"/>
                </w:rPr>
                <w:t>Journal of Research in Personality</w:t>
              </w:r>
              <w:r w:rsidRPr="00082B85">
                <w:rPr>
                  <w:noProof/>
                  <w:lang w:val="en-GB"/>
                </w:rPr>
                <w:t xml:space="preserve"> </w:t>
              </w:r>
              <w:r w:rsidRPr="00082B85">
                <w:rPr>
                  <w:i/>
                  <w:iCs/>
                  <w:noProof/>
                  <w:lang w:val="en-GB"/>
                </w:rPr>
                <w:t>, 20</w:t>
              </w:r>
              <w:r w:rsidRPr="00082B85">
                <w:rPr>
                  <w:noProof/>
                  <w:lang w:val="en-GB"/>
                </w:rPr>
                <w:t>, 66-76.</w:t>
              </w:r>
            </w:p>
            <w:p w:rsidR="00C32B5A" w:rsidRPr="00082B85" w:rsidRDefault="00C32B5A" w:rsidP="00C32B5A">
              <w:pPr>
                <w:pStyle w:val="Bibliography"/>
                <w:rPr>
                  <w:noProof/>
                  <w:lang w:val="en-GB"/>
                </w:rPr>
              </w:pPr>
              <w:r w:rsidRPr="00082B85">
                <w:rPr>
                  <w:noProof/>
                  <w:lang w:val="en-GB"/>
                </w:rPr>
                <w:t xml:space="preserve">Camerer, C., &amp; Lovallo, D. (1999). Overconfidence and excess entry: an experimental approach. </w:t>
              </w:r>
              <w:r w:rsidRPr="00082B85">
                <w:rPr>
                  <w:i/>
                  <w:iCs/>
                  <w:noProof/>
                  <w:lang w:val="en-GB"/>
                </w:rPr>
                <w:t>The American Economic Review</w:t>
              </w:r>
              <w:r w:rsidRPr="00082B85">
                <w:rPr>
                  <w:noProof/>
                  <w:lang w:val="en-GB"/>
                </w:rPr>
                <w:t xml:space="preserve"> </w:t>
              </w:r>
              <w:r w:rsidRPr="00082B85">
                <w:rPr>
                  <w:i/>
                  <w:iCs/>
                  <w:noProof/>
                  <w:lang w:val="en-GB"/>
                </w:rPr>
                <w:t>, 89</w:t>
              </w:r>
              <w:r w:rsidRPr="00082B85">
                <w:rPr>
                  <w:noProof/>
                  <w:lang w:val="en-GB"/>
                </w:rPr>
                <w:t xml:space="preserve"> (1), 306-318.</w:t>
              </w:r>
            </w:p>
            <w:p w:rsidR="00C32B5A" w:rsidRPr="00482401" w:rsidRDefault="00C32B5A" w:rsidP="00C32B5A">
              <w:pPr>
                <w:pStyle w:val="Bibliography"/>
                <w:rPr>
                  <w:noProof/>
                  <w:lang w:val="en-GB"/>
                </w:rPr>
              </w:pPr>
              <w:r w:rsidRPr="00482401">
                <w:rPr>
                  <w:noProof/>
                  <w:lang w:val="en-GB"/>
                </w:rPr>
                <w:t xml:space="preserve">Camerer, C., &amp; Malmendier, U. (2004). Behavioral Organizational Economics. </w:t>
              </w:r>
              <w:r w:rsidRPr="00482401">
                <w:rPr>
                  <w:i/>
                  <w:iCs/>
                  <w:noProof/>
                  <w:lang w:val="en-GB"/>
                </w:rPr>
                <w:t>Yrjö Jahnsson Foundation conference on economic institutions and behavioral economics.</w:t>
              </w:r>
              <w:r w:rsidRPr="00482401">
                <w:rPr>
                  <w:noProof/>
                  <w:lang w:val="en-GB"/>
                </w:rPr>
                <w:t xml:space="preserve"> </w:t>
              </w:r>
            </w:p>
            <w:p w:rsidR="00C32B5A" w:rsidRPr="00482401" w:rsidRDefault="00C32B5A" w:rsidP="00C32B5A">
              <w:pPr>
                <w:pStyle w:val="Bibliography"/>
                <w:rPr>
                  <w:noProof/>
                  <w:lang w:val="en-GB"/>
                </w:rPr>
              </w:pPr>
              <w:r w:rsidRPr="00482401">
                <w:rPr>
                  <w:noProof/>
                  <w:lang w:val="en-GB"/>
                </w:rPr>
                <w:lastRenderedPageBreak/>
                <w:t xml:space="preserve">Cooper, A., Woo, C., &amp; Dunkelberg, W. (1988). Entrepreneurs' perceived chances for succes. </w:t>
              </w:r>
              <w:r w:rsidRPr="00482401">
                <w:rPr>
                  <w:i/>
                  <w:iCs/>
                  <w:noProof/>
                  <w:lang w:val="en-GB"/>
                </w:rPr>
                <w:t>Journal of business venturing</w:t>
              </w:r>
              <w:r w:rsidRPr="00482401">
                <w:rPr>
                  <w:noProof/>
                  <w:lang w:val="en-GB"/>
                </w:rPr>
                <w:t xml:space="preserve"> (3), 97-108.</w:t>
              </w:r>
            </w:p>
            <w:p w:rsidR="00C32B5A" w:rsidRPr="00482401" w:rsidRDefault="00C32B5A" w:rsidP="00C32B5A">
              <w:pPr>
                <w:pStyle w:val="Bibliography"/>
                <w:rPr>
                  <w:noProof/>
                  <w:lang w:val="en-GB"/>
                </w:rPr>
              </w:pPr>
              <w:r w:rsidRPr="00482401">
                <w:rPr>
                  <w:noProof/>
                  <w:lang w:val="en-GB"/>
                </w:rPr>
                <w:t xml:space="preserve">DellaVigna, S. (2009). Psychology and economics: evidence from the field. </w:t>
              </w:r>
              <w:r w:rsidRPr="00482401">
                <w:rPr>
                  <w:i/>
                  <w:iCs/>
                  <w:noProof/>
                  <w:lang w:val="en-GB"/>
                </w:rPr>
                <w:t>Journal of Economic Literature</w:t>
              </w:r>
              <w:r w:rsidRPr="00482401">
                <w:rPr>
                  <w:noProof/>
                  <w:lang w:val="en-GB"/>
                </w:rPr>
                <w:t xml:space="preserve"> </w:t>
              </w:r>
              <w:r w:rsidRPr="00482401">
                <w:rPr>
                  <w:i/>
                  <w:iCs/>
                  <w:noProof/>
                  <w:lang w:val="en-GB"/>
                </w:rPr>
                <w:t>, 47</w:t>
              </w:r>
              <w:r w:rsidRPr="00482401">
                <w:rPr>
                  <w:noProof/>
                  <w:lang w:val="en-GB"/>
                </w:rPr>
                <w:t xml:space="preserve"> (2), 315-372.</w:t>
              </w:r>
            </w:p>
            <w:p w:rsidR="00C32B5A" w:rsidRPr="00482401" w:rsidRDefault="00C32B5A" w:rsidP="00C32B5A">
              <w:pPr>
                <w:pStyle w:val="Bibliography"/>
                <w:rPr>
                  <w:noProof/>
                  <w:lang w:val="en-GB"/>
                </w:rPr>
              </w:pPr>
              <w:r w:rsidRPr="00482401">
                <w:rPr>
                  <w:noProof/>
                  <w:lang w:val="en-GB"/>
                </w:rPr>
                <w:t xml:space="preserve">Dong, M., Hirschleifer, D., Richardson, S., &amp; Teoh, S. H. (2006). Does investor misvaluation drive the takeover market? </w:t>
              </w:r>
              <w:r w:rsidRPr="00482401">
                <w:rPr>
                  <w:i/>
                  <w:iCs/>
                  <w:noProof/>
                  <w:lang w:val="en-GB"/>
                </w:rPr>
                <w:t>The Journal of Finance</w:t>
              </w:r>
              <w:r w:rsidRPr="00482401">
                <w:rPr>
                  <w:noProof/>
                  <w:lang w:val="en-GB"/>
                </w:rPr>
                <w:t xml:space="preserve"> </w:t>
              </w:r>
              <w:r w:rsidRPr="00482401">
                <w:rPr>
                  <w:i/>
                  <w:iCs/>
                  <w:noProof/>
                  <w:lang w:val="en-GB"/>
                </w:rPr>
                <w:t>, 61</w:t>
              </w:r>
              <w:r w:rsidRPr="00482401">
                <w:rPr>
                  <w:noProof/>
                  <w:lang w:val="en-GB"/>
                </w:rPr>
                <w:t xml:space="preserve"> (2), 725-762.</w:t>
              </w:r>
            </w:p>
            <w:p w:rsidR="00C32B5A" w:rsidRDefault="00C32B5A" w:rsidP="00C32B5A">
              <w:pPr>
                <w:pStyle w:val="Bibliography"/>
                <w:rPr>
                  <w:noProof/>
                </w:rPr>
              </w:pPr>
              <w:r w:rsidRPr="00482401">
                <w:rPr>
                  <w:noProof/>
                  <w:lang w:val="en-GB"/>
                </w:rPr>
                <w:t xml:space="preserve">Duhaime, I., &amp; Schwenk, C. (1985). Conjectures on cognitive simplification in acquisition and divestment decision making. </w:t>
              </w:r>
              <w:r>
                <w:rPr>
                  <w:i/>
                  <w:iCs/>
                  <w:noProof/>
                </w:rPr>
                <w:t>Academy of Managent Review</w:t>
              </w:r>
              <w:r>
                <w:rPr>
                  <w:noProof/>
                </w:rPr>
                <w:t xml:space="preserve"> </w:t>
              </w:r>
              <w:r>
                <w:rPr>
                  <w:i/>
                  <w:iCs/>
                  <w:noProof/>
                </w:rPr>
                <w:t>, 10</w:t>
              </w:r>
              <w:r>
                <w:rPr>
                  <w:noProof/>
                </w:rPr>
                <w:t xml:space="preserve"> (2), 287-295.</w:t>
              </w:r>
            </w:p>
            <w:p w:rsidR="00C32B5A" w:rsidRPr="00082B85" w:rsidRDefault="00C32B5A" w:rsidP="00C32B5A">
              <w:pPr>
                <w:pStyle w:val="Bibliography"/>
                <w:rPr>
                  <w:noProof/>
                  <w:lang w:val="en-GB"/>
                </w:rPr>
              </w:pPr>
              <w:r>
                <w:rPr>
                  <w:noProof/>
                </w:rPr>
                <w:t xml:space="preserve">Financieel Dagblad. (2014, Maart 14). Hans Schenk: 65% tot 85% van de overnames mislukt. </w:t>
              </w:r>
              <w:r w:rsidRPr="00082B85">
                <w:rPr>
                  <w:i/>
                  <w:iCs/>
                  <w:noProof/>
                  <w:lang w:val="en-GB"/>
                </w:rPr>
                <w:t>Financieel Dagblad</w:t>
              </w:r>
              <w:r w:rsidRPr="00082B85">
                <w:rPr>
                  <w:noProof/>
                  <w:lang w:val="en-GB"/>
                </w:rPr>
                <w:t xml:space="preserve"> .</w:t>
              </w:r>
            </w:p>
            <w:p w:rsidR="00C32B5A" w:rsidRPr="00482401" w:rsidRDefault="00C32B5A" w:rsidP="00C32B5A">
              <w:pPr>
                <w:pStyle w:val="Bibliography"/>
                <w:rPr>
                  <w:noProof/>
                  <w:lang w:val="en-GB"/>
                </w:rPr>
              </w:pPr>
              <w:r w:rsidRPr="00482401">
                <w:rPr>
                  <w:noProof/>
                  <w:lang w:val="en-GB"/>
                </w:rPr>
                <w:t xml:space="preserve">Garbuio, M., Lovallo, D., &amp; Horn, J. (2010). Overcoming biases in M&amp;A: a process perspective. </w:t>
              </w:r>
              <w:r w:rsidRPr="00482401">
                <w:rPr>
                  <w:i/>
                  <w:iCs/>
                  <w:noProof/>
                  <w:lang w:val="en-GB"/>
                </w:rPr>
                <w:t>Advances in Mergers and Acquisitions</w:t>
              </w:r>
              <w:r w:rsidRPr="00482401">
                <w:rPr>
                  <w:noProof/>
                  <w:lang w:val="en-GB"/>
                </w:rPr>
                <w:t xml:space="preserve"> </w:t>
              </w:r>
              <w:r w:rsidRPr="00482401">
                <w:rPr>
                  <w:i/>
                  <w:iCs/>
                  <w:noProof/>
                  <w:lang w:val="en-GB"/>
                </w:rPr>
                <w:t>, 9</w:t>
              </w:r>
              <w:r w:rsidRPr="00482401">
                <w:rPr>
                  <w:noProof/>
                  <w:lang w:val="en-GB"/>
                </w:rPr>
                <w:t>, 83-104.</w:t>
              </w:r>
            </w:p>
            <w:p w:rsidR="00C32B5A" w:rsidRPr="00482401" w:rsidRDefault="00C32B5A" w:rsidP="00C32B5A">
              <w:pPr>
                <w:pStyle w:val="Bibliography"/>
                <w:rPr>
                  <w:noProof/>
                  <w:lang w:val="en-GB"/>
                </w:rPr>
              </w:pPr>
              <w:r w:rsidRPr="00482401">
                <w:rPr>
                  <w:noProof/>
                  <w:lang w:val="en-GB"/>
                </w:rPr>
                <w:t xml:space="preserve">Gino, F., Sharek, Z., &amp; Moore, D. (2011). Keeping the illusion of control under control: Ceilings, floors and imperfect calibration. </w:t>
              </w:r>
              <w:r w:rsidRPr="00482401">
                <w:rPr>
                  <w:i/>
                  <w:iCs/>
                  <w:noProof/>
                  <w:lang w:val="en-GB"/>
                </w:rPr>
                <w:t>Organizational behavior and human decision processes</w:t>
              </w:r>
              <w:r w:rsidRPr="00482401">
                <w:rPr>
                  <w:noProof/>
                  <w:lang w:val="en-GB"/>
                </w:rPr>
                <w:t xml:space="preserve"> </w:t>
              </w:r>
              <w:r w:rsidRPr="00482401">
                <w:rPr>
                  <w:i/>
                  <w:iCs/>
                  <w:noProof/>
                  <w:lang w:val="en-GB"/>
                </w:rPr>
                <w:t>, 114</w:t>
              </w:r>
              <w:r w:rsidRPr="00482401">
                <w:rPr>
                  <w:noProof/>
                  <w:lang w:val="en-GB"/>
                </w:rPr>
                <w:t xml:space="preserve"> (2), 104-114.</w:t>
              </w:r>
            </w:p>
            <w:p w:rsidR="00C32B5A" w:rsidRPr="00482401" w:rsidRDefault="00C32B5A" w:rsidP="00C32B5A">
              <w:pPr>
                <w:pStyle w:val="Bibliography"/>
                <w:rPr>
                  <w:noProof/>
                  <w:lang w:val="en-GB"/>
                </w:rPr>
              </w:pPr>
              <w:r w:rsidRPr="00482401">
                <w:rPr>
                  <w:noProof/>
                  <w:lang w:val="en-GB"/>
                </w:rPr>
                <w:t xml:space="preserve">Goel, A., &amp; Thakor, A. (2000). Rationality, overconfidence and leadership. </w:t>
              </w:r>
              <w:r w:rsidRPr="00482401">
                <w:rPr>
                  <w:i/>
                  <w:iCs/>
                  <w:noProof/>
                  <w:lang w:val="en-GB"/>
                </w:rPr>
                <w:t>Working paper</w:t>
              </w:r>
              <w:r w:rsidRPr="00482401">
                <w:rPr>
                  <w:noProof/>
                  <w:lang w:val="en-GB"/>
                </w:rPr>
                <w:t xml:space="preserve"> .</w:t>
              </w:r>
            </w:p>
            <w:p w:rsidR="00C32B5A" w:rsidRPr="00482401" w:rsidRDefault="00C32B5A" w:rsidP="00C32B5A">
              <w:pPr>
                <w:pStyle w:val="Bibliography"/>
                <w:rPr>
                  <w:noProof/>
                  <w:lang w:val="en-GB"/>
                </w:rPr>
              </w:pPr>
              <w:r w:rsidRPr="00482401">
                <w:rPr>
                  <w:noProof/>
                  <w:lang w:val="en-GB"/>
                </w:rPr>
                <w:t xml:space="preserve">Griffin, D., &amp; Tversky, A. (1992). The weighing of evidence and the determinants of confidence. </w:t>
              </w:r>
              <w:r w:rsidRPr="00482401">
                <w:rPr>
                  <w:i/>
                  <w:iCs/>
                  <w:noProof/>
                  <w:lang w:val="en-GB"/>
                </w:rPr>
                <w:t>Cognitive psychology</w:t>
              </w:r>
              <w:r w:rsidRPr="00482401">
                <w:rPr>
                  <w:noProof/>
                  <w:lang w:val="en-GB"/>
                </w:rPr>
                <w:t xml:space="preserve"> </w:t>
              </w:r>
              <w:r w:rsidRPr="00482401">
                <w:rPr>
                  <w:i/>
                  <w:iCs/>
                  <w:noProof/>
                  <w:lang w:val="en-GB"/>
                </w:rPr>
                <w:t>, 24</w:t>
              </w:r>
              <w:r w:rsidRPr="00482401">
                <w:rPr>
                  <w:noProof/>
                  <w:lang w:val="en-GB"/>
                </w:rPr>
                <w:t xml:space="preserve"> (3), 411-435.</w:t>
              </w:r>
            </w:p>
            <w:p w:rsidR="00C32B5A" w:rsidRPr="00482401" w:rsidRDefault="00C32B5A" w:rsidP="00C32B5A">
              <w:pPr>
                <w:pStyle w:val="Bibliography"/>
                <w:rPr>
                  <w:noProof/>
                  <w:lang w:val="en-GB"/>
                </w:rPr>
              </w:pPr>
              <w:r w:rsidRPr="00482401">
                <w:rPr>
                  <w:noProof/>
                  <w:lang w:val="en-GB"/>
                </w:rPr>
                <w:t xml:space="preserve">Harford, J. (2005). What drives merger waves? </w:t>
              </w:r>
              <w:r w:rsidRPr="00482401">
                <w:rPr>
                  <w:i/>
                  <w:iCs/>
                  <w:noProof/>
                  <w:lang w:val="en-GB"/>
                </w:rPr>
                <w:t>Journal of Financial Economics</w:t>
              </w:r>
              <w:r w:rsidRPr="00482401">
                <w:rPr>
                  <w:noProof/>
                  <w:lang w:val="en-GB"/>
                </w:rPr>
                <w:t xml:space="preserve"> , 529-560.</w:t>
              </w:r>
            </w:p>
            <w:p w:rsidR="00C32B5A" w:rsidRPr="00482401" w:rsidRDefault="00C32B5A" w:rsidP="00C32B5A">
              <w:pPr>
                <w:pStyle w:val="Bibliography"/>
                <w:rPr>
                  <w:noProof/>
                  <w:lang w:val="en-GB"/>
                </w:rPr>
              </w:pPr>
              <w:r w:rsidRPr="00482401">
                <w:rPr>
                  <w:noProof/>
                  <w:lang w:val="en-GB"/>
                </w:rPr>
                <w:t xml:space="preserve">Hayward, M., &amp; Hambrick, D. (1997). Explaining the premiums paid for large acquisitions: evidence of CEO hubris. </w:t>
              </w:r>
              <w:r w:rsidRPr="00482401">
                <w:rPr>
                  <w:i/>
                  <w:iCs/>
                  <w:noProof/>
                  <w:lang w:val="en-GB"/>
                </w:rPr>
                <w:t>Administrative Science Quarterly</w:t>
              </w:r>
              <w:r w:rsidRPr="00482401">
                <w:rPr>
                  <w:noProof/>
                  <w:lang w:val="en-GB"/>
                </w:rPr>
                <w:t xml:space="preserve"> </w:t>
              </w:r>
              <w:r w:rsidRPr="00482401">
                <w:rPr>
                  <w:i/>
                  <w:iCs/>
                  <w:noProof/>
                  <w:lang w:val="en-GB"/>
                </w:rPr>
                <w:t>, 42</w:t>
              </w:r>
              <w:r w:rsidRPr="00482401">
                <w:rPr>
                  <w:noProof/>
                  <w:lang w:val="en-GB"/>
                </w:rPr>
                <w:t xml:space="preserve"> (1), 103-127.</w:t>
              </w:r>
            </w:p>
            <w:p w:rsidR="00C32B5A" w:rsidRPr="00482401" w:rsidRDefault="00C32B5A" w:rsidP="00C32B5A">
              <w:pPr>
                <w:pStyle w:val="Bibliography"/>
                <w:rPr>
                  <w:noProof/>
                  <w:lang w:val="en-GB"/>
                </w:rPr>
              </w:pPr>
              <w:r w:rsidRPr="00482401">
                <w:rPr>
                  <w:noProof/>
                  <w:lang w:val="en-GB"/>
                </w:rPr>
                <w:t xml:space="preserve">Jones, M., &amp; Sugden, R. (2001). Positive confirmation bias in the acquisition of information. </w:t>
              </w:r>
              <w:r w:rsidRPr="00482401">
                <w:rPr>
                  <w:i/>
                  <w:iCs/>
                  <w:noProof/>
                  <w:lang w:val="en-GB"/>
                </w:rPr>
                <w:t>Theory and Discussion</w:t>
              </w:r>
              <w:r w:rsidRPr="00482401">
                <w:rPr>
                  <w:noProof/>
                  <w:lang w:val="en-GB"/>
                </w:rPr>
                <w:t xml:space="preserve"> </w:t>
              </w:r>
              <w:r w:rsidRPr="00482401">
                <w:rPr>
                  <w:i/>
                  <w:iCs/>
                  <w:noProof/>
                  <w:lang w:val="en-GB"/>
                </w:rPr>
                <w:t>, 50</w:t>
              </w:r>
              <w:r w:rsidRPr="00482401">
                <w:rPr>
                  <w:noProof/>
                  <w:lang w:val="en-GB"/>
                </w:rPr>
                <w:t xml:space="preserve"> (1), 59-99.</w:t>
              </w:r>
            </w:p>
            <w:p w:rsidR="00C32B5A" w:rsidRPr="00482401" w:rsidRDefault="00C32B5A" w:rsidP="00C32B5A">
              <w:pPr>
                <w:pStyle w:val="Bibliography"/>
                <w:rPr>
                  <w:noProof/>
                  <w:lang w:val="en-GB"/>
                </w:rPr>
              </w:pPr>
              <w:r w:rsidRPr="00482401">
                <w:rPr>
                  <w:noProof/>
                  <w:lang w:val="en-GB"/>
                </w:rPr>
                <w:t xml:space="preserve">Kahneman, &amp; Lovallo. (1993). Timid choices and bold forecasts: a cognitive perspective on risk taking. </w:t>
              </w:r>
              <w:r w:rsidRPr="00482401">
                <w:rPr>
                  <w:i/>
                  <w:iCs/>
                  <w:noProof/>
                  <w:lang w:val="en-GB"/>
                </w:rPr>
                <w:t>Management Science</w:t>
              </w:r>
              <w:r w:rsidRPr="00482401">
                <w:rPr>
                  <w:noProof/>
                  <w:lang w:val="en-GB"/>
                </w:rPr>
                <w:t xml:space="preserve"> , 17-31.</w:t>
              </w:r>
            </w:p>
            <w:p w:rsidR="00C32B5A" w:rsidRPr="00482401" w:rsidRDefault="00C32B5A" w:rsidP="00C32B5A">
              <w:pPr>
                <w:pStyle w:val="Bibliography"/>
                <w:rPr>
                  <w:noProof/>
                  <w:lang w:val="en-GB"/>
                </w:rPr>
              </w:pPr>
              <w:r w:rsidRPr="00482401">
                <w:rPr>
                  <w:noProof/>
                  <w:lang w:val="en-GB"/>
                </w:rPr>
                <w:t xml:space="preserve">Kahneman, D. (2003). A perspective on judgment and choice: mapping bounded rationality. </w:t>
              </w:r>
              <w:r w:rsidRPr="00482401">
                <w:rPr>
                  <w:i/>
                  <w:iCs/>
                  <w:noProof/>
                  <w:lang w:val="en-GB"/>
                </w:rPr>
                <w:t>American Psychologist</w:t>
              </w:r>
              <w:r w:rsidRPr="00482401">
                <w:rPr>
                  <w:noProof/>
                  <w:lang w:val="en-GB"/>
                </w:rPr>
                <w:t xml:space="preserve"> </w:t>
              </w:r>
              <w:r w:rsidRPr="00482401">
                <w:rPr>
                  <w:i/>
                  <w:iCs/>
                  <w:noProof/>
                  <w:lang w:val="en-GB"/>
                </w:rPr>
                <w:t>, 58</w:t>
              </w:r>
              <w:r w:rsidRPr="00482401">
                <w:rPr>
                  <w:noProof/>
                  <w:lang w:val="en-GB"/>
                </w:rPr>
                <w:t xml:space="preserve"> (9), 697-720.</w:t>
              </w:r>
            </w:p>
            <w:p w:rsidR="00C32B5A" w:rsidRPr="00482401" w:rsidRDefault="00C32B5A" w:rsidP="00C32B5A">
              <w:pPr>
                <w:pStyle w:val="Bibliography"/>
                <w:rPr>
                  <w:noProof/>
                  <w:lang w:val="en-GB"/>
                </w:rPr>
              </w:pPr>
              <w:r w:rsidRPr="00482401">
                <w:rPr>
                  <w:noProof/>
                  <w:lang w:val="en-GB"/>
                </w:rPr>
                <w:t xml:space="preserve">Kahneman, D., &amp; Tversky, A. (1979). Prospect theory: an analysis of decision under risk. </w:t>
              </w:r>
              <w:r w:rsidRPr="00482401">
                <w:rPr>
                  <w:i/>
                  <w:iCs/>
                  <w:noProof/>
                  <w:lang w:val="en-GB"/>
                </w:rPr>
                <w:t>Econometrica</w:t>
              </w:r>
              <w:r w:rsidRPr="00482401">
                <w:rPr>
                  <w:noProof/>
                  <w:lang w:val="en-GB"/>
                </w:rPr>
                <w:t xml:space="preserve"> , 263-291.</w:t>
              </w:r>
            </w:p>
            <w:p w:rsidR="00C32B5A" w:rsidRPr="00482401" w:rsidRDefault="00C32B5A" w:rsidP="00C32B5A">
              <w:pPr>
                <w:pStyle w:val="Bibliography"/>
                <w:rPr>
                  <w:noProof/>
                  <w:lang w:val="en-GB"/>
                </w:rPr>
              </w:pPr>
              <w:r w:rsidRPr="00482401">
                <w:rPr>
                  <w:noProof/>
                  <w:lang w:val="en-GB"/>
                </w:rPr>
                <w:t xml:space="preserve">Kahneman, D., Lovallo, D., &amp; Sibony, O. (2011). Before you make that big decision. </w:t>
              </w:r>
              <w:r w:rsidRPr="00482401">
                <w:rPr>
                  <w:i/>
                  <w:iCs/>
                  <w:noProof/>
                  <w:lang w:val="en-GB"/>
                </w:rPr>
                <w:t>Harvard Business Review</w:t>
              </w:r>
              <w:r w:rsidRPr="00482401">
                <w:rPr>
                  <w:noProof/>
                  <w:lang w:val="en-GB"/>
                </w:rPr>
                <w:t xml:space="preserve"> </w:t>
              </w:r>
              <w:r w:rsidRPr="00482401">
                <w:rPr>
                  <w:i/>
                  <w:iCs/>
                  <w:noProof/>
                  <w:lang w:val="en-GB"/>
                </w:rPr>
                <w:t>, 89</w:t>
              </w:r>
              <w:r w:rsidRPr="00482401">
                <w:rPr>
                  <w:noProof/>
                  <w:lang w:val="en-GB"/>
                </w:rPr>
                <w:t xml:space="preserve"> (6).</w:t>
              </w:r>
            </w:p>
            <w:p w:rsidR="00C32B5A" w:rsidRPr="00482401" w:rsidRDefault="00C32B5A" w:rsidP="00C32B5A">
              <w:pPr>
                <w:pStyle w:val="Bibliography"/>
                <w:rPr>
                  <w:noProof/>
                  <w:lang w:val="en-GB"/>
                </w:rPr>
              </w:pPr>
              <w:r w:rsidRPr="00482401">
                <w:rPr>
                  <w:noProof/>
                  <w:lang w:val="en-GB"/>
                </w:rPr>
                <w:t xml:space="preserve">Kahnemann, &amp; Tversky. (1979). Prospect Theory: an analysis of decision under risk. </w:t>
              </w:r>
              <w:r w:rsidRPr="00482401">
                <w:rPr>
                  <w:i/>
                  <w:iCs/>
                  <w:noProof/>
                  <w:lang w:val="en-GB"/>
                </w:rPr>
                <w:t>Econometrica</w:t>
              </w:r>
              <w:r w:rsidRPr="00482401">
                <w:rPr>
                  <w:noProof/>
                  <w:lang w:val="en-GB"/>
                </w:rPr>
                <w:t xml:space="preserve"> , 263-291.</w:t>
              </w:r>
            </w:p>
            <w:p w:rsidR="00C32B5A" w:rsidRPr="00482401" w:rsidRDefault="00C32B5A" w:rsidP="00C32B5A">
              <w:pPr>
                <w:pStyle w:val="Bibliography"/>
                <w:rPr>
                  <w:noProof/>
                  <w:lang w:val="en-GB"/>
                </w:rPr>
              </w:pPr>
              <w:r w:rsidRPr="00482401">
                <w:rPr>
                  <w:noProof/>
                  <w:lang w:val="en-GB"/>
                </w:rPr>
                <w:t xml:space="preserve">Klayman, J., Soll, J., Gonzalez-Vallejo, C., &amp; Barlas, S. (1999). Overconfidence: It depends on how, what, and whom you ask. </w:t>
              </w:r>
              <w:r w:rsidRPr="00482401">
                <w:rPr>
                  <w:i/>
                  <w:iCs/>
                  <w:noProof/>
                  <w:lang w:val="en-GB"/>
                </w:rPr>
                <w:t>Organizational Behavior and Human Decision Processess</w:t>
              </w:r>
              <w:r w:rsidRPr="00482401">
                <w:rPr>
                  <w:noProof/>
                  <w:lang w:val="en-GB"/>
                </w:rPr>
                <w:t xml:space="preserve"> </w:t>
              </w:r>
              <w:r w:rsidRPr="00482401">
                <w:rPr>
                  <w:i/>
                  <w:iCs/>
                  <w:noProof/>
                  <w:lang w:val="en-GB"/>
                </w:rPr>
                <w:t>, 79</w:t>
              </w:r>
              <w:r w:rsidRPr="00482401">
                <w:rPr>
                  <w:noProof/>
                  <w:lang w:val="en-GB"/>
                </w:rPr>
                <w:t xml:space="preserve"> (3), 216-247.</w:t>
              </w:r>
            </w:p>
            <w:p w:rsidR="00C32B5A" w:rsidRPr="00482401" w:rsidRDefault="00C32B5A" w:rsidP="00C32B5A">
              <w:pPr>
                <w:pStyle w:val="Bibliography"/>
                <w:rPr>
                  <w:noProof/>
                  <w:lang w:val="en-GB"/>
                </w:rPr>
              </w:pPr>
              <w:r w:rsidRPr="00482401">
                <w:rPr>
                  <w:noProof/>
                  <w:lang w:val="en-GB"/>
                </w:rPr>
                <w:lastRenderedPageBreak/>
                <w:t xml:space="preserve">Langer, E. (1975). The illusion of control. </w:t>
              </w:r>
              <w:r w:rsidRPr="00482401">
                <w:rPr>
                  <w:i/>
                  <w:iCs/>
                  <w:noProof/>
                  <w:lang w:val="en-GB"/>
                </w:rPr>
                <w:t>Journal of personality and social psychology</w:t>
              </w:r>
              <w:r w:rsidRPr="00482401">
                <w:rPr>
                  <w:noProof/>
                  <w:lang w:val="en-GB"/>
                </w:rPr>
                <w:t xml:space="preserve"> </w:t>
              </w:r>
              <w:r w:rsidRPr="00482401">
                <w:rPr>
                  <w:i/>
                  <w:iCs/>
                  <w:noProof/>
                  <w:lang w:val="en-GB"/>
                </w:rPr>
                <w:t>, 32</w:t>
              </w:r>
              <w:r w:rsidRPr="00482401">
                <w:rPr>
                  <w:noProof/>
                  <w:lang w:val="en-GB"/>
                </w:rPr>
                <w:t xml:space="preserve"> (2), 311-328.</w:t>
              </w:r>
            </w:p>
            <w:p w:rsidR="00C32B5A" w:rsidRPr="00482401" w:rsidRDefault="00C32B5A" w:rsidP="00C32B5A">
              <w:pPr>
                <w:pStyle w:val="Bibliography"/>
                <w:rPr>
                  <w:noProof/>
                  <w:lang w:val="en-GB"/>
                </w:rPr>
              </w:pPr>
              <w:r w:rsidRPr="00482401">
                <w:rPr>
                  <w:noProof/>
                  <w:lang w:val="en-GB"/>
                </w:rPr>
                <w:t xml:space="preserve">Langer, E., &amp; Roth, J. (1975). Heads I win, tails it's chance: the illusion of control as a function of the sequence of outcomes in a purely chance task. </w:t>
              </w:r>
              <w:r w:rsidRPr="00482401">
                <w:rPr>
                  <w:i/>
                  <w:iCs/>
                  <w:noProof/>
                  <w:lang w:val="en-GB"/>
                </w:rPr>
                <w:t>Journal of Personality and Social Psychology</w:t>
              </w:r>
              <w:r w:rsidRPr="00482401">
                <w:rPr>
                  <w:noProof/>
                  <w:lang w:val="en-GB"/>
                </w:rPr>
                <w:t xml:space="preserve"> </w:t>
              </w:r>
              <w:r w:rsidRPr="00482401">
                <w:rPr>
                  <w:i/>
                  <w:iCs/>
                  <w:noProof/>
                  <w:lang w:val="en-GB"/>
                </w:rPr>
                <w:t>, 32</w:t>
              </w:r>
              <w:r w:rsidRPr="00482401">
                <w:rPr>
                  <w:noProof/>
                  <w:lang w:val="en-GB"/>
                </w:rPr>
                <w:t xml:space="preserve"> (6), 951-955.</w:t>
              </w:r>
            </w:p>
            <w:p w:rsidR="00C32B5A" w:rsidRPr="00482401" w:rsidRDefault="00C32B5A" w:rsidP="00C32B5A">
              <w:pPr>
                <w:pStyle w:val="Bibliography"/>
                <w:rPr>
                  <w:noProof/>
                  <w:lang w:val="en-GB"/>
                </w:rPr>
              </w:pPr>
              <w:r w:rsidRPr="00482401">
                <w:rPr>
                  <w:noProof/>
                  <w:lang w:val="en-GB"/>
                </w:rPr>
                <w:t xml:space="preserve">Larwood, L., &amp; Whittaker, W. (1977). Managerial Myopia: Self-serving Biases in Organizational Planning. </w:t>
              </w:r>
              <w:r w:rsidRPr="00482401">
                <w:rPr>
                  <w:i/>
                  <w:iCs/>
                  <w:noProof/>
                  <w:lang w:val="en-GB"/>
                </w:rPr>
                <w:t>Journal of applied Psychology</w:t>
              </w:r>
              <w:r w:rsidRPr="00482401">
                <w:rPr>
                  <w:noProof/>
                  <w:lang w:val="en-GB"/>
                </w:rPr>
                <w:t xml:space="preserve"> </w:t>
              </w:r>
              <w:r w:rsidRPr="00482401">
                <w:rPr>
                  <w:i/>
                  <w:iCs/>
                  <w:noProof/>
                  <w:lang w:val="en-GB"/>
                </w:rPr>
                <w:t>, 62</w:t>
              </w:r>
              <w:r w:rsidRPr="00482401">
                <w:rPr>
                  <w:noProof/>
                  <w:lang w:val="en-GB"/>
                </w:rPr>
                <w:t xml:space="preserve"> (2), 194-198.</w:t>
              </w:r>
            </w:p>
            <w:p w:rsidR="00C32B5A" w:rsidRPr="00482401" w:rsidRDefault="00C32B5A" w:rsidP="00C32B5A">
              <w:pPr>
                <w:pStyle w:val="Bibliography"/>
                <w:rPr>
                  <w:noProof/>
                  <w:lang w:val="en-GB"/>
                </w:rPr>
              </w:pPr>
              <w:r w:rsidRPr="00482401">
                <w:rPr>
                  <w:noProof/>
                  <w:lang w:val="en-GB"/>
                </w:rPr>
                <w:t xml:space="preserve">Lichtenstein, S., &amp; Fisschoff, B. (1977). Do those who know more also know more about how much they know? The calibration of probabilty judgments. </w:t>
              </w:r>
              <w:r w:rsidRPr="00482401">
                <w:rPr>
                  <w:i/>
                  <w:iCs/>
                  <w:noProof/>
                  <w:lang w:val="en-GB"/>
                </w:rPr>
                <w:t>Organizational Behavior and Human performance</w:t>
              </w:r>
              <w:r w:rsidRPr="00482401">
                <w:rPr>
                  <w:noProof/>
                  <w:lang w:val="en-GB"/>
                </w:rPr>
                <w:t xml:space="preserve"> </w:t>
              </w:r>
              <w:r w:rsidRPr="00482401">
                <w:rPr>
                  <w:i/>
                  <w:iCs/>
                  <w:noProof/>
                  <w:lang w:val="en-GB"/>
                </w:rPr>
                <w:t>, 16</w:t>
              </w:r>
              <w:r w:rsidRPr="00482401">
                <w:rPr>
                  <w:noProof/>
                  <w:lang w:val="en-GB"/>
                </w:rPr>
                <w:t>, 1-12.</w:t>
              </w:r>
            </w:p>
            <w:p w:rsidR="00C32B5A" w:rsidRPr="00482401" w:rsidRDefault="00C32B5A" w:rsidP="00C32B5A">
              <w:pPr>
                <w:pStyle w:val="Bibliography"/>
                <w:rPr>
                  <w:noProof/>
                  <w:lang w:val="en-GB"/>
                </w:rPr>
              </w:pPr>
              <w:r w:rsidRPr="00482401">
                <w:rPr>
                  <w:noProof/>
                  <w:lang w:val="en-GB"/>
                </w:rPr>
                <w:t xml:space="preserve">Lovallo, D., &amp; Kahneman, D. (1993). Timid choices and bold forecasts: a cognitive perspective on risk taking. </w:t>
              </w:r>
              <w:r w:rsidRPr="00482401">
                <w:rPr>
                  <w:i/>
                  <w:iCs/>
                  <w:noProof/>
                  <w:lang w:val="en-GB"/>
                </w:rPr>
                <w:t>Management Science</w:t>
              </w:r>
              <w:r w:rsidRPr="00482401">
                <w:rPr>
                  <w:noProof/>
                  <w:lang w:val="en-GB"/>
                </w:rPr>
                <w:t xml:space="preserve"> , 17-31.</w:t>
              </w:r>
            </w:p>
            <w:p w:rsidR="00C32B5A" w:rsidRPr="00482401" w:rsidRDefault="00C32B5A" w:rsidP="00C32B5A">
              <w:pPr>
                <w:pStyle w:val="Bibliography"/>
                <w:rPr>
                  <w:noProof/>
                  <w:lang w:val="en-GB"/>
                </w:rPr>
              </w:pPr>
              <w:r w:rsidRPr="00482401">
                <w:rPr>
                  <w:noProof/>
                  <w:lang w:val="en-GB"/>
                </w:rPr>
                <w:t xml:space="preserve">Lovallo, D., &amp; Kahnemann, D. (2003). Delusions of succes: how optimism undermines executives' decisions. </w:t>
              </w:r>
              <w:r w:rsidRPr="00482401">
                <w:rPr>
                  <w:i/>
                  <w:iCs/>
                  <w:noProof/>
                  <w:lang w:val="en-GB"/>
                </w:rPr>
                <w:t>Harvard Business Review</w:t>
              </w:r>
              <w:r w:rsidRPr="00482401">
                <w:rPr>
                  <w:noProof/>
                  <w:lang w:val="en-GB"/>
                </w:rPr>
                <w:t xml:space="preserve"> </w:t>
              </w:r>
              <w:r w:rsidRPr="00482401">
                <w:rPr>
                  <w:i/>
                  <w:iCs/>
                  <w:noProof/>
                  <w:lang w:val="en-GB"/>
                </w:rPr>
                <w:t>, 81</w:t>
              </w:r>
              <w:r w:rsidRPr="00482401">
                <w:rPr>
                  <w:noProof/>
                  <w:lang w:val="en-GB"/>
                </w:rPr>
                <w:t xml:space="preserve"> (7), 56-63.</w:t>
              </w:r>
            </w:p>
            <w:p w:rsidR="00C32B5A" w:rsidRPr="00482401" w:rsidRDefault="00C32B5A" w:rsidP="00C32B5A">
              <w:pPr>
                <w:pStyle w:val="Bibliography"/>
                <w:rPr>
                  <w:noProof/>
                  <w:lang w:val="en-GB"/>
                </w:rPr>
              </w:pPr>
              <w:r w:rsidRPr="00482401">
                <w:rPr>
                  <w:noProof/>
                  <w:lang w:val="en-GB"/>
                </w:rPr>
                <w:t xml:space="preserve">MacCrimmon, K., &amp; Wehrung, D. (1986). </w:t>
              </w:r>
              <w:r w:rsidRPr="00482401">
                <w:rPr>
                  <w:i/>
                  <w:iCs/>
                  <w:noProof/>
                  <w:lang w:val="en-GB"/>
                </w:rPr>
                <w:t>Takings risks: the management of uncertainty.</w:t>
              </w:r>
              <w:r w:rsidRPr="00482401">
                <w:rPr>
                  <w:noProof/>
                  <w:lang w:val="en-GB"/>
                </w:rPr>
                <w:t xml:space="preserve"> New York: Free Press.</w:t>
              </w:r>
            </w:p>
            <w:p w:rsidR="00C32B5A" w:rsidRPr="00482401" w:rsidRDefault="00C32B5A" w:rsidP="00C32B5A">
              <w:pPr>
                <w:pStyle w:val="Bibliography"/>
                <w:rPr>
                  <w:noProof/>
                  <w:lang w:val="en-GB"/>
                </w:rPr>
              </w:pPr>
              <w:r w:rsidRPr="00482401">
                <w:rPr>
                  <w:noProof/>
                  <w:lang w:val="en-GB"/>
                </w:rPr>
                <w:t>Mace, M. (1971). Directors: myth and reality. In M. Mace. Cambridge: Harvard University Press.</w:t>
              </w:r>
            </w:p>
            <w:p w:rsidR="00C32B5A" w:rsidRPr="00482401" w:rsidRDefault="00C32B5A" w:rsidP="00C32B5A">
              <w:pPr>
                <w:pStyle w:val="Bibliography"/>
                <w:rPr>
                  <w:noProof/>
                  <w:lang w:val="en-GB"/>
                </w:rPr>
              </w:pPr>
              <w:r w:rsidRPr="00482401">
                <w:rPr>
                  <w:noProof/>
                  <w:lang w:val="en-GB"/>
                </w:rPr>
                <w:t xml:space="preserve">Malmendier, &amp; Tate. (2005). CEO overconfidence and corporate investment. </w:t>
              </w:r>
              <w:r w:rsidRPr="00482401">
                <w:rPr>
                  <w:i/>
                  <w:iCs/>
                  <w:noProof/>
                  <w:lang w:val="en-GB"/>
                </w:rPr>
                <w:t>Journal of Finance</w:t>
              </w:r>
              <w:r w:rsidRPr="00482401">
                <w:rPr>
                  <w:noProof/>
                  <w:lang w:val="en-GB"/>
                </w:rPr>
                <w:t xml:space="preserve"> , 2661-2700.</w:t>
              </w:r>
            </w:p>
            <w:p w:rsidR="00C32B5A" w:rsidRPr="00482401" w:rsidRDefault="00C32B5A" w:rsidP="00C32B5A">
              <w:pPr>
                <w:pStyle w:val="Bibliography"/>
                <w:rPr>
                  <w:noProof/>
                  <w:lang w:val="en-GB"/>
                </w:rPr>
              </w:pPr>
              <w:r w:rsidRPr="00482401">
                <w:rPr>
                  <w:noProof/>
                  <w:lang w:val="en-GB"/>
                </w:rPr>
                <w:t xml:space="preserve">Malmendier, U., &amp; Tate, G. (2005). CEO overconfidence and corporate investment. </w:t>
              </w:r>
              <w:r w:rsidRPr="00482401">
                <w:rPr>
                  <w:i/>
                  <w:iCs/>
                  <w:noProof/>
                  <w:lang w:val="en-GB"/>
                </w:rPr>
                <w:t>The Journal of Finance</w:t>
              </w:r>
              <w:r w:rsidRPr="00482401">
                <w:rPr>
                  <w:noProof/>
                  <w:lang w:val="en-GB"/>
                </w:rPr>
                <w:t xml:space="preserve"> </w:t>
              </w:r>
              <w:r w:rsidRPr="00482401">
                <w:rPr>
                  <w:i/>
                  <w:iCs/>
                  <w:noProof/>
                  <w:lang w:val="en-GB"/>
                </w:rPr>
                <w:t>, 60</w:t>
              </w:r>
              <w:r w:rsidRPr="00482401">
                <w:rPr>
                  <w:noProof/>
                  <w:lang w:val="en-GB"/>
                </w:rPr>
                <w:t xml:space="preserve"> (6), 2661-2700.</w:t>
              </w:r>
            </w:p>
            <w:p w:rsidR="00C32B5A" w:rsidRPr="00482401" w:rsidRDefault="00C32B5A" w:rsidP="00C32B5A">
              <w:pPr>
                <w:pStyle w:val="Bibliography"/>
                <w:rPr>
                  <w:noProof/>
                  <w:lang w:val="en-GB"/>
                </w:rPr>
              </w:pPr>
              <w:r w:rsidRPr="00482401">
                <w:rPr>
                  <w:noProof/>
                  <w:lang w:val="en-GB"/>
                </w:rPr>
                <w:t xml:space="preserve">Malmendier, U., &amp; Tate, G. (2008). Who makes acquisitions? CEO overconfidence and the market's reaction. </w:t>
              </w:r>
              <w:r w:rsidRPr="00482401">
                <w:rPr>
                  <w:i/>
                  <w:iCs/>
                  <w:noProof/>
                  <w:lang w:val="en-GB"/>
                </w:rPr>
                <w:t>Journal of Financial Economics</w:t>
              </w:r>
              <w:r w:rsidRPr="00482401">
                <w:rPr>
                  <w:noProof/>
                  <w:lang w:val="en-GB"/>
                </w:rPr>
                <w:t xml:space="preserve"> </w:t>
              </w:r>
              <w:r w:rsidRPr="00482401">
                <w:rPr>
                  <w:i/>
                  <w:iCs/>
                  <w:noProof/>
                  <w:lang w:val="en-GB"/>
                </w:rPr>
                <w:t>, 89</w:t>
              </w:r>
              <w:r w:rsidRPr="00482401">
                <w:rPr>
                  <w:noProof/>
                  <w:lang w:val="en-GB"/>
                </w:rPr>
                <w:t xml:space="preserve"> (1), 20-43.</w:t>
              </w:r>
            </w:p>
            <w:p w:rsidR="00C32B5A" w:rsidRPr="00482401" w:rsidRDefault="00C32B5A" w:rsidP="00C32B5A">
              <w:pPr>
                <w:pStyle w:val="Bibliography"/>
                <w:rPr>
                  <w:noProof/>
                  <w:lang w:val="en-GB"/>
                </w:rPr>
              </w:pPr>
              <w:r w:rsidRPr="00482401">
                <w:rPr>
                  <w:noProof/>
                  <w:lang w:val="en-GB"/>
                </w:rPr>
                <w:t xml:space="preserve">March, J., &amp; Shapira, Z. (1987). Managerial perspectives on risk and risk taking. </w:t>
              </w:r>
              <w:r w:rsidRPr="00482401">
                <w:rPr>
                  <w:i/>
                  <w:iCs/>
                  <w:noProof/>
                  <w:lang w:val="en-GB"/>
                </w:rPr>
                <w:t>Management Science</w:t>
              </w:r>
              <w:r w:rsidRPr="00482401">
                <w:rPr>
                  <w:noProof/>
                  <w:lang w:val="en-GB"/>
                </w:rPr>
                <w:t xml:space="preserve"> </w:t>
              </w:r>
              <w:r w:rsidRPr="00482401">
                <w:rPr>
                  <w:i/>
                  <w:iCs/>
                  <w:noProof/>
                  <w:lang w:val="en-GB"/>
                </w:rPr>
                <w:t>, 33</w:t>
              </w:r>
              <w:r w:rsidRPr="00482401">
                <w:rPr>
                  <w:noProof/>
                  <w:lang w:val="en-GB"/>
                </w:rPr>
                <w:t xml:space="preserve"> (11), 1404-1418.</w:t>
              </w:r>
            </w:p>
            <w:p w:rsidR="00C32B5A" w:rsidRPr="00482401" w:rsidRDefault="00C32B5A" w:rsidP="00C32B5A">
              <w:pPr>
                <w:pStyle w:val="Bibliography"/>
                <w:rPr>
                  <w:noProof/>
                  <w:lang w:val="en-GB"/>
                </w:rPr>
              </w:pPr>
              <w:r w:rsidRPr="00482401">
                <w:rPr>
                  <w:noProof/>
                  <w:lang w:val="en-GB"/>
                </w:rPr>
                <w:t xml:space="preserve">Moore, &amp; Healy. (2008). The trouble with overconfidence. . </w:t>
              </w:r>
              <w:r w:rsidRPr="00482401">
                <w:rPr>
                  <w:i/>
                  <w:iCs/>
                  <w:noProof/>
                  <w:lang w:val="en-GB"/>
                </w:rPr>
                <w:t>Psychological review</w:t>
              </w:r>
              <w:r w:rsidRPr="00482401">
                <w:rPr>
                  <w:noProof/>
                  <w:lang w:val="en-GB"/>
                </w:rPr>
                <w:t xml:space="preserve"> , 502-517.</w:t>
              </w:r>
            </w:p>
            <w:p w:rsidR="00C32B5A" w:rsidRPr="00082B85" w:rsidRDefault="00C32B5A" w:rsidP="00C32B5A">
              <w:pPr>
                <w:pStyle w:val="Bibliography"/>
                <w:rPr>
                  <w:noProof/>
                  <w:lang w:val="en-GB"/>
                </w:rPr>
              </w:pPr>
              <w:r w:rsidRPr="00482401">
                <w:rPr>
                  <w:noProof/>
                  <w:lang w:val="en-GB"/>
                </w:rPr>
                <w:t xml:space="preserve">Rhodes-Kropf, M., &amp; Visnwanathan, S. (2004). Market valuation and merger waves. </w:t>
              </w:r>
              <w:r w:rsidRPr="00082B85">
                <w:rPr>
                  <w:i/>
                  <w:iCs/>
                  <w:noProof/>
                  <w:lang w:val="en-GB"/>
                </w:rPr>
                <w:t>The Journal of Finance</w:t>
              </w:r>
              <w:r w:rsidRPr="00082B85">
                <w:rPr>
                  <w:noProof/>
                  <w:lang w:val="en-GB"/>
                </w:rPr>
                <w:t xml:space="preserve"> </w:t>
              </w:r>
              <w:r w:rsidRPr="00082B85">
                <w:rPr>
                  <w:i/>
                  <w:iCs/>
                  <w:noProof/>
                  <w:lang w:val="en-GB"/>
                </w:rPr>
                <w:t>, 59</w:t>
              </w:r>
              <w:r w:rsidRPr="00082B85">
                <w:rPr>
                  <w:noProof/>
                  <w:lang w:val="en-GB"/>
                </w:rPr>
                <w:t xml:space="preserve"> (6), 2685-2718.</w:t>
              </w:r>
            </w:p>
            <w:p w:rsidR="00C32B5A" w:rsidRPr="00082B85" w:rsidRDefault="00C32B5A" w:rsidP="00C32B5A">
              <w:pPr>
                <w:pStyle w:val="Bibliography"/>
                <w:rPr>
                  <w:noProof/>
                  <w:lang w:val="en-GB"/>
                </w:rPr>
              </w:pPr>
              <w:r w:rsidRPr="00082B85">
                <w:rPr>
                  <w:noProof/>
                  <w:lang w:val="en-GB"/>
                </w:rPr>
                <w:t xml:space="preserve">Roll, R. (1986). The hubris hypothesis of corporate takeovers. </w:t>
              </w:r>
              <w:r w:rsidRPr="00082B85">
                <w:rPr>
                  <w:i/>
                  <w:iCs/>
                  <w:noProof/>
                  <w:lang w:val="en-GB"/>
                </w:rPr>
                <w:t>The Journal of Business</w:t>
              </w:r>
              <w:r w:rsidRPr="00082B85">
                <w:rPr>
                  <w:noProof/>
                  <w:lang w:val="en-GB"/>
                </w:rPr>
                <w:t xml:space="preserve"> </w:t>
              </w:r>
              <w:r w:rsidRPr="00082B85">
                <w:rPr>
                  <w:i/>
                  <w:iCs/>
                  <w:noProof/>
                  <w:lang w:val="en-GB"/>
                </w:rPr>
                <w:t>, 59</w:t>
              </w:r>
              <w:r w:rsidRPr="00082B85">
                <w:rPr>
                  <w:noProof/>
                  <w:lang w:val="en-GB"/>
                </w:rPr>
                <w:t xml:space="preserve"> (2), 197-216.</w:t>
              </w:r>
            </w:p>
            <w:p w:rsidR="00C32B5A" w:rsidRPr="00082B85" w:rsidRDefault="00C32B5A" w:rsidP="00C32B5A">
              <w:pPr>
                <w:pStyle w:val="Bibliography"/>
                <w:rPr>
                  <w:noProof/>
                  <w:lang w:val="en-GB"/>
                </w:rPr>
              </w:pPr>
              <w:r w:rsidRPr="00082B85">
                <w:rPr>
                  <w:noProof/>
                  <w:lang w:val="en-GB"/>
                </w:rPr>
                <w:t xml:space="preserve">Samuelson, P. (1963). Risk and uncertainty: a fallacy of large numbers. </w:t>
              </w:r>
              <w:r w:rsidRPr="00082B85">
                <w:rPr>
                  <w:i/>
                  <w:iCs/>
                  <w:noProof/>
                  <w:lang w:val="en-GB"/>
                </w:rPr>
                <w:t>Scientia</w:t>
              </w:r>
              <w:r w:rsidRPr="00082B85">
                <w:rPr>
                  <w:noProof/>
                  <w:lang w:val="en-GB"/>
                </w:rPr>
                <w:t xml:space="preserve"> </w:t>
              </w:r>
              <w:r w:rsidRPr="00082B85">
                <w:rPr>
                  <w:i/>
                  <w:iCs/>
                  <w:noProof/>
                  <w:lang w:val="en-GB"/>
                </w:rPr>
                <w:t>, 98</w:t>
              </w:r>
              <w:r w:rsidRPr="00082B85">
                <w:rPr>
                  <w:noProof/>
                  <w:lang w:val="en-GB"/>
                </w:rPr>
                <w:t>, 108-113.</w:t>
              </w:r>
            </w:p>
            <w:p w:rsidR="00C32B5A" w:rsidRPr="00082B85" w:rsidRDefault="00C32B5A" w:rsidP="00C32B5A">
              <w:pPr>
                <w:pStyle w:val="Bibliography"/>
                <w:rPr>
                  <w:noProof/>
                  <w:lang w:val="en-GB"/>
                </w:rPr>
              </w:pPr>
              <w:r w:rsidRPr="00082B85">
                <w:rPr>
                  <w:noProof/>
                  <w:lang w:val="en-GB"/>
                </w:rPr>
                <w:t xml:space="preserve">Schleifer, A., &amp; Vishny, R. (2003). Stock market driven acquisitions. </w:t>
              </w:r>
              <w:r w:rsidRPr="00082B85">
                <w:rPr>
                  <w:i/>
                  <w:iCs/>
                  <w:noProof/>
                  <w:lang w:val="en-GB"/>
                </w:rPr>
                <w:t>Journal of Financial Economics</w:t>
              </w:r>
              <w:r w:rsidRPr="00082B85">
                <w:rPr>
                  <w:noProof/>
                  <w:lang w:val="en-GB"/>
                </w:rPr>
                <w:t xml:space="preserve"> </w:t>
              </w:r>
              <w:r w:rsidRPr="00082B85">
                <w:rPr>
                  <w:i/>
                  <w:iCs/>
                  <w:noProof/>
                  <w:lang w:val="en-GB"/>
                </w:rPr>
                <w:t>, 70</w:t>
              </w:r>
              <w:r w:rsidRPr="00082B85">
                <w:rPr>
                  <w:noProof/>
                  <w:lang w:val="en-GB"/>
                </w:rPr>
                <w:t xml:space="preserve"> (3), 295-311.</w:t>
              </w:r>
            </w:p>
            <w:p w:rsidR="00C32B5A" w:rsidRPr="00082B85" w:rsidRDefault="00C32B5A" w:rsidP="00C32B5A">
              <w:pPr>
                <w:pStyle w:val="Bibliography"/>
                <w:rPr>
                  <w:noProof/>
                  <w:lang w:val="en-GB"/>
                </w:rPr>
              </w:pPr>
              <w:r w:rsidRPr="00082B85">
                <w:rPr>
                  <w:noProof/>
                  <w:lang w:val="en-GB"/>
                </w:rPr>
                <w:lastRenderedPageBreak/>
                <w:t xml:space="preserve">Shah, A., &amp; Oppenheimer, D. (2008). Heuristics made easy: an effort-reduction framework. </w:t>
              </w:r>
              <w:r w:rsidRPr="00082B85">
                <w:rPr>
                  <w:i/>
                  <w:iCs/>
                  <w:noProof/>
                  <w:lang w:val="en-GB"/>
                </w:rPr>
                <w:t>Psychological Bulletin</w:t>
              </w:r>
              <w:r w:rsidRPr="00082B85">
                <w:rPr>
                  <w:noProof/>
                  <w:lang w:val="en-GB"/>
                </w:rPr>
                <w:t xml:space="preserve"> </w:t>
              </w:r>
              <w:r w:rsidRPr="00082B85">
                <w:rPr>
                  <w:i/>
                  <w:iCs/>
                  <w:noProof/>
                  <w:lang w:val="en-GB"/>
                </w:rPr>
                <w:t>, 134</w:t>
              </w:r>
              <w:r w:rsidRPr="00082B85">
                <w:rPr>
                  <w:noProof/>
                  <w:lang w:val="en-GB"/>
                </w:rPr>
                <w:t xml:space="preserve"> (2), 207-222.</w:t>
              </w:r>
            </w:p>
            <w:p w:rsidR="00C32B5A" w:rsidRPr="00082B85" w:rsidRDefault="00C32B5A" w:rsidP="00C32B5A">
              <w:pPr>
                <w:pStyle w:val="Bibliography"/>
                <w:rPr>
                  <w:noProof/>
                  <w:lang w:val="en-GB"/>
                </w:rPr>
              </w:pPr>
              <w:r w:rsidRPr="00082B85">
                <w:rPr>
                  <w:noProof/>
                  <w:lang w:val="en-GB"/>
                </w:rPr>
                <w:t xml:space="preserve">Simon. (1990). Invariants of human behavior. </w:t>
              </w:r>
              <w:r w:rsidRPr="00082B85">
                <w:rPr>
                  <w:i/>
                  <w:iCs/>
                  <w:noProof/>
                  <w:lang w:val="en-GB"/>
                </w:rPr>
                <w:t>Annual Review of Psychology</w:t>
              </w:r>
              <w:r w:rsidRPr="00082B85">
                <w:rPr>
                  <w:noProof/>
                  <w:lang w:val="en-GB"/>
                </w:rPr>
                <w:t xml:space="preserve"> </w:t>
              </w:r>
              <w:r w:rsidRPr="00082B85">
                <w:rPr>
                  <w:i/>
                  <w:iCs/>
                  <w:noProof/>
                  <w:lang w:val="en-GB"/>
                </w:rPr>
                <w:t>, 44</w:t>
              </w:r>
              <w:r w:rsidRPr="00082B85">
                <w:rPr>
                  <w:noProof/>
                  <w:lang w:val="en-GB"/>
                </w:rPr>
                <w:t>, 1-19.</w:t>
              </w:r>
            </w:p>
            <w:p w:rsidR="00C32B5A" w:rsidRPr="00082B85" w:rsidRDefault="00C32B5A" w:rsidP="00C32B5A">
              <w:pPr>
                <w:pStyle w:val="Bibliography"/>
                <w:rPr>
                  <w:noProof/>
                  <w:lang w:val="en-GB"/>
                </w:rPr>
              </w:pPr>
              <w:r w:rsidRPr="00082B85">
                <w:rPr>
                  <w:noProof/>
                  <w:lang w:val="en-GB"/>
                </w:rPr>
                <w:t xml:space="preserve">Simon, H. (1955). A behavioral model of rational choice. </w:t>
              </w:r>
              <w:r w:rsidRPr="00082B85">
                <w:rPr>
                  <w:i/>
                  <w:iCs/>
                  <w:noProof/>
                  <w:lang w:val="en-GB"/>
                </w:rPr>
                <w:t>Quarterly Journal of Economics</w:t>
              </w:r>
              <w:r w:rsidRPr="00082B85">
                <w:rPr>
                  <w:noProof/>
                  <w:lang w:val="en-GB"/>
                </w:rPr>
                <w:t xml:space="preserve"> </w:t>
              </w:r>
              <w:r w:rsidRPr="00082B85">
                <w:rPr>
                  <w:i/>
                  <w:iCs/>
                  <w:noProof/>
                  <w:lang w:val="en-GB"/>
                </w:rPr>
                <w:t>, 66</w:t>
              </w:r>
              <w:r w:rsidRPr="00082B85">
                <w:rPr>
                  <w:noProof/>
                  <w:lang w:val="en-GB"/>
                </w:rPr>
                <w:t>, 99-118.</w:t>
              </w:r>
            </w:p>
            <w:p w:rsidR="00C32B5A" w:rsidRPr="00082B85" w:rsidRDefault="00C32B5A" w:rsidP="00C32B5A">
              <w:pPr>
                <w:pStyle w:val="Bibliography"/>
                <w:rPr>
                  <w:noProof/>
                  <w:lang w:val="en-GB"/>
                </w:rPr>
              </w:pPr>
              <w:r w:rsidRPr="00082B85">
                <w:rPr>
                  <w:noProof/>
                  <w:lang w:val="en-GB"/>
                </w:rPr>
                <w:t xml:space="preserve">Smit, H., &amp; Lovallo, D. (2014). Valuation Biases: Solutions for hot and cold deal markets. </w:t>
              </w:r>
              <w:r w:rsidRPr="00082B85">
                <w:rPr>
                  <w:i/>
                  <w:iCs/>
                  <w:noProof/>
                  <w:lang w:val="en-GB"/>
                </w:rPr>
                <w:t>Working Paper</w:t>
              </w:r>
              <w:r w:rsidRPr="00082B85">
                <w:rPr>
                  <w:noProof/>
                  <w:lang w:val="en-GB"/>
                </w:rPr>
                <w:t xml:space="preserve"> .</w:t>
              </w:r>
            </w:p>
            <w:p w:rsidR="00C32B5A" w:rsidRPr="00082B85" w:rsidRDefault="00C32B5A" w:rsidP="00C32B5A">
              <w:pPr>
                <w:pStyle w:val="Bibliography"/>
                <w:rPr>
                  <w:noProof/>
                  <w:lang w:val="en-GB"/>
                </w:rPr>
              </w:pPr>
              <w:r w:rsidRPr="00082B85">
                <w:rPr>
                  <w:noProof/>
                  <w:lang w:val="en-GB"/>
                </w:rPr>
                <w:t xml:space="preserve">Smit, H., &amp; Moraitis, T. (2010). Playing at serial acquisitions. </w:t>
              </w:r>
              <w:r w:rsidRPr="00082B85">
                <w:rPr>
                  <w:i/>
                  <w:iCs/>
                  <w:noProof/>
                  <w:lang w:val="en-GB"/>
                </w:rPr>
                <w:t>California Management Review</w:t>
              </w:r>
              <w:r w:rsidRPr="00082B85">
                <w:rPr>
                  <w:noProof/>
                  <w:lang w:val="en-GB"/>
                </w:rPr>
                <w:t xml:space="preserve"> </w:t>
              </w:r>
              <w:r w:rsidRPr="00082B85">
                <w:rPr>
                  <w:i/>
                  <w:iCs/>
                  <w:noProof/>
                  <w:lang w:val="en-GB"/>
                </w:rPr>
                <w:t>, 53</w:t>
              </w:r>
              <w:r w:rsidRPr="00082B85">
                <w:rPr>
                  <w:noProof/>
                  <w:lang w:val="en-GB"/>
                </w:rPr>
                <w:t xml:space="preserve"> (1), 56-89.</w:t>
              </w:r>
            </w:p>
            <w:p w:rsidR="00C32B5A" w:rsidRPr="00082B85" w:rsidRDefault="00C32B5A" w:rsidP="00C32B5A">
              <w:pPr>
                <w:pStyle w:val="Bibliography"/>
                <w:rPr>
                  <w:noProof/>
                  <w:lang w:val="en-GB"/>
                </w:rPr>
              </w:pPr>
              <w:r w:rsidRPr="00082B85">
                <w:rPr>
                  <w:noProof/>
                  <w:lang w:val="en-GB"/>
                </w:rPr>
                <w:t xml:space="preserve">Soll, J., &amp; Klayman, J. (2004). Overconfidence in interval estimates. </w:t>
              </w:r>
              <w:r w:rsidRPr="00082B85">
                <w:rPr>
                  <w:i/>
                  <w:iCs/>
                  <w:noProof/>
                  <w:lang w:val="en-GB"/>
                </w:rPr>
                <w:t>Journal of Experimental Psychology: Learning, Memory and Cognition</w:t>
              </w:r>
              <w:r w:rsidRPr="00082B85">
                <w:rPr>
                  <w:noProof/>
                  <w:lang w:val="en-GB"/>
                </w:rPr>
                <w:t xml:space="preserve"> </w:t>
              </w:r>
              <w:r w:rsidRPr="00082B85">
                <w:rPr>
                  <w:i/>
                  <w:iCs/>
                  <w:noProof/>
                  <w:lang w:val="en-GB"/>
                </w:rPr>
                <w:t>, 21</w:t>
              </w:r>
              <w:r w:rsidRPr="00082B85">
                <w:rPr>
                  <w:noProof/>
                  <w:lang w:val="en-GB"/>
                </w:rPr>
                <w:t xml:space="preserve"> (6), 299-314.</w:t>
              </w:r>
            </w:p>
            <w:p w:rsidR="00C32B5A" w:rsidRPr="00082B85" w:rsidRDefault="00C32B5A" w:rsidP="00C32B5A">
              <w:pPr>
                <w:pStyle w:val="Bibliography"/>
                <w:rPr>
                  <w:noProof/>
                  <w:lang w:val="en-GB"/>
                </w:rPr>
              </w:pPr>
              <w:r w:rsidRPr="00082B85">
                <w:rPr>
                  <w:noProof/>
                  <w:lang w:val="en-GB"/>
                </w:rPr>
                <w:t xml:space="preserve">Stanovich, K. E., &amp; West, R. (2000). Individual differences in reasoning: implications for the rationality debate? </w:t>
              </w:r>
              <w:r w:rsidRPr="00082B85">
                <w:rPr>
                  <w:i/>
                  <w:iCs/>
                  <w:noProof/>
                  <w:lang w:val="en-GB"/>
                </w:rPr>
                <w:t>Behavioral and Brain Sciences</w:t>
              </w:r>
              <w:r w:rsidRPr="00082B85">
                <w:rPr>
                  <w:noProof/>
                  <w:lang w:val="en-GB"/>
                </w:rPr>
                <w:t xml:space="preserve"> </w:t>
              </w:r>
              <w:r w:rsidRPr="00082B85">
                <w:rPr>
                  <w:i/>
                  <w:iCs/>
                  <w:noProof/>
                  <w:lang w:val="en-GB"/>
                </w:rPr>
                <w:t>, 23</w:t>
              </w:r>
              <w:r w:rsidRPr="00082B85">
                <w:rPr>
                  <w:noProof/>
                  <w:lang w:val="en-GB"/>
                </w:rPr>
                <w:t xml:space="preserve"> (5), 645-723.</w:t>
              </w:r>
            </w:p>
            <w:p w:rsidR="00C32B5A" w:rsidRPr="00082B85" w:rsidRDefault="00C32B5A" w:rsidP="00C32B5A">
              <w:pPr>
                <w:pStyle w:val="Bibliography"/>
                <w:rPr>
                  <w:noProof/>
                  <w:lang w:val="en-GB"/>
                </w:rPr>
              </w:pPr>
              <w:r w:rsidRPr="00082B85">
                <w:rPr>
                  <w:noProof/>
                  <w:lang w:val="en-GB"/>
                </w:rPr>
                <w:t xml:space="preserve">Staw, B. M. (1981). The escalation of commitment to a course of action. </w:t>
              </w:r>
              <w:r w:rsidRPr="00082B85">
                <w:rPr>
                  <w:i/>
                  <w:iCs/>
                  <w:noProof/>
                  <w:lang w:val="en-GB"/>
                </w:rPr>
                <w:t>Academy of Management Review</w:t>
              </w:r>
              <w:r w:rsidRPr="00082B85">
                <w:rPr>
                  <w:noProof/>
                  <w:lang w:val="en-GB"/>
                </w:rPr>
                <w:t xml:space="preserve"> </w:t>
              </w:r>
              <w:r w:rsidRPr="00082B85">
                <w:rPr>
                  <w:i/>
                  <w:iCs/>
                  <w:noProof/>
                  <w:lang w:val="en-GB"/>
                </w:rPr>
                <w:t>, 6</w:t>
              </w:r>
              <w:r w:rsidRPr="00082B85">
                <w:rPr>
                  <w:noProof/>
                  <w:lang w:val="en-GB"/>
                </w:rPr>
                <w:t xml:space="preserve"> (4), 577-587.</w:t>
              </w:r>
            </w:p>
            <w:p w:rsidR="00C32B5A" w:rsidRPr="00082B85" w:rsidRDefault="00C32B5A" w:rsidP="00C32B5A">
              <w:pPr>
                <w:pStyle w:val="Bibliography"/>
                <w:rPr>
                  <w:noProof/>
                  <w:lang w:val="en-GB"/>
                </w:rPr>
              </w:pPr>
              <w:r w:rsidRPr="00082B85">
                <w:rPr>
                  <w:noProof/>
                  <w:lang w:val="en-GB"/>
                </w:rPr>
                <w:t xml:space="preserve">Staw, B., &amp; Ross, T. (1978). Commitment to a policy decision: a multi-theoretical perspective. </w:t>
              </w:r>
              <w:r w:rsidRPr="00082B85">
                <w:rPr>
                  <w:i/>
                  <w:iCs/>
                  <w:noProof/>
                  <w:lang w:val="en-GB"/>
                </w:rPr>
                <w:t>Administrative Science Quarterly</w:t>
              </w:r>
              <w:r w:rsidRPr="00082B85">
                <w:rPr>
                  <w:noProof/>
                  <w:lang w:val="en-GB"/>
                </w:rPr>
                <w:t xml:space="preserve"> </w:t>
              </w:r>
              <w:r w:rsidRPr="00082B85">
                <w:rPr>
                  <w:i/>
                  <w:iCs/>
                  <w:noProof/>
                  <w:lang w:val="en-GB"/>
                </w:rPr>
                <w:t>, 23</w:t>
              </w:r>
              <w:r w:rsidRPr="00082B85">
                <w:rPr>
                  <w:noProof/>
                  <w:lang w:val="en-GB"/>
                </w:rPr>
                <w:t xml:space="preserve"> (1), 40-64.</w:t>
              </w:r>
            </w:p>
            <w:p w:rsidR="00C32B5A" w:rsidRPr="00082B85" w:rsidRDefault="00C32B5A" w:rsidP="00C32B5A">
              <w:pPr>
                <w:pStyle w:val="Bibliography"/>
                <w:rPr>
                  <w:noProof/>
                  <w:lang w:val="en-GB"/>
                </w:rPr>
              </w:pPr>
              <w:r w:rsidRPr="00082B85">
                <w:rPr>
                  <w:noProof/>
                  <w:lang w:val="en-GB"/>
                </w:rPr>
                <w:t xml:space="preserve">Svenson, O. (1981). Are we all less risky and more skillful than our fellow drivers? </w:t>
              </w:r>
              <w:r w:rsidRPr="00082B85">
                <w:rPr>
                  <w:i/>
                  <w:iCs/>
                  <w:noProof/>
                  <w:lang w:val="en-GB"/>
                </w:rPr>
                <w:t>Acta Psychologica</w:t>
              </w:r>
              <w:r w:rsidRPr="00082B85">
                <w:rPr>
                  <w:noProof/>
                  <w:lang w:val="en-GB"/>
                </w:rPr>
                <w:t xml:space="preserve"> </w:t>
              </w:r>
              <w:r w:rsidRPr="00082B85">
                <w:rPr>
                  <w:i/>
                  <w:iCs/>
                  <w:noProof/>
                  <w:lang w:val="en-GB"/>
                </w:rPr>
                <w:t>, 47</w:t>
              </w:r>
              <w:r w:rsidRPr="00082B85">
                <w:rPr>
                  <w:noProof/>
                  <w:lang w:val="en-GB"/>
                </w:rPr>
                <w:t xml:space="preserve"> (2), 143-148.</w:t>
              </w:r>
            </w:p>
            <w:p w:rsidR="00C32B5A" w:rsidRPr="00082B85" w:rsidRDefault="00C32B5A" w:rsidP="00C32B5A">
              <w:pPr>
                <w:pStyle w:val="Bibliography"/>
                <w:rPr>
                  <w:noProof/>
                  <w:lang w:val="en-GB"/>
                </w:rPr>
              </w:pPr>
              <w:r w:rsidRPr="00082B85">
                <w:rPr>
                  <w:noProof/>
                  <w:lang w:val="en-GB"/>
                </w:rPr>
                <w:t xml:space="preserve">Taylor, &amp; Brown. (1988). Illusian and well-being: A social phychological perspective on mental health. </w:t>
              </w:r>
              <w:r w:rsidRPr="00082B85">
                <w:rPr>
                  <w:i/>
                  <w:iCs/>
                  <w:noProof/>
                  <w:lang w:val="en-GB"/>
                </w:rPr>
                <w:t xml:space="preserve">Phychological bull </w:t>
              </w:r>
              <w:r w:rsidRPr="00082B85">
                <w:rPr>
                  <w:noProof/>
                  <w:lang w:val="en-GB"/>
                </w:rPr>
                <w:t>, 193-210.</w:t>
              </w:r>
            </w:p>
            <w:p w:rsidR="00C32B5A" w:rsidRPr="00082B85" w:rsidRDefault="00C32B5A" w:rsidP="00C32B5A">
              <w:pPr>
                <w:pStyle w:val="Bibliography"/>
                <w:rPr>
                  <w:noProof/>
                  <w:lang w:val="en-GB"/>
                </w:rPr>
              </w:pPr>
              <w:r w:rsidRPr="00082B85">
                <w:rPr>
                  <w:noProof/>
                  <w:lang w:val="en-GB"/>
                </w:rPr>
                <w:t xml:space="preserve">Tetlock, P., &amp; Boettger, R. (1992). </w:t>
              </w:r>
              <w:r w:rsidRPr="00082B85">
                <w:rPr>
                  <w:i/>
                  <w:iCs/>
                  <w:noProof/>
                  <w:lang w:val="en-GB"/>
                </w:rPr>
                <w:t>Accountability amplifies the status quo effect when change creates victims.</w:t>
              </w:r>
              <w:r w:rsidRPr="00082B85">
                <w:rPr>
                  <w:noProof/>
                  <w:lang w:val="en-GB"/>
                </w:rPr>
                <w:t xml:space="preserve"> Berkeley, CA: Working paper: University of Berkeley.</w:t>
              </w:r>
            </w:p>
            <w:p w:rsidR="00C32B5A" w:rsidRPr="00082B85" w:rsidRDefault="00C32B5A" w:rsidP="00C32B5A">
              <w:pPr>
                <w:pStyle w:val="Bibliography"/>
                <w:rPr>
                  <w:noProof/>
                  <w:lang w:val="en-GB"/>
                </w:rPr>
              </w:pPr>
              <w:r w:rsidRPr="00082B85">
                <w:rPr>
                  <w:noProof/>
                  <w:lang w:val="en-GB"/>
                </w:rPr>
                <w:t xml:space="preserve">Thaler, R. H., &amp; Johnson, E. (1990). Gambling with the house money and trying to break even: the effects of prior outcomes on risky choices. </w:t>
              </w:r>
              <w:r w:rsidRPr="00082B85">
                <w:rPr>
                  <w:i/>
                  <w:iCs/>
                  <w:noProof/>
                  <w:lang w:val="en-GB"/>
                </w:rPr>
                <w:t>Management Science</w:t>
              </w:r>
              <w:r w:rsidRPr="00082B85">
                <w:rPr>
                  <w:noProof/>
                  <w:lang w:val="en-GB"/>
                </w:rPr>
                <w:t xml:space="preserve"> </w:t>
              </w:r>
              <w:r w:rsidRPr="00082B85">
                <w:rPr>
                  <w:i/>
                  <w:iCs/>
                  <w:noProof/>
                  <w:lang w:val="en-GB"/>
                </w:rPr>
                <w:t>, 66</w:t>
              </w:r>
              <w:r w:rsidRPr="00082B85">
                <w:rPr>
                  <w:noProof/>
                  <w:lang w:val="en-GB"/>
                </w:rPr>
                <w:t>, 643-660.</w:t>
              </w:r>
            </w:p>
            <w:p w:rsidR="00C32B5A" w:rsidRPr="00082B85" w:rsidRDefault="00C32B5A" w:rsidP="00C32B5A">
              <w:pPr>
                <w:pStyle w:val="Bibliography"/>
                <w:rPr>
                  <w:noProof/>
                  <w:lang w:val="en-GB"/>
                </w:rPr>
              </w:pPr>
              <w:r w:rsidRPr="00082B85">
                <w:rPr>
                  <w:noProof/>
                  <w:lang w:val="en-GB"/>
                </w:rPr>
                <w:t xml:space="preserve">Tversky, &amp; Kahneman. (1974). Judgment under uncertainty: heuristics and biases. </w:t>
              </w:r>
              <w:r w:rsidRPr="00082B85">
                <w:rPr>
                  <w:i/>
                  <w:iCs/>
                  <w:noProof/>
                  <w:lang w:val="en-GB"/>
                </w:rPr>
                <w:t>Science</w:t>
              </w:r>
              <w:r w:rsidRPr="00082B85">
                <w:rPr>
                  <w:noProof/>
                  <w:lang w:val="en-GB"/>
                </w:rPr>
                <w:t xml:space="preserve"> </w:t>
              </w:r>
              <w:r w:rsidRPr="00082B85">
                <w:rPr>
                  <w:i/>
                  <w:iCs/>
                  <w:noProof/>
                  <w:lang w:val="en-GB"/>
                </w:rPr>
                <w:t>, 185</w:t>
              </w:r>
              <w:r w:rsidRPr="00082B85">
                <w:rPr>
                  <w:noProof/>
                  <w:lang w:val="en-GB"/>
                </w:rPr>
                <w:t xml:space="preserve"> (4157), 1124-1131.</w:t>
              </w:r>
            </w:p>
            <w:p w:rsidR="00C32B5A" w:rsidRPr="00082B85" w:rsidRDefault="00C32B5A" w:rsidP="00C32B5A">
              <w:pPr>
                <w:pStyle w:val="Bibliography"/>
                <w:rPr>
                  <w:noProof/>
                  <w:lang w:val="en-GB"/>
                </w:rPr>
              </w:pPr>
              <w:r w:rsidRPr="00082B85">
                <w:rPr>
                  <w:noProof/>
                  <w:lang w:val="en-GB"/>
                </w:rPr>
                <w:t xml:space="preserve">Tversky, A., &amp; Kahneman, D. (1992). Advances in prospect theory: cumulative representation of uncertainty. </w:t>
              </w:r>
              <w:r w:rsidRPr="00082B85">
                <w:rPr>
                  <w:i/>
                  <w:iCs/>
                  <w:noProof/>
                  <w:lang w:val="en-GB"/>
                </w:rPr>
                <w:t>Journal of Risk and Uncertainty</w:t>
              </w:r>
              <w:r w:rsidRPr="00082B85">
                <w:rPr>
                  <w:noProof/>
                  <w:lang w:val="en-GB"/>
                </w:rPr>
                <w:t xml:space="preserve"> , 297-323.</w:t>
              </w:r>
            </w:p>
            <w:p w:rsidR="00C32B5A" w:rsidRPr="00082B85" w:rsidRDefault="00C32B5A" w:rsidP="00C32B5A">
              <w:pPr>
                <w:pStyle w:val="Bibliography"/>
                <w:rPr>
                  <w:noProof/>
                  <w:lang w:val="en-GB"/>
                </w:rPr>
              </w:pPr>
              <w:r w:rsidRPr="00082B85">
                <w:rPr>
                  <w:noProof/>
                  <w:lang w:val="en-GB"/>
                </w:rPr>
                <w:t xml:space="preserve">Tversky, A., &amp; Kahneman, D. (1974). Judgment under uncertainty: heuristics and biases. </w:t>
              </w:r>
              <w:r w:rsidRPr="00082B85">
                <w:rPr>
                  <w:i/>
                  <w:iCs/>
                  <w:noProof/>
                  <w:lang w:val="en-GB"/>
                </w:rPr>
                <w:t>Science</w:t>
              </w:r>
              <w:r w:rsidRPr="00082B85">
                <w:rPr>
                  <w:noProof/>
                  <w:lang w:val="en-GB"/>
                </w:rPr>
                <w:t xml:space="preserve"> </w:t>
              </w:r>
              <w:r w:rsidRPr="00082B85">
                <w:rPr>
                  <w:i/>
                  <w:iCs/>
                  <w:noProof/>
                  <w:lang w:val="en-GB"/>
                </w:rPr>
                <w:t>, 185</w:t>
              </w:r>
              <w:r w:rsidRPr="00082B85">
                <w:rPr>
                  <w:noProof/>
                  <w:lang w:val="en-GB"/>
                </w:rPr>
                <w:t xml:space="preserve"> (4157), 1124-1131.</w:t>
              </w:r>
            </w:p>
            <w:p w:rsidR="00C32B5A" w:rsidRPr="00082B85" w:rsidRDefault="00C32B5A" w:rsidP="00C32B5A">
              <w:pPr>
                <w:pStyle w:val="Bibliography"/>
                <w:rPr>
                  <w:noProof/>
                  <w:lang w:val="en-GB"/>
                </w:rPr>
              </w:pPr>
              <w:r w:rsidRPr="00082B85">
                <w:rPr>
                  <w:noProof/>
                  <w:lang w:val="en-GB"/>
                </w:rPr>
                <w:t xml:space="preserve">Tversky, A., &amp; Kahneman, D. (1981). The framing of decisions and the psychology of choice. </w:t>
              </w:r>
              <w:r w:rsidRPr="00082B85">
                <w:rPr>
                  <w:i/>
                  <w:iCs/>
                  <w:noProof/>
                  <w:lang w:val="en-GB"/>
                </w:rPr>
                <w:t>Science</w:t>
              </w:r>
              <w:r w:rsidRPr="00082B85">
                <w:rPr>
                  <w:noProof/>
                  <w:lang w:val="en-GB"/>
                </w:rPr>
                <w:t xml:space="preserve"> </w:t>
              </w:r>
              <w:r w:rsidRPr="00082B85">
                <w:rPr>
                  <w:i/>
                  <w:iCs/>
                  <w:noProof/>
                  <w:lang w:val="en-GB"/>
                </w:rPr>
                <w:t>, 211</w:t>
              </w:r>
              <w:r w:rsidRPr="00082B85">
                <w:rPr>
                  <w:noProof/>
                  <w:lang w:val="en-GB"/>
                </w:rPr>
                <w:t xml:space="preserve"> (4481), 453-458.</w:t>
              </w:r>
            </w:p>
            <w:p w:rsidR="00C32B5A" w:rsidRPr="00082B85" w:rsidRDefault="00C32B5A" w:rsidP="00C32B5A">
              <w:pPr>
                <w:pStyle w:val="Bibliography"/>
                <w:rPr>
                  <w:noProof/>
                  <w:lang w:val="en-GB"/>
                </w:rPr>
              </w:pPr>
              <w:r w:rsidRPr="00082B85">
                <w:rPr>
                  <w:noProof/>
                  <w:lang w:val="en-GB"/>
                </w:rPr>
                <w:t xml:space="preserve">Weber, M., &amp; H.Zuchel. (2005). How Do Prior Outcomes Affect Risk Attitude: Comparing Escalation of Commitment and the House-Money Effect. </w:t>
              </w:r>
              <w:r w:rsidRPr="00082B85">
                <w:rPr>
                  <w:i/>
                  <w:iCs/>
                  <w:noProof/>
                  <w:lang w:val="en-GB"/>
                </w:rPr>
                <w:t>Decision Analysis</w:t>
              </w:r>
              <w:r w:rsidRPr="00082B85">
                <w:rPr>
                  <w:noProof/>
                  <w:lang w:val="en-GB"/>
                </w:rPr>
                <w:t xml:space="preserve"> (2), 30-43.</w:t>
              </w:r>
            </w:p>
            <w:p w:rsidR="00C32B5A" w:rsidRPr="00082B85" w:rsidRDefault="00C32B5A" w:rsidP="00C32B5A">
              <w:pPr>
                <w:pStyle w:val="Bibliography"/>
                <w:rPr>
                  <w:noProof/>
                  <w:lang w:val="en-GB"/>
                </w:rPr>
              </w:pPr>
              <w:r w:rsidRPr="00082B85">
                <w:rPr>
                  <w:noProof/>
                  <w:lang w:val="en-GB"/>
                </w:rPr>
                <w:lastRenderedPageBreak/>
                <w:t xml:space="preserve">Weber, M., &amp; Zuchel, H. (2005). How Do Prior Outcomes Affect Risk Attitude: Comparing Escalation of Commitment and the House-Money Effect. </w:t>
              </w:r>
              <w:r w:rsidRPr="00082B85">
                <w:rPr>
                  <w:i/>
                  <w:iCs/>
                  <w:noProof/>
                  <w:lang w:val="en-GB"/>
                </w:rPr>
                <w:t>Decisions Analysis, Vol. 2</w:t>
              </w:r>
              <w:r w:rsidRPr="00082B85">
                <w:rPr>
                  <w:noProof/>
                  <w:lang w:val="en-GB"/>
                </w:rPr>
                <w:t xml:space="preserve"> , 30-43.</w:t>
              </w:r>
            </w:p>
            <w:p w:rsidR="00C32B5A" w:rsidRPr="00082B85" w:rsidRDefault="00C32B5A" w:rsidP="00C32B5A">
              <w:pPr>
                <w:pStyle w:val="Bibliography"/>
                <w:rPr>
                  <w:noProof/>
                  <w:lang w:val="en-GB"/>
                </w:rPr>
              </w:pPr>
              <w:r w:rsidRPr="00082B85">
                <w:rPr>
                  <w:noProof/>
                  <w:lang w:val="en-GB"/>
                </w:rPr>
                <w:t xml:space="preserve">Weinstein, N. D. (1980). Unrealistic optimism about future life events. </w:t>
              </w:r>
              <w:r w:rsidRPr="00082B85">
                <w:rPr>
                  <w:i/>
                  <w:iCs/>
                  <w:noProof/>
                  <w:lang w:val="en-GB"/>
                </w:rPr>
                <w:t>Journal of Personality and Social Psychology</w:t>
              </w:r>
              <w:r w:rsidRPr="00082B85">
                <w:rPr>
                  <w:noProof/>
                  <w:lang w:val="en-GB"/>
                </w:rPr>
                <w:t xml:space="preserve"> </w:t>
              </w:r>
              <w:r w:rsidRPr="00082B85">
                <w:rPr>
                  <w:i/>
                  <w:iCs/>
                  <w:noProof/>
                  <w:lang w:val="en-GB"/>
                </w:rPr>
                <w:t>, 39</w:t>
              </w:r>
              <w:r w:rsidRPr="00082B85">
                <w:rPr>
                  <w:noProof/>
                  <w:lang w:val="en-GB"/>
                </w:rPr>
                <w:t xml:space="preserve"> (5), 806-820.</w:t>
              </w:r>
            </w:p>
            <w:p w:rsidR="00C32B5A" w:rsidRPr="00082B85" w:rsidRDefault="00C32B5A" w:rsidP="00C32B5A">
              <w:pPr>
                <w:pStyle w:val="Bibliography"/>
                <w:rPr>
                  <w:noProof/>
                  <w:lang w:val="en-GB"/>
                </w:rPr>
              </w:pPr>
              <w:r w:rsidRPr="00082B85">
                <w:rPr>
                  <w:noProof/>
                  <w:lang w:val="en-GB"/>
                </w:rPr>
                <w:t xml:space="preserve">Whyte, G. (1986). The escalation of commitment to a course of action: a reinterpretation. </w:t>
              </w:r>
              <w:r w:rsidRPr="00082B85">
                <w:rPr>
                  <w:i/>
                  <w:iCs/>
                  <w:noProof/>
                  <w:lang w:val="en-GB"/>
                </w:rPr>
                <w:t>Academy of Management Review</w:t>
              </w:r>
              <w:r w:rsidRPr="00082B85">
                <w:rPr>
                  <w:noProof/>
                  <w:lang w:val="en-GB"/>
                </w:rPr>
                <w:t xml:space="preserve"> </w:t>
              </w:r>
              <w:r w:rsidRPr="00082B85">
                <w:rPr>
                  <w:i/>
                  <w:iCs/>
                  <w:noProof/>
                  <w:lang w:val="en-GB"/>
                </w:rPr>
                <w:t>, 11</w:t>
              </w:r>
              <w:r w:rsidRPr="00082B85">
                <w:rPr>
                  <w:noProof/>
                  <w:lang w:val="en-GB"/>
                </w:rPr>
                <w:t xml:space="preserve"> (2), 311-321.</w:t>
              </w:r>
            </w:p>
            <w:p w:rsidR="00C32B5A" w:rsidRPr="00082B85" w:rsidRDefault="00C32B5A" w:rsidP="00C32B5A">
              <w:pPr>
                <w:pStyle w:val="Bibliography"/>
                <w:rPr>
                  <w:noProof/>
                  <w:lang w:val="en-GB"/>
                </w:rPr>
              </w:pPr>
              <w:r w:rsidRPr="00082B85">
                <w:rPr>
                  <w:noProof/>
                  <w:lang w:val="en-GB"/>
                </w:rPr>
                <w:t xml:space="preserve">Wilkinson, N., &amp; Klaes, M. (2012). </w:t>
              </w:r>
              <w:r w:rsidRPr="00082B85">
                <w:rPr>
                  <w:i/>
                  <w:iCs/>
                  <w:noProof/>
                  <w:lang w:val="en-GB"/>
                </w:rPr>
                <w:t>An introduction to behavioral economics.</w:t>
              </w:r>
              <w:r w:rsidRPr="00082B85">
                <w:rPr>
                  <w:noProof/>
                  <w:lang w:val="en-GB"/>
                </w:rPr>
                <w:t xml:space="preserve"> London, UK: Palgrave Macmillan.</w:t>
              </w:r>
            </w:p>
            <w:p w:rsidR="00C32B5A" w:rsidRPr="00082B85" w:rsidRDefault="00C32B5A" w:rsidP="00C32B5A">
              <w:pPr>
                <w:pStyle w:val="Bibliography"/>
                <w:rPr>
                  <w:noProof/>
                  <w:lang w:val="en-GB"/>
                </w:rPr>
              </w:pPr>
              <w:r w:rsidRPr="00082B85">
                <w:rPr>
                  <w:noProof/>
                  <w:lang w:val="en-GB"/>
                </w:rPr>
                <w:t xml:space="preserve">Wortman, C., Brehm, J., &amp; Berkowitz, L. (1975). Responses to uncontrollable outcomes: an integration of reactance theory and learned helplessness. </w:t>
              </w:r>
              <w:r w:rsidRPr="00082B85">
                <w:rPr>
                  <w:i/>
                  <w:iCs/>
                  <w:noProof/>
                  <w:lang w:val="en-GB"/>
                </w:rPr>
                <w:t>Advances in experimental social psychology</w:t>
              </w:r>
              <w:r w:rsidRPr="00082B85">
                <w:rPr>
                  <w:noProof/>
                  <w:lang w:val="en-GB"/>
                </w:rPr>
                <w:t xml:space="preserve"> </w:t>
              </w:r>
              <w:r w:rsidRPr="00082B85">
                <w:rPr>
                  <w:i/>
                  <w:iCs/>
                  <w:noProof/>
                  <w:lang w:val="en-GB"/>
                </w:rPr>
                <w:t>, 8</w:t>
              </w:r>
              <w:r w:rsidRPr="00082B85">
                <w:rPr>
                  <w:noProof/>
                  <w:lang w:val="en-GB"/>
                </w:rPr>
                <w:t>, 277-336.</w:t>
              </w:r>
            </w:p>
            <w:p w:rsidR="00C32B5A" w:rsidRPr="00082B85" w:rsidRDefault="00C32B5A" w:rsidP="00C32B5A">
              <w:pPr>
                <w:pStyle w:val="Bibliography"/>
                <w:rPr>
                  <w:noProof/>
                  <w:lang w:val="en-GB"/>
                </w:rPr>
              </w:pPr>
              <w:r w:rsidRPr="00082B85">
                <w:rPr>
                  <w:noProof/>
                  <w:lang w:val="en-GB"/>
                </w:rPr>
                <w:t xml:space="preserve">Zenger, T. (1992). Why do employers only reward extreme perfomance? Examining the relationships among performance, pay and turnover. </w:t>
              </w:r>
              <w:r w:rsidRPr="00082B85">
                <w:rPr>
                  <w:i/>
                  <w:iCs/>
                  <w:noProof/>
                  <w:lang w:val="en-GB"/>
                </w:rPr>
                <w:t>Administrative Science Quarterly</w:t>
              </w:r>
              <w:r w:rsidRPr="00082B85">
                <w:rPr>
                  <w:noProof/>
                  <w:lang w:val="en-GB"/>
                </w:rPr>
                <w:t xml:space="preserve"> </w:t>
              </w:r>
              <w:r w:rsidRPr="00082B85">
                <w:rPr>
                  <w:i/>
                  <w:iCs/>
                  <w:noProof/>
                  <w:lang w:val="en-GB"/>
                </w:rPr>
                <w:t>, 37</w:t>
              </w:r>
              <w:r w:rsidRPr="00082B85">
                <w:rPr>
                  <w:noProof/>
                  <w:lang w:val="en-GB"/>
                </w:rPr>
                <w:t>, 198-219.</w:t>
              </w:r>
            </w:p>
            <w:p w:rsidR="00C32B5A" w:rsidRDefault="00C32B5A" w:rsidP="00C32B5A">
              <w:pPr>
                <w:pStyle w:val="Bibliography"/>
                <w:rPr>
                  <w:noProof/>
                </w:rPr>
              </w:pPr>
              <w:r w:rsidRPr="00082B85">
                <w:rPr>
                  <w:noProof/>
                  <w:lang w:val="en-GB"/>
                </w:rPr>
                <w:t xml:space="preserve">Zuckerman, M. (1979). Attributions of succes and failure revisited. </w:t>
              </w:r>
              <w:r>
                <w:rPr>
                  <w:i/>
                  <w:iCs/>
                  <w:noProof/>
                </w:rPr>
                <w:t>Journal of Personality</w:t>
              </w:r>
              <w:r>
                <w:rPr>
                  <w:noProof/>
                </w:rPr>
                <w:t xml:space="preserve"> </w:t>
              </w:r>
              <w:r>
                <w:rPr>
                  <w:i/>
                  <w:iCs/>
                  <w:noProof/>
                </w:rPr>
                <w:t>, 47</w:t>
              </w:r>
              <w:r>
                <w:rPr>
                  <w:noProof/>
                </w:rPr>
                <w:t xml:space="preserve"> (2), 245-87.</w:t>
              </w:r>
            </w:p>
            <w:p w:rsidR="00EA1371" w:rsidRDefault="009966E0" w:rsidP="00C32B5A">
              <w:r>
                <w:fldChar w:fldCharType="end"/>
              </w:r>
            </w:p>
          </w:sdtContent>
        </w:sdt>
      </w:sdtContent>
    </w:sdt>
    <w:p w:rsidR="007F7DF4" w:rsidRPr="001154E8" w:rsidRDefault="007F7DF4" w:rsidP="007F7DF4">
      <w:pPr>
        <w:pStyle w:val="Heading1"/>
        <w:rPr>
          <w:lang w:val="en-GB"/>
        </w:rPr>
      </w:pPr>
    </w:p>
    <w:p w:rsidR="007F7DF4" w:rsidRDefault="007F7DF4" w:rsidP="001F5E5F">
      <w:pPr>
        <w:pStyle w:val="NoSpacing"/>
        <w:jc w:val="both"/>
        <w:rPr>
          <w:b/>
          <w:i/>
          <w:sz w:val="24"/>
          <w:u w:val="single"/>
        </w:rPr>
      </w:pPr>
    </w:p>
    <w:p w:rsidR="001F43E0" w:rsidRDefault="001F43E0" w:rsidP="001F5E5F">
      <w:pPr>
        <w:pStyle w:val="NoSpacing"/>
        <w:jc w:val="both"/>
        <w:rPr>
          <w:b/>
          <w:i/>
          <w:sz w:val="24"/>
          <w:u w:val="single"/>
        </w:rPr>
      </w:pPr>
    </w:p>
    <w:p w:rsidR="001F43E0" w:rsidRDefault="001F43E0" w:rsidP="00430359">
      <w:pPr>
        <w:pStyle w:val="NoSpacing"/>
        <w:jc w:val="both"/>
        <w:rPr>
          <w:b/>
          <w:i/>
          <w:sz w:val="24"/>
          <w:u w:val="single"/>
        </w:rPr>
      </w:pPr>
    </w:p>
    <w:sectPr w:rsidR="001F43E0" w:rsidSect="007A560C">
      <w:footerReference w:type="default" r:id="rId22"/>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04A8" w:rsidRDefault="005804A8" w:rsidP="007A560C">
      <w:pPr>
        <w:spacing w:after="0" w:line="240" w:lineRule="auto"/>
      </w:pPr>
      <w:r>
        <w:separator/>
      </w:r>
    </w:p>
  </w:endnote>
  <w:endnote w:type="continuationSeparator" w:id="0">
    <w:p w:rsidR="005804A8" w:rsidRDefault="005804A8" w:rsidP="007A56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59656"/>
      <w:docPartObj>
        <w:docPartGallery w:val="Page Numbers (Bottom of Page)"/>
        <w:docPartUnique/>
      </w:docPartObj>
    </w:sdtPr>
    <w:sdtContent>
      <w:p w:rsidR="004A48E4" w:rsidRDefault="009966E0">
        <w:pPr>
          <w:pStyle w:val="Footer"/>
        </w:pPr>
        <w:fldSimple w:instr=" PAGE   \* MERGEFORMAT ">
          <w:r w:rsidR="00503CCD">
            <w:rPr>
              <w:noProof/>
            </w:rPr>
            <w:t>55</w:t>
          </w:r>
        </w:fldSimple>
      </w:p>
    </w:sdtContent>
  </w:sdt>
  <w:p w:rsidR="004A48E4" w:rsidRDefault="004A48E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04A8" w:rsidRDefault="005804A8" w:rsidP="007A560C">
      <w:pPr>
        <w:spacing w:after="0" w:line="240" w:lineRule="auto"/>
      </w:pPr>
      <w:r>
        <w:separator/>
      </w:r>
    </w:p>
  </w:footnote>
  <w:footnote w:type="continuationSeparator" w:id="0">
    <w:p w:rsidR="005804A8" w:rsidRDefault="005804A8" w:rsidP="007A560C">
      <w:pPr>
        <w:spacing w:after="0" w:line="240" w:lineRule="auto"/>
      </w:pPr>
      <w:r>
        <w:continuationSeparator/>
      </w:r>
    </w:p>
  </w:footnote>
  <w:footnote w:id="1">
    <w:p w:rsidR="004A48E4" w:rsidRPr="00857633" w:rsidRDefault="004A48E4">
      <w:pPr>
        <w:pStyle w:val="FootnoteText"/>
        <w:rPr>
          <w:lang w:val="en-GB"/>
        </w:rPr>
      </w:pPr>
      <w:r>
        <w:rPr>
          <w:rStyle w:val="FootnoteReference"/>
        </w:rPr>
        <w:footnoteRef/>
      </w:r>
      <w:r w:rsidRPr="00334F56">
        <w:rPr>
          <w:lang w:val="en-GB"/>
        </w:rPr>
        <w:t xml:space="preserve"> </w:t>
      </w:r>
      <w:r>
        <w:rPr>
          <w:sz w:val="18"/>
          <w:szCs w:val="18"/>
          <w:lang w:val="en-GB"/>
        </w:rPr>
        <w:t>HV = - (C</w:t>
      </w:r>
      <w:r>
        <w:rPr>
          <w:sz w:val="18"/>
          <w:szCs w:val="18"/>
          <w:vertAlign w:val="subscript"/>
          <w:lang w:val="en-GB"/>
        </w:rPr>
        <w:t>0</w:t>
      </w:r>
      <w:r>
        <w:rPr>
          <w:sz w:val="18"/>
          <w:szCs w:val="18"/>
          <w:lang w:val="en-GB"/>
        </w:rPr>
        <w:t xml:space="preserve"> + Licence fee + C</w:t>
      </w:r>
      <w:r>
        <w:rPr>
          <w:sz w:val="18"/>
          <w:szCs w:val="18"/>
          <w:vertAlign w:val="subscript"/>
          <w:lang w:val="en-GB"/>
        </w:rPr>
        <w:t>1-7</w:t>
      </w:r>
      <w:r>
        <w:rPr>
          <w:sz w:val="18"/>
          <w:szCs w:val="18"/>
          <w:lang w:val="en-GB"/>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8191B"/>
    <w:multiLevelType w:val="hybridMultilevel"/>
    <w:tmpl w:val="5AE45E5E"/>
    <w:lvl w:ilvl="0" w:tplc="35A43F78">
      <w:start w:val="1"/>
      <w:numFmt w:val="decimal"/>
      <w:lvlText w:val="%1."/>
      <w:lvlJc w:val="left"/>
      <w:pPr>
        <w:ind w:left="720" w:hanging="360"/>
      </w:pPr>
      <w:rPr>
        <w:rFonts w:hint="default"/>
        <w:u w:val="singl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46E5AE0"/>
    <w:multiLevelType w:val="hybridMultilevel"/>
    <w:tmpl w:val="DEBC798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FED0D6C"/>
    <w:multiLevelType w:val="hybridMultilevel"/>
    <w:tmpl w:val="3726FF9E"/>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5318038A"/>
    <w:multiLevelType w:val="hybridMultilevel"/>
    <w:tmpl w:val="CE70246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426D5A"/>
    <w:rsid w:val="000001F6"/>
    <w:rsid w:val="00000746"/>
    <w:rsid w:val="000007FD"/>
    <w:rsid w:val="0000087F"/>
    <w:rsid w:val="00001747"/>
    <w:rsid w:val="00001991"/>
    <w:rsid w:val="00002219"/>
    <w:rsid w:val="00002D5E"/>
    <w:rsid w:val="000034E1"/>
    <w:rsid w:val="000035BF"/>
    <w:rsid w:val="00003FCB"/>
    <w:rsid w:val="0000471E"/>
    <w:rsid w:val="0000551E"/>
    <w:rsid w:val="000055E6"/>
    <w:rsid w:val="00005D7B"/>
    <w:rsid w:val="00006DA6"/>
    <w:rsid w:val="00007589"/>
    <w:rsid w:val="000077FA"/>
    <w:rsid w:val="00007908"/>
    <w:rsid w:val="0001090C"/>
    <w:rsid w:val="00010BDD"/>
    <w:rsid w:val="00010FD3"/>
    <w:rsid w:val="00011108"/>
    <w:rsid w:val="00011444"/>
    <w:rsid w:val="00011603"/>
    <w:rsid w:val="00012328"/>
    <w:rsid w:val="000123D9"/>
    <w:rsid w:val="00012653"/>
    <w:rsid w:val="00012E4C"/>
    <w:rsid w:val="00012F41"/>
    <w:rsid w:val="000137E3"/>
    <w:rsid w:val="00013E13"/>
    <w:rsid w:val="0001407B"/>
    <w:rsid w:val="00014EE8"/>
    <w:rsid w:val="00016DFD"/>
    <w:rsid w:val="00017473"/>
    <w:rsid w:val="000175C4"/>
    <w:rsid w:val="00020F41"/>
    <w:rsid w:val="000223E5"/>
    <w:rsid w:val="00023D48"/>
    <w:rsid w:val="00024603"/>
    <w:rsid w:val="00024A8E"/>
    <w:rsid w:val="00024D48"/>
    <w:rsid w:val="00025423"/>
    <w:rsid w:val="00025562"/>
    <w:rsid w:val="000267ED"/>
    <w:rsid w:val="00034784"/>
    <w:rsid w:val="00035B57"/>
    <w:rsid w:val="00035D1A"/>
    <w:rsid w:val="00036A6C"/>
    <w:rsid w:val="00037502"/>
    <w:rsid w:val="0004083E"/>
    <w:rsid w:val="00041487"/>
    <w:rsid w:val="000419C6"/>
    <w:rsid w:val="00041A05"/>
    <w:rsid w:val="000420A9"/>
    <w:rsid w:val="00042DBD"/>
    <w:rsid w:val="00043A65"/>
    <w:rsid w:val="00043AA2"/>
    <w:rsid w:val="0004434E"/>
    <w:rsid w:val="00044BCF"/>
    <w:rsid w:val="0004514E"/>
    <w:rsid w:val="0004517E"/>
    <w:rsid w:val="0004661F"/>
    <w:rsid w:val="000467DF"/>
    <w:rsid w:val="00047277"/>
    <w:rsid w:val="00050378"/>
    <w:rsid w:val="0005056A"/>
    <w:rsid w:val="00050711"/>
    <w:rsid w:val="000509E8"/>
    <w:rsid w:val="00051CC0"/>
    <w:rsid w:val="00051D7A"/>
    <w:rsid w:val="00052412"/>
    <w:rsid w:val="00052EF6"/>
    <w:rsid w:val="0005394D"/>
    <w:rsid w:val="00055302"/>
    <w:rsid w:val="000553B1"/>
    <w:rsid w:val="00055565"/>
    <w:rsid w:val="000566BA"/>
    <w:rsid w:val="00057CFE"/>
    <w:rsid w:val="0006009B"/>
    <w:rsid w:val="0006050D"/>
    <w:rsid w:val="00060FB3"/>
    <w:rsid w:val="00061029"/>
    <w:rsid w:val="000614F6"/>
    <w:rsid w:val="000617AC"/>
    <w:rsid w:val="00061DD0"/>
    <w:rsid w:val="00062E05"/>
    <w:rsid w:val="00062FBE"/>
    <w:rsid w:val="00063142"/>
    <w:rsid w:val="00063C41"/>
    <w:rsid w:val="00063C85"/>
    <w:rsid w:val="000643EB"/>
    <w:rsid w:val="00064585"/>
    <w:rsid w:val="00064D4A"/>
    <w:rsid w:val="00065881"/>
    <w:rsid w:val="00065A90"/>
    <w:rsid w:val="00065E68"/>
    <w:rsid w:val="00066371"/>
    <w:rsid w:val="000664E3"/>
    <w:rsid w:val="00066528"/>
    <w:rsid w:val="00066531"/>
    <w:rsid w:val="00066D2D"/>
    <w:rsid w:val="00066EBC"/>
    <w:rsid w:val="00071AB1"/>
    <w:rsid w:val="000727B4"/>
    <w:rsid w:val="000732D1"/>
    <w:rsid w:val="00073B6C"/>
    <w:rsid w:val="0007416F"/>
    <w:rsid w:val="00075AE4"/>
    <w:rsid w:val="00076421"/>
    <w:rsid w:val="00076CBB"/>
    <w:rsid w:val="00077309"/>
    <w:rsid w:val="00077628"/>
    <w:rsid w:val="000801E8"/>
    <w:rsid w:val="0008044D"/>
    <w:rsid w:val="000805D3"/>
    <w:rsid w:val="00080B9E"/>
    <w:rsid w:val="0008137A"/>
    <w:rsid w:val="00081606"/>
    <w:rsid w:val="00081928"/>
    <w:rsid w:val="00081B86"/>
    <w:rsid w:val="000823A1"/>
    <w:rsid w:val="00082B10"/>
    <w:rsid w:val="00082B85"/>
    <w:rsid w:val="00083148"/>
    <w:rsid w:val="00083B55"/>
    <w:rsid w:val="0008434C"/>
    <w:rsid w:val="000844F5"/>
    <w:rsid w:val="0008460E"/>
    <w:rsid w:val="0008538C"/>
    <w:rsid w:val="00085719"/>
    <w:rsid w:val="0008683E"/>
    <w:rsid w:val="00086BC8"/>
    <w:rsid w:val="00087877"/>
    <w:rsid w:val="00087B36"/>
    <w:rsid w:val="00087D92"/>
    <w:rsid w:val="00090BFE"/>
    <w:rsid w:val="00090C8D"/>
    <w:rsid w:val="000914C3"/>
    <w:rsid w:val="0009180E"/>
    <w:rsid w:val="00092168"/>
    <w:rsid w:val="00092335"/>
    <w:rsid w:val="00092690"/>
    <w:rsid w:val="00092A07"/>
    <w:rsid w:val="00092AB4"/>
    <w:rsid w:val="00092BFD"/>
    <w:rsid w:val="00093C3B"/>
    <w:rsid w:val="00093F81"/>
    <w:rsid w:val="000955EB"/>
    <w:rsid w:val="000958F5"/>
    <w:rsid w:val="00095901"/>
    <w:rsid w:val="00095E42"/>
    <w:rsid w:val="000A1DCE"/>
    <w:rsid w:val="000A35B3"/>
    <w:rsid w:val="000A3697"/>
    <w:rsid w:val="000A3BD5"/>
    <w:rsid w:val="000A3DD0"/>
    <w:rsid w:val="000A3F8A"/>
    <w:rsid w:val="000A4801"/>
    <w:rsid w:val="000A59FB"/>
    <w:rsid w:val="000A613A"/>
    <w:rsid w:val="000A6F0D"/>
    <w:rsid w:val="000A7E2B"/>
    <w:rsid w:val="000B0A6A"/>
    <w:rsid w:val="000B1262"/>
    <w:rsid w:val="000B2638"/>
    <w:rsid w:val="000B275F"/>
    <w:rsid w:val="000B2E7C"/>
    <w:rsid w:val="000B35DE"/>
    <w:rsid w:val="000B3C2B"/>
    <w:rsid w:val="000B3EA6"/>
    <w:rsid w:val="000B443F"/>
    <w:rsid w:val="000B5214"/>
    <w:rsid w:val="000B5FAC"/>
    <w:rsid w:val="000B5FFD"/>
    <w:rsid w:val="000B715B"/>
    <w:rsid w:val="000B79CD"/>
    <w:rsid w:val="000C12CE"/>
    <w:rsid w:val="000C17C1"/>
    <w:rsid w:val="000C197F"/>
    <w:rsid w:val="000C1E6E"/>
    <w:rsid w:val="000C2508"/>
    <w:rsid w:val="000C2C19"/>
    <w:rsid w:val="000C37A2"/>
    <w:rsid w:val="000C494B"/>
    <w:rsid w:val="000C4C93"/>
    <w:rsid w:val="000C4F73"/>
    <w:rsid w:val="000C5835"/>
    <w:rsid w:val="000C60D2"/>
    <w:rsid w:val="000C7161"/>
    <w:rsid w:val="000D0998"/>
    <w:rsid w:val="000D0E29"/>
    <w:rsid w:val="000D17A1"/>
    <w:rsid w:val="000D17CF"/>
    <w:rsid w:val="000D1BDD"/>
    <w:rsid w:val="000D2A7D"/>
    <w:rsid w:val="000D2FC7"/>
    <w:rsid w:val="000D3474"/>
    <w:rsid w:val="000D483C"/>
    <w:rsid w:val="000D5970"/>
    <w:rsid w:val="000D6162"/>
    <w:rsid w:val="000D692A"/>
    <w:rsid w:val="000D6BDF"/>
    <w:rsid w:val="000D71D2"/>
    <w:rsid w:val="000D7902"/>
    <w:rsid w:val="000D7BCC"/>
    <w:rsid w:val="000E00F1"/>
    <w:rsid w:val="000E0411"/>
    <w:rsid w:val="000E0591"/>
    <w:rsid w:val="000E0813"/>
    <w:rsid w:val="000E162B"/>
    <w:rsid w:val="000E1CA8"/>
    <w:rsid w:val="000E2331"/>
    <w:rsid w:val="000E2E33"/>
    <w:rsid w:val="000E338A"/>
    <w:rsid w:val="000E3D52"/>
    <w:rsid w:val="000E44B2"/>
    <w:rsid w:val="000E531E"/>
    <w:rsid w:val="000E5FF7"/>
    <w:rsid w:val="000E762B"/>
    <w:rsid w:val="000E7ADA"/>
    <w:rsid w:val="000E7B35"/>
    <w:rsid w:val="000F146E"/>
    <w:rsid w:val="000F1636"/>
    <w:rsid w:val="000F1895"/>
    <w:rsid w:val="000F1911"/>
    <w:rsid w:val="000F2B9F"/>
    <w:rsid w:val="000F35AD"/>
    <w:rsid w:val="000F3AB8"/>
    <w:rsid w:val="000F4C25"/>
    <w:rsid w:val="000F51B8"/>
    <w:rsid w:val="000F61B3"/>
    <w:rsid w:val="000F6E73"/>
    <w:rsid w:val="000F7A2D"/>
    <w:rsid w:val="000F7F6E"/>
    <w:rsid w:val="0010026B"/>
    <w:rsid w:val="00100B15"/>
    <w:rsid w:val="00100E9F"/>
    <w:rsid w:val="0010135A"/>
    <w:rsid w:val="001015F5"/>
    <w:rsid w:val="00101711"/>
    <w:rsid w:val="0010190E"/>
    <w:rsid w:val="00101E10"/>
    <w:rsid w:val="00104400"/>
    <w:rsid w:val="0010444E"/>
    <w:rsid w:val="0010462F"/>
    <w:rsid w:val="00104745"/>
    <w:rsid w:val="00104A2C"/>
    <w:rsid w:val="00104E3A"/>
    <w:rsid w:val="0010549B"/>
    <w:rsid w:val="0010555D"/>
    <w:rsid w:val="00105605"/>
    <w:rsid w:val="001057C7"/>
    <w:rsid w:val="001058FE"/>
    <w:rsid w:val="001064A6"/>
    <w:rsid w:val="00106EE5"/>
    <w:rsid w:val="00107B66"/>
    <w:rsid w:val="00107C9E"/>
    <w:rsid w:val="00107CDA"/>
    <w:rsid w:val="00107FD1"/>
    <w:rsid w:val="001105EC"/>
    <w:rsid w:val="001114B5"/>
    <w:rsid w:val="00112485"/>
    <w:rsid w:val="00112ED3"/>
    <w:rsid w:val="00113185"/>
    <w:rsid w:val="00114053"/>
    <w:rsid w:val="00114270"/>
    <w:rsid w:val="001154E8"/>
    <w:rsid w:val="00115D3A"/>
    <w:rsid w:val="00116C62"/>
    <w:rsid w:val="001170CF"/>
    <w:rsid w:val="0011717D"/>
    <w:rsid w:val="00117C33"/>
    <w:rsid w:val="00120A8F"/>
    <w:rsid w:val="0012107F"/>
    <w:rsid w:val="001216C2"/>
    <w:rsid w:val="00122B34"/>
    <w:rsid w:val="00123188"/>
    <w:rsid w:val="001231D9"/>
    <w:rsid w:val="00123478"/>
    <w:rsid w:val="001247F4"/>
    <w:rsid w:val="00125626"/>
    <w:rsid w:val="0012762B"/>
    <w:rsid w:val="00130283"/>
    <w:rsid w:val="00131663"/>
    <w:rsid w:val="00135668"/>
    <w:rsid w:val="0013651A"/>
    <w:rsid w:val="00136931"/>
    <w:rsid w:val="00136CA9"/>
    <w:rsid w:val="00137543"/>
    <w:rsid w:val="0013785B"/>
    <w:rsid w:val="001378A6"/>
    <w:rsid w:val="001402F1"/>
    <w:rsid w:val="00141191"/>
    <w:rsid w:val="0014138C"/>
    <w:rsid w:val="001420B0"/>
    <w:rsid w:val="001426CD"/>
    <w:rsid w:val="001426F9"/>
    <w:rsid w:val="001428A3"/>
    <w:rsid w:val="00143149"/>
    <w:rsid w:val="0014421A"/>
    <w:rsid w:val="0014427B"/>
    <w:rsid w:val="001446AE"/>
    <w:rsid w:val="00144DC8"/>
    <w:rsid w:val="0014692F"/>
    <w:rsid w:val="001471A8"/>
    <w:rsid w:val="00147D94"/>
    <w:rsid w:val="00147F57"/>
    <w:rsid w:val="0015031B"/>
    <w:rsid w:val="001505BA"/>
    <w:rsid w:val="001510A4"/>
    <w:rsid w:val="001515EA"/>
    <w:rsid w:val="00151601"/>
    <w:rsid w:val="001516B0"/>
    <w:rsid w:val="00151ED3"/>
    <w:rsid w:val="00152352"/>
    <w:rsid w:val="00152380"/>
    <w:rsid w:val="00152A5C"/>
    <w:rsid w:val="0015324F"/>
    <w:rsid w:val="001539B4"/>
    <w:rsid w:val="00153A2A"/>
    <w:rsid w:val="001540B3"/>
    <w:rsid w:val="001545FB"/>
    <w:rsid w:val="0015468A"/>
    <w:rsid w:val="00155C8E"/>
    <w:rsid w:val="00155EE4"/>
    <w:rsid w:val="001602E3"/>
    <w:rsid w:val="00160E8E"/>
    <w:rsid w:val="0016140D"/>
    <w:rsid w:val="00161CB9"/>
    <w:rsid w:val="00161F31"/>
    <w:rsid w:val="00162802"/>
    <w:rsid w:val="001629D9"/>
    <w:rsid w:val="001629E1"/>
    <w:rsid w:val="00163783"/>
    <w:rsid w:val="001638D9"/>
    <w:rsid w:val="00163F34"/>
    <w:rsid w:val="00164AA9"/>
    <w:rsid w:val="00164B88"/>
    <w:rsid w:val="001654D4"/>
    <w:rsid w:val="00165591"/>
    <w:rsid w:val="001659B9"/>
    <w:rsid w:val="00167D68"/>
    <w:rsid w:val="00167E96"/>
    <w:rsid w:val="00170DEC"/>
    <w:rsid w:val="0017161C"/>
    <w:rsid w:val="001717D8"/>
    <w:rsid w:val="00171E3A"/>
    <w:rsid w:val="00172F19"/>
    <w:rsid w:val="00173DE8"/>
    <w:rsid w:val="0017570F"/>
    <w:rsid w:val="00177B15"/>
    <w:rsid w:val="00180CA3"/>
    <w:rsid w:val="00181237"/>
    <w:rsid w:val="001812F5"/>
    <w:rsid w:val="001817E1"/>
    <w:rsid w:val="001817F0"/>
    <w:rsid w:val="00181F2A"/>
    <w:rsid w:val="001829A8"/>
    <w:rsid w:val="00182A6D"/>
    <w:rsid w:val="00182D4A"/>
    <w:rsid w:val="00184573"/>
    <w:rsid w:val="001851DF"/>
    <w:rsid w:val="00185453"/>
    <w:rsid w:val="001856D1"/>
    <w:rsid w:val="0018576F"/>
    <w:rsid w:val="00187515"/>
    <w:rsid w:val="0018787D"/>
    <w:rsid w:val="00187F9A"/>
    <w:rsid w:val="0019006B"/>
    <w:rsid w:val="001908AE"/>
    <w:rsid w:val="00190A29"/>
    <w:rsid w:val="00191F10"/>
    <w:rsid w:val="00192E0E"/>
    <w:rsid w:val="001932C3"/>
    <w:rsid w:val="00193939"/>
    <w:rsid w:val="00194510"/>
    <w:rsid w:val="0019451E"/>
    <w:rsid w:val="0019458A"/>
    <w:rsid w:val="001950DA"/>
    <w:rsid w:val="00195EB2"/>
    <w:rsid w:val="0019601F"/>
    <w:rsid w:val="0019644B"/>
    <w:rsid w:val="00197D53"/>
    <w:rsid w:val="001A0214"/>
    <w:rsid w:val="001A1549"/>
    <w:rsid w:val="001A218B"/>
    <w:rsid w:val="001A2A15"/>
    <w:rsid w:val="001A2F37"/>
    <w:rsid w:val="001A329F"/>
    <w:rsid w:val="001A37BC"/>
    <w:rsid w:val="001A44FC"/>
    <w:rsid w:val="001A4A93"/>
    <w:rsid w:val="001A4CEC"/>
    <w:rsid w:val="001A51D6"/>
    <w:rsid w:val="001A5557"/>
    <w:rsid w:val="001A5893"/>
    <w:rsid w:val="001A5967"/>
    <w:rsid w:val="001A6700"/>
    <w:rsid w:val="001A6CA6"/>
    <w:rsid w:val="001A78C6"/>
    <w:rsid w:val="001B04C0"/>
    <w:rsid w:val="001B0544"/>
    <w:rsid w:val="001B0ECB"/>
    <w:rsid w:val="001B1824"/>
    <w:rsid w:val="001B191B"/>
    <w:rsid w:val="001B1F39"/>
    <w:rsid w:val="001B2701"/>
    <w:rsid w:val="001B2813"/>
    <w:rsid w:val="001B2EB3"/>
    <w:rsid w:val="001B3BC6"/>
    <w:rsid w:val="001B3CB0"/>
    <w:rsid w:val="001B3F9B"/>
    <w:rsid w:val="001B5B98"/>
    <w:rsid w:val="001B650F"/>
    <w:rsid w:val="001B7292"/>
    <w:rsid w:val="001B79D6"/>
    <w:rsid w:val="001C0A99"/>
    <w:rsid w:val="001C1263"/>
    <w:rsid w:val="001C13A6"/>
    <w:rsid w:val="001C1D8E"/>
    <w:rsid w:val="001C1E9F"/>
    <w:rsid w:val="001C25BB"/>
    <w:rsid w:val="001C2613"/>
    <w:rsid w:val="001C284F"/>
    <w:rsid w:val="001C39AE"/>
    <w:rsid w:val="001C4CBA"/>
    <w:rsid w:val="001C4E97"/>
    <w:rsid w:val="001C4F48"/>
    <w:rsid w:val="001C6053"/>
    <w:rsid w:val="001C66AA"/>
    <w:rsid w:val="001C672D"/>
    <w:rsid w:val="001D03FF"/>
    <w:rsid w:val="001D1138"/>
    <w:rsid w:val="001D16AF"/>
    <w:rsid w:val="001D16B7"/>
    <w:rsid w:val="001D2387"/>
    <w:rsid w:val="001D256A"/>
    <w:rsid w:val="001D273A"/>
    <w:rsid w:val="001D2D66"/>
    <w:rsid w:val="001D349C"/>
    <w:rsid w:val="001D3B53"/>
    <w:rsid w:val="001D479A"/>
    <w:rsid w:val="001D48DD"/>
    <w:rsid w:val="001D56C9"/>
    <w:rsid w:val="001D64CF"/>
    <w:rsid w:val="001E1287"/>
    <w:rsid w:val="001E15E0"/>
    <w:rsid w:val="001E1684"/>
    <w:rsid w:val="001E1BC8"/>
    <w:rsid w:val="001E1F9F"/>
    <w:rsid w:val="001E240F"/>
    <w:rsid w:val="001E2A55"/>
    <w:rsid w:val="001E3078"/>
    <w:rsid w:val="001E30F6"/>
    <w:rsid w:val="001E3D3C"/>
    <w:rsid w:val="001E442A"/>
    <w:rsid w:val="001E4E92"/>
    <w:rsid w:val="001E51FC"/>
    <w:rsid w:val="001E647F"/>
    <w:rsid w:val="001E6608"/>
    <w:rsid w:val="001E679B"/>
    <w:rsid w:val="001E6B7D"/>
    <w:rsid w:val="001E7AA9"/>
    <w:rsid w:val="001E7E60"/>
    <w:rsid w:val="001F01F3"/>
    <w:rsid w:val="001F0422"/>
    <w:rsid w:val="001F1130"/>
    <w:rsid w:val="001F127C"/>
    <w:rsid w:val="001F1CB4"/>
    <w:rsid w:val="001F37D1"/>
    <w:rsid w:val="001F3E43"/>
    <w:rsid w:val="001F43E0"/>
    <w:rsid w:val="001F5DFC"/>
    <w:rsid w:val="001F5E5F"/>
    <w:rsid w:val="001F66DA"/>
    <w:rsid w:val="001F748D"/>
    <w:rsid w:val="00201152"/>
    <w:rsid w:val="002018CB"/>
    <w:rsid w:val="00201BF2"/>
    <w:rsid w:val="00201F1B"/>
    <w:rsid w:val="002023AD"/>
    <w:rsid w:val="00202AFD"/>
    <w:rsid w:val="00203022"/>
    <w:rsid w:val="002032CF"/>
    <w:rsid w:val="00203A0E"/>
    <w:rsid w:val="00204204"/>
    <w:rsid w:val="00204B59"/>
    <w:rsid w:val="00204FDA"/>
    <w:rsid w:val="0020563E"/>
    <w:rsid w:val="00206611"/>
    <w:rsid w:val="0020675C"/>
    <w:rsid w:val="00206C4F"/>
    <w:rsid w:val="00207BE7"/>
    <w:rsid w:val="00207E6A"/>
    <w:rsid w:val="00210161"/>
    <w:rsid w:val="00210B50"/>
    <w:rsid w:val="00210B6A"/>
    <w:rsid w:val="00210D4B"/>
    <w:rsid w:val="002112D4"/>
    <w:rsid w:val="002115F8"/>
    <w:rsid w:val="00211E67"/>
    <w:rsid w:val="0021257C"/>
    <w:rsid w:val="00212FBF"/>
    <w:rsid w:val="002130FE"/>
    <w:rsid w:val="002157CC"/>
    <w:rsid w:val="00215FED"/>
    <w:rsid w:val="002165D8"/>
    <w:rsid w:val="00216A0B"/>
    <w:rsid w:val="00216C3C"/>
    <w:rsid w:val="00216E97"/>
    <w:rsid w:val="00217445"/>
    <w:rsid w:val="002212BC"/>
    <w:rsid w:val="002225F1"/>
    <w:rsid w:val="00222823"/>
    <w:rsid w:val="002229C0"/>
    <w:rsid w:val="00223DEF"/>
    <w:rsid w:val="0022406F"/>
    <w:rsid w:val="00224377"/>
    <w:rsid w:val="00224DE6"/>
    <w:rsid w:val="00226F1F"/>
    <w:rsid w:val="00226F5F"/>
    <w:rsid w:val="00227FD4"/>
    <w:rsid w:val="0023020F"/>
    <w:rsid w:val="002307A3"/>
    <w:rsid w:val="0023173A"/>
    <w:rsid w:val="00231FDB"/>
    <w:rsid w:val="00231FE9"/>
    <w:rsid w:val="00232203"/>
    <w:rsid w:val="0023262D"/>
    <w:rsid w:val="00232B29"/>
    <w:rsid w:val="00234752"/>
    <w:rsid w:val="00234E42"/>
    <w:rsid w:val="002358C9"/>
    <w:rsid w:val="00235905"/>
    <w:rsid w:val="00235C60"/>
    <w:rsid w:val="00235FEC"/>
    <w:rsid w:val="00235FED"/>
    <w:rsid w:val="00237ADD"/>
    <w:rsid w:val="00237C00"/>
    <w:rsid w:val="00241EAF"/>
    <w:rsid w:val="00243004"/>
    <w:rsid w:val="002475A4"/>
    <w:rsid w:val="00250AEE"/>
    <w:rsid w:val="00250D33"/>
    <w:rsid w:val="00250F97"/>
    <w:rsid w:val="00252058"/>
    <w:rsid w:val="0025206D"/>
    <w:rsid w:val="00252A32"/>
    <w:rsid w:val="00253148"/>
    <w:rsid w:val="002532BA"/>
    <w:rsid w:val="00253544"/>
    <w:rsid w:val="00253BE9"/>
    <w:rsid w:val="00253E38"/>
    <w:rsid w:val="00254D91"/>
    <w:rsid w:val="00255595"/>
    <w:rsid w:val="0025669D"/>
    <w:rsid w:val="00256BFA"/>
    <w:rsid w:val="00256E71"/>
    <w:rsid w:val="00256F1D"/>
    <w:rsid w:val="002574B8"/>
    <w:rsid w:val="002610A3"/>
    <w:rsid w:val="00261227"/>
    <w:rsid w:val="0026160C"/>
    <w:rsid w:val="002617C0"/>
    <w:rsid w:val="00261A45"/>
    <w:rsid w:val="00262D84"/>
    <w:rsid w:val="00262E9F"/>
    <w:rsid w:val="002636BB"/>
    <w:rsid w:val="002644BC"/>
    <w:rsid w:val="00264500"/>
    <w:rsid w:val="002645DE"/>
    <w:rsid w:val="00266EF6"/>
    <w:rsid w:val="00267100"/>
    <w:rsid w:val="00267361"/>
    <w:rsid w:val="00267E59"/>
    <w:rsid w:val="00271429"/>
    <w:rsid w:val="002719D3"/>
    <w:rsid w:val="00271E5D"/>
    <w:rsid w:val="0027330A"/>
    <w:rsid w:val="00273416"/>
    <w:rsid w:val="00273921"/>
    <w:rsid w:val="00273E30"/>
    <w:rsid w:val="002744AF"/>
    <w:rsid w:val="00275048"/>
    <w:rsid w:val="002753D9"/>
    <w:rsid w:val="0027544A"/>
    <w:rsid w:val="00275933"/>
    <w:rsid w:val="00275B9A"/>
    <w:rsid w:val="00277F98"/>
    <w:rsid w:val="00281257"/>
    <w:rsid w:val="00281369"/>
    <w:rsid w:val="002817D5"/>
    <w:rsid w:val="00281A67"/>
    <w:rsid w:val="0028273B"/>
    <w:rsid w:val="00282CB6"/>
    <w:rsid w:val="00282FD0"/>
    <w:rsid w:val="0028330C"/>
    <w:rsid w:val="002833E8"/>
    <w:rsid w:val="0028381A"/>
    <w:rsid w:val="0028410C"/>
    <w:rsid w:val="002845ED"/>
    <w:rsid w:val="00284DCB"/>
    <w:rsid w:val="00285513"/>
    <w:rsid w:val="00285F78"/>
    <w:rsid w:val="00286084"/>
    <w:rsid w:val="00286D31"/>
    <w:rsid w:val="0028727A"/>
    <w:rsid w:val="00290A25"/>
    <w:rsid w:val="00291603"/>
    <w:rsid w:val="00291C11"/>
    <w:rsid w:val="00291E23"/>
    <w:rsid w:val="002922A6"/>
    <w:rsid w:val="002927D1"/>
    <w:rsid w:val="00292999"/>
    <w:rsid w:val="00293C98"/>
    <w:rsid w:val="002942DF"/>
    <w:rsid w:val="00295D53"/>
    <w:rsid w:val="002969EE"/>
    <w:rsid w:val="002976D4"/>
    <w:rsid w:val="002A14F9"/>
    <w:rsid w:val="002A1C3A"/>
    <w:rsid w:val="002A22EB"/>
    <w:rsid w:val="002A34A6"/>
    <w:rsid w:val="002A3AF6"/>
    <w:rsid w:val="002A47DF"/>
    <w:rsid w:val="002A53B4"/>
    <w:rsid w:val="002A5F36"/>
    <w:rsid w:val="002A7E08"/>
    <w:rsid w:val="002B1326"/>
    <w:rsid w:val="002B17C9"/>
    <w:rsid w:val="002B2A75"/>
    <w:rsid w:val="002B2B25"/>
    <w:rsid w:val="002B2B59"/>
    <w:rsid w:val="002B2F2B"/>
    <w:rsid w:val="002B3B24"/>
    <w:rsid w:val="002B40C9"/>
    <w:rsid w:val="002B43C0"/>
    <w:rsid w:val="002B44F0"/>
    <w:rsid w:val="002B4824"/>
    <w:rsid w:val="002B5664"/>
    <w:rsid w:val="002B5670"/>
    <w:rsid w:val="002B5D49"/>
    <w:rsid w:val="002B63B6"/>
    <w:rsid w:val="002B7C23"/>
    <w:rsid w:val="002C0329"/>
    <w:rsid w:val="002C0383"/>
    <w:rsid w:val="002C0391"/>
    <w:rsid w:val="002C0502"/>
    <w:rsid w:val="002C0899"/>
    <w:rsid w:val="002C0E8B"/>
    <w:rsid w:val="002C1694"/>
    <w:rsid w:val="002C19DC"/>
    <w:rsid w:val="002C1CBC"/>
    <w:rsid w:val="002C2221"/>
    <w:rsid w:val="002C2399"/>
    <w:rsid w:val="002C2E3C"/>
    <w:rsid w:val="002C2E71"/>
    <w:rsid w:val="002C2F1A"/>
    <w:rsid w:val="002C3949"/>
    <w:rsid w:val="002C3A12"/>
    <w:rsid w:val="002C4226"/>
    <w:rsid w:val="002C48DB"/>
    <w:rsid w:val="002C49C0"/>
    <w:rsid w:val="002C4B27"/>
    <w:rsid w:val="002C4B8B"/>
    <w:rsid w:val="002C4D34"/>
    <w:rsid w:val="002C5311"/>
    <w:rsid w:val="002C56B4"/>
    <w:rsid w:val="002C6D36"/>
    <w:rsid w:val="002C739C"/>
    <w:rsid w:val="002D00AD"/>
    <w:rsid w:val="002D03FA"/>
    <w:rsid w:val="002D04EC"/>
    <w:rsid w:val="002D15F7"/>
    <w:rsid w:val="002D1AE9"/>
    <w:rsid w:val="002D1DDB"/>
    <w:rsid w:val="002D1E7C"/>
    <w:rsid w:val="002D2707"/>
    <w:rsid w:val="002D2E66"/>
    <w:rsid w:val="002D4CE1"/>
    <w:rsid w:val="002D558B"/>
    <w:rsid w:val="002D64B3"/>
    <w:rsid w:val="002D7B55"/>
    <w:rsid w:val="002E0C41"/>
    <w:rsid w:val="002E0CD7"/>
    <w:rsid w:val="002E21EB"/>
    <w:rsid w:val="002E286E"/>
    <w:rsid w:val="002E288F"/>
    <w:rsid w:val="002E2ECB"/>
    <w:rsid w:val="002E336F"/>
    <w:rsid w:val="002E354C"/>
    <w:rsid w:val="002E3ACD"/>
    <w:rsid w:val="002E4572"/>
    <w:rsid w:val="002E5FF1"/>
    <w:rsid w:val="002E6697"/>
    <w:rsid w:val="002E68E8"/>
    <w:rsid w:val="002E718E"/>
    <w:rsid w:val="002E7E08"/>
    <w:rsid w:val="002F0BA6"/>
    <w:rsid w:val="002F2EED"/>
    <w:rsid w:val="002F3144"/>
    <w:rsid w:val="002F3B81"/>
    <w:rsid w:val="002F4124"/>
    <w:rsid w:val="002F45E7"/>
    <w:rsid w:val="002F4CD2"/>
    <w:rsid w:val="002F4D0E"/>
    <w:rsid w:val="002F534D"/>
    <w:rsid w:val="002F54FD"/>
    <w:rsid w:val="002F562C"/>
    <w:rsid w:val="002F56ED"/>
    <w:rsid w:val="002F5DBA"/>
    <w:rsid w:val="002F6192"/>
    <w:rsid w:val="002F6486"/>
    <w:rsid w:val="002F6D31"/>
    <w:rsid w:val="002F7855"/>
    <w:rsid w:val="003008BD"/>
    <w:rsid w:val="00301089"/>
    <w:rsid w:val="003020FE"/>
    <w:rsid w:val="00302176"/>
    <w:rsid w:val="00302BBF"/>
    <w:rsid w:val="00302F1E"/>
    <w:rsid w:val="00303BA2"/>
    <w:rsid w:val="00304408"/>
    <w:rsid w:val="003048CA"/>
    <w:rsid w:val="003050DD"/>
    <w:rsid w:val="003051E3"/>
    <w:rsid w:val="003058A6"/>
    <w:rsid w:val="00305BA3"/>
    <w:rsid w:val="00305BF7"/>
    <w:rsid w:val="003071EA"/>
    <w:rsid w:val="00307F1E"/>
    <w:rsid w:val="00310209"/>
    <w:rsid w:val="0031065A"/>
    <w:rsid w:val="00310D9B"/>
    <w:rsid w:val="00311284"/>
    <w:rsid w:val="0031138E"/>
    <w:rsid w:val="0031220B"/>
    <w:rsid w:val="0031257D"/>
    <w:rsid w:val="0031259F"/>
    <w:rsid w:val="003126E1"/>
    <w:rsid w:val="00312940"/>
    <w:rsid w:val="003130E9"/>
    <w:rsid w:val="00313208"/>
    <w:rsid w:val="00316070"/>
    <w:rsid w:val="00316720"/>
    <w:rsid w:val="00320642"/>
    <w:rsid w:val="003207E0"/>
    <w:rsid w:val="003211B8"/>
    <w:rsid w:val="00321754"/>
    <w:rsid w:val="00321B08"/>
    <w:rsid w:val="00321F5E"/>
    <w:rsid w:val="00323BC8"/>
    <w:rsid w:val="00324360"/>
    <w:rsid w:val="00325132"/>
    <w:rsid w:val="00325266"/>
    <w:rsid w:val="0032578C"/>
    <w:rsid w:val="003257EE"/>
    <w:rsid w:val="00325806"/>
    <w:rsid w:val="00326970"/>
    <w:rsid w:val="00327DDF"/>
    <w:rsid w:val="00330E70"/>
    <w:rsid w:val="003310C5"/>
    <w:rsid w:val="003313CB"/>
    <w:rsid w:val="00331766"/>
    <w:rsid w:val="00331879"/>
    <w:rsid w:val="00332B23"/>
    <w:rsid w:val="00333DBA"/>
    <w:rsid w:val="00334F56"/>
    <w:rsid w:val="003356CF"/>
    <w:rsid w:val="00336F00"/>
    <w:rsid w:val="00341199"/>
    <w:rsid w:val="00341690"/>
    <w:rsid w:val="003424C6"/>
    <w:rsid w:val="00342AB5"/>
    <w:rsid w:val="00343457"/>
    <w:rsid w:val="003439F5"/>
    <w:rsid w:val="00343F92"/>
    <w:rsid w:val="0034530D"/>
    <w:rsid w:val="0034552D"/>
    <w:rsid w:val="00347C02"/>
    <w:rsid w:val="00350F19"/>
    <w:rsid w:val="00351393"/>
    <w:rsid w:val="00351773"/>
    <w:rsid w:val="00351DE2"/>
    <w:rsid w:val="003530A1"/>
    <w:rsid w:val="00354D6A"/>
    <w:rsid w:val="003555FB"/>
    <w:rsid w:val="00357549"/>
    <w:rsid w:val="00357A44"/>
    <w:rsid w:val="00357BF6"/>
    <w:rsid w:val="00357CC0"/>
    <w:rsid w:val="00357FA4"/>
    <w:rsid w:val="00360417"/>
    <w:rsid w:val="00362381"/>
    <w:rsid w:val="00364171"/>
    <w:rsid w:val="003641B8"/>
    <w:rsid w:val="003643B3"/>
    <w:rsid w:val="00364947"/>
    <w:rsid w:val="00364C9E"/>
    <w:rsid w:val="00365868"/>
    <w:rsid w:val="00365B81"/>
    <w:rsid w:val="00366840"/>
    <w:rsid w:val="0036687A"/>
    <w:rsid w:val="00366F47"/>
    <w:rsid w:val="00370084"/>
    <w:rsid w:val="00370242"/>
    <w:rsid w:val="0037059E"/>
    <w:rsid w:val="00371918"/>
    <w:rsid w:val="00371BE3"/>
    <w:rsid w:val="003734BB"/>
    <w:rsid w:val="00374DBB"/>
    <w:rsid w:val="00375CF4"/>
    <w:rsid w:val="003763E3"/>
    <w:rsid w:val="00380FB5"/>
    <w:rsid w:val="003812D0"/>
    <w:rsid w:val="00381A26"/>
    <w:rsid w:val="00383089"/>
    <w:rsid w:val="00383607"/>
    <w:rsid w:val="00383A0B"/>
    <w:rsid w:val="00383BA8"/>
    <w:rsid w:val="003844DF"/>
    <w:rsid w:val="00384FC5"/>
    <w:rsid w:val="003850F1"/>
    <w:rsid w:val="00385549"/>
    <w:rsid w:val="00385A92"/>
    <w:rsid w:val="00386CE0"/>
    <w:rsid w:val="00386DCB"/>
    <w:rsid w:val="00387D1A"/>
    <w:rsid w:val="00390285"/>
    <w:rsid w:val="0039135A"/>
    <w:rsid w:val="00391CBC"/>
    <w:rsid w:val="00391F95"/>
    <w:rsid w:val="003921F9"/>
    <w:rsid w:val="0039236C"/>
    <w:rsid w:val="0039344B"/>
    <w:rsid w:val="00393DF1"/>
    <w:rsid w:val="00394F2D"/>
    <w:rsid w:val="00394F91"/>
    <w:rsid w:val="00395071"/>
    <w:rsid w:val="00396257"/>
    <w:rsid w:val="0039679B"/>
    <w:rsid w:val="003972DD"/>
    <w:rsid w:val="003A18D1"/>
    <w:rsid w:val="003A1C52"/>
    <w:rsid w:val="003A1EB8"/>
    <w:rsid w:val="003A1F1A"/>
    <w:rsid w:val="003A1F40"/>
    <w:rsid w:val="003A250A"/>
    <w:rsid w:val="003A2852"/>
    <w:rsid w:val="003A34F3"/>
    <w:rsid w:val="003A3B41"/>
    <w:rsid w:val="003A426A"/>
    <w:rsid w:val="003A4568"/>
    <w:rsid w:val="003A52B3"/>
    <w:rsid w:val="003A537A"/>
    <w:rsid w:val="003A5395"/>
    <w:rsid w:val="003A59A0"/>
    <w:rsid w:val="003A5F77"/>
    <w:rsid w:val="003A614D"/>
    <w:rsid w:val="003A6236"/>
    <w:rsid w:val="003A79EB"/>
    <w:rsid w:val="003B006F"/>
    <w:rsid w:val="003B06FD"/>
    <w:rsid w:val="003B0741"/>
    <w:rsid w:val="003B1E0E"/>
    <w:rsid w:val="003B29A7"/>
    <w:rsid w:val="003B2B58"/>
    <w:rsid w:val="003B360E"/>
    <w:rsid w:val="003B37A2"/>
    <w:rsid w:val="003B3E18"/>
    <w:rsid w:val="003B4600"/>
    <w:rsid w:val="003B4F36"/>
    <w:rsid w:val="003B5276"/>
    <w:rsid w:val="003B5BF1"/>
    <w:rsid w:val="003B6CC3"/>
    <w:rsid w:val="003C0873"/>
    <w:rsid w:val="003C0D38"/>
    <w:rsid w:val="003C1772"/>
    <w:rsid w:val="003C19AB"/>
    <w:rsid w:val="003C2336"/>
    <w:rsid w:val="003C23E8"/>
    <w:rsid w:val="003C3C10"/>
    <w:rsid w:val="003C6033"/>
    <w:rsid w:val="003C67FF"/>
    <w:rsid w:val="003C6BE4"/>
    <w:rsid w:val="003D0301"/>
    <w:rsid w:val="003D10A8"/>
    <w:rsid w:val="003D14D0"/>
    <w:rsid w:val="003D1CC8"/>
    <w:rsid w:val="003D2E40"/>
    <w:rsid w:val="003D3CDF"/>
    <w:rsid w:val="003D424F"/>
    <w:rsid w:val="003D75E7"/>
    <w:rsid w:val="003D7A69"/>
    <w:rsid w:val="003E0962"/>
    <w:rsid w:val="003E1616"/>
    <w:rsid w:val="003E2B88"/>
    <w:rsid w:val="003E2D80"/>
    <w:rsid w:val="003E40CA"/>
    <w:rsid w:val="003E625C"/>
    <w:rsid w:val="003E65BA"/>
    <w:rsid w:val="003E6C1B"/>
    <w:rsid w:val="003E7004"/>
    <w:rsid w:val="003E720F"/>
    <w:rsid w:val="003F1C95"/>
    <w:rsid w:val="003F268F"/>
    <w:rsid w:val="003F375B"/>
    <w:rsid w:val="003F4B34"/>
    <w:rsid w:val="003F4D45"/>
    <w:rsid w:val="003F52B0"/>
    <w:rsid w:val="003F5CE3"/>
    <w:rsid w:val="003F73AE"/>
    <w:rsid w:val="004001CB"/>
    <w:rsid w:val="00400277"/>
    <w:rsid w:val="0040076F"/>
    <w:rsid w:val="0040246F"/>
    <w:rsid w:val="004055CF"/>
    <w:rsid w:val="00405D4F"/>
    <w:rsid w:val="00405D9E"/>
    <w:rsid w:val="00406C32"/>
    <w:rsid w:val="00407177"/>
    <w:rsid w:val="00407455"/>
    <w:rsid w:val="00407C13"/>
    <w:rsid w:val="00407D3C"/>
    <w:rsid w:val="00410A4E"/>
    <w:rsid w:val="00411A00"/>
    <w:rsid w:val="00413B09"/>
    <w:rsid w:val="00413EF1"/>
    <w:rsid w:val="004144F1"/>
    <w:rsid w:val="00414CD7"/>
    <w:rsid w:val="00415519"/>
    <w:rsid w:val="0041756E"/>
    <w:rsid w:val="00417EE0"/>
    <w:rsid w:val="004206A1"/>
    <w:rsid w:val="0042127C"/>
    <w:rsid w:val="0042230B"/>
    <w:rsid w:val="00423163"/>
    <w:rsid w:val="004243FB"/>
    <w:rsid w:val="004248B9"/>
    <w:rsid w:val="004248BC"/>
    <w:rsid w:val="00424A7F"/>
    <w:rsid w:val="00424BF5"/>
    <w:rsid w:val="00424C35"/>
    <w:rsid w:val="00424DD1"/>
    <w:rsid w:val="004250C4"/>
    <w:rsid w:val="00425292"/>
    <w:rsid w:val="004252B2"/>
    <w:rsid w:val="00425AC3"/>
    <w:rsid w:val="00425AF6"/>
    <w:rsid w:val="004267C2"/>
    <w:rsid w:val="00426D5A"/>
    <w:rsid w:val="00430359"/>
    <w:rsid w:val="00431A5E"/>
    <w:rsid w:val="004325D0"/>
    <w:rsid w:val="00432984"/>
    <w:rsid w:val="00432B7B"/>
    <w:rsid w:val="00432DF4"/>
    <w:rsid w:val="004335CC"/>
    <w:rsid w:val="00433725"/>
    <w:rsid w:val="004347B3"/>
    <w:rsid w:val="00435F9A"/>
    <w:rsid w:val="004363B3"/>
    <w:rsid w:val="00436C23"/>
    <w:rsid w:val="00436E4E"/>
    <w:rsid w:val="00436F40"/>
    <w:rsid w:val="00440A9D"/>
    <w:rsid w:val="00440F1F"/>
    <w:rsid w:val="00441E4D"/>
    <w:rsid w:val="0044248E"/>
    <w:rsid w:val="00442995"/>
    <w:rsid w:val="004432F5"/>
    <w:rsid w:val="00443E12"/>
    <w:rsid w:val="00443E23"/>
    <w:rsid w:val="00443E96"/>
    <w:rsid w:val="004447D3"/>
    <w:rsid w:val="00445142"/>
    <w:rsid w:val="00445FBE"/>
    <w:rsid w:val="0044647A"/>
    <w:rsid w:val="00446730"/>
    <w:rsid w:val="00447068"/>
    <w:rsid w:val="0044776B"/>
    <w:rsid w:val="00447879"/>
    <w:rsid w:val="00447FAF"/>
    <w:rsid w:val="0045015C"/>
    <w:rsid w:val="004501D1"/>
    <w:rsid w:val="004511AD"/>
    <w:rsid w:val="00452C81"/>
    <w:rsid w:val="0045390E"/>
    <w:rsid w:val="00453E53"/>
    <w:rsid w:val="00455E05"/>
    <w:rsid w:val="004561F9"/>
    <w:rsid w:val="004562F4"/>
    <w:rsid w:val="00456F94"/>
    <w:rsid w:val="00457068"/>
    <w:rsid w:val="004606F6"/>
    <w:rsid w:val="00460BBF"/>
    <w:rsid w:val="00460F41"/>
    <w:rsid w:val="004611B8"/>
    <w:rsid w:val="004612B5"/>
    <w:rsid w:val="00461948"/>
    <w:rsid w:val="00461AA3"/>
    <w:rsid w:val="00462231"/>
    <w:rsid w:val="00462B1C"/>
    <w:rsid w:val="004633BD"/>
    <w:rsid w:val="00464433"/>
    <w:rsid w:val="00464464"/>
    <w:rsid w:val="004649B6"/>
    <w:rsid w:val="00464AC4"/>
    <w:rsid w:val="00465493"/>
    <w:rsid w:val="004705FC"/>
    <w:rsid w:val="00470927"/>
    <w:rsid w:val="00470AC8"/>
    <w:rsid w:val="00470C08"/>
    <w:rsid w:val="0047125A"/>
    <w:rsid w:val="0047126C"/>
    <w:rsid w:val="00471399"/>
    <w:rsid w:val="00471CC2"/>
    <w:rsid w:val="0047272B"/>
    <w:rsid w:val="0047309F"/>
    <w:rsid w:val="00473EE4"/>
    <w:rsid w:val="004750AA"/>
    <w:rsid w:val="004752A5"/>
    <w:rsid w:val="00475743"/>
    <w:rsid w:val="00475A1D"/>
    <w:rsid w:val="00476B6C"/>
    <w:rsid w:val="004773F4"/>
    <w:rsid w:val="00477721"/>
    <w:rsid w:val="00480339"/>
    <w:rsid w:val="00480EFE"/>
    <w:rsid w:val="004819F8"/>
    <w:rsid w:val="004820EE"/>
    <w:rsid w:val="00482401"/>
    <w:rsid w:val="00483533"/>
    <w:rsid w:val="00483882"/>
    <w:rsid w:val="004844F4"/>
    <w:rsid w:val="00484548"/>
    <w:rsid w:val="004849BC"/>
    <w:rsid w:val="00484E51"/>
    <w:rsid w:val="00485BCF"/>
    <w:rsid w:val="00485E32"/>
    <w:rsid w:val="00486250"/>
    <w:rsid w:val="00486961"/>
    <w:rsid w:val="00486E4B"/>
    <w:rsid w:val="004870CF"/>
    <w:rsid w:val="00487657"/>
    <w:rsid w:val="0048772B"/>
    <w:rsid w:val="00490CB0"/>
    <w:rsid w:val="00492080"/>
    <w:rsid w:val="0049297B"/>
    <w:rsid w:val="00492C4A"/>
    <w:rsid w:val="00494D6C"/>
    <w:rsid w:val="00494EE7"/>
    <w:rsid w:val="00495403"/>
    <w:rsid w:val="0049575E"/>
    <w:rsid w:val="00496C73"/>
    <w:rsid w:val="00497AAB"/>
    <w:rsid w:val="00497EFE"/>
    <w:rsid w:val="004A00EE"/>
    <w:rsid w:val="004A1151"/>
    <w:rsid w:val="004A1346"/>
    <w:rsid w:val="004A179B"/>
    <w:rsid w:val="004A1D8C"/>
    <w:rsid w:val="004A2AD7"/>
    <w:rsid w:val="004A2D2B"/>
    <w:rsid w:val="004A2FA5"/>
    <w:rsid w:val="004A324D"/>
    <w:rsid w:val="004A3392"/>
    <w:rsid w:val="004A3523"/>
    <w:rsid w:val="004A3BF8"/>
    <w:rsid w:val="004A3CBA"/>
    <w:rsid w:val="004A48E4"/>
    <w:rsid w:val="004A49D0"/>
    <w:rsid w:val="004A56C7"/>
    <w:rsid w:val="004A7377"/>
    <w:rsid w:val="004B088F"/>
    <w:rsid w:val="004B116D"/>
    <w:rsid w:val="004B2165"/>
    <w:rsid w:val="004B2314"/>
    <w:rsid w:val="004B2CF8"/>
    <w:rsid w:val="004B3170"/>
    <w:rsid w:val="004B3974"/>
    <w:rsid w:val="004B3979"/>
    <w:rsid w:val="004B409C"/>
    <w:rsid w:val="004B43C3"/>
    <w:rsid w:val="004B4CC7"/>
    <w:rsid w:val="004B518D"/>
    <w:rsid w:val="004B5533"/>
    <w:rsid w:val="004B5ECB"/>
    <w:rsid w:val="004B6B06"/>
    <w:rsid w:val="004B762F"/>
    <w:rsid w:val="004B7ABB"/>
    <w:rsid w:val="004C07DD"/>
    <w:rsid w:val="004C1723"/>
    <w:rsid w:val="004C19C6"/>
    <w:rsid w:val="004C1C08"/>
    <w:rsid w:val="004C427B"/>
    <w:rsid w:val="004C4437"/>
    <w:rsid w:val="004C4BD2"/>
    <w:rsid w:val="004C51EB"/>
    <w:rsid w:val="004C5241"/>
    <w:rsid w:val="004C52E9"/>
    <w:rsid w:val="004C6121"/>
    <w:rsid w:val="004C668E"/>
    <w:rsid w:val="004C6C88"/>
    <w:rsid w:val="004C6E31"/>
    <w:rsid w:val="004D08A7"/>
    <w:rsid w:val="004D0AB4"/>
    <w:rsid w:val="004D0FF0"/>
    <w:rsid w:val="004D2063"/>
    <w:rsid w:val="004D2492"/>
    <w:rsid w:val="004D30FE"/>
    <w:rsid w:val="004D3B2E"/>
    <w:rsid w:val="004D3F97"/>
    <w:rsid w:val="004D46B9"/>
    <w:rsid w:val="004D5A4E"/>
    <w:rsid w:val="004D5BF4"/>
    <w:rsid w:val="004D5F0E"/>
    <w:rsid w:val="004D6310"/>
    <w:rsid w:val="004D6F42"/>
    <w:rsid w:val="004D71CB"/>
    <w:rsid w:val="004E137F"/>
    <w:rsid w:val="004E26DF"/>
    <w:rsid w:val="004E474B"/>
    <w:rsid w:val="004E4F4B"/>
    <w:rsid w:val="004E665C"/>
    <w:rsid w:val="004E7248"/>
    <w:rsid w:val="004E782F"/>
    <w:rsid w:val="004E7B21"/>
    <w:rsid w:val="004F2732"/>
    <w:rsid w:val="004F40DA"/>
    <w:rsid w:val="004F41AD"/>
    <w:rsid w:val="004F49E2"/>
    <w:rsid w:val="004F4BCA"/>
    <w:rsid w:val="004F5AC8"/>
    <w:rsid w:val="004F6A36"/>
    <w:rsid w:val="004F6BFB"/>
    <w:rsid w:val="004F6D62"/>
    <w:rsid w:val="004F776D"/>
    <w:rsid w:val="0050176A"/>
    <w:rsid w:val="00501940"/>
    <w:rsid w:val="00501D00"/>
    <w:rsid w:val="00501E18"/>
    <w:rsid w:val="005026B9"/>
    <w:rsid w:val="00502A9D"/>
    <w:rsid w:val="005031A9"/>
    <w:rsid w:val="0050372E"/>
    <w:rsid w:val="00503CCD"/>
    <w:rsid w:val="005040C4"/>
    <w:rsid w:val="0050534F"/>
    <w:rsid w:val="0050590A"/>
    <w:rsid w:val="00505A6E"/>
    <w:rsid w:val="005063A8"/>
    <w:rsid w:val="00506CC8"/>
    <w:rsid w:val="00507E58"/>
    <w:rsid w:val="005113DB"/>
    <w:rsid w:val="00512E32"/>
    <w:rsid w:val="0051388D"/>
    <w:rsid w:val="005146F8"/>
    <w:rsid w:val="005150BE"/>
    <w:rsid w:val="0051575D"/>
    <w:rsid w:val="00516C0D"/>
    <w:rsid w:val="005207B1"/>
    <w:rsid w:val="005208A5"/>
    <w:rsid w:val="0052185E"/>
    <w:rsid w:val="00523669"/>
    <w:rsid w:val="00524E45"/>
    <w:rsid w:val="005254A8"/>
    <w:rsid w:val="005256DF"/>
    <w:rsid w:val="00526DBB"/>
    <w:rsid w:val="00526FF9"/>
    <w:rsid w:val="005271B6"/>
    <w:rsid w:val="0053009F"/>
    <w:rsid w:val="005303EC"/>
    <w:rsid w:val="00531FEF"/>
    <w:rsid w:val="0053282E"/>
    <w:rsid w:val="00532F41"/>
    <w:rsid w:val="005330B9"/>
    <w:rsid w:val="00533276"/>
    <w:rsid w:val="00533568"/>
    <w:rsid w:val="005339DD"/>
    <w:rsid w:val="005348DE"/>
    <w:rsid w:val="00535B4D"/>
    <w:rsid w:val="0053619D"/>
    <w:rsid w:val="00536582"/>
    <w:rsid w:val="00536C68"/>
    <w:rsid w:val="00536E11"/>
    <w:rsid w:val="00536E2F"/>
    <w:rsid w:val="00537437"/>
    <w:rsid w:val="00537B34"/>
    <w:rsid w:val="00537BF6"/>
    <w:rsid w:val="005406AF"/>
    <w:rsid w:val="00540C99"/>
    <w:rsid w:val="00540CD5"/>
    <w:rsid w:val="005411AF"/>
    <w:rsid w:val="00541C65"/>
    <w:rsid w:val="00541FCF"/>
    <w:rsid w:val="00542885"/>
    <w:rsid w:val="00542BF0"/>
    <w:rsid w:val="005466B2"/>
    <w:rsid w:val="0054764C"/>
    <w:rsid w:val="005477F4"/>
    <w:rsid w:val="00550989"/>
    <w:rsid w:val="00551DA5"/>
    <w:rsid w:val="00551EFB"/>
    <w:rsid w:val="00552879"/>
    <w:rsid w:val="00552CC0"/>
    <w:rsid w:val="00553BAC"/>
    <w:rsid w:val="00554223"/>
    <w:rsid w:val="005548AD"/>
    <w:rsid w:val="005550A4"/>
    <w:rsid w:val="00555628"/>
    <w:rsid w:val="00555C06"/>
    <w:rsid w:val="00555E7E"/>
    <w:rsid w:val="005563EE"/>
    <w:rsid w:val="005565B7"/>
    <w:rsid w:val="0055665F"/>
    <w:rsid w:val="00556BA1"/>
    <w:rsid w:val="00556F56"/>
    <w:rsid w:val="00560C49"/>
    <w:rsid w:val="00561048"/>
    <w:rsid w:val="0056253E"/>
    <w:rsid w:val="0056339E"/>
    <w:rsid w:val="00563A95"/>
    <w:rsid w:val="00563DDA"/>
    <w:rsid w:val="005641D5"/>
    <w:rsid w:val="00564F42"/>
    <w:rsid w:val="005655D8"/>
    <w:rsid w:val="00565775"/>
    <w:rsid w:val="005665A2"/>
    <w:rsid w:val="00566860"/>
    <w:rsid w:val="00566FFE"/>
    <w:rsid w:val="005671BC"/>
    <w:rsid w:val="00570C67"/>
    <w:rsid w:val="00570CD5"/>
    <w:rsid w:val="00571B45"/>
    <w:rsid w:val="00572048"/>
    <w:rsid w:val="00572190"/>
    <w:rsid w:val="00572355"/>
    <w:rsid w:val="005729CC"/>
    <w:rsid w:val="00572FD2"/>
    <w:rsid w:val="0057319E"/>
    <w:rsid w:val="005745B8"/>
    <w:rsid w:val="00574963"/>
    <w:rsid w:val="00575238"/>
    <w:rsid w:val="005753DE"/>
    <w:rsid w:val="005762F1"/>
    <w:rsid w:val="00576B42"/>
    <w:rsid w:val="00576E18"/>
    <w:rsid w:val="00577D80"/>
    <w:rsid w:val="005804A8"/>
    <w:rsid w:val="00580700"/>
    <w:rsid w:val="00581DF5"/>
    <w:rsid w:val="00582491"/>
    <w:rsid w:val="00583365"/>
    <w:rsid w:val="00583B22"/>
    <w:rsid w:val="00583DDE"/>
    <w:rsid w:val="00583E32"/>
    <w:rsid w:val="005849E5"/>
    <w:rsid w:val="00584BF2"/>
    <w:rsid w:val="00584EF2"/>
    <w:rsid w:val="00585088"/>
    <w:rsid w:val="005856F7"/>
    <w:rsid w:val="00585889"/>
    <w:rsid w:val="0058591D"/>
    <w:rsid w:val="005871C4"/>
    <w:rsid w:val="00587236"/>
    <w:rsid w:val="0058769A"/>
    <w:rsid w:val="005908BF"/>
    <w:rsid w:val="005909E1"/>
    <w:rsid w:val="00590C36"/>
    <w:rsid w:val="00590E59"/>
    <w:rsid w:val="00591C18"/>
    <w:rsid w:val="00591FBF"/>
    <w:rsid w:val="00592302"/>
    <w:rsid w:val="00592878"/>
    <w:rsid w:val="00592B6B"/>
    <w:rsid w:val="00592E50"/>
    <w:rsid w:val="0059311F"/>
    <w:rsid w:val="005938A3"/>
    <w:rsid w:val="00593DD3"/>
    <w:rsid w:val="0059437A"/>
    <w:rsid w:val="0059468C"/>
    <w:rsid w:val="00594F0F"/>
    <w:rsid w:val="00595503"/>
    <w:rsid w:val="005955BF"/>
    <w:rsid w:val="0059606A"/>
    <w:rsid w:val="005970F8"/>
    <w:rsid w:val="00597E0C"/>
    <w:rsid w:val="005A055C"/>
    <w:rsid w:val="005A1602"/>
    <w:rsid w:val="005A2C4C"/>
    <w:rsid w:val="005A36AD"/>
    <w:rsid w:val="005A37D5"/>
    <w:rsid w:val="005A401B"/>
    <w:rsid w:val="005A4923"/>
    <w:rsid w:val="005A5DC7"/>
    <w:rsid w:val="005A6305"/>
    <w:rsid w:val="005A6A2E"/>
    <w:rsid w:val="005A6FD1"/>
    <w:rsid w:val="005A74CA"/>
    <w:rsid w:val="005B01E5"/>
    <w:rsid w:val="005B049A"/>
    <w:rsid w:val="005B086A"/>
    <w:rsid w:val="005B08B5"/>
    <w:rsid w:val="005B1572"/>
    <w:rsid w:val="005B1ADD"/>
    <w:rsid w:val="005B1D6C"/>
    <w:rsid w:val="005B2197"/>
    <w:rsid w:val="005B2B6B"/>
    <w:rsid w:val="005B2E98"/>
    <w:rsid w:val="005B358F"/>
    <w:rsid w:val="005B3F7C"/>
    <w:rsid w:val="005B3FE5"/>
    <w:rsid w:val="005B49B0"/>
    <w:rsid w:val="005B4F90"/>
    <w:rsid w:val="005B5088"/>
    <w:rsid w:val="005B52E6"/>
    <w:rsid w:val="005B56C9"/>
    <w:rsid w:val="005B5F4F"/>
    <w:rsid w:val="005B6496"/>
    <w:rsid w:val="005B6928"/>
    <w:rsid w:val="005B6A01"/>
    <w:rsid w:val="005B748B"/>
    <w:rsid w:val="005B74E7"/>
    <w:rsid w:val="005C02FF"/>
    <w:rsid w:val="005C1CDD"/>
    <w:rsid w:val="005C20BA"/>
    <w:rsid w:val="005C2274"/>
    <w:rsid w:val="005C2856"/>
    <w:rsid w:val="005C5F3B"/>
    <w:rsid w:val="005C5F63"/>
    <w:rsid w:val="005C6247"/>
    <w:rsid w:val="005C7460"/>
    <w:rsid w:val="005D023B"/>
    <w:rsid w:val="005D0337"/>
    <w:rsid w:val="005D05E3"/>
    <w:rsid w:val="005D0C4C"/>
    <w:rsid w:val="005D1B8C"/>
    <w:rsid w:val="005D1DE2"/>
    <w:rsid w:val="005D24CE"/>
    <w:rsid w:val="005D2730"/>
    <w:rsid w:val="005D2C4B"/>
    <w:rsid w:val="005D2FE6"/>
    <w:rsid w:val="005D36C4"/>
    <w:rsid w:val="005D3733"/>
    <w:rsid w:val="005D3854"/>
    <w:rsid w:val="005D3E9A"/>
    <w:rsid w:val="005D4560"/>
    <w:rsid w:val="005D45CF"/>
    <w:rsid w:val="005D524D"/>
    <w:rsid w:val="005D6286"/>
    <w:rsid w:val="005D64A1"/>
    <w:rsid w:val="005D6894"/>
    <w:rsid w:val="005D6908"/>
    <w:rsid w:val="005E0F35"/>
    <w:rsid w:val="005E1608"/>
    <w:rsid w:val="005E3A12"/>
    <w:rsid w:val="005E5677"/>
    <w:rsid w:val="005E581A"/>
    <w:rsid w:val="005E5C73"/>
    <w:rsid w:val="005E6B5C"/>
    <w:rsid w:val="005E6F82"/>
    <w:rsid w:val="005E720C"/>
    <w:rsid w:val="005F1055"/>
    <w:rsid w:val="005F15B6"/>
    <w:rsid w:val="005F1D8D"/>
    <w:rsid w:val="005F3841"/>
    <w:rsid w:val="005F397E"/>
    <w:rsid w:val="005F3D35"/>
    <w:rsid w:val="005F404C"/>
    <w:rsid w:val="005F588A"/>
    <w:rsid w:val="005F653B"/>
    <w:rsid w:val="005F6575"/>
    <w:rsid w:val="005F68E8"/>
    <w:rsid w:val="005F6B01"/>
    <w:rsid w:val="005F6C73"/>
    <w:rsid w:val="005F7552"/>
    <w:rsid w:val="0060361E"/>
    <w:rsid w:val="00603C63"/>
    <w:rsid w:val="00604EB6"/>
    <w:rsid w:val="00605743"/>
    <w:rsid w:val="00605A3F"/>
    <w:rsid w:val="00606743"/>
    <w:rsid w:val="006068E6"/>
    <w:rsid w:val="00607220"/>
    <w:rsid w:val="006075DA"/>
    <w:rsid w:val="00607CBB"/>
    <w:rsid w:val="0061070E"/>
    <w:rsid w:val="00610DF1"/>
    <w:rsid w:val="0061152B"/>
    <w:rsid w:val="00611AF6"/>
    <w:rsid w:val="00611D9C"/>
    <w:rsid w:val="00611F56"/>
    <w:rsid w:val="0061287F"/>
    <w:rsid w:val="0061387B"/>
    <w:rsid w:val="006143BA"/>
    <w:rsid w:val="0061494D"/>
    <w:rsid w:val="00614D02"/>
    <w:rsid w:val="00614FF7"/>
    <w:rsid w:val="0061605D"/>
    <w:rsid w:val="0061785E"/>
    <w:rsid w:val="00617DB5"/>
    <w:rsid w:val="00617FE4"/>
    <w:rsid w:val="00620B92"/>
    <w:rsid w:val="00620C65"/>
    <w:rsid w:val="00621DE8"/>
    <w:rsid w:val="00622EC3"/>
    <w:rsid w:val="00623BCF"/>
    <w:rsid w:val="006240EE"/>
    <w:rsid w:val="006241AB"/>
    <w:rsid w:val="00624735"/>
    <w:rsid w:val="00624C9E"/>
    <w:rsid w:val="00624F3E"/>
    <w:rsid w:val="006266DF"/>
    <w:rsid w:val="00627707"/>
    <w:rsid w:val="00630A5B"/>
    <w:rsid w:val="00631461"/>
    <w:rsid w:val="006320A9"/>
    <w:rsid w:val="00633577"/>
    <w:rsid w:val="006349C2"/>
    <w:rsid w:val="00635AD5"/>
    <w:rsid w:val="00635CBE"/>
    <w:rsid w:val="00636964"/>
    <w:rsid w:val="00636D46"/>
    <w:rsid w:val="00637FE4"/>
    <w:rsid w:val="0064088A"/>
    <w:rsid w:val="00641EDF"/>
    <w:rsid w:val="006428F9"/>
    <w:rsid w:val="00642C15"/>
    <w:rsid w:val="00643630"/>
    <w:rsid w:val="006437AB"/>
    <w:rsid w:val="00643D49"/>
    <w:rsid w:val="006440CB"/>
    <w:rsid w:val="006441B0"/>
    <w:rsid w:val="0064464A"/>
    <w:rsid w:val="00644AF4"/>
    <w:rsid w:val="00645237"/>
    <w:rsid w:val="006457C4"/>
    <w:rsid w:val="00646C96"/>
    <w:rsid w:val="00646D0A"/>
    <w:rsid w:val="006473A1"/>
    <w:rsid w:val="00647870"/>
    <w:rsid w:val="00647986"/>
    <w:rsid w:val="006504A3"/>
    <w:rsid w:val="00650F8B"/>
    <w:rsid w:val="00652B07"/>
    <w:rsid w:val="00652CE7"/>
    <w:rsid w:val="00652CE8"/>
    <w:rsid w:val="00652F3A"/>
    <w:rsid w:val="00654A73"/>
    <w:rsid w:val="00654E62"/>
    <w:rsid w:val="0065507A"/>
    <w:rsid w:val="00655F3B"/>
    <w:rsid w:val="00656525"/>
    <w:rsid w:val="006565B9"/>
    <w:rsid w:val="006569F8"/>
    <w:rsid w:val="00660056"/>
    <w:rsid w:val="00660EAC"/>
    <w:rsid w:val="00661259"/>
    <w:rsid w:val="00661747"/>
    <w:rsid w:val="00662062"/>
    <w:rsid w:val="00662F83"/>
    <w:rsid w:val="006636C4"/>
    <w:rsid w:val="006638DB"/>
    <w:rsid w:val="00663AFD"/>
    <w:rsid w:val="00663EB7"/>
    <w:rsid w:val="00664068"/>
    <w:rsid w:val="00665883"/>
    <w:rsid w:val="00665C14"/>
    <w:rsid w:val="00665DF8"/>
    <w:rsid w:val="00665E26"/>
    <w:rsid w:val="00667A5B"/>
    <w:rsid w:val="00667C75"/>
    <w:rsid w:val="006700A3"/>
    <w:rsid w:val="00670260"/>
    <w:rsid w:val="006715E5"/>
    <w:rsid w:val="00671B23"/>
    <w:rsid w:val="00671B5D"/>
    <w:rsid w:val="0067287A"/>
    <w:rsid w:val="00672D1E"/>
    <w:rsid w:val="00672F9C"/>
    <w:rsid w:val="00673009"/>
    <w:rsid w:val="006739A3"/>
    <w:rsid w:val="00673A8C"/>
    <w:rsid w:val="00673A8F"/>
    <w:rsid w:val="00673B5D"/>
    <w:rsid w:val="00674323"/>
    <w:rsid w:val="00675814"/>
    <w:rsid w:val="00675B5D"/>
    <w:rsid w:val="006760BE"/>
    <w:rsid w:val="0067627E"/>
    <w:rsid w:val="006765B4"/>
    <w:rsid w:val="00677AC7"/>
    <w:rsid w:val="00680B1C"/>
    <w:rsid w:val="006820E2"/>
    <w:rsid w:val="00682565"/>
    <w:rsid w:val="00682A8F"/>
    <w:rsid w:val="0068341F"/>
    <w:rsid w:val="00683500"/>
    <w:rsid w:val="00683EC2"/>
    <w:rsid w:val="00684044"/>
    <w:rsid w:val="00685031"/>
    <w:rsid w:val="006851FB"/>
    <w:rsid w:val="006863D0"/>
    <w:rsid w:val="00686CA3"/>
    <w:rsid w:val="00686DB7"/>
    <w:rsid w:val="00687471"/>
    <w:rsid w:val="00687579"/>
    <w:rsid w:val="006875DC"/>
    <w:rsid w:val="00687D1A"/>
    <w:rsid w:val="00690184"/>
    <w:rsid w:val="006903F2"/>
    <w:rsid w:val="00690609"/>
    <w:rsid w:val="00690B35"/>
    <w:rsid w:val="00691697"/>
    <w:rsid w:val="00691A7F"/>
    <w:rsid w:val="0069205A"/>
    <w:rsid w:val="0069210F"/>
    <w:rsid w:val="00692411"/>
    <w:rsid w:val="00692B17"/>
    <w:rsid w:val="00692DAA"/>
    <w:rsid w:val="00692ED5"/>
    <w:rsid w:val="0069336A"/>
    <w:rsid w:val="00693723"/>
    <w:rsid w:val="0069613A"/>
    <w:rsid w:val="00696879"/>
    <w:rsid w:val="006A01D2"/>
    <w:rsid w:val="006A0568"/>
    <w:rsid w:val="006A11B8"/>
    <w:rsid w:val="006A1C47"/>
    <w:rsid w:val="006A5CF9"/>
    <w:rsid w:val="006A78D9"/>
    <w:rsid w:val="006B0209"/>
    <w:rsid w:val="006B02FA"/>
    <w:rsid w:val="006B0526"/>
    <w:rsid w:val="006B0F12"/>
    <w:rsid w:val="006B1536"/>
    <w:rsid w:val="006B1BCD"/>
    <w:rsid w:val="006B1BF9"/>
    <w:rsid w:val="006B3622"/>
    <w:rsid w:val="006B4FFB"/>
    <w:rsid w:val="006B52EA"/>
    <w:rsid w:val="006B5530"/>
    <w:rsid w:val="006B635E"/>
    <w:rsid w:val="006B7C76"/>
    <w:rsid w:val="006B7D90"/>
    <w:rsid w:val="006C03BD"/>
    <w:rsid w:val="006C0AD9"/>
    <w:rsid w:val="006C0DA3"/>
    <w:rsid w:val="006C10E1"/>
    <w:rsid w:val="006C1DE7"/>
    <w:rsid w:val="006C1F31"/>
    <w:rsid w:val="006C268A"/>
    <w:rsid w:val="006C286E"/>
    <w:rsid w:val="006C2F72"/>
    <w:rsid w:val="006C34A9"/>
    <w:rsid w:val="006C3D0E"/>
    <w:rsid w:val="006C3F6E"/>
    <w:rsid w:val="006C4CD1"/>
    <w:rsid w:val="006C4ED9"/>
    <w:rsid w:val="006C71C4"/>
    <w:rsid w:val="006D05CA"/>
    <w:rsid w:val="006D108A"/>
    <w:rsid w:val="006D1292"/>
    <w:rsid w:val="006D187B"/>
    <w:rsid w:val="006D2D1C"/>
    <w:rsid w:val="006D2FE6"/>
    <w:rsid w:val="006D34E9"/>
    <w:rsid w:val="006D44C8"/>
    <w:rsid w:val="006D4FB7"/>
    <w:rsid w:val="006D5B31"/>
    <w:rsid w:val="006D5C44"/>
    <w:rsid w:val="006D6332"/>
    <w:rsid w:val="006D67B7"/>
    <w:rsid w:val="006D682D"/>
    <w:rsid w:val="006D6879"/>
    <w:rsid w:val="006D7657"/>
    <w:rsid w:val="006D77EF"/>
    <w:rsid w:val="006E04C0"/>
    <w:rsid w:val="006E0A96"/>
    <w:rsid w:val="006E0B27"/>
    <w:rsid w:val="006E12FE"/>
    <w:rsid w:val="006E17B6"/>
    <w:rsid w:val="006E2758"/>
    <w:rsid w:val="006E27C3"/>
    <w:rsid w:val="006E2FBB"/>
    <w:rsid w:val="006E33D2"/>
    <w:rsid w:val="006E4669"/>
    <w:rsid w:val="006E4B56"/>
    <w:rsid w:val="006E5960"/>
    <w:rsid w:val="006E7E91"/>
    <w:rsid w:val="006F1821"/>
    <w:rsid w:val="006F34F8"/>
    <w:rsid w:val="006F3B18"/>
    <w:rsid w:val="006F4A76"/>
    <w:rsid w:val="006F50D0"/>
    <w:rsid w:val="006F704B"/>
    <w:rsid w:val="007016DD"/>
    <w:rsid w:val="00701910"/>
    <w:rsid w:val="00702998"/>
    <w:rsid w:val="00702D0C"/>
    <w:rsid w:val="007038D8"/>
    <w:rsid w:val="00703F70"/>
    <w:rsid w:val="0070552C"/>
    <w:rsid w:val="0070557E"/>
    <w:rsid w:val="00705935"/>
    <w:rsid w:val="00705ACB"/>
    <w:rsid w:val="0070705F"/>
    <w:rsid w:val="0070757C"/>
    <w:rsid w:val="007078D8"/>
    <w:rsid w:val="00707CB0"/>
    <w:rsid w:val="00707DEF"/>
    <w:rsid w:val="007111F6"/>
    <w:rsid w:val="00711791"/>
    <w:rsid w:val="00711EDD"/>
    <w:rsid w:val="00711FED"/>
    <w:rsid w:val="007121E6"/>
    <w:rsid w:val="00713EB0"/>
    <w:rsid w:val="00715C0F"/>
    <w:rsid w:val="00716AE8"/>
    <w:rsid w:val="00717E0F"/>
    <w:rsid w:val="007216F9"/>
    <w:rsid w:val="00722CC5"/>
    <w:rsid w:val="00723B0B"/>
    <w:rsid w:val="0072409B"/>
    <w:rsid w:val="007243CB"/>
    <w:rsid w:val="00724C57"/>
    <w:rsid w:val="007250C2"/>
    <w:rsid w:val="007252C5"/>
    <w:rsid w:val="007256E6"/>
    <w:rsid w:val="0072624F"/>
    <w:rsid w:val="0072638C"/>
    <w:rsid w:val="007264BD"/>
    <w:rsid w:val="00726593"/>
    <w:rsid w:val="007277E5"/>
    <w:rsid w:val="00732F94"/>
    <w:rsid w:val="0073364D"/>
    <w:rsid w:val="00734281"/>
    <w:rsid w:val="00734894"/>
    <w:rsid w:val="0073585A"/>
    <w:rsid w:val="007360A1"/>
    <w:rsid w:val="00737054"/>
    <w:rsid w:val="0073718A"/>
    <w:rsid w:val="00740932"/>
    <w:rsid w:val="00740C84"/>
    <w:rsid w:val="00742226"/>
    <w:rsid w:val="00744448"/>
    <w:rsid w:val="0074456C"/>
    <w:rsid w:val="00744A8B"/>
    <w:rsid w:val="00745087"/>
    <w:rsid w:val="0074583C"/>
    <w:rsid w:val="007458AD"/>
    <w:rsid w:val="00745B2B"/>
    <w:rsid w:val="00745CB2"/>
    <w:rsid w:val="007463CC"/>
    <w:rsid w:val="007470D3"/>
    <w:rsid w:val="00747E81"/>
    <w:rsid w:val="007512A5"/>
    <w:rsid w:val="007520A4"/>
    <w:rsid w:val="007520B7"/>
    <w:rsid w:val="0075242E"/>
    <w:rsid w:val="007532B0"/>
    <w:rsid w:val="0075387B"/>
    <w:rsid w:val="00754BD0"/>
    <w:rsid w:val="00755919"/>
    <w:rsid w:val="00755F0A"/>
    <w:rsid w:val="00757A1F"/>
    <w:rsid w:val="00760BE9"/>
    <w:rsid w:val="00761939"/>
    <w:rsid w:val="00763168"/>
    <w:rsid w:val="00763346"/>
    <w:rsid w:val="00763469"/>
    <w:rsid w:val="0076356B"/>
    <w:rsid w:val="007638E0"/>
    <w:rsid w:val="00764524"/>
    <w:rsid w:val="007645B8"/>
    <w:rsid w:val="00764734"/>
    <w:rsid w:val="00764AD0"/>
    <w:rsid w:val="0076505D"/>
    <w:rsid w:val="007651ED"/>
    <w:rsid w:val="00765340"/>
    <w:rsid w:val="007662F5"/>
    <w:rsid w:val="00766B2F"/>
    <w:rsid w:val="007674E7"/>
    <w:rsid w:val="00770075"/>
    <w:rsid w:val="007702F5"/>
    <w:rsid w:val="0077151F"/>
    <w:rsid w:val="00772345"/>
    <w:rsid w:val="00772D5D"/>
    <w:rsid w:val="00772E6D"/>
    <w:rsid w:val="00773D45"/>
    <w:rsid w:val="007766B1"/>
    <w:rsid w:val="00776A65"/>
    <w:rsid w:val="00780A21"/>
    <w:rsid w:val="0078126F"/>
    <w:rsid w:val="00781CE9"/>
    <w:rsid w:val="007822D4"/>
    <w:rsid w:val="007827B8"/>
    <w:rsid w:val="0078349F"/>
    <w:rsid w:val="00783CD8"/>
    <w:rsid w:val="00783D43"/>
    <w:rsid w:val="0078715D"/>
    <w:rsid w:val="00787E88"/>
    <w:rsid w:val="0079005E"/>
    <w:rsid w:val="007906EF"/>
    <w:rsid w:val="00790E51"/>
    <w:rsid w:val="007921A2"/>
    <w:rsid w:val="00792684"/>
    <w:rsid w:val="00793026"/>
    <w:rsid w:val="00794E42"/>
    <w:rsid w:val="00795259"/>
    <w:rsid w:val="00795493"/>
    <w:rsid w:val="007955E6"/>
    <w:rsid w:val="00795A14"/>
    <w:rsid w:val="00796DDB"/>
    <w:rsid w:val="00797122"/>
    <w:rsid w:val="0079734F"/>
    <w:rsid w:val="00797C5E"/>
    <w:rsid w:val="007A10C7"/>
    <w:rsid w:val="007A1D89"/>
    <w:rsid w:val="007A22DB"/>
    <w:rsid w:val="007A24F5"/>
    <w:rsid w:val="007A2F31"/>
    <w:rsid w:val="007A30F9"/>
    <w:rsid w:val="007A3E34"/>
    <w:rsid w:val="007A3FF6"/>
    <w:rsid w:val="007A446F"/>
    <w:rsid w:val="007A560C"/>
    <w:rsid w:val="007A571B"/>
    <w:rsid w:val="007A592B"/>
    <w:rsid w:val="007A6111"/>
    <w:rsid w:val="007A653D"/>
    <w:rsid w:val="007A6A39"/>
    <w:rsid w:val="007A7224"/>
    <w:rsid w:val="007A7FA7"/>
    <w:rsid w:val="007B0318"/>
    <w:rsid w:val="007B09E8"/>
    <w:rsid w:val="007B0B4B"/>
    <w:rsid w:val="007B1400"/>
    <w:rsid w:val="007B15F7"/>
    <w:rsid w:val="007B2016"/>
    <w:rsid w:val="007B2470"/>
    <w:rsid w:val="007B32E2"/>
    <w:rsid w:val="007B3CD5"/>
    <w:rsid w:val="007B3D2D"/>
    <w:rsid w:val="007B49C5"/>
    <w:rsid w:val="007B4BE6"/>
    <w:rsid w:val="007B5A42"/>
    <w:rsid w:val="007B6AD7"/>
    <w:rsid w:val="007B6C3D"/>
    <w:rsid w:val="007B7020"/>
    <w:rsid w:val="007B72FA"/>
    <w:rsid w:val="007B7759"/>
    <w:rsid w:val="007B776F"/>
    <w:rsid w:val="007B7F63"/>
    <w:rsid w:val="007C0550"/>
    <w:rsid w:val="007C14FD"/>
    <w:rsid w:val="007C164C"/>
    <w:rsid w:val="007C210D"/>
    <w:rsid w:val="007C2422"/>
    <w:rsid w:val="007C2648"/>
    <w:rsid w:val="007C276E"/>
    <w:rsid w:val="007C3049"/>
    <w:rsid w:val="007C3D1A"/>
    <w:rsid w:val="007C3FF7"/>
    <w:rsid w:val="007C499B"/>
    <w:rsid w:val="007C5493"/>
    <w:rsid w:val="007C5545"/>
    <w:rsid w:val="007C69C3"/>
    <w:rsid w:val="007C6BCF"/>
    <w:rsid w:val="007D01E8"/>
    <w:rsid w:val="007D0305"/>
    <w:rsid w:val="007D155E"/>
    <w:rsid w:val="007D1B5F"/>
    <w:rsid w:val="007D1C69"/>
    <w:rsid w:val="007D30E8"/>
    <w:rsid w:val="007D32FD"/>
    <w:rsid w:val="007D4046"/>
    <w:rsid w:val="007D4331"/>
    <w:rsid w:val="007D4A82"/>
    <w:rsid w:val="007D4DCD"/>
    <w:rsid w:val="007D6600"/>
    <w:rsid w:val="007D67A5"/>
    <w:rsid w:val="007D6B0A"/>
    <w:rsid w:val="007D6E54"/>
    <w:rsid w:val="007D74FC"/>
    <w:rsid w:val="007D7AAE"/>
    <w:rsid w:val="007D7B13"/>
    <w:rsid w:val="007E12CA"/>
    <w:rsid w:val="007E4480"/>
    <w:rsid w:val="007E4674"/>
    <w:rsid w:val="007E491D"/>
    <w:rsid w:val="007E5409"/>
    <w:rsid w:val="007E55E6"/>
    <w:rsid w:val="007E6C96"/>
    <w:rsid w:val="007E7667"/>
    <w:rsid w:val="007E782A"/>
    <w:rsid w:val="007F08D7"/>
    <w:rsid w:val="007F114C"/>
    <w:rsid w:val="007F2592"/>
    <w:rsid w:val="007F351E"/>
    <w:rsid w:val="007F363B"/>
    <w:rsid w:val="007F40E6"/>
    <w:rsid w:val="007F469F"/>
    <w:rsid w:val="007F48B9"/>
    <w:rsid w:val="007F578E"/>
    <w:rsid w:val="007F5DD4"/>
    <w:rsid w:val="007F6C5D"/>
    <w:rsid w:val="007F6F71"/>
    <w:rsid w:val="007F7082"/>
    <w:rsid w:val="007F70D5"/>
    <w:rsid w:val="007F7AE7"/>
    <w:rsid w:val="007F7DF4"/>
    <w:rsid w:val="0080122C"/>
    <w:rsid w:val="00801564"/>
    <w:rsid w:val="0080227C"/>
    <w:rsid w:val="008024F2"/>
    <w:rsid w:val="0080419B"/>
    <w:rsid w:val="00804A21"/>
    <w:rsid w:val="00806829"/>
    <w:rsid w:val="00807596"/>
    <w:rsid w:val="00807803"/>
    <w:rsid w:val="00810491"/>
    <w:rsid w:val="00810720"/>
    <w:rsid w:val="00810A07"/>
    <w:rsid w:val="0081120D"/>
    <w:rsid w:val="0081148E"/>
    <w:rsid w:val="008115AB"/>
    <w:rsid w:val="00811DFF"/>
    <w:rsid w:val="0081260A"/>
    <w:rsid w:val="00812693"/>
    <w:rsid w:val="0081297A"/>
    <w:rsid w:val="00812EBC"/>
    <w:rsid w:val="0081365E"/>
    <w:rsid w:val="00813B3A"/>
    <w:rsid w:val="00813F85"/>
    <w:rsid w:val="00814027"/>
    <w:rsid w:val="00814DF7"/>
    <w:rsid w:val="008167D0"/>
    <w:rsid w:val="00816C27"/>
    <w:rsid w:val="0081767D"/>
    <w:rsid w:val="00820C1A"/>
    <w:rsid w:val="00821A62"/>
    <w:rsid w:val="00822491"/>
    <w:rsid w:val="008224F2"/>
    <w:rsid w:val="00822B9C"/>
    <w:rsid w:val="00822BC1"/>
    <w:rsid w:val="008240BB"/>
    <w:rsid w:val="008243F9"/>
    <w:rsid w:val="0082483C"/>
    <w:rsid w:val="00824B18"/>
    <w:rsid w:val="00825035"/>
    <w:rsid w:val="0082523E"/>
    <w:rsid w:val="00825D17"/>
    <w:rsid w:val="00826311"/>
    <w:rsid w:val="00826506"/>
    <w:rsid w:val="00826BFF"/>
    <w:rsid w:val="008271A2"/>
    <w:rsid w:val="00830A94"/>
    <w:rsid w:val="00830AAD"/>
    <w:rsid w:val="00830ED1"/>
    <w:rsid w:val="00830FEB"/>
    <w:rsid w:val="0083115A"/>
    <w:rsid w:val="00832C9C"/>
    <w:rsid w:val="008342C3"/>
    <w:rsid w:val="00836A2C"/>
    <w:rsid w:val="008370F0"/>
    <w:rsid w:val="008370FD"/>
    <w:rsid w:val="0084034C"/>
    <w:rsid w:val="008405B6"/>
    <w:rsid w:val="00840796"/>
    <w:rsid w:val="00841674"/>
    <w:rsid w:val="008416BC"/>
    <w:rsid w:val="0084315D"/>
    <w:rsid w:val="00843949"/>
    <w:rsid w:val="008441F3"/>
    <w:rsid w:val="00846156"/>
    <w:rsid w:val="008461C2"/>
    <w:rsid w:val="008463DB"/>
    <w:rsid w:val="00846493"/>
    <w:rsid w:val="008467B1"/>
    <w:rsid w:val="0084681D"/>
    <w:rsid w:val="00846BA4"/>
    <w:rsid w:val="008478D5"/>
    <w:rsid w:val="00847C94"/>
    <w:rsid w:val="008504F1"/>
    <w:rsid w:val="00850DF7"/>
    <w:rsid w:val="00851080"/>
    <w:rsid w:val="008511BE"/>
    <w:rsid w:val="00852214"/>
    <w:rsid w:val="00852547"/>
    <w:rsid w:val="00852990"/>
    <w:rsid w:val="00852D62"/>
    <w:rsid w:val="0085354C"/>
    <w:rsid w:val="00853936"/>
    <w:rsid w:val="008547BD"/>
    <w:rsid w:val="0085485F"/>
    <w:rsid w:val="008555A5"/>
    <w:rsid w:val="008561E9"/>
    <w:rsid w:val="0085622C"/>
    <w:rsid w:val="00857220"/>
    <w:rsid w:val="0085731F"/>
    <w:rsid w:val="00857633"/>
    <w:rsid w:val="00857741"/>
    <w:rsid w:val="008577B7"/>
    <w:rsid w:val="00857BFF"/>
    <w:rsid w:val="0086044F"/>
    <w:rsid w:val="00860870"/>
    <w:rsid w:val="008616C2"/>
    <w:rsid w:val="00861DEC"/>
    <w:rsid w:val="008622CA"/>
    <w:rsid w:val="00863354"/>
    <w:rsid w:val="008635C8"/>
    <w:rsid w:val="00864F2F"/>
    <w:rsid w:val="00865DBD"/>
    <w:rsid w:val="0086650F"/>
    <w:rsid w:val="00866B9D"/>
    <w:rsid w:val="00866BFD"/>
    <w:rsid w:val="00867554"/>
    <w:rsid w:val="00867FAF"/>
    <w:rsid w:val="00870283"/>
    <w:rsid w:val="0087521C"/>
    <w:rsid w:val="00876149"/>
    <w:rsid w:val="00876F20"/>
    <w:rsid w:val="00877C36"/>
    <w:rsid w:val="0088012C"/>
    <w:rsid w:val="0088094F"/>
    <w:rsid w:val="008818DD"/>
    <w:rsid w:val="00881918"/>
    <w:rsid w:val="00882D0E"/>
    <w:rsid w:val="008831A6"/>
    <w:rsid w:val="0088337B"/>
    <w:rsid w:val="008834B4"/>
    <w:rsid w:val="00885D4E"/>
    <w:rsid w:val="0088698A"/>
    <w:rsid w:val="00887100"/>
    <w:rsid w:val="00887900"/>
    <w:rsid w:val="008905D6"/>
    <w:rsid w:val="00892B8E"/>
    <w:rsid w:val="00893373"/>
    <w:rsid w:val="00893993"/>
    <w:rsid w:val="00893A67"/>
    <w:rsid w:val="00893B92"/>
    <w:rsid w:val="008940C8"/>
    <w:rsid w:val="008947E2"/>
    <w:rsid w:val="008957F1"/>
    <w:rsid w:val="00895AA2"/>
    <w:rsid w:val="00895B73"/>
    <w:rsid w:val="0089694E"/>
    <w:rsid w:val="008970ED"/>
    <w:rsid w:val="008A0505"/>
    <w:rsid w:val="008A0D72"/>
    <w:rsid w:val="008A1497"/>
    <w:rsid w:val="008A1E2E"/>
    <w:rsid w:val="008A2043"/>
    <w:rsid w:val="008A254F"/>
    <w:rsid w:val="008A410C"/>
    <w:rsid w:val="008A4A01"/>
    <w:rsid w:val="008A579B"/>
    <w:rsid w:val="008A57D5"/>
    <w:rsid w:val="008A6111"/>
    <w:rsid w:val="008A6181"/>
    <w:rsid w:val="008A6C81"/>
    <w:rsid w:val="008A6FFB"/>
    <w:rsid w:val="008A71D6"/>
    <w:rsid w:val="008B05CD"/>
    <w:rsid w:val="008B2475"/>
    <w:rsid w:val="008B294A"/>
    <w:rsid w:val="008B47B6"/>
    <w:rsid w:val="008B4818"/>
    <w:rsid w:val="008B5375"/>
    <w:rsid w:val="008B6075"/>
    <w:rsid w:val="008B609A"/>
    <w:rsid w:val="008B6ED8"/>
    <w:rsid w:val="008B7384"/>
    <w:rsid w:val="008B7558"/>
    <w:rsid w:val="008C06E7"/>
    <w:rsid w:val="008C0DE4"/>
    <w:rsid w:val="008C1EF5"/>
    <w:rsid w:val="008C21D6"/>
    <w:rsid w:val="008C25CD"/>
    <w:rsid w:val="008C383A"/>
    <w:rsid w:val="008C38F2"/>
    <w:rsid w:val="008C3F0A"/>
    <w:rsid w:val="008C413A"/>
    <w:rsid w:val="008C4427"/>
    <w:rsid w:val="008C48F0"/>
    <w:rsid w:val="008C4AD7"/>
    <w:rsid w:val="008C50A5"/>
    <w:rsid w:val="008C5523"/>
    <w:rsid w:val="008C5ADE"/>
    <w:rsid w:val="008C647A"/>
    <w:rsid w:val="008C72BB"/>
    <w:rsid w:val="008C730A"/>
    <w:rsid w:val="008D0124"/>
    <w:rsid w:val="008D07DE"/>
    <w:rsid w:val="008D0E6E"/>
    <w:rsid w:val="008D1071"/>
    <w:rsid w:val="008D128C"/>
    <w:rsid w:val="008D18E5"/>
    <w:rsid w:val="008D1C94"/>
    <w:rsid w:val="008D22A7"/>
    <w:rsid w:val="008D2987"/>
    <w:rsid w:val="008D2D39"/>
    <w:rsid w:val="008D2E25"/>
    <w:rsid w:val="008D3220"/>
    <w:rsid w:val="008D40F4"/>
    <w:rsid w:val="008D5969"/>
    <w:rsid w:val="008D61C1"/>
    <w:rsid w:val="008D6BD1"/>
    <w:rsid w:val="008D7481"/>
    <w:rsid w:val="008E1C3A"/>
    <w:rsid w:val="008E2730"/>
    <w:rsid w:val="008E2F61"/>
    <w:rsid w:val="008E3BD6"/>
    <w:rsid w:val="008E44F7"/>
    <w:rsid w:val="008E4A4C"/>
    <w:rsid w:val="008E4DE5"/>
    <w:rsid w:val="008E4ED7"/>
    <w:rsid w:val="008E4F5F"/>
    <w:rsid w:val="008E5978"/>
    <w:rsid w:val="008E64D9"/>
    <w:rsid w:val="008E7F0C"/>
    <w:rsid w:val="008F0044"/>
    <w:rsid w:val="008F0D36"/>
    <w:rsid w:val="008F149F"/>
    <w:rsid w:val="008F2E4D"/>
    <w:rsid w:val="008F3A3E"/>
    <w:rsid w:val="008F463A"/>
    <w:rsid w:val="008F4A55"/>
    <w:rsid w:val="008F4F5D"/>
    <w:rsid w:val="008F619F"/>
    <w:rsid w:val="008F7120"/>
    <w:rsid w:val="008F7B34"/>
    <w:rsid w:val="00900171"/>
    <w:rsid w:val="00901DCD"/>
    <w:rsid w:val="00901FEE"/>
    <w:rsid w:val="009022F2"/>
    <w:rsid w:val="00903480"/>
    <w:rsid w:val="00903B18"/>
    <w:rsid w:val="00904614"/>
    <w:rsid w:val="009046DB"/>
    <w:rsid w:val="00904DD2"/>
    <w:rsid w:val="0090597D"/>
    <w:rsid w:val="00905EA5"/>
    <w:rsid w:val="009063E0"/>
    <w:rsid w:val="0090706F"/>
    <w:rsid w:val="00907D1B"/>
    <w:rsid w:val="009114AE"/>
    <w:rsid w:val="00913A67"/>
    <w:rsid w:val="009140A1"/>
    <w:rsid w:val="00916081"/>
    <w:rsid w:val="0091624C"/>
    <w:rsid w:val="009167FE"/>
    <w:rsid w:val="00917D22"/>
    <w:rsid w:val="00917F38"/>
    <w:rsid w:val="00920FBA"/>
    <w:rsid w:val="00921B56"/>
    <w:rsid w:val="00921BD7"/>
    <w:rsid w:val="00921ED1"/>
    <w:rsid w:val="009221C8"/>
    <w:rsid w:val="009231BD"/>
    <w:rsid w:val="00923954"/>
    <w:rsid w:val="00924939"/>
    <w:rsid w:val="00924E2C"/>
    <w:rsid w:val="00925226"/>
    <w:rsid w:val="00925582"/>
    <w:rsid w:val="0092615D"/>
    <w:rsid w:val="009311C3"/>
    <w:rsid w:val="009317D6"/>
    <w:rsid w:val="00931BD6"/>
    <w:rsid w:val="00931E6E"/>
    <w:rsid w:val="00931EA8"/>
    <w:rsid w:val="009325C6"/>
    <w:rsid w:val="00932701"/>
    <w:rsid w:val="00933CDA"/>
    <w:rsid w:val="00934094"/>
    <w:rsid w:val="0093460E"/>
    <w:rsid w:val="00934C59"/>
    <w:rsid w:val="00934EFE"/>
    <w:rsid w:val="00935272"/>
    <w:rsid w:val="0093540F"/>
    <w:rsid w:val="00935707"/>
    <w:rsid w:val="0093694D"/>
    <w:rsid w:val="00936C38"/>
    <w:rsid w:val="0094040D"/>
    <w:rsid w:val="00940FD1"/>
    <w:rsid w:val="009417AF"/>
    <w:rsid w:val="0094222E"/>
    <w:rsid w:val="00943D0A"/>
    <w:rsid w:val="009444DC"/>
    <w:rsid w:val="00944515"/>
    <w:rsid w:val="00944FCC"/>
    <w:rsid w:val="00945136"/>
    <w:rsid w:val="00946305"/>
    <w:rsid w:val="00946720"/>
    <w:rsid w:val="009476A8"/>
    <w:rsid w:val="009502A2"/>
    <w:rsid w:val="009514BC"/>
    <w:rsid w:val="00951666"/>
    <w:rsid w:val="00952A6B"/>
    <w:rsid w:val="00952C32"/>
    <w:rsid w:val="00953452"/>
    <w:rsid w:val="0095386C"/>
    <w:rsid w:val="00954C9E"/>
    <w:rsid w:val="009566EE"/>
    <w:rsid w:val="00956F01"/>
    <w:rsid w:val="00957C54"/>
    <w:rsid w:val="009601A4"/>
    <w:rsid w:val="00960DE1"/>
    <w:rsid w:val="00961709"/>
    <w:rsid w:val="0096336F"/>
    <w:rsid w:val="0096344F"/>
    <w:rsid w:val="009635A3"/>
    <w:rsid w:val="00963651"/>
    <w:rsid w:val="00964310"/>
    <w:rsid w:val="009647E5"/>
    <w:rsid w:val="009653D7"/>
    <w:rsid w:val="0096546F"/>
    <w:rsid w:val="0096581D"/>
    <w:rsid w:val="00966308"/>
    <w:rsid w:val="009669A5"/>
    <w:rsid w:val="009669A7"/>
    <w:rsid w:val="00970149"/>
    <w:rsid w:val="00970814"/>
    <w:rsid w:val="00971519"/>
    <w:rsid w:val="00971B91"/>
    <w:rsid w:val="009740E4"/>
    <w:rsid w:val="0097519F"/>
    <w:rsid w:val="00975937"/>
    <w:rsid w:val="0097652C"/>
    <w:rsid w:val="00976B7A"/>
    <w:rsid w:val="00976D87"/>
    <w:rsid w:val="00977A48"/>
    <w:rsid w:val="00980881"/>
    <w:rsid w:val="0098197C"/>
    <w:rsid w:val="00981FEE"/>
    <w:rsid w:val="009822C9"/>
    <w:rsid w:val="00982AFE"/>
    <w:rsid w:val="00982B87"/>
    <w:rsid w:val="00982F3A"/>
    <w:rsid w:val="009830EC"/>
    <w:rsid w:val="009831E3"/>
    <w:rsid w:val="00983C0C"/>
    <w:rsid w:val="00984505"/>
    <w:rsid w:val="00984AD4"/>
    <w:rsid w:val="00986CF8"/>
    <w:rsid w:val="00990111"/>
    <w:rsid w:val="009911BC"/>
    <w:rsid w:val="00991FC8"/>
    <w:rsid w:val="0099202B"/>
    <w:rsid w:val="009928EE"/>
    <w:rsid w:val="00993CE4"/>
    <w:rsid w:val="00993FB6"/>
    <w:rsid w:val="00995C01"/>
    <w:rsid w:val="00996178"/>
    <w:rsid w:val="0099654F"/>
    <w:rsid w:val="009966E0"/>
    <w:rsid w:val="00996E0C"/>
    <w:rsid w:val="00996F4A"/>
    <w:rsid w:val="009A0DD5"/>
    <w:rsid w:val="009A12B1"/>
    <w:rsid w:val="009A3435"/>
    <w:rsid w:val="009A409B"/>
    <w:rsid w:val="009A44C8"/>
    <w:rsid w:val="009A451E"/>
    <w:rsid w:val="009A4CB6"/>
    <w:rsid w:val="009A4D1E"/>
    <w:rsid w:val="009A4E7C"/>
    <w:rsid w:val="009A52F9"/>
    <w:rsid w:val="009A56DD"/>
    <w:rsid w:val="009A67BF"/>
    <w:rsid w:val="009B0A7E"/>
    <w:rsid w:val="009B1194"/>
    <w:rsid w:val="009B2016"/>
    <w:rsid w:val="009B288F"/>
    <w:rsid w:val="009B2D83"/>
    <w:rsid w:val="009B3405"/>
    <w:rsid w:val="009B38D4"/>
    <w:rsid w:val="009B50C5"/>
    <w:rsid w:val="009B566D"/>
    <w:rsid w:val="009B6654"/>
    <w:rsid w:val="009C0102"/>
    <w:rsid w:val="009C06F1"/>
    <w:rsid w:val="009C1555"/>
    <w:rsid w:val="009C1968"/>
    <w:rsid w:val="009C26ED"/>
    <w:rsid w:val="009C27E8"/>
    <w:rsid w:val="009C3121"/>
    <w:rsid w:val="009C36B5"/>
    <w:rsid w:val="009C682C"/>
    <w:rsid w:val="009C6A0C"/>
    <w:rsid w:val="009C6D22"/>
    <w:rsid w:val="009C7FB0"/>
    <w:rsid w:val="009D1E46"/>
    <w:rsid w:val="009D23DC"/>
    <w:rsid w:val="009D33E1"/>
    <w:rsid w:val="009D3ED9"/>
    <w:rsid w:val="009D3F73"/>
    <w:rsid w:val="009D43A3"/>
    <w:rsid w:val="009D4BC8"/>
    <w:rsid w:val="009D535E"/>
    <w:rsid w:val="009D561C"/>
    <w:rsid w:val="009D57C9"/>
    <w:rsid w:val="009D6961"/>
    <w:rsid w:val="009D6A5E"/>
    <w:rsid w:val="009E0AA4"/>
    <w:rsid w:val="009E1001"/>
    <w:rsid w:val="009E14F0"/>
    <w:rsid w:val="009E20A8"/>
    <w:rsid w:val="009E2874"/>
    <w:rsid w:val="009E2B60"/>
    <w:rsid w:val="009E31EA"/>
    <w:rsid w:val="009E393F"/>
    <w:rsid w:val="009E41E3"/>
    <w:rsid w:val="009E515F"/>
    <w:rsid w:val="009E5AE1"/>
    <w:rsid w:val="009E6328"/>
    <w:rsid w:val="009E785A"/>
    <w:rsid w:val="009E78DC"/>
    <w:rsid w:val="009F006D"/>
    <w:rsid w:val="009F04C3"/>
    <w:rsid w:val="009F05FC"/>
    <w:rsid w:val="009F06EC"/>
    <w:rsid w:val="009F0BC0"/>
    <w:rsid w:val="009F0EA2"/>
    <w:rsid w:val="009F0F98"/>
    <w:rsid w:val="009F1F47"/>
    <w:rsid w:val="009F3634"/>
    <w:rsid w:val="009F5221"/>
    <w:rsid w:val="009F57DE"/>
    <w:rsid w:val="009F5CA9"/>
    <w:rsid w:val="009F5CB1"/>
    <w:rsid w:val="009F7726"/>
    <w:rsid w:val="009F7CE7"/>
    <w:rsid w:val="00A0059C"/>
    <w:rsid w:val="00A0095C"/>
    <w:rsid w:val="00A01239"/>
    <w:rsid w:val="00A01482"/>
    <w:rsid w:val="00A0190C"/>
    <w:rsid w:val="00A029D2"/>
    <w:rsid w:val="00A02AF1"/>
    <w:rsid w:val="00A03715"/>
    <w:rsid w:val="00A0544D"/>
    <w:rsid w:val="00A05C5F"/>
    <w:rsid w:val="00A06278"/>
    <w:rsid w:val="00A06744"/>
    <w:rsid w:val="00A06F5A"/>
    <w:rsid w:val="00A07072"/>
    <w:rsid w:val="00A07808"/>
    <w:rsid w:val="00A10D77"/>
    <w:rsid w:val="00A122CA"/>
    <w:rsid w:val="00A12970"/>
    <w:rsid w:val="00A12F3D"/>
    <w:rsid w:val="00A1347B"/>
    <w:rsid w:val="00A13A81"/>
    <w:rsid w:val="00A13CF3"/>
    <w:rsid w:val="00A13D42"/>
    <w:rsid w:val="00A14190"/>
    <w:rsid w:val="00A14C66"/>
    <w:rsid w:val="00A154FA"/>
    <w:rsid w:val="00A15CAC"/>
    <w:rsid w:val="00A15DFF"/>
    <w:rsid w:val="00A161CB"/>
    <w:rsid w:val="00A167D7"/>
    <w:rsid w:val="00A167FD"/>
    <w:rsid w:val="00A168D5"/>
    <w:rsid w:val="00A20526"/>
    <w:rsid w:val="00A2066C"/>
    <w:rsid w:val="00A209FA"/>
    <w:rsid w:val="00A212F6"/>
    <w:rsid w:val="00A21FB5"/>
    <w:rsid w:val="00A22701"/>
    <w:rsid w:val="00A229FD"/>
    <w:rsid w:val="00A23093"/>
    <w:rsid w:val="00A23937"/>
    <w:rsid w:val="00A2460F"/>
    <w:rsid w:val="00A255A0"/>
    <w:rsid w:val="00A25D7A"/>
    <w:rsid w:val="00A26643"/>
    <w:rsid w:val="00A268B2"/>
    <w:rsid w:val="00A26C8D"/>
    <w:rsid w:val="00A26D28"/>
    <w:rsid w:val="00A27247"/>
    <w:rsid w:val="00A27518"/>
    <w:rsid w:val="00A27B08"/>
    <w:rsid w:val="00A3042C"/>
    <w:rsid w:val="00A3063C"/>
    <w:rsid w:val="00A30A6C"/>
    <w:rsid w:val="00A30C63"/>
    <w:rsid w:val="00A30EE9"/>
    <w:rsid w:val="00A311F4"/>
    <w:rsid w:val="00A312A2"/>
    <w:rsid w:val="00A312B8"/>
    <w:rsid w:val="00A318D8"/>
    <w:rsid w:val="00A319FD"/>
    <w:rsid w:val="00A31E6F"/>
    <w:rsid w:val="00A3342C"/>
    <w:rsid w:val="00A336EA"/>
    <w:rsid w:val="00A34B87"/>
    <w:rsid w:val="00A35A80"/>
    <w:rsid w:val="00A36B6B"/>
    <w:rsid w:val="00A40090"/>
    <w:rsid w:val="00A40110"/>
    <w:rsid w:val="00A4144C"/>
    <w:rsid w:val="00A42870"/>
    <w:rsid w:val="00A42E6A"/>
    <w:rsid w:val="00A437F0"/>
    <w:rsid w:val="00A43BD2"/>
    <w:rsid w:val="00A440BF"/>
    <w:rsid w:val="00A44B33"/>
    <w:rsid w:val="00A45809"/>
    <w:rsid w:val="00A45F19"/>
    <w:rsid w:val="00A4612A"/>
    <w:rsid w:val="00A4649F"/>
    <w:rsid w:val="00A4662C"/>
    <w:rsid w:val="00A46925"/>
    <w:rsid w:val="00A474AA"/>
    <w:rsid w:val="00A50B35"/>
    <w:rsid w:val="00A5181F"/>
    <w:rsid w:val="00A51D1F"/>
    <w:rsid w:val="00A52271"/>
    <w:rsid w:val="00A52D21"/>
    <w:rsid w:val="00A539DD"/>
    <w:rsid w:val="00A53D03"/>
    <w:rsid w:val="00A54093"/>
    <w:rsid w:val="00A54199"/>
    <w:rsid w:val="00A541CF"/>
    <w:rsid w:val="00A55C23"/>
    <w:rsid w:val="00A56D0D"/>
    <w:rsid w:val="00A5789F"/>
    <w:rsid w:val="00A6046C"/>
    <w:rsid w:val="00A619CB"/>
    <w:rsid w:val="00A61A29"/>
    <w:rsid w:val="00A6234E"/>
    <w:rsid w:val="00A62AE2"/>
    <w:rsid w:val="00A6334C"/>
    <w:rsid w:val="00A638EF"/>
    <w:rsid w:val="00A63A8D"/>
    <w:rsid w:val="00A64044"/>
    <w:rsid w:val="00A641FE"/>
    <w:rsid w:val="00A64B3F"/>
    <w:rsid w:val="00A654E9"/>
    <w:rsid w:val="00A65F38"/>
    <w:rsid w:val="00A66051"/>
    <w:rsid w:val="00A66B49"/>
    <w:rsid w:val="00A66EE5"/>
    <w:rsid w:val="00A67207"/>
    <w:rsid w:val="00A67F56"/>
    <w:rsid w:val="00A70E55"/>
    <w:rsid w:val="00A71F30"/>
    <w:rsid w:val="00A72B1E"/>
    <w:rsid w:val="00A74FD2"/>
    <w:rsid w:val="00A75369"/>
    <w:rsid w:val="00A762EB"/>
    <w:rsid w:val="00A767B7"/>
    <w:rsid w:val="00A7696D"/>
    <w:rsid w:val="00A80276"/>
    <w:rsid w:val="00A80767"/>
    <w:rsid w:val="00A80D2F"/>
    <w:rsid w:val="00A81ECE"/>
    <w:rsid w:val="00A81F55"/>
    <w:rsid w:val="00A83A71"/>
    <w:rsid w:val="00A853EF"/>
    <w:rsid w:val="00A8566E"/>
    <w:rsid w:val="00A85A11"/>
    <w:rsid w:val="00A8636A"/>
    <w:rsid w:val="00A8637A"/>
    <w:rsid w:val="00A865CC"/>
    <w:rsid w:val="00A86DC2"/>
    <w:rsid w:val="00A875F1"/>
    <w:rsid w:val="00A902F9"/>
    <w:rsid w:val="00A90450"/>
    <w:rsid w:val="00A90455"/>
    <w:rsid w:val="00A9078D"/>
    <w:rsid w:val="00A942F3"/>
    <w:rsid w:val="00A9525C"/>
    <w:rsid w:val="00A95B63"/>
    <w:rsid w:val="00A96025"/>
    <w:rsid w:val="00A96B34"/>
    <w:rsid w:val="00AA10EB"/>
    <w:rsid w:val="00AA15E9"/>
    <w:rsid w:val="00AA1C0B"/>
    <w:rsid w:val="00AA35D7"/>
    <w:rsid w:val="00AA3F57"/>
    <w:rsid w:val="00AA569C"/>
    <w:rsid w:val="00AA6B74"/>
    <w:rsid w:val="00AA6ED9"/>
    <w:rsid w:val="00AA707A"/>
    <w:rsid w:val="00AB02B9"/>
    <w:rsid w:val="00AB0CEC"/>
    <w:rsid w:val="00AB152F"/>
    <w:rsid w:val="00AB17AF"/>
    <w:rsid w:val="00AB2EC9"/>
    <w:rsid w:val="00AB498A"/>
    <w:rsid w:val="00AB4C5E"/>
    <w:rsid w:val="00AB5703"/>
    <w:rsid w:val="00AB58A4"/>
    <w:rsid w:val="00AB62B6"/>
    <w:rsid w:val="00AB69D4"/>
    <w:rsid w:val="00AB6AB4"/>
    <w:rsid w:val="00AB74CC"/>
    <w:rsid w:val="00AB753E"/>
    <w:rsid w:val="00AB78DC"/>
    <w:rsid w:val="00AC01DE"/>
    <w:rsid w:val="00AC0770"/>
    <w:rsid w:val="00AC1FC2"/>
    <w:rsid w:val="00AC2939"/>
    <w:rsid w:val="00AC2A7C"/>
    <w:rsid w:val="00AC3825"/>
    <w:rsid w:val="00AC39BC"/>
    <w:rsid w:val="00AC3DBD"/>
    <w:rsid w:val="00AC5318"/>
    <w:rsid w:val="00AC6BF5"/>
    <w:rsid w:val="00AC7D1C"/>
    <w:rsid w:val="00AC7E96"/>
    <w:rsid w:val="00AD089E"/>
    <w:rsid w:val="00AD1D4F"/>
    <w:rsid w:val="00AD2046"/>
    <w:rsid w:val="00AD20FE"/>
    <w:rsid w:val="00AD25E3"/>
    <w:rsid w:val="00AD2934"/>
    <w:rsid w:val="00AD2E33"/>
    <w:rsid w:val="00AD418D"/>
    <w:rsid w:val="00AD5137"/>
    <w:rsid w:val="00AD5837"/>
    <w:rsid w:val="00AD7A7C"/>
    <w:rsid w:val="00AD7C6D"/>
    <w:rsid w:val="00AD7D1F"/>
    <w:rsid w:val="00AE0535"/>
    <w:rsid w:val="00AE0746"/>
    <w:rsid w:val="00AE1026"/>
    <w:rsid w:val="00AE21B9"/>
    <w:rsid w:val="00AE228F"/>
    <w:rsid w:val="00AE2EA5"/>
    <w:rsid w:val="00AE365F"/>
    <w:rsid w:val="00AE3C86"/>
    <w:rsid w:val="00AE4FC3"/>
    <w:rsid w:val="00AE5262"/>
    <w:rsid w:val="00AE54A7"/>
    <w:rsid w:val="00AE6126"/>
    <w:rsid w:val="00AE6462"/>
    <w:rsid w:val="00AE6B86"/>
    <w:rsid w:val="00AE7581"/>
    <w:rsid w:val="00AE7B22"/>
    <w:rsid w:val="00AF1162"/>
    <w:rsid w:val="00AF148D"/>
    <w:rsid w:val="00AF1513"/>
    <w:rsid w:val="00AF1693"/>
    <w:rsid w:val="00AF2215"/>
    <w:rsid w:val="00AF2886"/>
    <w:rsid w:val="00AF2923"/>
    <w:rsid w:val="00AF29A9"/>
    <w:rsid w:val="00AF3454"/>
    <w:rsid w:val="00AF3C75"/>
    <w:rsid w:val="00AF41DE"/>
    <w:rsid w:val="00AF47E1"/>
    <w:rsid w:val="00AF4A1F"/>
    <w:rsid w:val="00AF4AB0"/>
    <w:rsid w:val="00AF4BCC"/>
    <w:rsid w:val="00AF5351"/>
    <w:rsid w:val="00AF6195"/>
    <w:rsid w:val="00AF6A41"/>
    <w:rsid w:val="00AF6D36"/>
    <w:rsid w:val="00AF736D"/>
    <w:rsid w:val="00B01499"/>
    <w:rsid w:val="00B01A56"/>
    <w:rsid w:val="00B01E62"/>
    <w:rsid w:val="00B0213E"/>
    <w:rsid w:val="00B0250A"/>
    <w:rsid w:val="00B03EA9"/>
    <w:rsid w:val="00B04B7E"/>
    <w:rsid w:val="00B050C8"/>
    <w:rsid w:val="00B05588"/>
    <w:rsid w:val="00B064BA"/>
    <w:rsid w:val="00B0683A"/>
    <w:rsid w:val="00B06B5A"/>
    <w:rsid w:val="00B072C6"/>
    <w:rsid w:val="00B07726"/>
    <w:rsid w:val="00B07D10"/>
    <w:rsid w:val="00B111F1"/>
    <w:rsid w:val="00B117DA"/>
    <w:rsid w:val="00B117F8"/>
    <w:rsid w:val="00B11F82"/>
    <w:rsid w:val="00B11F8B"/>
    <w:rsid w:val="00B12FFE"/>
    <w:rsid w:val="00B1431E"/>
    <w:rsid w:val="00B15CD8"/>
    <w:rsid w:val="00B16477"/>
    <w:rsid w:val="00B165F9"/>
    <w:rsid w:val="00B17667"/>
    <w:rsid w:val="00B17FF7"/>
    <w:rsid w:val="00B2000E"/>
    <w:rsid w:val="00B2055A"/>
    <w:rsid w:val="00B20F22"/>
    <w:rsid w:val="00B21202"/>
    <w:rsid w:val="00B2142C"/>
    <w:rsid w:val="00B218C9"/>
    <w:rsid w:val="00B22377"/>
    <w:rsid w:val="00B23859"/>
    <w:rsid w:val="00B23C22"/>
    <w:rsid w:val="00B23C91"/>
    <w:rsid w:val="00B24125"/>
    <w:rsid w:val="00B255B5"/>
    <w:rsid w:val="00B25D5C"/>
    <w:rsid w:val="00B32284"/>
    <w:rsid w:val="00B325F6"/>
    <w:rsid w:val="00B32731"/>
    <w:rsid w:val="00B32869"/>
    <w:rsid w:val="00B32895"/>
    <w:rsid w:val="00B32BED"/>
    <w:rsid w:val="00B335CC"/>
    <w:rsid w:val="00B33619"/>
    <w:rsid w:val="00B33B58"/>
    <w:rsid w:val="00B3421C"/>
    <w:rsid w:val="00B348E8"/>
    <w:rsid w:val="00B34C4B"/>
    <w:rsid w:val="00B34EF5"/>
    <w:rsid w:val="00B35288"/>
    <w:rsid w:val="00B35868"/>
    <w:rsid w:val="00B358DA"/>
    <w:rsid w:val="00B36272"/>
    <w:rsid w:val="00B3730D"/>
    <w:rsid w:val="00B3749B"/>
    <w:rsid w:val="00B403D9"/>
    <w:rsid w:val="00B409FE"/>
    <w:rsid w:val="00B40CD8"/>
    <w:rsid w:val="00B4137A"/>
    <w:rsid w:val="00B43822"/>
    <w:rsid w:val="00B43870"/>
    <w:rsid w:val="00B43C6A"/>
    <w:rsid w:val="00B46585"/>
    <w:rsid w:val="00B46CB5"/>
    <w:rsid w:val="00B4732D"/>
    <w:rsid w:val="00B4741A"/>
    <w:rsid w:val="00B47AE2"/>
    <w:rsid w:val="00B47D49"/>
    <w:rsid w:val="00B47EB9"/>
    <w:rsid w:val="00B513F2"/>
    <w:rsid w:val="00B517F0"/>
    <w:rsid w:val="00B519A1"/>
    <w:rsid w:val="00B51B68"/>
    <w:rsid w:val="00B52976"/>
    <w:rsid w:val="00B5305B"/>
    <w:rsid w:val="00B5322A"/>
    <w:rsid w:val="00B533F8"/>
    <w:rsid w:val="00B5347A"/>
    <w:rsid w:val="00B54CD9"/>
    <w:rsid w:val="00B550CE"/>
    <w:rsid w:val="00B55903"/>
    <w:rsid w:val="00B55F3C"/>
    <w:rsid w:val="00B56CA4"/>
    <w:rsid w:val="00B60902"/>
    <w:rsid w:val="00B60F7A"/>
    <w:rsid w:val="00B62161"/>
    <w:rsid w:val="00B62C31"/>
    <w:rsid w:val="00B638A0"/>
    <w:rsid w:val="00B63BDF"/>
    <w:rsid w:val="00B63DB3"/>
    <w:rsid w:val="00B6481E"/>
    <w:rsid w:val="00B64AFA"/>
    <w:rsid w:val="00B64F0D"/>
    <w:rsid w:val="00B668D9"/>
    <w:rsid w:val="00B676C2"/>
    <w:rsid w:val="00B67F6E"/>
    <w:rsid w:val="00B702AB"/>
    <w:rsid w:val="00B717CD"/>
    <w:rsid w:val="00B71C29"/>
    <w:rsid w:val="00B71E31"/>
    <w:rsid w:val="00B7262E"/>
    <w:rsid w:val="00B72901"/>
    <w:rsid w:val="00B73B6C"/>
    <w:rsid w:val="00B74A8B"/>
    <w:rsid w:val="00B7524D"/>
    <w:rsid w:val="00B76421"/>
    <w:rsid w:val="00B7705E"/>
    <w:rsid w:val="00B77594"/>
    <w:rsid w:val="00B775EE"/>
    <w:rsid w:val="00B77FAD"/>
    <w:rsid w:val="00B80016"/>
    <w:rsid w:val="00B80086"/>
    <w:rsid w:val="00B80C39"/>
    <w:rsid w:val="00B81A8C"/>
    <w:rsid w:val="00B81CE3"/>
    <w:rsid w:val="00B81D0C"/>
    <w:rsid w:val="00B823E2"/>
    <w:rsid w:val="00B82B41"/>
    <w:rsid w:val="00B8326A"/>
    <w:rsid w:val="00B836A9"/>
    <w:rsid w:val="00B83C50"/>
    <w:rsid w:val="00B83D6C"/>
    <w:rsid w:val="00B8557F"/>
    <w:rsid w:val="00B86333"/>
    <w:rsid w:val="00B86523"/>
    <w:rsid w:val="00B86919"/>
    <w:rsid w:val="00B86E36"/>
    <w:rsid w:val="00B86F10"/>
    <w:rsid w:val="00B872D8"/>
    <w:rsid w:val="00B90895"/>
    <w:rsid w:val="00B91C3E"/>
    <w:rsid w:val="00B91F29"/>
    <w:rsid w:val="00B922F7"/>
    <w:rsid w:val="00B924B7"/>
    <w:rsid w:val="00B92CAD"/>
    <w:rsid w:val="00B930C6"/>
    <w:rsid w:val="00B940ED"/>
    <w:rsid w:val="00B94D8D"/>
    <w:rsid w:val="00B95200"/>
    <w:rsid w:val="00B96260"/>
    <w:rsid w:val="00B96925"/>
    <w:rsid w:val="00B97D63"/>
    <w:rsid w:val="00BA03C4"/>
    <w:rsid w:val="00BA0AB1"/>
    <w:rsid w:val="00BA0DE6"/>
    <w:rsid w:val="00BA0ED7"/>
    <w:rsid w:val="00BA12B6"/>
    <w:rsid w:val="00BA1EF0"/>
    <w:rsid w:val="00BA257A"/>
    <w:rsid w:val="00BA2607"/>
    <w:rsid w:val="00BA2691"/>
    <w:rsid w:val="00BA26E6"/>
    <w:rsid w:val="00BA2E8A"/>
    <w:rsid w:val="00BA4F49"/>
    <w:rsid w:val="00BA54F8"/>
    <w:rsid w:val="00BA6044"/>
    <w:rsid w:val="00BA7799"/>
    <w:rsid w:val="00BB119D"/>
    <w:rsid w:val="00BB12A2"/>
    <w:rsid w:val="00BB1720"/>
    <w:rsid w:val="00BB17DA"/>
    <w:rsid w:val="00BB2A06"/>
    <w:rsid w:val="00BB31BD"/>
    <w:rsid w:val="00BB371A"/>
    <w:rsid w:val="00BB3970"/>
    <w:rsid w:val="00BB3E49"/>
    <w:rsid w:val="00BB3FF4"/>
    <w:rsid w:val="00BB4EE0"/>
    <w:rsid w:val="00BB4FD1"/>
    <w:rsid w:val="00BB52CE"/>
    <w:rsid w:val="00BB56DD"/>
    <w:rsid w:val="00BB5848"/>
    <w:rsid w:val="00BB6A41"/>
    <w:rsid w:val="00BB70A3"/>
    <w:rsid w:val="00BB7A02"/>
    <w:rsid w:val="00BC0A3E"/>
    <w:rsid w:val="00BC1263"/>
    <w:rsid w:val="00BC12F5"/>
    <w:rsid w:val="00BC1CC2"/>
    <w:rsid w:val="00BC1E9D"/>
    <w:rsid w:val="00BC21F1"/>
    <w:rsid w:val="00BC2D68"/>
    <w:rsid w:val="00BC3054"/>
    <w:rsid w:val="00BC3615"/>
    <w:rsid w:val="00BC4208"/>
    <w:rsid w:val="00BC46A7"/>
    <w:rsid w:val="00BC4989"/>
    <w:rsid w:val="00BC53AC"/>
    <w:rsid w:val="00BC6820"/>
    <w:rsid w:val="00BC6D97"/>
    <w:rsid w:val="00BC6E23"/>
    <w:rsid w:val="00BC6E81"/>
    <w:rsid w:val="00BC71CA"/>
    <w:rsid w:val="00BC7FFD"/>
    <w:rsid w:val="00BD0CD8"/>
    <w:rsid w:val="00BD0E9D"/>
    <w:rsid w:val="00BD206D"/>
    <w:rsid w:val="00BD2520"/>
    <w:rsid w:val="00BD25C6"/>
    <w:rsid w:val="00BD3FA6"/>
    <w:rsid w:val="00BD4507"/>
    <w:rsid w:val="00BD47C2"/>
    <w:rsid w:val="00BD4A65"/>
    <w:rsid w:val="00BD4C56"/>
    <w:rsid w:val="00BD5DEC"/>
    <w:rsid w:val="00BD640E"/>
    <w:rsid w:val="00BD6E7D"/>
    <w:rsid w:val="00BD710F"/>
    <w:rsid w:val="00BD7196"/>
    <w:rsid w:val="00BD741C"/>
    <w:rsid w:val="00BE0E4C"/>
    <w:rsid w:val="00BE0F2B"/>
    <w:rsid w:val="00BE1AA1"/>
    <w:rsid w:val="00BE21DC"/>
    <w:rsid w:val="00BE2AD5"/>
    <w:rsid w:val="00BE3352"/>
    <w:rsid w:val="00BE3A46"/>
    <w:rsid w:val="00BE3AE7"/>
    <w:rsid w:val="00BE415E"/>
    <w:rsid w:val="00BE4B92"/>
    <w:rsid w:val="00BE4DCB"/>
    <w:rsid w:val="00BE5C4B"/>
    <w:rsid w:val="00BE5D04"/>
    <w:rsid w:val="00BE6676"/>
    <w:rsid w:val="00BE681F"/>
    <w:rsid w:val="00BE7CB3"/>
    <w:rsid w:val="00BE7FC9"/>
    <w:rsid w:val="00BF0172"/>
    <w:rsid w:val="00BF05E1"/>
    <w:rsid w:val="00BF08C0"/>
    <w:rsid w:val="00BF14FF"/>
    <w:rsid w:val="00BF169C"/>
    <w:rsid w:val="00BF17BE"/>
    <w:rsid w:val="00BF1D28"/>
    <w:rsid w:val="00BF1D72"/>
    <w:rsid w:val="00BF35C6"/>
    <w:rsid w:val="00BF4B10"/>
    <w:rsid w:val="00BF4E8F"/>
    <w:rsid w:val="00BF4F10"/>
    <w:rsid w:val="00BF6123"/>
    <w:rsid w:val="00BF6356"/>
    <w:rsid w:val="00BF641F"/>
    <w:rsid w:val="00BF6762"/>
    <w:rsid w:val="00BF69AC"/>
    <w:rsid w:val="00BF6C15"/>
    <w:rsid w:val="00BF78BA"/>
    <w:rsid w:val="00BF7F9F"/>
    <w:rsid w:val="00C00DF2"/>
    <w:rsid w:val="00C01391"/>
    <w:rsid w:val="00C0248B"/>
    <w:rsid w:val="00C032E5"/>
    <w:rsid w:val="00C0334E"/>
    <w:rsid w:val="00C03600"/>
    <w:rsid w:val="00C03688"/>
    <w:rsid w:val="00C04C61"/>
    <w:rsid w:val="00C05C9C"/>
    <w:rsid w:val="00C06C59"/>
    <w:rsid w:val="00C07626"/>
    <w:rsid w:val="00C0793B"/>
    <w:rsid w:val="00C07F06"/>
    <w:rsid w:val="00C07F6D"/>
    <w:rsid w:val="00C100CA"/>
    <w:rsid w:val="00C108A8"/>
    <w:rsid w:val="00C1199B"/>
    <w:rsid w:val="00C11BDB"/>
    <w:rsid w:val="00C1290E"/>
    <w:rsid w:val="00C1310D"/>
    <w:rsid w:val="00C134CC"/>
    <w:rsid w:val="00C136A9"/>
    <w:rsid w:val="00C1392A"/>
    <w:rsid w:val="00C1544A"/>
    <w:rsid w:val="00C15A5E"/>
    <w:rsid w:val="00C15BDD"/>
    <w:rsid w:val="00C15F2D"/>
    <w:rsid w:val="00C160B8"/>
    <w:rsid w:val="00C161E9"/>
    <w:rsid w:val="00C1698C"/>
    <w:rsid w:val="00C16F03"/>
    <w:rsid w:val="00C177E4"/>
    <w:rsid w:val="00C21C05"/>
    <w:rsid w:val="00C21C32"/>
    <w:rsid w:val="00C21FB3"/>
    <w:rsid w:val="00C22724"/>
    <w:rsid w:val="00C22F32"/>
    <w:rsid w:val="00C23508"/>
    <w:rsid w:val="00C23696"/>
    <w:rsid w:val="00C238C7"/>
    <w:rsid w:val="00C24CED"/>
    <w:rsid w:val="00C2527F"/>
    <w:rsid w:val="00C25692"/>
    <w:rsid w:val="00C257BD"/>
    <w:rsid w:val="00C25D2A"/>
    <w:rsid w:val="00C26C9F"/>
    <w:rsid w:val="00C26E3F"/>
    <w:rsid w:val="00C27826"/>
    <w:rsid w:val="00C2796F"/>
    <w:rsid w:val="00C3022D"/>
    <w:rsid w:val="00C316A3"/>
    <w:rsid w:val="00C31BCF"/>
    <w:rsid w:val="00C329EC"/>
    <w:rsid w:val="00C32B43"/>
    <w:rsid w:val="00C32B5A"/>
    <w:rsid w:val="00C331A1"/>
    <w:rsid w:val="00C33BA0"/>
    <w:rsid w:val="00C33DD0"/>
    <w:rsid w:val="00C34946"/>
    <w:rsid w:val="00C35B6E"/>
    <w:rsid w:val="00C35D2B"/>
    <w:rsid w:val="00C35D7E"/>
    <w:rsid w:val="00C35ECD"/>
    <w:rsid w:val="00C360E3"/>
    <w:rsid w:val="00C361B0"/>
    <w:rsid w:val="00C36F8F"/>
    <w:rsid w:val="00C40632"/>
    <w:rsid w:val="00C40F77"/>
    <w:rsid w:val="00C40FC4"/>
    <w:rsid w:val="00C41E16"/>
    <w:rsid w:val="00C429DF"/>
    <w:rsid w:val="00C42ECC"/>
    <w:rsid w:val="00C4341C"/>
    <w:rsid w:val="00C4361D"/>
    <w:rsid w:val="00C43C44"/>
    <w:rsid w:val="00C44B6A"/>
    <w:rsid w:val="00C452B0"/>
    <w:rsid w:val="00C45537"/>
    <w:rsid w:val="00C456AB"/>
    <w:rsid w:val="00C45954"/>
    <w:rsid w:val="00C45C01"/>
    <w:rsid w:val="00C45E8D"/>
    <w:rsid w:val="00C4711C"/>
    <w:rsid w:val="00C4734E"/>
    <w:rsid w:val="00C476E0"/>
    <w:rsid w:val="00C47FE5"/>
    <w:rsid w:val="00C502BE"/>
    <w:rsid w:val="00C50CF1"/>
    <w:rsid w:val="00C50FF7"/>
    <w:rsid w:val="00C51EAA"/>
    <w:rsid w:val="00C52D23"/>
    <w:rsid w:val="00C53DC7"/>
    <w:rsid w:val="00C55251"/>
    <w:rsid w:val="00C578FB"/>
    <w:rsid w:val="00C60229"/>
    <w:rsid w:val="00C60450"/>
    <w:rsid w:val="00C60453"/>
    <w:rsid w:val="00C604D2"/>
    <w:rsid w:val="00C6055C"/>
    <w:rsid w:val="00C606A2"/>
    <w:rsid w:val="00C61D96"/>
    <w:rsid w:val="00C62636"/>
    <w:rsid w:val="00C62DEC"/>
    <w:rsid w:val="00C62E3A"/>
    <w:rsid w:val="00C63118"/>
    <w:rsid w:val="00C646F5"/>
    <w:rsid w:val="00C64730"/>
    <w:rsid w:val="00C6479E"/>
    <w:rsid w:val="00C648DF"/>
    <w:rsid w:val="00C65F22"/>
    <w:rsid w:val="00C66606"/>
    <w:rsid w:val="00C6669E"/>
    <w:rsid w:val="00C669FB"/>
    <w:rsid w:val="00C706AC"/>
    <w:rsid w:val="00C708FD"/>
    <w:rsid w:val="00C70A20"/>
    <w:rsid w:val="00C70ACD"/>
    <w:rsid w:val="00C70E60"/>
    <w:rsid w:val="00C73773"/>
    <w:rsid w:val="00C74C25"/>
    <w:rsid w:val="00C754C9"/>
    <w:rsid w:val="00C759C0"/>
    <w:rsid w:val="00C75C9F"/>
    <w:rsid w:val="00C7604D"/>
    <w:rsid w:val="00C7647D"/>
    <w:rsid w:val="00C764DA"/>
    <w:rsid w:val="00C76904"/>
    <w:rsid w:val="00C77D10"/>
    <w:rsid w:val="00C815DB"/>
    <w:rsid w:val="00C820FA"/>
    <w:rsid w:val="00C8216D"/>
    <w:rsid w:val="00C822DD"/>
    <w:rsid w:val="00C82A02"/>
    <w:rsid w:val="00C837F0"/>
    <w:rsid w:val="00C83E43"/>
    <w:rsid w:val="00C8439A"/>
    <w:rsid w:val="00C84801"/>
    <w:rsid w:val="00C86DF3"/>
    <w:rsid w:val="00C86EFF"/>
    <w:rsid w:val="00C87604"/>
    <w:rsid w:val="00C8788D"/>
    <w:rsid w:val="00C87C2F"/>
    <w:rsid w:val="00C87D89"/>
    <w:rsid w:val="00C87DAB"/>
    <w:rsid w:val="00C9115E"/>
    <w:rsid w:val="00C91838"/>
    <w:rsid w:val="00C91A7F"/>
    <w:rsid w:val="00C91E45"/>
    <w:rsid w:val="00C92536"/>
    <w:rsid w:val="00C92791"/>
    <w:rsid w:val="00C92B47"/>
    <w:rsid w:val="00C92D4C"/>
    <w:rsid w:val="00C938BC"/>
    <w:rsid w:val="00C938DC"/>
    <w:rsid w:val="00C94457"/>
    <w:rsid w:val="00C94DDA"/>
    <w:rsid w:val="00C95F6B"/>
    <w:rsid w:val="00C96260"/>
    <w:rsid w:val="00C97010"/>
    <w:rsid w:val="00C971D2"/>
    <w:rsid w:val="00CA04B8"/>
    <w:rsid w:val="00CA0C14"/>
    <w:rsid w:val="00CA1046"/>
    <w:rsid w:val="00CA1C9B"/>
    <w:rsid w:val="00CA29D5"/>
    <w:rsid w:val="00CA2A95"/>
    <w:rsid w:val="00CA2D44"/>
    <w:rsid w:val="00CA31DC"/>
    <w:rsid w:val="00CA437C"/>
    <w:rsid w:val="00CA43F2"/>
    <w:rsid w:val="00CA4941"/>
    <w:rsid w:val="00CA4BD1"/>
    <w:rsid w:val="00CA4CE2"/>
    <w:rsid w:val="00CA5293"/>
    <w:rsid w:val="00CA5E30"/>
    <w:rsid w:val="00CA5F25"/>
    <w:rsid w:val="00CA7664"/>
    <w:rsid w:val="00CB05AE"/>
    <w:rsid w:val="00CB1118"/>
    <w:rsid w:val="00CB3029"/>
    <w:rsid w:val="00CB362D"/>
    <w:rsid w:val="00CB3764"/>
    <w:rsid w:val="00CB3B39"/>
    <w:rsid w:val="00CB46E5"/>
    <w:rsid w:val="00CB5CD9"/>
    <w:rsid w:val="00CB6634"/>
    <w:rsid w:val="00CB6D1E"/>
    <w:rsid w:val="00CB71F9"/>
    <w:rsid w:val="00CB747F"/>
    <w:rsid w:val="00CB7759"/>
    <w:rsid w:val="00CB7AB0"/>
    <w:rsid w:val="00CC0FC8"/>
    <w:rsid w:val="00CC30DD"/>
    <w:rsid w:val="00CC4C0B"/>
    <w:rsid w:val="00CC5BE8"/>
    <w:rsid w:val="00CC6617"/>
    <w:rsid w:val="00CC6D89"/>
    <w:rsid w:val="00CC79DC"/>
    <w:rsid w:val="00CC7B4C"/>
    <w:rsid w:val="00CD03CE"/>
    <w:rsid w:val="00CD0646"/>
    <w:rsid w:val="00CD0A81"/>
    <w:rsid w:val="00CD1020"/>
    <w:rsid w:val="00CD189F"/>
    <w:rsid w:val="00CD3182"/>
    <w:rsid w:val="00CD45D8"/>
    <w:rsid w:val="00CD5296"/>
    <w:rsid w:val="00CD60F2"/>
    <w:rsid w:val="00CD654C"/>
    <w:rsid w:val="00CD65C7"/>
    <w:rsid w:val="00CD6E8C"/>
    <w:rsid w:val="00CD6F93"/>
    <w:rsid w:val="00CD7903"/>
    <w:rsid w:val="00CE1F41"/>
    <w:rsid w:val="00CE2716"/>
    <w:rsid w:val="00CE2C22"/>
    <w:rsid w:val="00CE32FF"/>
    <w:rsid w:val="00CE367E"/>
    <w:rsid w:val="00CE42A1"/>
    <w:rsid w:val="00CE524A"/>
    <w:rsid w:val="00CE5D1A"/>
    <w:rsid w:val="00CE5F5F"/>
    <w:rsid w:val="00CE64F1"/>
    <w:rsid w:val="00CE6C69"/>
    <w:rsid w:val="00CE70AE"/>
    <w:rsid w:val="00CE74E1"/>
    <w:rsid w:val="00CF0578"/>
    <w:rsid w:val="00CF0D22"/>
    <w:rsid w:val="00CF125F"/>
    <w:rsid w:val="00CF1ACE"/>
    <w:rsid w:val="00CF2444"/>
    <w:rsid w:val="00CF254B"/>
    <w:rsid w:val="00CF2D2D"/>
    <w:rsid w:val="00CF302D"/>
    <w:rsid w:val="00CF3388"/>
    <w:rsid w:val="00CF370C"/>
    <w:rsid w:val="00CF3EE5"/>
    <w:rsid w:val="00CF4736"/>
    <w:rsid w:val="00CF4912"/>
    <w:rsid w:val="00CF4A13"/>
    <w:rsid w:val="00CF52E7"/>
    <w:rsid w:val="00CF61C8"/>
    <w:rsid w:val="00CF7FB4"/>
    <w:rsid w:val="00D005BD"/>
    <w:rsid w:val="00D017AA"/>
    <w:rsid w:val="00D01EFC"/>
    <w:rsid w:val="00D03B84"/>
    <w:rsid w:val="00D04E22"/>
    <w:rsid w:val="00D04F32"/>
    <w:rsid w:val="00D05E32"/>
    <w:rsid w:val="00D06A9F"/>
    <w:rsid w:val="00D06CC6"/>
    <w:rsid w:val="00D07020"/>
    <w:rsid w:val="00D0725B"/>
    <w:rsid w:val="00D073FA"/>
    <w:rsid w:val="00D07CD0"/>
    <w:rsid w:val="00D07D05"/>
    <w:rsid w:val="00D07D28"/>
    <w:rsid w:val="00D1112F"/>
    <w:rsid w:val="00D1125D"/>
    <w:rsid w:val="00D113F8"/>
    <w:rsid w:val="00D114B4"/>
    <w:rsid w:val="00D11BFC"/>
    <w:rsid w:val="00D11EFF"/>
    <w:rsid w:val="00D12CE9"/>
    <w:rsid w:val="00D13111"/>
    <w:rsid w:val="00D13176"/>
    <w:rsid w:val="00D14555"/>
    <w:rsid w:val="00D14CB5"/>
    <w:rsid w:val="00D15279"/>
    <w:rsid w:val="00D1616A"/>
    <w:rsid w:val="00D171A1"/>
    <w:rsid w:val="00D1763F"/>
    <w:rsid w:val="00D17AE5"/>
    <w:rsid w:val="00D17C5D"/>
    <w:rsid w:val="00D17F37"/>
    <w:rsid w:val="00D2007F"/>
    <w:rsid w:val="00D20288"/>
    <w:rsid w:val="00D20BA0"/>
    <w:rsid w:val="00D22354"/>
    <w:rsid w:val="00D22658"/>
    <w:rsid w:val="00D227EE"/>
    <w:rsid w:val="00D22F85"/>
    <w:rsid w:val="00D2400A"/>
    <w:rsid w:val="00D26178"/>
    <w:rsid w:val="00D26779"/>
    <w:rsid w:val="00D26EB9"/>
    <w:rsid w:val="00D270C5"/>
    <w:rsid w:val="00D271D8"/>
    <w:rsid w:val="00D27863"/>
    <w:rsid w:val="00D27A29"/>
    <w:rsid w:val="00D27B78"/>
    <w:rsid w:val="00D27EA6"/>
    <w:rsid w:val="00D300E9"/>
    <w:rsid w:val="00D30375"/>
    <w:rsid w:val="00D31EA6"/>
    <w:rsid w:val="00D31EDB"/>
    <w:rsid w:val="00D32B5B"/>
    <w:rsid w:val="00D32E5C"/>
    <w:rsid w:val="00D33244"/>
    <w:rsid w:val="00D33CD7"/>
    <w:rsid w:val="00D3422A"/>
    <w:rsid w:val="00D34729"/>
    <w:rsid w:val="00D34FCD"/>
    <w:rsid w:val="00D36B91"/>
    <w:rsid w:val="00D36D1B"/>
    <w:rsid w:val="00D36D99"/>
    <w:rsid w:val="00D377B8"/>
    <w:rsid w:val="00D40C9E"/>
    <w:rsid w:val="00D41C47"/>
    <w:rsid w:val="00D4372E"/>
    <w:rsid w:val="00D45399"/>
    <w:rsid w:val="00D460FA"/>
    <w:rsid w:val="00D46494"/>
    <w:rsid w:val="00D4762A"/>
    <w:rsid w:val="00D477CF"/>
    <w:rsid w:val="00D50CBF"/>
    <w:rsid w:val="00D51665"/>
    <w:rsid w:val="00D51981"/>
    <w:rsid w:val="00D520DF"/>
    <w:rsid w:val="00D532AB"/>
    <w:rsid w:val="00D5393A"/>
    <w:rsid w:val="00D54A3E"/>
    <w:rsid w:val="00D553D5"/>
    <w:rsid w:val="00D55770"/>
    <w:rsid w:val="00D578ED"/>
    <w:rsid w:val="00D5792E"/>
    <w:rsid w:val="00D604A7"/>
    <w:rsid w:val="00D60B4B"/>
    <w:rsid w:val="00D6137D"/>
    <w:rsid w:val="00D616C1"/>
    <w:rsid w:val="00D61A3F"/>
    <w:rsid w:val="00D6383C"/>
    <w:rsid w:val="00D63871"/>
    <w:rsid w:val="00D64549"/>
    <w:rsid w:val="00D65CB2"/>
    <w:rsid w:val="00D662B6"/>
    <w:rsid w:val="00D66F8A"/>
    <w:rsid w:val="00D6739C"/>
    <w:rsid w:val="00D67653"/>
    <w:rsid w:val="00D7072F"/>
    <w:rsid w:val="00D709C1"/>
    <w:rsid w:val="00D7182B"/>
    <w:rsid w:val="00D734D9"/>
    <w:rsid w:val="00D737B1"/>
    <w:rsid w:val="00D73ED6"/>
    <w:rsid w:val="00D74406"/>
    <w:rsid w:val="00D748EA"/>
    <w:rsid w:val="00D74B44"/>
    <w:rsid w:val="00D7558A"/>
    <w:rsid w:val="00D756A2"/>
    <w:rsid w:val="00D76464"/>
    <w:rsid w:val="00D77F37"/>
    <w:rsid w:val="00D77FE2"/>
    <w:rsid w:val="00D80F6A"/>
    <w:rsid w:val="00D8159D"/>
    <w:rsid w:val="00D81D8D"/>
    <w:rsid w:val="00D844E8"/>
    <w:rsid w:val="00D84A12"/>
    <w:rsid w:val="00D84C2B"/>
    <w:rsid w:val="00D85BFF"/>
    <w:rsid w:val="00D85CD2"/>
    <w:rsid w:val="00D868B3"/>
    <w:rsid w:val="00D86A44"/>
    <w:rsid w:val="00D86AD9"/>
    <w:rsid w:val="00D878B5"/>
    <w:rsid w:val="00D87E0B"/>
    <w:rsid w:val="00D90126"/>
    <w:rsid w:val="00D913A8"/>
    <w:rsid w:val="00D91797"/>
    <w:rsid w:val="00D91D7E"/>
    <w:rsid w:val="00D93A0F"/>
    <w:rsid w:val="00D95257"/>
    <w:rsid w:val="00D963A1"/>
    <w:rsid w:val="00D97386"/>
    <w:rsid w:val="00D977EA"/>
    <w:rsid w:val="00D97E16"/>
    <w:rsid w:val="00DA07BF"/>
    <w:rsid w:val="00DA0E84"/>
    <w:rsid w:val="00DA132A"/>
    <w:rsid w:val="00DA16FC"/>
    <w:rsid w:val="00DA1FD4"/>
    <w:rsid w:val="00DA357B"/>
    <w:rsid w:val="00DA4FFA"/>
    <w:rsid w:val="00DA5591"/>
    <w:rsid w:val="00DA6CC9"/>
    <w:rsid w:val="00DA707D"/>
    <w:rsid w:val="00DA7751"/>
    <w:rsid w:val="00DB000A"/>
    <w:rsid w:val="00DB00F6"/>
    <w:rsid w:val="00DB1DB7"/>
    <w:rsid w:val="00DB1EE8"/>
    <w:rsid w:val="00DB23CD"/>
    <w:rsid w:val="00DB2F0B"/>
    <w:rsid w:val="00DB4281"/>
    <w:rsid w:val="00DB42C8"/>
    <w:rsid w:val="00DB47DE"/>
    <w:rsid w:val="00DB481C"/>
    <w:rsid w:val="00DB48D4"/>
    <w:rsid w:val="00DB5AD5"/>
    <w:rsid w:val="00DB5B23"/>
    <w:rsid w:val="00DB63F5"/>
    <w:rsid w:val="00DB6DC7"/>
    <w:rsid w:val="00DB76AD"/>
    <w:rsid w:val="00DB795F"/>
    <w:rsid w:val="00DB7A12"/>
    <w:rsid w:val="00DC0005"/>
    <w:rsid w:val="00DC01A1"/>
    <w:rsid w:val="00DC150A"/>
    <w:rsid w:val="00DC2021"/>
    <w:rsid w:val="00DC234F"/>
    <w:rsid w:val="00DC3966"/>
    <w:rsid w:val="00DC398C"/>
    <w:rsid w:val="00DC48BB"/>
    <w:rsid w:val="00DC4CB1"/>
    <w:rsid w:val="00DC52FC"/>
    <w:rsid w:val="00DC5303"/>
    <w:rsid w:val="00DC5FF6"/>
    <w:rsid w:val="00DC61AE"/>
    <w:rsid w:val="00DC65B0"/>
    <w:rsid w:val="00DC6A6A"/>
    <w:rsid w:val="00DC737F"/>
    <w:rsid w:val="00DC7B37"/>
    <w:rsid w:val="00DD13D0"/>
    <w:rsid w:val="00DD1569"/>
    <w:rsid w:val="00DD1887"/>
    <w:rsid w:val="00DD1EC8"/>
    <w:rsid w:val="00DD2267"/>
    <w:rsid w:val="00DD36E0"/>
    <w:rsid w:val="00DD3E97"/>
    <w:rsid w:val="00DD40D8"/>
    <w:rsid w:val="00DD424C"/>
    <w:rsid w:val="00DD4AE9"/>
    <w:rsid w:val="00DD4B39"/>
    <w:rsid w:val="00DD61D5"/>
    <w:rsid w:val="00DD6329"/>
    <w:rsid w:val="00DD6440"/>
    <w:rsid w:val="00DD6554"/>
    <w:rsid w:val="00DD6D3C"/>
    <w:rsid w:val="00DD78C3"/>
    <w:rsid w:val="00DD7C3B"/>
    <w:rsid w:val="00DE0AAC"/>
    <w:rsid w:val="00DE0C7D"/>
    <w:rsid w:val="00DE0E01"/>
    <w:rsid w:val="00DE1889"/>
    <w:rsid w:val="00DE19C3"/>
    <w:rsid w:val="00DE1D0B"/>
    <w:rsid w:val="00DE3466"/>
    <w:rsid w:val="00DE38DF"/>
    <w:rsid w:val="00DE421E"/>
    <w:rsid w:val="00DE45CD"/>
    <w:rsid w:val="00DE558E"/>
    <w:rsid w:val="00DE55F8"/>
    <w:rsid w:val="00DE5656"/>
    <w:rsid w:val="00DE6061"/>
    <w:rsid w:val="00DE64DC"/>
    <w:rsid w:val="00DE6E7F"/>
    <w:rsid w:val="00DE7257"/>
    <w:rsid w:val="00DF0247"/>
    <w:rsid w:val="00DF0FD3"/>
    <w:rsid w:val="00DF1823"/>
    <w:rsid w:val="00DF196E"/>
    <w:rsid w:val="00DF220B"/>
    <w:rsid w:val="00DF2818"/>
    <w:rsid w:val="00DF2A78"/>
    <w:rsid w:val="00DF347E"/>
    <w:rsid w:val="00DF5E1E"/>
    <w:rsid w:val="00DF6069"/>
    <w:rsid w:val="00DF733D"/>
    <w:rsid w:val="00DF772D"/>
    <w:rsid w:val="00DF7892"/>
    <w:rsid w:val="00DF7D1D"/>
    <w:rsid w:val="00DF7D3D"/>
    <w:rsid w:val="00DF7D6E"/>
    <w:rsid w:val="00E0215B"/>
    <w:rsid w:val="00E023C5"/>
    <w:rsid w:val="00E0282D"/>
    <w:rsid w:val="00E02877"/>
    <w:rsid w:val="00E02B8C"/>
    <w:rsid w:val="00E02D70"/>
    <w:rsid w:val="00E04CB4"/>
    <w:rsid w:val="00E0503B"/>
    <w:rsid w:val="00E05222"/>
    <w:rsid w:val="00E077E4"/>
    <w:rsid w:val="00E078EB"/>
    <w:rsid w:val="00E1022B"/>
    <w:rsid w:val="00E115AD"/>
    <w:rsid w:val="00E12027"/>
    <w:rsid w:val="00E120A2"/>
    <w:rsid w:val="00E12526"/>
    <w:rsid w:val="00E12CF0"/>
    <w:rsid w:val="00E13A4A"/>
    <w:rsid w:val="00E14305"/>
    <w:rsid w:val="00E1471F"/>
    <w:rsid w:val="00E149A0"/>
    <w:rsid w:val="00E154E1"/>
    <w:rsid w:val="00E15BBA"/>
    <w:rsid w:val="00E15E4F"/>
    <w:rsid w:val="00E173F8"/>
    <w:rsid w:val="00E2020D"/>
    <w:rsid w:val="00E21086"/>
    <w:rsid w:val="00E21B5C"/>
    <w:rsid w:val="00E21CCD"/>
    <w:rsid w:val="00E22CFA"/>
    <w:rsid w:val="00E22DE4"/>
    <w:rsid w:val="00E2327C"/>
    <w:rsid w:val="00E2403D"/>
    <w:rsid w:val="00E24C75"/>
    <w:rsid w:val="00E25CCD"/>
    <w:rsid w:val="00E25E51"/>
    <w:rsid w:val="00E26393"/>
    <w:rsid w:val="00E2691D"/>
    <w:rsid w:val="00E2754A"/>
    <w:rsid w:val="00E31760"/>
    <w:rsid w:val="00E31F3C"/>
    <w:rsid w:val="00E32F65"/>
    <w:rsid w:val="00E3443A"/>
    <w:rsid w:val="00E35A01"/>
    <w:rsid w:val="00E362B6"/>
    <w:rsid w:val="00E37024"/>
    <w:rsid w:val="00E375F5"/>
    <w:rsid w:val="00E37984"/>
    <w:rsid w:val="00E40167"/>
    <w:rsid w:val="00E4100A"/>
    <w:rsid w:val="00E414B2"/>
    <w:rsid w:val="00E41ED2"/>
    <w:rsid w:val="00E42381"/>
    <w:rsid w:val="00E425A9"/>
    <w:rsid w:val="00E429AC"/>
    <w:rsid w:val="00E42D59"/>
    <w:rsid w:val="00E43D04"/>
    <w:rsid w:val="00E43EC9"/>
    <w:rsid w:val="00E44414"/>
    <w:rsid w:val="00E44505"/>
    <w:rsid w:val="00E4458F"/>
    <w:rsid w:val="00E44C68"/>
    <w:rsid w:val="00E46044"/>
    <w:rsid w:val="00E46327"/>
    <w:rsid w:val="00E46A33"/>
    <w:rsid w:val="00E47742"/>
    <w:rsid w:val="00E47E53"/>
    <w:rsid w:val="00E51527"/>
    <w:rsid w:val="00E51531"/>
    <w:rsid w:val="00E521CF"/>
    <w:rsid w:val="00E523CC"/>
    <w:rsid w:val="00E52687"/>
    <w:rsid w:val="00E52B40"/>
    <w:rsid w:val="00E5343E"/>
    <w:rsid w:val="00E543BF"/>
    <w:rsid w:val="00E54FD1"/>
    <w:rsid w:val="00E55776"/>
    <w:rsid w:val="00E5670A"/>
    <w:rsid w:val="00E568FF"/>
    <w:rsid w:val="00E571F8"/>
    <w:rsid w:val="00E57BEF"/>
    <w:rsid w:val="00E57CB2"/>
    <w:rsid w:val="00E60308"/>
    <w:rsid w:val="00E605DD"/>
    <w:rsid w:val="00E606F5"/>
    <w:rsid w:val="00E61395"/>
    <w:rsid w:val="00E61BD3"/>
    <w:rsid w:val="00E61EF9"/>
    <w:rsid w:val="00E628ED"/>
    <w:rsid w:val="00E62D6C"/>
    <w:rsid w:val="00E638F4"/>
    <w:rsid w:val="00E63CC1"/>
    <w:rsid w:val="00E6415D"/>
    <w:rsid w:val="00E645F2"/>
    <w:rsid w:val="00E64FC3"/>
    <w:rsid w:val="00E652EB"/>
    <w:rsid w:val="00E6565F"/>
    <w:rsid w:val="00E6596A"/>
    <w:rsid w:val="00E65C4D"/>
    <w:rsid w:val="00E65F3E"/>
    <w:rsid w:val="00E6632D"/>
    <w:rsid w:val="00E66702"/>
    <w:rsid w:val="00E66D7C"/>
    <w:rsid w:val="00E673F1"/>
    <w:rsid w:val="00E6783D"/>
    <w:rsid w:val="00E67FC7"/>
    <w:rsid w:val="00E70621"/>
    <w:rsid w:val="00E70D80"/>
    <w:rsid w:val="00E7112B"/>
    <w:rsid w:val="00E719FD"/>
    <w:rsid w:val="00E72ED1"/>
    <w:rsid w:val="00E73724"/>
    <w:rsid w:val="00E73F06"/>
    <w:rsid w:val="00E75110"/>
    <w:rsid w:val="00E771B6"/>
    <w:rsid w:val="00E77207"/>
    <w:rsid w:val="00E8051C"/>
    <w:rsid w:val="00E8075A"/>
    <w:rsid w:val="00E8078C"/>
    <w:rsid w:val="00E8273E"/>
    <w:rsid w:val="00E843EC"/>
    <w:rsid w:val="00E84ED1"/>
    <w:rsid w:val="00E852EA"/>
    <w:rsid w:val="00E8584A"/>
    <w:rsid w:val="00E8594A"/>
    <w:rsid w:val="00E867B5"/>
    <w:rsid w:val="00E87667"/>
    <w:rsid w:val="00E87DA7"/>
    <w:rsid w:val="00E9012E"/>
    <w:rsid w:val="00E906AC"/>
    <w:rsid w:val="00E9088E"/>
    <w:rsid w:val="00E90C29"/>
    <w:rsid w:val="00E91827"/>
    <w:rsid w:val="00E91ED9"/>
    <w:rsid w:val="00E93437"/>
    <w:rsid w:val="00E93661"/>
    <w:rsid w:val="00E9396B"/>
    <w:rsid w:val="00E955BA"/>
    <w:rsid w:val="00E958BB"/>
    <w:rsid w:val="00E96686"/>
    <w:rsid w:val="00E96E19"/>
    <w:rsid w:val="00E96E24"/>
    <w:rsid w:val="00EA0961"/>
    <w:rsid w:val="00EA0BCB"/>
    <w:rsid w:val="00EA1102"/>
    <w:rsid w:val="00EA1371"/>
    <w:rsid w:val="00EA1FE0"/>
    <w:rsid w:val="00EA246F"/>
    <w:rsid w:val="00EA36C0"/>
    <w:rsid w:val="00EA4278"/>
    <w:rsid w:val="00EA5D8E"/>
    <w:rsid w:val="00EA77D6"/>
    <w:rsid w:val="00EB2964"/>
    <w:rsid w:val="00EB29AB"/>
    <w:rsid w:val="00EB4A8A"/>
    <w:rsid w:val="00EB4C46"/>
    <w:rsid w:val="00EB61E0"/>
    <w:rsid w:val="00EB6647"/>
    <w:rsid w:val="00EB685D"/>
    <w:rsid w:val="00EB6EB7"/>
    <w:rsid w:val="00EB7E65"/>
    <w:rsid w:val="00EC07DC"/>
    <w:rsid w:val="00EC0E1F"/>
    <w:rsid w:val="00EC2174"/>
    <w:rsid w:val="00EC23AA"/>
    <w:rsid w:val="00EC418C"/>
    <w:rsid w:val="00EC431E"/>
    <w:rsid w:val="00EC465B"/>
    <w:rsid w:val="00EC490F"/>
    <w:rsid w:val="00EC4D4E"/>
    <w:rsid w:val="00EC555E"/>
    <w:rsid w:val="00EC5C1F"/>
    <w:rsid w:val="00EC61E7"/>
    <w:rsid w:val="00EC621A"/>
    <w:rsid w:val="00ED0E7E"/>
    <w:rsid w:val="00ED1CC6"/>
    <w:rsid w:val="00ED2E01"/>
    <w:rsid w:val="00ED32BF"/>
    <w:rsid w:val="00ED3C0A"/>
    <w:rsid w:val="00ED4407"/>
    <w:rsid w:val="00ED482E"/>
    <w:rsid w:val="00ED48EC"/>
    <w:rsid w:val="00ED494A"/>
    <w:rsid w:val="00ED5498"/>
    <w:rsid w:val="00ED5FA6"/>
    <w:rsid w:val="00ED5FBA"/>
    <w:rsid w:val="00ED6711"/>
    <w:rsid w:val="00ED6D81"/>
    <w:rsid w:val="00ED73BC"/>
    <w:rsid w:val="00ED7B33"/>
    <w:rsid w:val="00ED7E33"/>
    <w:rsid w:val="00EE179C"/>
    <w:rsid w:val="00EE1CB2"/>
    <w:rsid w:val="00EE1E19"/>
    <w:rsid w:val="00EE24D3"/>
    <w:rsid w:val="00EE2898"/>
    <w:rsid w:val="00EE2CDC"/>
    <w:rsid w:val="00EE3967"/>
    <w:rsid w:val="00EE4B48"/>
    <w:rsid w:val="00EE5625"/>
    <w:rsid w:val="00EE5F8D"/>
    <w:rsid w:val="00EE604E"/>
    <w:rsid w:val="00EE612B"/>
    <w:rsid w:val="00EE69D7"/>
    <w:rsid w:val="00EE6E76"/>
    <w:rsid w:val="00EE77FD"/>
    <w:rsid w:val="00EE7B0B"/>
    <w:rsid w:val="00EF0D87"/>
    <w:rsid w:val="00EF19C7"/>
    <w:rsid w:val="00EF226E"/>
    <w:rsid w:val="00EF2EEF"/>
    <w:rsid w:val="00EF3A39"/>
    <w:rsid w:val="00EF3DD6"/>
    <w:rsid w:val="00EF4BA6"/>
    <w:rsid w:val="00EF5414"/>
    <w:rsid w:val="00EF6159"/>
    <w:rsid w:val="00EF6972"/>
    <w:rsid w:val="00EF7D48"/>
    <w:rsid w:val="00EF7EC8"/>
    <w:rsid w:val="00F01847"/>
    <w:rsid w:val="00F01B01"/>
    <w:rsid w:val="00F02D49"/>
    <w:rsid w:val="00F035F5"/>
    <w:rsid w:val="00F03787"/>
    <w:rsid w:val="00F03B32"/>
    <w:rsid w:val="00F03D09"/>
    <w:rsid w:val="00F0462F"/>
    <w:rsid w:val="00F05279"/>
    <w:rsid w:val="00F0598B"/>
    <w:rsid w:val="00F063C9"/>
    <w:rsid w:val="00F103B6"/>
    <w:rsid w:val="00F10B9E"/>
    <w:rsid w:val="00F10D8A"/>
    <w:rsid w:val="00F10F3F"/>
    <w:rsid w:val="00F1242B"/>
    <w:rsid w:val="00F1244C"/>
    <w:rsid w:val="00F1418E"/>
    <w:rsid w:val="00F14FCA"/>
    <w:rsid w:val="00F15190"/>
    <w:rsid w:val="00F15C7A"/>
    <w:rsid w:val="00F160DE"/>
    <w:rsid w:val="00F16445"/>
    <w:rsid w:val="00F168B7"/>
    <w:rsid w:val="00F16ADD"/>
    <w:rsid w:val="00F17010"/>
    <w:rsid w:val="00F17251"/>
    <w:rsid w:val="00F21AA1"/>
    <w:rsid w:val="00F21AB3"/>
    <w:rsid w:val="00F21BBC"/>
    <w:rsid w:val="00F2221F"/>
    <w:rsid w:val="00F2245A"/>
    <w:rsid w:val="00F226C4"/>
    <w:rsid w:val="00F232B9"/>
    <w:rsid w:val="00F2357A"/>
    <w:rsid w:val="00F23A43"/>
    <w:rsid w:val="00F24028"/>
    <w:rsid w:val="00F242CF"/>
    <w:rsid w:val="00F2481C"/>
    <w:rsid w:val="00F24A13"/>
    <w:rsid w:val="00F24B2B"/>
    <w:rsid w:val="00F24CED"/>
    <w:rsid w:val="00F2607B"/>
    <w:rsid w:val="00F26C20"/>
    <w:rsid w:val="00F27891"/>
    <w:rsid w:val="00F27A62"/>
    <w:rsid w:val="00F30447"/>
    <w:rsid w:val="00F304F8"/>
    <w:rsid w:val="00F30737"/>
    <w:rsid w:val="00F30870"/>
    <w:rsid w:val="00F31A4C"/>
    <w:rsid w:val="00F31B76"/>
    <w:rsid w:val="00F31EB7"/>
    <w:rsid w:val="00F32537"/>
    <w:rsid w:val="00F32762"/>
    <w:rsid w:val="00F32B05"/>
    <w:rsid w:val="00F33489"/>
    <w:rsid w:val="00F33E93"/>
    <w:rsid w:val="00F34422"/>
    <w:rsid w:val="00F34607"/>
    <w:rsid w:val="00F34902"/>
    <w:rsid w:val="00F34DEB"/>
    <w:rsid w:val="00F34F9C"/>
    <w:rsid w:val="00F36D51"/>
    <w:rsid w:val="00F36DB7"/>
    <w:rsid w:val="00F377EF"/>
    <w:rsid w:val="00F40B5E"/>
    <w:rsid w:val="00F40C62"/>
    <w:rsid w:val="00F41742"/>
    <w:rsid w:val="00F41F29"/>
    <w:rsid w:val="00F4206F"/>
    <w:rsid w:val="00F42352"/>
    <w:rsid w:val="00F42624"/>
    <w:rsid w:val="00F4270B"/>
    <w:rsid w:val="00F4271F"/>
    <w:rsid w:val="00F42B39"/>
    <w:rsid w:val="00F43A72"/>
    <w:rsid w:val="00F43C01"/>
    <w:rsid w:val="00F43CF3"/>
    <w:rsid w:val="00F45580"/>
    <w:rsid w:val="00F456A1"/>
    <w:rsid w:val="00F46113"/>
    <w:rsid w:val="00F4726E"/>
    <w:rsid w:val="00F50A00"/>
    <w:rsid w:val="00F51792"/>
    <w:rsid w:val="00F517FB"/>
    <w:rsid w:val="00F51BFD"/>
    <w:rsid w:val="00F52393"/>
    <w:rsid w:val="00F53439"/>
    <w:rsid w:val="00F5381D"/>
    <w:rsid w:val="00F53A28"/>
    <w:rsid w:val="00F53DB0"/>
    <w:rsid w:val="00F53E18"/>
    <w:rsid w:val="00F5441C"/>
    <w:rsid w:val="00F549BC"/>
    <w:rsid w:val="00F55076"/>
    <w:rsid w:val="00F55860"/>
    <w:rsid w:val="00F56070"/>
    <w:rsid w:val="00F5707B"/>
    <w:rsid w:val="00F571C2"/>
    <w:rsid w:val="00F574F1"/>
    <w:rsid w:val="00F6198C"/>
    <w:rsid w:val="00F61D4F"/>
    <w:rsid w:val="00F6330E"/>
    <w:rsid w:val="00F633C2"/>
    <w:rsid w:val="00F6346E"/>
    <w:rsid w:val="00F638CF"/>
    <w:rsid w:val="00F653D8"/>
    <w:rsid w:val="00F65F08"/>
    <w:rsid w:val="00F6610E"/>
    <w:rsid w:val="00F67D05"/>
    <w:rsid w:val="00F7000E"/>
    <w:rsid w:val="00F70432"/>
    <w:rsid w:val="00F7077A"/>
    <w:rsid w:val="00F71A9F"/>
    <w:rsid w:val="00F71B59"/>
    <w:rsid w:val="00F724AA"/>
    <w:rsid w:val="00F72805"/>
    <w:rsid w:val="00F728EF"/>
    <w:rsid w:val="00F7366F"/>
    <w:rsid w:val="00F737B4"/>
    <w:rsid w:val="00F73878"/>
    <w:rsid w:val="00F73992"/>
    <w:rsid w:val="00F74BBC"/>
    <w:rsid w:val="00F74E4F"/>
    <w:rsid w:val="00F75409"/>
    <w:rsid w:val="00F75990"/>
    <w:rsid w:val="00F771A1"/>
    <w:rsid w:val="00F772F5"/>
    <w:rsid w:val="00F77513"/>
    <w:rsid w:val="00F77566"/>
    <w:rsid w:val="00F812ED"/>
    <w:rsid w:val="00F81851"/>
    <w:rsid w:val="00F82167"/>
    <w:rsid w:val="00F833F9"/>
    <w:rsid w:val="00F8365B"/>
    <w:rsid w:val="00F844E1"/>
    <w:rsid w:val="00F84E59"/>
    <w:rsid w:val="00F85614"/>
    <w:rsid w:val="00F8582D"/>
    <w:rsid w:val="00F85D48"/>
    <w:rsid w:val="00F85E9B"/>
    <w:rsid w:val="00F86123"/>
    <w:rsid w:val="00F8617A"/>
    <w:rsid w:val="00F8651D"/>
    <w:rsid w:val="00F866F1"/>
    <w:rsid w:val="00F86E46"/>
    <w:rsid w:val="00F87B06"/>
    <w:rsid w:val="00F9044F"/>
    <w:rsid w:val="00F9174F"/>
    <w:rsid w:val="00F91ABE"/>
    <w:rsid w:val="00F91D42"/>
    <w:rsid w:val="00F91F8B"/>
    <w:rsid w:val="00F921C8"/>
    <w:rsid w:val="00F929E8"/>
    <w:rsid w:val="00F933B3"/>
    <w:rsid w:val="00F93D0B"/>
    <w:rsid w:val="00F93F54"/>
    <w:rsid w:val="00F93FC4"/>
    <w:rsid w:val="00F94661"/>
    <w:rsid w:val="00F95BC9"/>
    <w:rsid w:val="00F961FA"/>
    <w:rsid w:val="00F963E5"/>
    <w:rsid w:val="00F969A5"/>
    <w:rsid w:val="00F96FD5"/>
    <w:rsid w:val="00F97407"/>
    <w:rsid w:val="00F9779E"/>
    <w:rsid w:val="00FA07BA"/>
    <w:rsid w:val="00FA139B"/>
    <w:rsid w:val="00FA2C4B"/>
    <w:rsid w:val="00FA36D8"/>
    <w:rsid w:val="00FA4B85"/>
    <w:rsid w:val="00FA5536"/>
    <w:rsid w:val="00FA5A89"/>
    <w:rsid w:val="00FA5BD6"/>
    <w:rsid w:val="00FA5DC3"/>
    <w:rsid w:val="00FA60C2"/>
    <w:rsid w:val="00FA6F55"/>
    <w:rsid w:val="00FA7A04"/>
    <w:rsid w:val="00FB019E"/>
    <w:rsid w:val="00FB0417"/>
    <w:rsid w:val="00FB0C5B"/>
    <w:rsid w:val="00FB12EB"/>
    <w:rsid w:val="00FB1D22"/>
    <w:rsid w:val="00FB206A"/>
    <w:rsid w:val="00FB2453"/>
    <w:rsid w:val="00FB2C3E"/>
    <w:rsid w:val="00FB313D"/>
    <w:rsid w:val="00FB4EB4"/>
    <w:rsid w:val="00FB5873"/>
    <w:rsid w:val="00FB610C"/>
    <w:rsid w:val="00FB6285"/>
    <w:rsid w:val="00FB6362"/>
    <w:rsid w:val="00FB6397"/>
    <w:rsid w:val="00FB686C"/>
    <w:rsid w:val="00FB68E9"/>
    <w:rsid w:val="00FB6D2F"/>
    <w:rsid w:val="00FB7149"/>
    <w:rsid w:val="00FB7406"/>
    <w:rsid w:val="00FB7A89"/>
    <w:rsid w:val="00FC0115"/>
    <w:rsid w:val="00FC14BF"/>
    <w:rsid w:val="00FC1AAB"/>
    <w:rsid w:val="00FC1FE5"/>
    <w:rsid w:val="00FC25A3"/>
    <w:rsid w:val="00FC30AB"/>
    <w:rsid w:val="00FC3F97"/>
    <w:rsid w:val="00FC4857"/>
    <w:rsid w:val="00FC509E"/>
    <w:rsid w:val="00FC542E"/>
    <w:rsid w:val="00FC6466"/>
    <w:rsid w:val="00FC67E6"/>
    <w:rsid w:val="00FC68F9"/>
    <w:rsid w:val="00FC6F69"/>
    <w:rsid w:val="00FD070A"/>
    <w:rsid w:val="00FD077F"/>
    <w:rsid w:val="00FD095D"/>
    <w:rsid w:val="00FD1DAA"/>
    <w:rsid w:val="00FD1E21"/>
    <w:rsid w:val="00FD1F3E"/>
    <w:rsid w:val="00FD2B3F"/>
    <w:rsid w:val="00FD2C48"/>
    <w:rsid w:val="00FD4157"/>
    <w:rsid w:val="00FD53FB"/>
    <w:rsid w:val="00FD5572"/>
    <w:rsid w:val="00FD5C9B"/>
    <w:rsid w:val="00FD6A83"/>
    <w:rsid w:val="00FD6DBB"/>
    <w:rsid w:val="00FD78B2"/>
    <w:rsid w:val="00FD7F75"/>
    <w:rsid w:val="00FE0E11"/>
    <w:rsid w:val="00FE3877"/>
    <w:rsid w:val="00FE59FB"/>
    <w:rsid w:val="00FF057E"/>
    <w:rsid w:val="00FF08C3"/>
    <w:rsid w:val="00FF0BF8"/>
    <w:rsid w:val="00FF1038"/>
    <w:rsid w:val="00FF161E"/>
    <w:rsid w:val="00FF177B"/>
    <w:rsid w:val="00FF19CC"/>
    <w:rsid w:val="00FF1E78"/>
    <w:rsid w:val="00FF203B"/>
    <w:rsid w:val="00FF2FBD"/>
    <w:rsid w:val="00FF4D69"/>
    <w:rsid w:val="00FF59CC"/>
    <w:rsid w:val="00FF629C"/>
    <w:rsid w:val="00FF6D66"/>
    <w:rsid w:val="00FF6EDF"/>
    <w:rsid w:val="00FF73BD"/>
    <w:rsid w:val="00FF74BC"/>
    <w:rsid w:val="00FF778E"/>
    <w:rsid w:val="00FF798C"/>
    <w:rsid w:val="00FF79E4"/>
    <w:rsid w:val="00FF7E2D"/>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79"/>
    <o:shapelayout v:ext="edit">
      <o:idmap v:ext="edit" data="1"/>
      <o:rules v:ext="edit">
        <o:r id="V:Rule5" type="connector" idref="#Gebogen verbindingslijn 11"/>
        <o:r id="V:Rule6" type="connector" idref="#Gebogen verbindingslijn 9"/>
        <o:r id="V:Rule7" type="connector" idref="#Rechte verbindingslijn met pijl 7"/>
        <o:r id="V:Rule8" type="connector" idref="#Rechte verbindingslijn met pijl 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9E8"/>
  </w:style>
  <w:style w:type="paragraph" w:styleId="Heading1">
    <w:name w:val="heading 1"/>
    <w:basedOn w:val="Normal"/>
    <w:next w:val="Normal"/>
    <w:link w:val="Heading1Char"/>
    <w:uiPriority w:val="9"/>
    <w:qFormat/>
    <w:rsid w:val="006266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82B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82B8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66DF"/>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182A6D"/>
    <w:pPr>
      <w:outlineLvl w:val="9"/>
    </w:pPr>
  </w:style>
  <w:style w:type="paragraph" w:styleId="TOC1">
    <w:name w:val="toc 1"/>
    <w:basedOn w:val="Normal"/>
    <w:next w:val="Normal"/>
    <w:autoRedefine/>
    <w:uiPriority w:val="39"/>
    <w:unhideWhenUsed/>
    <w:qFormat/>
    <w:rsid w:val="00082B85"/>
    <w:pPr>
      <w:tabs>
        <w:tab w:val="right" w:leader="dot" w:pos="9062"/>
      </w:tabs>
      <w:spacing w:after="100"/>
    </w:pPr>
    <w:rPr>
      <w:b/>
      <w:noProof/>
      <w:lang w:val="en-GB"/>
    </w:rPr>
  </w:style>
  <w:style w:type="character" w:styleId="Hyperlink">
    <w:name w:val="Hyperlink"/>
    <w:basedOn w:val="DefaultParagraphFont"/>
    <w:uiPriority w:val="99"/>
    <w:unhideWhenUsed/>
    <w:rsid w:val="00182A6D"/>
    <w:rPr>
      <w:color w:val="0000FF" w:themeColor="hyperlink"/>
      <w:u w:val="single"/>
    </w:rPr>
  </w:style>
  <w:style w:type="paragraph" w:styleId="BalloonText">
    <w:name w:val="Balloon Text"/>
    <w:basedOn w:val="Normal"/>
    <w:link w:val="BalloonTextChar"/>
    <w:uiPriority w:val="99"/>
    <w:semiHidden/>
    <w:unhideWhenUsed/>
    <w:rsid w:val="00182A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2A6D"/>
    <w:rPr>
      <w:rFonts w:ascii="Tahoma" w:hAnsi="Tahoma" w:cs="Tahoma"/>
      <w:sz w:val="16"/>
      <w:szCs w:val="16"/>
    </w:rPr>
  </w:style>
  <w:style w:type="paragraph" w:styleId="NoSpacing">
    <w:name w:val="No Spacing"/>
    <w:link w:val="NoSpacingChar"/>
    <w:uiPriority w:val="1"/>
    <w:qFormat/>
    <w:rsid w:val="00107FD1"/>
    <w:pPr>
      <w:spacing w:after="0" w:line="240" w:lineRule="auto"/>
    </w:pPr>
    <w:rPr>
      <w:lang w:val="en-US"/>
    </w:rPr>
  </w:style>
  <w:style w:type="character" w:styleId="CommentReference">
    <w:name w:val="annotation reference"/>
    <w:basedOn w:val="DefaultParagraphFont"/>
    <w:uiPriority w:val="99"/>
    <w:semiHidden/>
    <w:unhideWhenUsed/>
    <w:rsid w:val="00107FD1"/>
    <w:rPr>
      <w:sz w:val="16"/>
      <w:szCs w:val="16"/>
    </w:rPr>
  </w:style>
  <w:style w:type="paragraph" w:styleId="CommentText">
    <w:name w:val="annotation text"/>
    <w:basedOn w:val="Normal"/>
    <w:link w:val="CommentTextChar"/>
    <w:uiPriority w:val="99"/>
    <w:semiHidden/>
    <w:unhideWhenUsed/>
    <w:rsid w:val="00107FD1"/>
    <w:pPr>
      <w:spacing w:after="160" w:line="240" w:lineRule="auto"/>
    </w:pPr>
    <w:rPr>
      <w:sz w:val="20"/>
      <w:szCs w:val="20"/>
      <w:lang w:val="en-US"/>
    </w:rPr>
  </w:style>
  <w:style w:type="character" w:customStyle="1" w:styleId="CommentTextChar">
    <w:name w:val="Comment Text Char"/>
    <w:basedOn w:val="DefaultParagraphFont"/>
    <w:link w:val="CommentText"/>
    <w:uiPriority w:val="99"/>
    <w:semiHidden/>
    <w:rsid w:val="00107FD1"/>
    <w:rPr>
      <w:sz w:val="20"/>
      <w:szCs w:val="20"/>
      <w:lang w:val="en-US"/>
    </w:rPr>
  </w:style>
  <w:style w:type="table" w:styleId="TableGrid">
    <w:name w:val="Table Grid"/>
    <w:basedOn w:val="TableNormal"/>
    <w:uiPriority w:val="39"/>
    <w:rsid w:val="00107FD1"/>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raster1">
    <w:name w:val="Tabelraster1"/>
    <w:basedOn w:val="TableNormal"/>
    <w:next w:val="TableGrid"/>
    <w:uiPriority w:val="39"/>
    <w:rsid w:val="00107FD1"/>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unhideWhenUsed/>
    <w:rsid w:val="007A560C"/>
  </w:style>
  <w:style w:type="paragraph" w:styleId="Header">
    <w:name w:val="header"/>
    <w:basedOn w:val="Normal"/>
    <w:link w:val="HeaderChar"/>
    <w:uiPriority w:val="99"/>
    <w:semiHidden/>
    <w:unhideWhenUsed/>
    <w:rsid w:val="007A560C"/>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7A560C"/>
  </w:style>
  <w:style w:type="paragraph" w:styleId="Footer">
    <w:name w:val="footer"/>
    <w:basedOn w:val="Normal"/>
    <w:link w:val="FooterChar"/>
    <w:uiPriority w:val="99"/>
    <w:unhideWhenUsed/>
    <w:rsid w:val="007A560C"/>
    <w:pPr>
      <w:tabs>
        <w:tab w:val="center" w:pos="4536"/>
        <w:tab w:val="right" w:pos="9072"/>
      </w:tabs>
      <w:spacing w:after="0" w:line="240" w:lineRule="auto"/>
    </w:pPr>
  </w:style>
  <w:style w:type="character" w:customStyle="1" w:styleId="FooterChar">
    <w:name w:val="Footer Char"/>
    <w:basedOn w:val="DefaultParagraphFont"/>
    <w:link w:val="Footer"/>
    <w:uiPriority w:val="99"/>
    <w:rsid w:val="007A560C"/>
  </w:style>
  <w:style w:type="paragraph" w:styleId="FootnoteText">
    <w:name w:val="footnote text"/>
    <w:basedOn w:val="Normal"/>
    <w:link w:val="FootnoteTextChar"/>
    <w:uiPriority w:val="99"/>
    <w:semiHidden/>
    <w:unhideWhenUsed/>
    <w:rsid w:val="00334F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34F56"/>
    <w:rPr>
      <w:sz w:val="20"/>
      <w:szCs w:val="20"/>
    </w:rPr>
  </w:style>
  <w:style w:type="character" w:styleId="FootnoteReference">
    <w:name w:val="footnote reference"/>
    <w:basedOn w:val="DefaultParagraphFont"/>
    <w:uiPriority w:val="99"/>
    <w:semiHidden/>
    <w:unhideWhenUsed/>
    <w:rsid w:val="00334F56"/>
    <w:rPr>
      <w:vertAlign w:val="superscript"/>
    </w:rPr>
  </w:style>
  <w:style w:type="paragraph" w:styleId="ListParagraph">
    <w:name w:val="List Paragraph"/>
    <w:basedOn w:val="Normal"/>
    <w:uiPriority w:val="34"/>
    <w:qFormat/>
    <w:rsid w:val="00CC79DC"/>
    <w:pPr>
      <w:ind w:left="720"/>
      <w:contextualSpacing/>
    </w:pPr>
  </w:style>
  <w:style w:type="character" w:customStyle="1" w:styleId="NoSpacingChar">
    <w:name w:val="No Spacing Char"/>
    <w:basedOn w:val="DefaultParagraphFont"/>
    <w:link w:val="NoSpacing"/>
    <w:uiPriority w:val="1"/>
    <w:rsid w:val="009114AE"/>
    <w:rPr>
      <w:lang w:val="en-US"/>
    </w:rPr>
  </w:style>
  <w:style w:type="character" w:customStyle="1" w:styleId="Heading2Char">
    <w:name w:val="Heading 2 Char"/>
    <w:basedOn w:val="DefaultParagraphFont"/>
    <w:link w:val="Heading2"/>
    <w:uiPriority w:val="9"/>
    <w:semiHidden/>
    <w:rsid w:val="00082B8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082B85"/>
    <w:rPr>
      <w:rFonts w:asciiTheme="majorHAnsi" w:eastAsiaTheme="majorEastAsia" w:hAnsiTheme="majorHAnsi" w:cstheme="majorBidi"/>
      <w:b/>
      <w:bCs/>
      <w:color w:val="4F81BD" w:themeColor="accent1"/>
    </w:rPr>
  </w:style>
  <w:style w:type="paragraph" w:styleId="TOC2">
    <w:name w:val="toc 2"/>
    <w:basedOn w:val="Normal"/>
    <w:next w:val="Normal"/>
    <w:autoRedefine/>
    <w:uiPriority w:val="39"/>
    <w:unhideWhenUsed/>
    <w:qFormat/>
    <w:rsid w:val="00082B85"/>
    <w:pPr>
      <w:spacing w:after="100"/>
      <w:ind w:left="220"/>
    </w:pPr>
  </w:style>
  <w:style w:type="paragraph" w:styleId="TOC3">
    <w:name w:val="toc 3"/>
    <w:basedOn w:val="Normal"/>
    <w:next w:val="Normal"/>
    <w:autoRedefine/>
    <w:uiPriority w:val="39"/>
    <w:unhideWhenUsed/>
    <w:qFormat/>
    <w:rsid w:val="00082B85"/>
    <w:pPr>
      <w:spacing w:after="100"/>
      <w:ind w:left="44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7.emf"/><Relationship Id="rId3" Type="http://schemas.openxmlformats.org/officeDocument/2006/relationships/numbering" Target="numbering.xml"/><Relationship Id="rId21" Type="http://schemas.openxmlformats.org/officeDocument/2006/relationships/image" Target="media/image9.emf"/><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6.emf"/><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8.e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Map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en-US"/>
              <a:t>Project UltraH</a:t>
            </a:r>
            <a:r>
              <a:rPr lang="en-US" baseline="0"/>
              <a:t>D TV</a:t>
            </a:r>
            <a:endParaRPr lang="en-US"/>
          </a:p>
        </c:rich>
      </c:tx>
      <c:spPr>
        <a:noFill/>
        <a:ln>
          <a:noFill/>
        </a:ln>
        <a:effectLst/>
      </c:spPr>
    </c:title>
    <c:plotArea>
      <c:layout/>
      <c:barChart>
        <c:barDir val="col"/>
        <c:grouping val="stacked"/>
        <c:ser>
          <c:idx val="0"/>
          <c:order val="0"/>
          <c:tx>
            <c:strRef>
              <c:f>Blad1!$A$2</c:f>
              <c:strCache>
                <c:ptCount val="1"/>
                <c:pt idx="0">
                  <c:v>Cash flow</c:v>
                </c:pt>
              </c:strCache>
            </c:strRef>
          </c:tx>
          <c:spPr>
            <a:solidFill>
              <a:schemeClr val="accent1"/>
            </a:solidFill>
            <a:ln>
              <a:noFill/>
            </a:ln>
            <a:effectLst/>
          </c:spP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Blad1!$B$1:$I$1</c:f>
              <c:strCache>
                <c:ptCount val="8"/>
                <c:pt idx="0">
                  <c:v>t=1</c:v>
                </c:pt>
                <c:pt idx="1">
                  <c:v>t=2</c:v>
                </c:pt>
                <c:pt idx="2">
                  <c:v>t=3</c:v>
                </c:pt>
                <c:pt idx="3">
                  <c:v>t=4</c:v>
                </c:pt>
                <c:pt idx="4">
                  <c:v>t=5</c:v>
                </c:pt>
                <c:pt idx="5">
                  <c:v>t=6</c:v>
                </c:pt>
                <c:pt idx="6">
                  <c:v>t=7</c:v>
                </c:pt>
                <c:pt idx="7">
                  <c:v>Horizon value</c:v>
                </c:pt>
              </c:strCache>
            </c:strRef>
          </c:cat>
          <c:val>
            <c:numRef>
              <c:f>Blad1!$B$2:$I$2</c:f>
              <c:numCache>
                <c:formatCode>Standaard</c:formatCode>
                <c:ptCount val="8"/>
                <c:pt idx="0">
                  <c:v>-50</c:v>
                </c:pt>
                <c:pt idx="1">
                  <c:v>10</c:v>
                </c:pt>
                <c:pt idx="2">
                  <c:v>15</c:v>
                </c:pt>
                <c:pt idx="3">
                  <c:v>10</c:v>
                </c:pt>
                <c:pt idx="4">
                  <c:v>5</c:v>
                </c:pt>
                <c:pt idx="5">
                  <c:v>20</c:v>
                </c:pt>
                <c:pt idx="6">
                  <c:v>10</c:v>
                </c:pt>
              </c:numCache>
            </c:numRef>
          </c:val>
        </c:ser>
        <c:ser>
          <c:idx val="1"/>
          <c:order val="1"/>
          <c:tx>
            <c:strRef>
              <c:f>Blad1!$A$3</c:f>
              <c:strCache>
                <c:ptCount val="1"/>
                <c:pt idx="0">
                  <c:v>License fee</c:v>
                </c:pt>
              </c:strCache>
            </c:strRef>
          </c:tx>
          <c:spPr>
            <a:solidFill>
              <a:schemeClr val="accent2"/>
            </a:solidFill>
            <a:ln>
              <a:noFill/>
            </a:ln>
            <a:effectLst/>
          </c:spPr>
          <c:dLbls>
            <c:dLbl>
              <c:idx val="0"/>
              <c:tx>
                <c:rich>
                  <a:bodyPr/>
                  <a:lstStyle/>
                  <a:p>
                    <a:r>
                      <a:rPr lang="en-US"/>
                      <a:t>?</a:t>
                    </a:r>
                  </a:p>
                </c:rich>
              </c:tx>
              <c:dLblPos val="ctr"/>
              <c:showVal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800" b="1" i="0" u="none" strike="noStrike" kern="1200" baseline="0">
                    <a:solidFill>
                      <a:schemeClr val="lt1"/>
                    </a:solidFill>
                    <a:latin typeface="+mn-lt"/>
                    <a:ea typeface="+mn-ea"/>
                    <a:cs typeface="+mn-cs"/>
                  </a:defRPr>
                </a:pPr>
                <a:endParaRPr lang="en-US"/>
              </a:p>
            </c:txPr>
            <c:dLblPos val="ct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Blad1!$B$1:$I$1</c:f>
              <c:strCache>
                <c:ptCount val="8"/>
                <c:pt idx="0">
                  <c:v>t=1</c:v>
                </c:pt>
                <c:pt idx="1">
                  <c:v>t=2</c:v>
                </c:pt>
                <c:pt idx="2">
                  <c:v>t=3</c:v>
                </c:pt>
                <c:pt idx="3">
                  <c:v>t=4</c:v>
                </c:pt>
                <c:pt idx="4">
                  <c:v>t=5</c:v>
                </c:pt>
                <c:pt idx="5">
                  <c:v>t=6</c:v>
                </c:pt>
                <c:pt idx="6">
                  <c:v>t=7</c:v>
                </c:pt>
                <c:pt idx="7">
                  <c:v>Horizon value</c:v>
                </c:pt>
              </c:strCache>
            </c:strRef>
          </c:cat>
          <c:val>
            <c:numRef>
              <c:f>Blad1!$B$3:$I$3</c:f>
              <c:numCache>
                <c:formatCode>Standaard</c:formatCode>
                <c:ptCount val="8"/>
                <c:pt idx="0">
                  <c:v>-25</c:v>
                </c:pt>
              </c:numCache>
            </c:numRef>
          </c:val>
        </c:ser>
        <c:dLbls>
          <c:showVal val="1"/>
        </c:dLbls>
        <c:gapWidth val="79"/>
        <c:overlap val="100"/>
        <c:axId val="95251456"/>
        <c:axId val="95253248"/>
      </c:barChart>
      <c:catAx>
        <c:axId val="95251456"/>
        <c:scaling>
          <c:orientation val="minMax"/>
        </c:scaling>
        <c:axPos val="b"/>
        <c:majorGridlines>
          <c:spPr>
            <a:ln w="9525" cap="flat" cmpd="sng" algn="ctr">
              <a:solidFill>
                <a:schemeClr val="tx1">
                  <a:lumMod val="15000"/>
                  <a:lumOff val="85000"/>
                </a:schemeClr>
              </a:solidFill>
              <a:round/>
            </a:ln>
            <a:effectLst/>
          </c:spPr>
        </c:majorGridlines>
        <c:numFmt formatCode="Standaard"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cap="all" spc="120" normalizeH="0" baseline="0">
                <a:solidFill>
                  <a:schemeClr val="tx1">
                    <a:lumMod val="65000"/>
                    <a:lumOff val="35000"/>
                  </a:schemeClr>
                </a:solidFill>
                <a:latin typeface="+mn-lt"/>
                <a:ea typeface="+mn-ea"/>
                <a:cs typeface="+mn-cs"/>
              </a:defRPr>
            </a:pPr>
            <a:endParaRPr lang="en-US"/>
          </a:p>
        </c:txPr>
        <c:crossAx val="95253248"/>
        <c:crosses val="autoZero"/>
        <c:auto val="1"/>
        <c:lblAlgn val="ctr"/>
        <c:lblOffset val="100"/>
      </c:catAx>
      <c:valAx>
        <c:axId val="95253248"/>
        <c:scaling>
          <c:orientation val="minMax"/>
          <c:max val="80"/>
          <c:min val="-100"/>
        </c:scaling>
        <c:delete val="1"/>
        <c:axPos val="l"/>
        <c:numFmt formatCode="Standaard" sourceLinked="1"/>
        <c:majorTickMark val="none"/>
        <c:tickLblPos val="none"/>
        <c:crossAx val="95251456"/>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Bachelor Thesis           </PublishDate>
  <Abstract> An experiment to test whether prior business experiences influence valuations due to cognitive biases and whether receptivity for the use of real exists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Tay88</b:Tag>
    <b:SourceType>JournalArticle</b:SourceType>
    <b:Guid>{BDF9FCF2-A9AF-49A0-8672-8F51728F2E95}</b:Guid>
    <b:LCID>0</b:LCID>
    <b:Author>
      <b:Author>
        <b:NameList>
          <b:Person>
            <b:Last>Taylor</b:Last>
          </b:Person>
          <b:Person>
            <b:Last>Brown</b:Last>
          </b:Person>
        </b:NameList>
      </b:Author>
    </b:Author>
    <b:Title>Illusian and well-being: A social phychological perspective on mental health</b:Title>
    <b:Year>1988</b:Year>
    <b:JournalName>Phychological bull </b:JournalName>
    <b:Pages>193-210</b:Pages>
    <b:RefOrder>39</b:RefOrder>
  </b:Source>
  <b:Source>
    <b:Tag>Fin14</b:Tag>
    <b:SourceType>ArticleInAPeriodical</b:SourceType>
    <b:Guid>{E12C923F-3D76-4BA1-9EEC-98C577D4BACE}</b:Guid>
    <b:LCID>0</b:LCID>
    <b:Author>
      <b:Author>
        <b:Corporate>Financieel Dagblad</b:Corporate>
      </b:Author>
    </b:Author>
    <b:Title>Hans Schenk: 65% tot 85% van de overnames mislukt</b:Title>
    <b:Year>2014</b:Year>
    <b:PeriodicalTitle>Financieel Dagblad</b:PeriodicalTitle>
    <b:Month>Maart</b:Month>
    <b:Day>14</b:Day>
    <b:RefOrder>2</b:RefOrder>
  </b:Source>
  <b:Source>
    <b:Tag>Moo08</b:Tag>
    <b:SourceType>JournalArticle</b:SourceType>
    <b:Guid>{7020F541-80EA-48A9-9B57-5370E1346C01}</b:Guid>
    <b:LCID>0</b:LCID>
    <b:Author>
      <b:Author>
        <b:NameList>
          <b:Person>
            <b:Last>Moore</b:Last>
          </b:Person>
          <b:Person>
            <b:Last>Healy</b:Last>
          </b:Person>
        </b:NameList>
      </b:Author>
    </b:Author>
    <b:Title>The trouble with overconfidence. </b:Title>
    <b:Year>2008</b:Year>
    <b:JournalName>Psychological review</b:JournalName>
    <b:Pages>502-517</b:Pages>
    <b:RefOrder>40</b:RefOrder>
  </b:Source>
  <b:Source>
    <b:Tag>Mal05</b:Tag>
    <b:SourceType>JournalArticle</b:SourceType>
    <b:Guid>{8C223F3E-842C-4D6E-A45D-C512699F173F}</b:Guid>
    <b:LCID>0</b:LCID>
    <b:Author>
      <b:Author>
        <b:NameList>
          <b:Person>
            <b:Last>Malmendier</b:Last>
          </b:Person>
          <b:Person>
            <b:Last>Tate</b:Last>
          </b:Person>
        </b:NameList>
      </b:Author>
    </b:Author>
    <b:Title>CEO overconfidence and corporate investment</b:Title>
    <b:JournalName>Journal of Finance</b:JournalName>
    <b:Year>2005</b:Year>
    <b:Pages>2661-2700</b:Pages>
    <b:RefOrder>41</b:RefOrder>
  </b:Source>
  <b:Source>
    <b:Tag>Bue94</b:Tag>
    <b:SourceType>JournalArticle</b:SourceType>
    <b:Guid>{F9076E0A-AB22-43A1-BF7B-046425EB3CAD}</b:Guid>
    <b:LCID>0</b:LCID>
    <b:Author>
      <b:Author>
        <b:NameList>
          <b:Person>
            <b:Last>Buehler</b:Last>
          </b:Person>
          <b:Person>
            <b:Last>Griffin</b:Last>
          </b:Person>
          <b:Person>
            <b:Last>Ross</b:Last>
          </b:Person>
        </b:NameList>
      </b:Author>
    </b:Author>
    <b:Title>Exploring the planning fallacy: why people underestimate their task completion times</b:Title>
    <b:JournalName>Journal of Personality and Social Psychology</b:JournalName>
    <b:Year>1994</b:Year>
    <b:Pages>366-381</b:Pages>
    <b:RefOrder>42</b:RefOrder>
  </b:Source>
  <b:Source>
    <b:Tag>Kah79</b:Tag>
    <b:SourceType>JournalArticle</b:SourceType>
    <b:Guid>{0538E36E-FCAD-4AF7-B9C9-734A9939F183}</b:Guid>
    <b:LCID>0</b:LCID>
    <b:Author>
      <b:Author>
        <b:NameList>
          <b:Person>
            <b:Last>Kahnemann</b:Last>
          </b:Person>
          <b:Person>
            <b:Last>Tversky</b:Last>
          </b:Person>
        </b:NameList>
      </b:Author>
    </b:Author>
    <b:Title>Prospect Theory: an analysis of decision under risk</b:Title>
    <b:JournalName>Econometrica</b:JournalName>
    <b:Year>1979</b:Year>
    <b:Pages>263-291</b:Pages>
    <b:RefOrder>43</b:RefOrder>
  </b:Source>
  <b:Source>
    <b:Tag>ATv81</b:Tag>
    <b:SourceType>JournalArticle</b:SourceType>
    <b:Guid>{F649A33D-92B6-404E-BE41-A032EC290500}</b:Guid>
    <b:LCID>0</b:LCID>
    <b:Author>
      <b:Author>
        <b:NameList>
          <b:Person>
            <b:Last>Tversky</b:Last>
            <b:First>A.</b:First>
          </b:Person>
          <b:Person>
            <b:Last>Kahneman</b:Last>
            <b:First>D.</b:First>
          </b:Person>
        </b:NameList>
      </b:Author>
    </b:Author>
    <b:Title>The framing of decisions and the psychology of choice</b:Title>
    <b:JournalName>Science</b:JournalName>
    <b:Year>1981</b:Year>
    <b:Pages>453-458</b:Pages>
    <b:Volume>211</b:Volume>
    <b:Issue>4481</b:Issue>
    <b:RefOrder>37</b:RefOrder>
  </b:Source>
  <b:Source>
    <b:Tag>Smi10</b:Tag>
    <b:SourceType>JournalArticle</b:SourceType>
    <b:Guid>{9A488657-A51F-4D02-BC3E-8C257FD28238}</b:Guid>
    <b:LCID>0</b:LCID>
    <b:Author>
      <b:Author>
        <b:NameList>
          <b:Person>
            <b:Last>Smit</b:Last>
            <b:First>Han</b:First>
          </b:Person>
          <b:Person>
            <b:Last>Moraitis</b:Last>
            <b:First>Thras</b:First>
          </b:Person>
        </b:NameList>
      </b:Author>
    </b:Author>
    <b:Title>Playing at serial acquisitions</b:Title>
    <b:JournalName>California Management Review</b:JournalName>
    <b:Year>2010</b:Year>
    <b:Pages>56-89</b:Pages>
    <b:Volume>53</b:Volume>
    <b:Issue>1</b:Issue>
    <b:RefOrder>6</b:RefOrder>
  </b:Source>
  <b:Source>
    <b:Tag>Sim55</b:Tag>
    <b:SourceType>JournalArticle</b:SourceType>
    <b:Guid>{F8402748-84B2-452E-A4E0-8750EBD16BEC}</b:Guid>
    <b:LCID>0</b:LCID>
    <b:Author>
      <b:Author>
        <b:NameList>
          <b:Person>
            <b:Last>Simon</b:Last>
            <b:First>H.A.</b:First>
          </b:Person>
        </b:NameList>
      </b:Author>
    </b:Author>
    <b:Title>A behavioral model of rational choice</b:Title>
    <b:JournalName>Quarterly Journal of Economics</b:JournalName>
    <b:Year>1955</b:Year>
    <b:Pages>99-118</b:Pages>
    <b:Volume>66</b:Volume>
    <b:RefOrder>44</b:RefOrder>
  </b:Source>
  <b:Source>
    <b:Tag>Sim90</b:Tag>
    <b:SourceType>JournalArticle</b:SourceType>
    <b:Guid>{02425F3F-88A7-4EDA-8E3D-4B6542DC6291}</b:Guid>
    <b:LCID>0</b:LCID>
    <b:Author>
      <b:Author>
        <b:NameList>
          <b:Person>
            <b:Last>Simon</b:Last>
          </b:Person>
        </b:NameList>
      </b:Author>
    </b:Author>
    <b:Title>Invariants of human behavior</b:Title>
    <b:JournalName>Annual Review of Psychology</b:JournalName>
    <b:Year>1990</b:Year>
    <b:Pages>1-19</b:Pages>
    <b:Volume>44</b:Volume>
    <b:RefOrder>45</b:RefOrder>
  </b:Source>
  <b:Source>
    <b:Tag>Don06</b:Tag>
    <b:SourceType>JournalArticle</b:SourceType>
    <b:Guid>{D41C8DD7-BC49-4DA9-886F-F2D8473F23E4}</b:Guid>
    <b:LCID>0</b:LCID>
    <b:Author>
      <b:Author>
        <b:NameList>
          <b:Person>
            <b:Last>Dong</b:Last>
            <b:First>Ming</b:First>
          </b:Person>
          <b:Person>
            <b:Last>Hirschleifer</b:Last>
            <b:First>David</b:First>
          </b:Person>
          <b:Person>
            <b:Last>Richardson</b:Last>
            <b:First>Scott</b:First>
          </b:Person>
          <b:Person>
            <b:Last>Teoh</b:Last>
            <b:First>Siew</b:First>
            <b:Middle>Hong</b:Middle>
          </b:Person>
        </b:NameList>
      </b:Author>
    </b:Author>
    <b:Title>Does investor misvaluation drive the takeover market?</b:Title>
    <b:JournalName>The Journal of Finance</b:JournalName>
    <b:Year>2006</b:Year>
    <b:Pages>725-762</b:Pages>
    <b:Volume>61</b:Volume>
    <b:Issue>2</b:Issue>
    <b:RefOrder>9</b:RefOrder>
  </b:Source>
  <b:Source>
    <b:Tag>Sch03</b:Tag>
    <b:SourceType>JournalArticle</b:SourceType>
    <b:Guid>{81A61EEC-C699-4E1A-B0B2-8B0E4CEE43C7}</b:Guid>
    <b:LCID>0</b:LCID>
    <b:Author>
      <b:Author>
        <b:NameList>
          <b:Person>
            <b:Last>Schleifer</b:Last>
            <b:First>Andrei</b:First>
          </b:Person>
          <b:Person>
            <b:Last>Vishny</b:Last>
            <b:First>Robert</b:First>
          </b:Person>
        </b:NameList>
      </b:Author>
    </b:Author>
    <b:Title>Stock market driven acquisitions</b:Title>
    <b:JournalName>Journal of Financial Economics</b:JournalName>
    <b:Year>2003</b:Year>
    <b:Pages>295-311</b:Pages>
    <b:Volume>70</b:Volume>
    <b:Issue>3</b:Issue>
    <b:RefOrder>10</b:RefOrder>
  </b:Source>
  <b:Source>
    <b:Tag>Rho04</b:Tag>
    <b:SourceType>JournalArticle</b:SourceType>
    <b:Guid>{12F097D0-C686-41B6-A66C-8966DD0D4049}</b:Guid>
    <b:LCID>0</b:LCID>
    <b:Author>
      <b:Author>
        <b:NameList>
          <b:Person>
            <b:Last>Rhodes-Kropf</b:Last>
            <b:First>Mathew</b:First>
          </b:Person>
          <b:Person>
            <b:Last>Visnwanathan</b:Last>
            <b:First>S.</b:First>
          </b:Person>
        </b:NameList>
      </b:Author>
    </b:Author>
    <b:Title>Market valuation and merger waves</b:Title>
    <b:JournalName>The Journal of Finance</b:JournalName>
    <b:Year>2004</b:Year>
    <b:Pages>2685-2718</b:Pages>
    <b:Volume>59</b:Volume>
    <b:Issue>6</b:Issue>
    <b:RefOrder>11</b:RefOrder>
  </b:Source>
  <b:Source>
    <b:Tag>Tve74</b:Tag>
    <b:SourceType>JournalArticle</b:SourceType>
    <b:Guid>{09891DD5-DE72-4152-8922-6267CC7F3A06}</b:Guid>
    <b:LCID>0</b:LCID>
    <b:Author>
      <b:Author>
        <b:NameList>
          <b:Person>
            <b:Last>Tversky</b:Last>
          </b:Person>
          <b:Person>
            <b:Last>Kahneman</b:Last>
          </b:Person>
        </b:NameList>
      </b:Author>
    </b:Author>
    <b:Title>Judgment under uncertainty: heuristics and biases</b:Title>
    <b:JournalName>Science</b:JournalName>
    <b:Year>1974</b:Year>
    <b:Pages>1124-1131</b:Pages>
    <b:Volume>185</b:Volume>
    <b:Issue>4157</b:Issue>
    <b:RefOrder>46</b:RefOrder>
  </b:Source>
  <b:Source>
    <b:Tag>Sha08</b:Tag>
    <b:SourceType>JournalArticle</b:SourceType>
    <b:Guid>{C5B7E45A-0931-4AF1-92F7-3AC45219810F}</b:Guid>
    <b:LCID>0</b:LCID>
    <b:Author>
      <b:Author>
        <b:NameList>
          <b:Person>
            <b:Last>Shah</b:Last>
            <b:First>A.K.</b:First>
          </b:Person>
          <b:Person>
            <b:Last>Oppenheimer</b:Last>
            <b:First>D.M.</b:First>
          </b:Person>
        </b:NameList>
      </b:Author>
    </b:Author>
    <b:Title>Heuristics made easy: an effort-reduction framework</b:Title>
    <b:JournalName>Psychological Bulletin</b:JournalName>
    <b:Year>2008</b:Year>
    <b:Pages>207-222</b:Pages>
    <b:Volume>134</b:Volume>
    <b:Issue>2</b:Issue>
    <b:RefOrder>8</b:RefOrder>
  </b:Source>
  <b:Source>
    <b:Tag>Tve741</b:Tag>
    <b:SourceType>JournalArticle</b:SourceType>
    <b:Guid>{9A2CD7A3-4704-48C7-8B4E-87A8EE0D089C}</b:Guid>
    <b:LCID>0</b:LCID>
    <b:Author>
      <b:Author>
        <b:NameList>
          <b:Person>
            <b:Last>Tversky</b:Last>
            <b:First>A.</b:First>
          </b:Person>
          <b:Person>
            <b:Last>Kahneman</b:Last>
            <b:First>D.</b:First>
          </b:Person>
        </b:NameList>
      </b:Author>
    </b:Author>
    <b:Title>Judgment under uncertainty: heuristics and biases</b:Title>
    <b:JournalName>Science</b:JournalName>
    <b:Year>1974</b:Year>
    <b:Pages>1124-1131</b:Pages>
    <b:Volume>185</b:Volume>
    <b:Issue>4157</b:Issue>
    <b:RefOrder>16</b:RefOrder>
  </b:Source>
  <b:Source>
    <b:Tag>Ari03</b:Tag>
    <b:SourceType>JournalArticle</b:SourceType>
    <b:Guid>{B9483F18-85E0-4FBB-8BC5-269F3A0A77FA}</b:Guid>
    <b:LCID>0</b:LCID>
    <b:Author>
      <b:Author>
        <b:NameList>
          <b:Person>
            <b:Last>Ariely</b:Last>
            <b:First>D.</b:First>
          </b:Person>
          <b:Person>
            <b:Last>Loewenstein</b:Last>
            <b:First>G.</b:First>
          </b:Person>
          <b:Person>
            <b:Last>Prelec</b:Last>
            <b:First>D.</b:First>
          </b:Person>
        </b:NameList>
      </b:Author>
    </b:Author>
    <b:Title>Coherent arbitrariness: Stable demand curves without stable preferences</b:Title>
    <b:JournalName>Quarterly Journal of Economics</b:JournalName>
    <b:Year>2003</b:Year>
    <b:Pages>73-105</b:Pages>
    <b:Volume>118</b:Volume>
    <b:RefOrder>47</b:RefOrder>
  </b:Source>
  <b:Source>
    <b:Tag>Bak12</b:Tag>
    <b:SourceType>JournalArticle</b:SourceType>
    <b:Guid>{DA879E65-96B0-4497-9843-EC134874D763}</b:Guid>
    <b:LCID>0</b:LCID>
    <b:Author>
      <b:Author>
        <b:NameList>
          <b:Person>
            <b:Last>Baker</b:Last>
            <b:First>M.</b:First>
          </b:Person>
          <b:Person>
            <b:Last>Pan</b:Last>
            <b:First>X.</b:First>
          </b:Person>
          <b:Person>
            <b:Last>Wurgler</b:Last>
            <b:First>J.</b:First>
          </b:Person>
        </b:NameList>
      </b:Author>
    </b:Author>
    <b:Title>The effect of reference point prices on mergers and acquisitions</b:Title>
    <b:JournalName>Journal of Financial Economics</b:JournalName>
    <b:Year>2012</b:Year>
    <b:Pages>49-71</b:Pages>
    <b:Volume>106</b:Volume>
    <b:Issue>1</b:Issue>
    <b:RefOrder>48</b:RefOrder>
  </b:Source>
  <b:Source>
    <b:Tag>Mac</b:Tag>
    <b:SourceType>BookSection</b:SourceType>
    <b:Guid>{7FB71D61-6039-4811-801D-32D71F0C7C5C}</b:Guid>
    <b:LCID>0</b:LCID>
    <b:Author>
      <b:Author>
        <b:NameList>
          <b:Person>
            <b:Last>Mace</b:Last>
            <b:First>M.L.</b:First>
          </b:Person>
        </b:NameList>
      </b:Author>
      <b:BookAuthor>
        <b:NameList>
          <b:Person>
            <b:Last>Mace</b:Last>
            <b:First>M.L.</b:First>
          </b:Person>
        </b:NameList>
      </b:BookAuthor>
    </b:Author>
    <b:Title>Directors: myth and reality</b:Title>
    <b:City>Cambridge</b:City>
    <b:Publisher>Harvard University Press</b:Publisher>
    <b:Year>1971</b:Year>
    <b:RefOrder>7</b:RefOrder>
  </b:Source>
  <b:Source>
    <b:Tag>Cam99</b:Tag>
    <b:SourceType>JournalArticle</b:SourceType>
    <b:Guid>{7CFED272-3A5E-46DF-B4FF-195D76155172}</b:Guid>
    <b:LCID>0</b:LCID>
    <b:Author>
      <b:Author>
        <b:NameList>
          <b:Person>
            <b:Last>Camerer</b:Last>
            <b:First>C.</b:First>
          </b:Person>
          <b:Person>
            <b:Last>Lovallo</b:Last>
            <b:First>D.</b:First>
          </b:Person>
        </b:NameList>
      </b:Author>
    </b:Author>
    <b:Title>Overconfidence and excess entry: an experimental approach</b:Title>
    <b:JournalName>The American Economic Review</b:JournalName>
    <b:Year>1999</b:Year>
    <b:Pages>306-318</b:Pages>
    <b:Volume>89</b:Volume>
    <b:Issue>1</b:Issue>
    <b:RefOrder>1</b:RefOrder>
  </b:Source>
  <b:Source>
    <b:Tag>Kah791</b:Tag>
    <b:SourceType>JournalArticle</b:SourceType>
    <b:Guid>{8C3FAC73-932D-4068-9BB3-D133FEC10870}</b:Guid>
    <b:LCID>0</b:LCID>
    <b:Author>
      <b:Author>
        <b:NameList>
          <b:Person>
            <b:Last>Kahneman</b:Last>
            <b:First>D.</b:First>
          </b:Person>
          <b:Person>
            <b:Last>Tversky</b:Last>
            <b:First>A.</b:First>
          </b:Person>
        </b:NameList>
      </b:Author>
    </b:Author>
    <b:Title>Prospect theory: an analysis of decision under risk</b:Title>
    <b:JournalName>Econometrica</b:JournalName>
    <b:Year>1979</b:Year>
    <b:Pages>263-291</b:Pages>
    <b:RefOrder>25</b:RefOrder>
  </b:Source>
  <b:Source>
    <b:Tag>ATv92</b:Tag>
    <b:SourceType>JournalArticle</b:SourceType>
    <b:Guid>{D762C65E-19C9-4581-BEEF-9DB25D38415C}</b:Guid>
    <b:LCID>0</b:LCID>
    <b:Author>
      <b:Author>
        <b:NameList>
          <b:Person>
            <b:Last>Tversky</b:Last>
            <b:First>A.</b:First>
          </b:Person>
          <b:Person>
            <b:Last>Kahneman</b:Last>
            <b:First>D.</b:First>
          </b:Person>
        </b:NameList>
      </b:Author>
    </b:Author>
    <b:Title>Advances in prospect theory: cumulative representation of uncertainty</b:Title>
    <b:JournalName>Journal of Risk and Uncertainty</b:JournalName>
    <b:Year>1992</b:Year>
    <b:Pages>297-323</b:Pages>
    <b:RefOrder>49</b:RefOrder>
  </b:Source>
  <b:Source>
    <b:Tag>Wil12</b:Tag>
    <b:SourceType>Book</b:SourceType>
    <b:Guid>{226E8EDE-5DD4-4F35-B554-A18EE4759566}</b:Guid>
    <b:LCID>0</b:LCID>
    <b:Author>
      <b:Author>
        <b:NameList>
          <b:Person>
            <b:Last>Wilkinson</b:Last>
            <b:First>N.</b:First>
          </b:Person>
          <b:Person>
            <b:Last>Klaes</b:Last>
            <b:First>M.</b:First>
          </b:Person>
        </b:NameList>
      </b:Author>
      <b:BookAuthor>
        <b:NameList>
          <b:Person>
            <b:Last>Wilkinson</b:Last>
            <b:First>N.</b:First>
          </b:Person>
          <b:Person>
            <b:Last>KLaes</b:Last>
            <b:First>M.</b:First>
          </b:Person>
        </b:NameList>
      </b:BookAuthor>
    </b:Author>
    <b:Title>An introduction to behavioral economics</b:Title>
    <b:Year>2012</b:Year>
    <b:City>London, UK</b:City>
    <b:Publisher>Palgrave Macmillan</b:Publisher>
    <b:RefOrder>26</b:RefOrder>
  </b:Source>
  <b:Source>
    <b:Tag>Lov93</b:Tag>
    <b:SourceType>JournalArticle</b:SourceType>
    <b:Guid>{09AACFA4-BAD7-4FBC-BF48-B02FDB7B2EEE}</b:Guid>
    <b:LCID>0</b:LCID>
    <b:Author>
      <b:Author>
        <b:NameList>
          <b:Person>
            <b:Last>Lovallo</b:Last>
            <b:First>D.</b:First>
          </b:Person>
          <b:Person>
            <b:Last>Kahneman</b:Last>
            <b:First>D.</b:First>
          </b:Person>
        </b:NameList>
      </b:Author>
    </b:Author>
    <b:Title>Timid choices and bold forecasts: a cognitive perspective on risk taking</b:Title>
    <b:Year>1993</b:Year>
    <b:JournalName>Management Science</b:JournalName>
    <b:Pages>17-31</b:Pages>
    <b:RefOrder>50</b:RefOrder>
  </b:Source>
  <b:Source>
    <b:Tag>Mac86</b:Tag>
    <b:SourceType>Book</b:SourceType>
    <b:Guid>{4C190484-5730-429E-BEA5-2458FDDE3A8A}</b:Guid>
    <b:LCID>0</b:LCID>
    <b:Author>
      <b:Author>
        <b:NameList>
          <b:Person>
            <b:Last>MacCrimmon</b:Last>
            <b:First>Kenneth</b:First>
          </b:Person>
          <b:Person>
            <b:Last>Wehrung</b:Last>
            <b:First>Donald</b:First>
          </b:Person>
        </b:NameList>
      </b:Author>
    </b:Author>
    <b:Title>Takings risks: the management of uncertainty</b:Title>
    <b:Year>1986</b:Year>
    <b:City>New York</b:City>
    <b:Publisher>Free Press</b:Publisher>
    <b:RefOrder>51</b:RefOrder>
  </b:Source>
  <b:Source>
    <b:Tag>Mar87</b:Tag>
    <b:SourceType>JournalArticle</b:SourceType>
    <b:Guid>{A72A0E52-1FA1-4B59-A0E0-CA75953226D2}</b:Guid>
    <b:LCID>0</b:LCID>
    <b:Author>
      <b:Author>
        <b:NameList>
          <b:Person>
            <b:Last>March</b:Last>
            <b:First>James</b:First>
          </b:Person>
          <b:Person>
            <b:Last>Shapira</b:Last>
            <b:First>Zur</b:First>
          </b:Person>
        </b:NameList>
      </b:Author>
    </b:Author>
    <b:Title>Managerial perspectives on risk and risk taking</b:Title>
    <b:Year>1987</b:Year>
    <b:JournalName>Management Science</b:JournalName>
    <b:Pages>1404-1418</b:Pages>
    <b:Volume>33</b:Volume>
    <b:Issue>11</b:Issue>
    <b:RefOrder>34</b:RefOrder>
  </b:Source>
  <b:Source>
    <b:Tag>Sta81</b:Tag>
    <b:SourceType>JournalArticle</b:SourceType>
    <b:Guid>{71472810-8F3F-43F4-A107-8FD7E3F11B78}</b:Guid>
    <b:LCID>0</b:LCID>
    <b:Author>
      <b:Author>
        <b:NameList>
          <b:Person>
            <b:Last>Staw</b:Last>
            <b:First>Barry</b:First>
            <b:Middle>M.</b:Middle>
          </b:Person>
        </b:NameList>
      </b:Author>
    </b:Author>
    <b:Title>The escalation of commitment to a course of action</b:Title>
    <b:JournalName>Academy of Management Review</b:JournalName>
    <b:Year>1981</b:Year>
    <b:Pages>577-587</b:Pages>
    <b:Volume>6</b:Volume>
    <b:Issue>4</b:Issue>
    <b:RefOrder>30</b:RefOrder>
  </b:Source>
  <b:Source>
    <b:Tag>Baz84</b:Tag>
    <b:SourceType>JournalArticle</b:SourceType>
    <b:Guid>{3AEE33B2-928E-4A48-A836-73186CB50C33}</b:Guid>
    <b:LCID>0</b:LCID>
    <b:Author>
      <b:Author>
        <b:NameList>
          <b:Person>
            <b:Last>Bazerman</b:Last>
            <b:First>Max</b:First>
          </b:Person>
        </b:NameList>
      </b:Author>
    </b:Author>
    <b:Title>The relevance of Kahneman and Tversky's concept of framing to organizational behavior</b:Title>
    <b:JournalName>Journal of Management</b:JournalName>
    <b:Year>1984</b:Year>
    <b:Pages>333-343</b:Pages>
    <b:Volume>10</b:Volume>
    <b:Issue>3</b:Issue>
    <b:RefOrder>32</b:RefOrder>
  </b:Source>
  <b:Source>
    <b:Tag>Gle86</b:Tag>
    <b:SourceType>JournalArticle</b:SourceType>
    <b:Guid>{B417924F-D283-4205-940C-7F5AC671E073}</b:Guid>
    <b:LCID>0</b:LCID>
    <b:Author>
      <b:Author>
        <b:NameList>
          <b:Person>
            <b:Last>Whyte</b:Last>
            <b:First>Glen</b:First>
          </b:Person>
        </b:NameList>
      </b:Author>
    </b:Author>
    <b:Title>The escalation of commitment to a course of action: a reinterpretation</b:Title>
    <b:JournalName>Academy of Management Review</b:JournalName>
    <b:Year>1986</b:Year>
    <b:Pages>311-321</b:Pages>
    <b:Volume>11</b:Volume>
    <b:Issue>2</b:Issue>
    <b:RefOrder>33</b:RefOrder>
  </b:Source>
  <b:Source>
    <b:Tag>Bat89</b:Tag>
    <b:SourceType>JournalArticle</b:SourceType>
    <b:Guid>{51309FD2-ACFC-47D5-B813-6C2CA64F248B}</b:Guid>
    <b:LCID>0</b:LCID>
    <b:Author>
      <b:Author>
        <b:NameList>
          <b:Person>
            <b:Last>Bateman</b:Last>
            <b:First>T.</b:First>
          </b:Person>
          <b:Person>
            <b:Last>Zeithaml</b:Last>
            <b:First>C.</b:First>
          </b:Person>
        </b:NameList>
      </b:Author>
    </b:Author>
    <b:Title>The psychological context of strategic decisions: a model and convergent experimental findings</b:Title>
    <b:JournalName>Strategic Management Journal</b:JournalName>
    <b:Year>1989</b:Year>
    <b:Pages>59-74</b:Pages>
    <b:Volume>10</b:Volume>
    <b:RefOrder>52</b:RefOrder>
  </b:Source>
  <b:Source>
    <b:Tag>Web05</b:Tag>
    <b:SourceType>JournalArticle</b:SourceType>
    <b:Guid>{F7FE82B9-B24A-4282-9ECC-6284D51761D6}</b:Guid>
    <b:LCID>0</b:LCID>
    <b:Author>
      <b:Author>
        <b:NameList>
          <b:Person>
            <b:Last>Weber</b:Last>
            <b:First>M.</b:First>
          </b:Person>
          <b:Person>
            <b:Last>H.Zuchel</b:Last>
          </b:Person>
        </b:NameList>
      </b:Author>
    </b:Author>
    <b:Title>How Do Prior Outcomes Affect Risk Attitude: Comparing Escalation of Commitment and the House-Money Effect</b:Title>
    <b:JournalName>Decision Analysis</b:JournalName>
    <b:Year>2005</b:Year>
    <b:Pages>30-43</b:Pages>
    <b:Issue>2</b:Issue>
    <b:RefOrder>29</b:RefOrder>
  </b:Source>
  <b:Source>
    <b:Tag>Tha90</b:Tag>
    <b:SourceType>JournalArticle</b:SourceType>
    <b:Guid>{10902938-3C9A-4B58-8E30-104F167734D0}</b:Guid>
    <b:LCID>0</b:LCID>
    <b:Author>
      <b:Author>
        <b:NameList>
          <b:Person>
            <b:Last>Thaler</b:Last>
            <b:First>R.</b:First>
            <b:Middle>H.</b:Middle>
          </b:Person>
          <b:Person>
            <b:Last>Johnson</b:Last>
            <b:First>E.J.</b:First>
          </b:Person>
        </b:NameList>
      </b:Author>
    </b:Author>
    <b:Title>Gambling with the house money and trying to break even: the effects of prior outcomes on risky choices</b:Title>
    <b:JournalName>Management Science</b:JournalName>
    <b:Year>1990</b:Year>
    <b:Pages>643-660</b:Pages>
    <b:Volume>66</b:Volume>
    <b:RefOrder>35</b:RefOrder>
  </b:Source>
  <b:Source>
    <b:Tag>NBa08</b:Tag>
    <b:SourceType>BookSection</b:SourceType>
    <b:Guid>{50539EA1-030C-4EFD-93B8-E7B0A1D5084C}</b:Guid>
    <b:LCID>0</b:LCID>
    <b:Author>
      <b:Author>
        <b:NameList>
          <b:Person>
            <b:Last>Barberis</b:Last>
            <b:First>N.</b:First>
          </b:Person>
          <b:Person>
            <b:Last>Huang</b:Last>
            <b:First>M.</b:First>
          </b:Person>
        </b:NameList>
      </b:Author>
      <b:BookAuthor>
        <b:NameList>
          <b:Person>
            <b:Last>Mehra</b:Last>
            <b:First>R.</b:First>
          </b:Person>
        </b:NameList>
      </b:BookAuthor>
    </b:Author>
    <b:Title>The loss aversion/narrow framing approach to the equity premium puzzle</b:Title>
    <b:Year>2008</b:Year>
    <b:Pages>199-236</b:Pages>
    <b:BookTitle>Handbook of the equity risk premium</b:BookTitle>
    <b:City>Amsterdam, Netherlands</b:City>
    <b:Publisher>Elsevier</b:Publisher>
    <b:RefOrder>36</b:RefOrder>
  </b:Source>
  <b:Source>
    <b:Tag>Bec86</b:Tag>
    <b:SourceType>JournalArticle</b:SourceType>
    <b:Guid>{796DC194-305A-4560-93CD-C97A80EFE9EE}</b:Guid>
    <b:Title>Corporate Mergers and the Business Cycle</b:Title>
    <b:Year>1986</b:Year>
    <b:Pages>13-26</b:Pages>
    <b:JournalName>Federal Reserve Bank of Kansas City: Economic Review</b:JournalName>
    <b:Author>
      <b:Author>
        <b:NameList>
          <b:Person>
            <b:Last>Becketti</b:Last>
            <b:First>Sean</b:First>
          </b:Person>
        </b:NameList>
      </b:Author>
    </b:Author>
    <b:RefOrder>3</b:RefOrder>
  </b:Source>
  <b:Source>
    <b:Tag>Har05</b:Tag>
    <b:SourceType>JournalArticle</b:SourceType>
    <b:Guid>{02D14EB3-7979-47D6-903C-505A1A2AEB78}</b:Guid>
    <b:Author>
      <b:Author>
        <b:NameList>
          <b:Person>
            <b:Last>Harford</b:Last>
            <b:First>Jarrad</b:First>
          </b:Person>
        </b:NameList>
      </b:Author>
    </b:Author>
    <b:Title>What drives merger waves?</b:Title>
    <b:JournalName>Journal of Financial Economics</b:JournalName>
    <b:Year>2005</b:Year>
    <b:Pages>529-560</b:Pages>
    <b:RefOrder>4</b:RefOrder>
  </b:Source>
  <b:Source>
    <b:Tag>And04</b:Tag>
    <b:SourceType>JournalArticle</b:SourceType>
    <b:Guid>{7D3AACE8-937B-4145-BF4F-9197E96121F5}</b:Guid>
    <b:Title>Investigating the economic role of mergers</b:Title>
    <b:Year>2004</b:Year>
    <b:Pages>1-36</b:Pages>
    <b:Author>
      <b:Author>
        <b:NameList>
          <b:Person>
            <b:Last>Andrade</b:Last>
            <b:First>Gregor</b:First>
          </b:Person>
          <b:Person>
            <b:Last>Stafford</b:Last>
            <b:First>Erik</b:First>
          </b:Person>
        </b:NameList>
      </b:Author>
    </b:Author>
    <b:JournalName>Journal of Corporate Finance</b:JournalName>
    <b:RefOrder>5</b:RefOrder>
  </b:Source>
  <b:Source>
    <b:Tag>Cam14</b:Tag>
    <b:SourceType>ConferenceProceedings</b:SourceType>
    <b:Guid>{FB86F0CB-21E0-4BC5-98A9-A5FDE6F40E7A}</b:Guid>
    <b:LCID>0</b:LCID>
    <b:Author>
      <b:Author>
        <b:NameList>
          <b:Person>
            <b:Last>Camerer</b:Last>
            <b:First>Colin</b:First>
          </b:Person>
          <b:Person>
            <b:Last>Malmendier</b:Last>
            <b:First>Ulrike</b:First>
          </b:Person>
        </b:NameList>
      </b:Author>
    </b:Author>
    <b:Title>Behavioral Organizational Economics</b:Title>
    <b:Year>2004</b:Year>
    <b:ConferenceName>Yrjö Jahnsson Foundation conference on economic institutions and behavioral economics</b:ConferenceName>
    <b:RefOrder>53</b:RefOrder>
  </b:Source>
  <b:Source>
    <b:Tag>Kla99</b:Tag>
    <b:SourceType>JournalArticle</b:SourceType>
    <b:Guid>{539993ED-C079-4C00-9E20-C2D6EFB94990}</b:Guid>
    <b:LCID>0</b:LCID>
    <b:Author>
      <b:Author>
        <b:NameList>
          <b:Person>
            <b:Last>Klayman</b:Last>
            <b:First>J.</b:First>
          </b:Person>
          <b:Person>
            <b:Last>Soll</b:Last>
            <b:First>J.B.</b:First>
          </b:Person>
          <b:Person>
            <b:Last>Gonzalez-Vallejo</b:Last>
            <b:First>C.</b:First>
          </b:Person>
          <b:Person>
            <b:Last>Barlas</b:Last>
            <b:First>S.</b:First>
          </b:Person>
        </b:NameList>
      </b:Author>
    </b:Author>
    <b:Title>Overconfidence: It depends on how, what, and whom you ask</b:Title>
    <b:JournalName>Organizational Behavior and Human Decision Processess</b:JournalName>
    <b:Year>1999</b:Year>
    <b:Pages>216-247</b:Pages>
    <b:Volume>79</b:Volume>
    <b:Issue>3</b:Issue>
    <b:RefOrder>54</b:RefOrder>
  </b:Source>
  <b:Source>
    <b:Tag>Sol04</b:Tag>
    <b:SourceType>JournalArticle</b:SourceType>
    <b:Guid>{A75D9971-88E2-48DF-B056-F6F18E6DEA94}</b:Guid>
    <b:LCID>0</b:LCID>
    <b:Author>
      <b:Author>
        <b:NameList>
          <b:Person>
            <b:Last>Soll</b:Last>
            <b:First>J.B.</b:First>
          </b:Person>
          <b:Person>
            <b:Last>Klayman</b:Last>
            <b:First>J.</b:First>
          </b:Person>
        </b:NameList>
      </b:Author>
    </b:Author>
    <b:Title>Overconfidence in interval estimates</b:Title>
    <b:JournalName>Journal of Experimental Psychology: Learning, Memory and Cognition</b:JournalName>
    <b:Year>2004</b:Year>
    <b:Pages>299-314</b:Pages>
    <b:Volume>21</b:Volume>
    <b:Issue>6</b:Issue>
    <b:RefOrder>55</b:RefOrder>
  </b:Source>
  <b:Source>
    <b:Tag>Lic77</b:Tag>
    <b:SourceType>JournalArticle</b:SourceType>
    <b:Guid>{36B15B38-F715-43E6-93FC-0F486FB19462}</b:Guid>
    <b:LCID>0</b:LCID>
    <b:Author>
      <b:Author>
        <b:NameList>
          <b:Person>
            <b:Last>Lichtenstein</b:Last>
            <b:First>S.</b:First>
          </b:Person>
          <b:Person>
            <b:Last>Fisschoff</b:Last>
            <b:First>B.</b:First>
          </b:Person>
        </b:NameList>
      </b:Author>
    </b:Author>
    <b:Title>Do those who know more also know more about how much they know? The calibration of probabilty judgments</b:Title>
    <b:JournalName>Organizational Behavior and Human performance</b:JournalName>
    <b:Year>1977</b:Year>
    <b:Pages>1-12</b:Pages>
    <b:Volume>16</b:Volume>
    <b:RefOrder>12</b:RefOrder>
  </b:Source>
  <b:Source>
    <b:Tag>Zuc79</b:Tag>
    <b:SourceType>JournalArticle</b:SourceType>
    <b:Guid>{8D31C5A5-DCD2-42C9-8784-D73EBEF165BF}</b:Guid>
    <b:LCID>0</b:LCID>
    <b:Author>
      <b:Author>
        <b:NameList>
          <b:Person>
            <b:Last>Zuckerman</b:Last>
            <b:First>M.</b:First>
          </b:Person>
        </b:NameList>
      </b:Author>
    </b:Author>
    <b:Title>Attributions of succes and failure revisited</b:Title>
    <b:JournalName>Journal of Personality</b:JournalName>
    <b:Year>1979</b:Year>
    <b:Pages>245-87</b:Pages>
    <b:Volume>47</b:Volume>
    <b:Issue>2</b:Issue>
    <b:RefOrder>13</b:RefOrder>
  </b:Source>
  <b:Source>
    <b:Tag>Bra78</b:Tag>
    <b:SourceType>JournalArticle</b:SourceType>
    <b:Guid>{A794A8AC-C20B-4B82-987E-CBAED34B9783}</b:Guid>
    <b:LCID>0</b:LCID>
    <b:Author>
      <b:Author>
        <b:NameList>
          <b:Person>
            <b:Last>Bradley</b:Last>
            <b:First>G.W.</b:First>
          </b:Person>
        </b:NameList>
      </b:Author>
    </b:Author>
    <b:Title>Self-serving biases in the attribution process: A reexamination of the fact or fiction question</b:Title>
    <b:JournalName>Journal of Personality and Social Psychology</b:JournalName>
    <b:Year>1978</b:Year>
    <b:Pages>56-71</b:Pages>
    <b:Volume>36</b:Volume>
    <b:RefOrder>14</b:RefOrder>
  </b:Source>
  <b:Source>
    <b:Tag>Lan75</b:Tag>
    <b:SourceType>JournalArticle</b:SourceType>
    <b:Guid>{F77F955D-D46A-4207-A5A6-F4F4C886606B}</b:Guid>
    <b:LCID>0</b:LCID>
    <b:Author>
      <b:Author>
        <b:NameList>
          <b:Person>
            <b:Last>Langer</b:Last>
            <b:First>Ellen</b:First>
          </b:Person>
        </b:NameList>
      </b:Author>
    </b:Author>
    <b:Title>The illusion of control</b:Title>
    <b:JournalName>Journal of personality and social psychology</b:JournalName>
    <b:Year>1975</b:Year>
    <b:Pages>311-328</b:Pages>
    <b:Volume>32</b:Volume>
    <b:Issue>2</b:Issue>
    <b:RefOrder>56</b:RefOrder>
  </b:Source>
  <b:Source>
    <b:Tag>Gin11</b:Tag>
    <b:SourceType>JournalArticle</b:SourceType>
    <b:Guid>{0F747809-7017-40BF-B97F-288F79FEC410}</b:Guid>
    <b:LCID>0</b:LCID>
    <b:Author>
      <b:Author>
        <b:NameList>
          <b:Person>
            <b:Last>Gino</b:Last>
            <b:First>Francesca</b:First>
          </b:Person>
          <b:Person>
            <b:Last>Sharek</b:Last>
            <b:First>Zachariah</b:First>
          </b:Person>
          <b:Person>
            <b:Last>Moore</b:Last>
            <b:First>Don</b:First>
          </b:Person>
        </b:NameList>
      </b:Author>
    </b:Author>
    <b:Title>Keeping the illusion of control under control: Ceilings, floors and imperfect calibration</b:Title>
    <b:JournalName>Organizational behavior and human decision processes</b:JournalName>
    <b:Year>2011</b:Year>
    <b:Pages>104-114</b:Pages>
    <b:Volume>114</b:Volume>
    <b:Issue>2</b:Issue>
    <b:RefOrder>57</b:RefOrder>
  </b:Source>
  <b:Source>
    <b:Tag>Jon01</b:Tag>
    <b:SourceType>JournalArticle</b:SourceType>
    <b:Guid>{86FDBA88-EE9E-45B0-83B3-25FDC8B97701}</b:Guid>
    <b:LCID>0</b:LCID>
    <b:Author>
      <b:Author>
        <b:NameList>
          <b:Person>
            <b:Last>Jones</b:Last>
            <b:First>Martin</b:First>
          </b:Person>
          <b:Person>
            <b:Last>Sugden</b:Last>
            <b:First>Robert</b:First>
          </b:Person>
        </b:NameList>
      </b:Author>
    </b:Author>
    <b:Title>Positive confirmation bias in the acquisition of information</b:Title>
    <b:JournalName>Theory and Discussion</b:JournalName>
    <b:Year>2001</b:Year>
    <b:Pages>59-99</b:Pages>
    <b:Volume>50</b:Volume>
    <b:Issue>1</b:Issue>
    <b:RefOrder>17</b:RefOrder>
  </b:Source>
  <b:Source>
    <b:Tag>Bur86</b:Tag>
    <b:SourceType>JournalArticle</b:SourceType>
    <b:Guid>{E13EAEFF-899E-4F2B-8EE4-308839651A6F}</b:Guid>
    <b:LCID>0</b:LCID>
    <b:Author>
      <b:Author>
        <b:NameList>
          <b:Person>
            <b:Last>Burger</b:Last>
            <b:First>J.M.</b:First>
          </b:Person>
        </b:NameList>
      </b:Author>
    </b:Author>
    <b:Title>Desire for control and the illusion of control: the effects of familiarity and sequence of outcomes</b:Title>
    <b:JournalName>Journal of Research in Personality</b:JournalName>
    <b:Year>1986</b:Year>
    <b:Pages>66-76</b:Pages>
    <b:Volume>20</b:Volume>
    <b:RefOrder>18</b:RefOrder>
  </b:Source>
  <b:Source>
    <b:Tag>Wei80</b:Tag>
    <b:SourceType>JournalArticle</b:SourceType>
    <b:Guid>{CAAD6116-5066-457A-8DF9-5EF4321A36FB}</b:Guid>
    <b:LCID>0</b:LCID>
    <b:Author>
      <b:Author>
        <b:NameList>
          <b:Person>
            <b:Last>Weinstein</b:Last>
            <b:First>N.</b:First>
            <b:Middle>D.</b:Middle>
          </b:Person>
        </b:NameList>
      </b:Author>
    </b:Author>
    <b:Title>Unrealistic optimism about future life events</b:Title>
    <b:JournalName>Journal of Personality and Social Psychology</b:JournalName>
    <b:Year>1980</b:Year>
    <b:Pages>806-820</b:Pages>
    <b:Volume>39</b:Volume>
    <b:Issue>5</b:Issue>
    <b:RefOrder>19</b:RefOrder>
  </b:Source>
  <b:Source>
    <b:Tag>Lov03</b:Tag>
    <b:SourceType>JournalArticle</b:SourceType>
    <b:Guid>{F40EC1A4-83C1-43AC-A88B-260BE02707F4}</b:Guid>
    <b:LCID>0</b:LCID>
    <b:Author>
      <b:Author>
        <b:NameList>
          <b:Person>
            <b:Last>Lovallo</b:Last>
            <b:First>D.</b:First>
          </b:Person>
          <b:Person>
            <b:Last>Kahnemann</b:Last>
            <b:First>D.</b:First>
          </b:Person>
        </b:NameList>
      </b:Author>
    </b:Author>
    <b:Title>Delusions of succes: how optimism undermines executives' decisions</b:Title>
    <b:JournalName>Harvard Business Review</b:JournalName>
    <b:Year>2003</b:Year>
    <b:Pages>56-63</b:Pages>
    <b:Volume>81</b:Volume>
    <b:Issue>7</b:Issue>
    <b:RefOrder>58</b:RefOrder>
  </b:Source>
  <b:Source>
    <b:Tag>Ali95</b:Tag>
    <b:SourceType>JournalArticle</b:SourceType>
    <b:Guid>{467417DC-B3E4-49A9-8897-78F9762BF788}</b:Guid>
    <b:LCID>0</b:LCID>
    <b:Author>
      <b:Author>
        <b:NameList>
          <b:Person>
            <b:Last>Alicke</b:Last>
            <b:First>M.</b:First>
          </b:Person>
          <b:Person>
            <b:Last>Klotz</b:Last>
            <b:First>M.</b:First>
          </b:Person>
          <b:Person>
            <b:Last>Breitenbecher</b:Last>
            <b:First>D.</b:First>
          </b:Person>
          <b:Person>
            <b:Last>Yurak</b:Last>
            <b:First>T.</b:First>
          </b:Person>
          <b:Person>
            <b:Last>Vredenburg</b:Last>
            <b:First>D.</b:First>
          </b:Person>
        </b:NameList>
      </b:Author>
    </b:Author>
    <b:Title>Personal contact, individuation, and the better-than-average effect</b:Title>
    <b:JournalName>Journal of personality and social psychology</b:JournalName>
    <b:Year>1995</b:Year>
    <b:Pages>804-825</b:Pages>
    <b:Volume>68</b:Volume>
    <b:Issue>5</b:Issue>
    <b:RefOrder>59</b:RefOrder>
  </b:Source>
  <b:Source>
    <b:Tag>Sve81</b:Tag>
    <b:SourceType>JournalArticle</b:SourceType>
    <b:Guid>{CCB83215-791A-478B-BE4F-E6E625580CC9}</b:Guid>
    <b:LCID>0</b:LCID>
    <b:Author>
      <b:Author>
        <b:NameList>
          <b:Person>
            <b:Last>Svenson</b:Last>
            <b:First>Ola</b:First>
          </b:Person>
        </b:NameList>
      </b:Author>
    </b:Author>
    <b:Title>Are we all less risky and more skillful than our fellow drivers?</b:Title>
    <b:JournalName>Acta Psychologica</b:JournalName>
    <b:Year>1981</b:Year>
    <b:Pages>143-148</b:Pages>
    <b:Volume>47</b:Volume>
    <b:Issue>2</b:Issue>
    <b:RefOrder>60</b:RefOrder>
  </b:Source>
  <b:Source>
    <b:Tag>Lar07</b:Tag>
    <b:SourceType>JournalArticle</b:SourceType>
    <b:Guid>{948D183C-D860-476A-B2E7-88AF8D9CF432}</b:Guid>
    <b:LCID>0</b:LCID>
    <b:Author>
      <b:Author>
        <b:NameList>
          <b:Person>
            <b:Last>Larrick</b:Last>
            <b:First>R.P.</b:First>
          </b:Person>
          <b:Person>
            <b:Last>Burson</b:Last>
            <b:First>K.A.</b:First>
          </b:Person>
          <b:Person>
            <b:Last>Soll</b:Last>
            <b:First>J.B.</b:First>
          </b:Person>
        </b:NameList>
      </b:Author>
    </b:Author>
    <b:Title>Social comparison and confidence: When thinking you're better than average predicts overconfidence</b:Title>
    <b:JournalName>Organizational Behavior &amp; Human Decision Processess</b:JournalName>
    <b:Year>2007</b:Year>
    <b:Pages>76-94</b:Pages>
    <b:Volume>102</b:Volume>
    <b:Issue>1</b:Issue>
    <b:RefOrder>61</b:RefOrder>
  </b:Source>
  <b:Source>
    <b:Tag>Lar77</b:Tag>
    <b:SourceType>JournalArticle</b:SourceType>
    <b:Guid>{3A747CA0-5442-431D-98EA-51860F492F51}</b:Guid>
    <b:LCID>0</b:LCID>
    <b:Author>
      <b:Author>
        <b:NameList>
          <b:Person>
            <b:Last>Larwood</b:Last>
            <b:First>Laurie</b:First>
          </b:Person>
          <b:Person>
            <b:Last>Whittaker</b:Last>
            <b:First>William</b:First>
          </b:Person>
        </b:NameList>
      </b:Author>
    </b:Author>
    <b:Title>Managerial Myopia: Self-serving Biases in Organizational Planning</b:Title>
    <b:JournalName>Journal of applied Psychology</b:JournalName>
    <b:Year>1977</b:Year>
    <b:Pages>194-198</b:Pages>
    <b:Volume>62</b:Volume>
    <b:Issue>2</b:Issue>
    <b:RefOrder>22</b:RefOrder>
  </b:Source>
  <b:Source>
    <b:Tag>Goe00</b:Tag>
    <b:SourceType>JournalArticle</b:SourceType>
    <b:Guid>{D9CCF9D5-22B5-4A68-AF82-8CD2E91892A5}</b:Guid>
    <b:LCID>0</b:LCID>
    <b:Author>
      <b:Author>
        <b:NameList>
          <b:Person>
            <b:Last>Goel</b:Last>
            <b:First>Anand</b:First>
          </b:Person>
          <b:Person>
            <b:Last>Thakor</b:Last>
            <b:First>Anjan</b:First>
          </b:Person>
        </b:NameList>
      </b:Author>
    </b:Author>
    <b:Title>Rationality, overconfidence and leadership</b:Title>
    <b:Year>2000</b:Year>
    <b:JournalName>Working paper</b:JournalName>
    <b:Publisher>SSRN</b:Publisher>
    <b:RefOrder>62</b:RefOrder>
  </b:Source>
  <b:Source>
    <b:Tag>Coo88</b:Tag>
    <b:SourceType>JournalArticle</b:SourceType>
    <b:Guid>{6AC5F31D-42DF-4A13-9BC0-EEE753E82D49}</b:Guid>
    <b:LCID>0</b:LCID>
    <b:Author>
      <b:Author>
        <b:NameList>
          <b:Person>
            <b:Last>Cooper</b:Last>
            <b:First>Arnold</b:First>
          </b:Person>
          <b:Person>
            <b:Last>Woo</b:Last>
            <b:First>Carolyn</b:First>
          </b:Person>
          <b:Person>
            <b:Last>Dunkelberg</b:Last>
            <b:First>William</b:First>
          </b:Person>
        </b:NameList>
      </b:Author>
    </b:Author>
    <b:Title>Entrepreneurs' perceived chances for succes</b:Title>
    <b:JournalName>Journal of business venturing</b:JournalName>
    <b:Year>1988</b:Year>
    <b:Pages>97-108</b:Pages>
    <b:Issue>3</b:Issue>
    <b:RefOrder>21</b:RefOrder>
  </b:Source>
  <b:Source>
    <b:Tag>Hay97</b:Tag>
    <b:SourceType>JournalArticle</b:SourceType>
    <b:Guid>{48274BA1-7C8F-4603-B3D1-26056CE4FC2F}</b:Guid>
    <b:LCID>0</b:LCID>
    <b:Author>
      <b:Author>
        <b:NameList>
          <b:Person>
            <b:Last>Hayward</b:Last>
            <b:First>M.L.A.</b:First>
          </b:Person>
          <b:Person>
            <b:Last>Hambrick</b:Last>
            <b:First>D.C.</b:First>
          </b:Person>
        </b:NameList>
      </b:Author>
    </b:Author>
    <b:Title>Explaining the premiums paid for large acquisitions: evidence of CEO hubris</b:Title>
    <b:JournalName>Administrative Science Quarterly</b:JournalName>
    <b:Year>1997</b:Year>
    <b:Pages>103-127</b:Pages>
    <b:Volume>42</b:Volume>
    <b:Issue>1</b:Issue>
    <b:RefOrder>63</b:RefOrder>
  </b:Source>
  <b:Source>
    <b:Tag>Mal08</b:Tag>
    <b:SourceType>JournalArticle</b:SourceType>
    <b:Guid>{7299A6F0-875B-4294-9A18-9FF85E3B2B7E}</b:Guid>
    <b:LCID>0</b:LCID>
    <b:Author>
      <b:Author>
        <b:NameList>
          <b:Person>
            <b:Last>Malmendier</b:Last>
            <b:First>U.</b:First>
          </b:Person>
          <b:Person>
            <b:Last>Tate</b:Last>
            <b:First>G.</b:First>
          </b:Person>
        </b:NameList>
      </b:Author>
    </b:Author>
    <b:Title>Who makes acquisitions? CEO overconfidence and the market's reaction</b:Title>
    <b:JournalName>Journal of Financial Economics</b:JournalName>
    <b:Year>2008</b:Year>
    <b:Pages>20-43</b:Pages>
    <b:Volume>89</b:Volume>
    <b:Issue>1</b:Issue>
    <b:RefOrder>64</b:RefOrder>
  </b:Source>
  <b:Source>
    <b:Tag>Duh85</b:Tag>
    <b:SourceType>JournalArticle</b:SourceType>
    <b:Guid>{AE0F8D08-F3AF-4F3F-AD8E-03B36FF20CF8}</b:Guid>
    <b:LCID>0</b:LCID>
    <b:Author>
      <b:Author>
        <b:NameList>
          <b:Person>
            <b:Last>Duhaime</b:Last>
            <b:First>I.</b:First>
          </b:Person>
          <b:Person>
            <b:Last>Schwenk</b:Last>
            <b:First>C.</b:First>
          </b:Person>
        </b:NameList>
      </b:Author>
    </b:Author>
    <b:Title>Conjectures on cognitive simplification in acquisition and divestment decision making</b:Title>
    <b:JournalName>Academy of Managent Review</b:JournalName>
    <b:Year>1985</b:Year>
    <b:Pages>287-295</b:Pages>
    <b:Volume>10</b:Volume>
    <b:Issue>2</b:Issue>
    <b:RefOrder>65</b:RefOrder>
  </b:Source>
  <b:Source>
    <b:Tag>Del09</b:Tag>
    <b:SourceType>JournalArticle</b:SourceType>
    <b:Guid>{3E6DDE85-9E97-402E-B2A6-EBA0E3DDE2A0}</b:Guid>
    <b:LCID>0</b:LCID>
    <b:Author>
      <b:Author>
        <b:NameList>
          <b:Person>
            <b:Last>DellaVigna</b:Last>
            <b:First>S.</b:First>
          </b:Person>
        </b:NameList>
      </b:Author>
    </b:Author>
    <b:Title>Psychology and economics: evidence from the field</b:Title>
    <b:JournalName>Journal of Economic Literature</b:JournalName>
    <b:Year>2009</b:Year>
    <b:Pages>315-372</b:Pages>
    <b:Volume>47</b:Volume>
    <b:Issue>2</b:Issue>
    <b:RefOrder>66</b:RefOrder>
  </b:Source>
  <b:Source>
    <b:Tag>Bet83</b:Tag>
    <b:SourceType>JournalArticle</b:SourceType>
    <b:Guid>{86E3383D-9296-478A-A33B-1A28ADF49A34}</b:Guid>
    <b:LCID>0</b:LCID>
    <b:Author>
      <b:Author>
        <b:NameList>
          <b:Person>
            <b:Last>Bettman</b:Last>
            <b:First>J.</b:First>
            <b:Middle>R.</b:Middle>
          </b:Person>
          <b:Person>
            <b:Last>Weitz</b:Last>
            <b:First>B.A.</b:First>
          </b:Person>
        </b:NameList>
      </b:Author>
    </b:Author>
    <b:Title>Attributions in the board room: causal reasoning in corporate annual reports</b:Title>
    <b:Year>1983</b:Year>
    <b:Pages>165-183</b:Pages>
    <b:JournalName>Administrative Science Quarterly</b:JournalName>
    <b:Volume>28</b:Volume>
    <b:Issue>2</b:Issue>
    <b:RefOrder>67</b:RefOrder>
  </b:Source>
  <b:Source>
    <b:Tag>Lan751</b:Tag>
    <b:SourceType>JournalArticle</b:SourceType>
    <b:Guid>{993F6DCE-FC23-43F7-8DC1-A122DE7BA414}</b:Guid>
    <b:LCID>0</b:LCID>
    <b:Author>
      <b:Author>
        <b:NameList>
          <b:Person>
            <b:Last>Langer</b:Last>
            <b:First>E.J.</b:First>
          </b:Person>
          <b:Person>
            <b:Last>Roth</b:Last>
            <b:First>J.</b:First>
          </b:Person>
        </b:NameList>
      </b:Author>
    </b:Author>
    <b:Title>Heads I win, tails it's chance: the illusion of control as a function of the sequence of outcomes in a purely chance task</b:Title>
    <b:JournalName>Journal of Personality and Social Psychology</b:JournalName>
    <b:Year>1975</b:Year>
    <b:Pages>951-955</b:Pages>
    <b:Volume>32</b:Volume>
    <b:Issue>6</b:Issue>
    <b:RefOrder>68</b:RefOrder>
  </b:Source>
  <b:Source>
    <b:Tag>Rol86</b:Tag>
    <b:SourceType>JournalArticle</b:SourceType>
    <b:Guid>{A9325EFA-D0BC-4AFA-9875-C53B4F96523F}</b:Guid>
    <b:LCID>0</b:LCID>
    <b:Author>
      <b:Author>
        <b:NameList>
          <b:Person>
            <b:Last>Roll</b:Last>
            <b:First>R.</b:First>
          </b:Person>
        </b:NameList>
      </b:Author>
    </b:Author>
    <b:Title>The hubris hypothesis of corporate takeovers</b:Title>
    <b:JournalName>The Journal of Business</b:JournalName>
    <b:Year>1986</b:Year>
    <b:Pages>197-216</b:Pages>
    <b:Volume>59</b:Volume>
    <b:Issue>2</b:Issue>
    <b:RefOrder>69</b:RefOrder>
  </b:Source>
  <b:Source>
    <b:Tag>Mal051</b:Tag>
    <b:SourceType>JournalArticle</b:SourceType>
    <b:Guid>{FD0FBF3F-5798-4F47-85E2-EAC3A12B005C}</b:Guid>
    <b:LCID>0</b:LCID>
    <b:Author>
      <b:Author>
        <b:NameList>
          <b:Person>
            <b:Last>Malmendier</b:Last>
            <b:First>U.</b:First>
          </b:Person>
          <b:Person>
            <b:Last>Tate</b:Last>
            <b:First>G.</b:First>
          </b:Person>
        </b:NameList>
      </b:Author>
    </b:Author>
    <b:Title>CEO overconfidence and corporate investment</b:Title>
    <b:JournalName>The Journal of Finance</b:JournalName>
    <b:Year>2005</b:Year>
    <b:Pages>2661-2700</b:Pages>
    <b:Volume>60</b:Volume>
    <b:Issue>6</b:Issue>
    <b:RefOrder>70</b:RefOrder>
  </b:Source>
  <b:Source>
    <b:Tag>TijdelijkeAanduiding1</b:Tag>
    <b:SourceType>JournalArticle</b:SourceType>
    <b:Guid>{EF9CF971-1DA4-4888-A65F-780F5F57FD6F}</b:Guid>
    <b:Author>
      <b:Author>
        <b:NameList>
          <b:Person>
            <b:Last>Weber</b:Last>
            <b:First>Martin</b:First>
          </b:Person>
          <b:Person>
            <b:Last>Zuchel</b:Last>
            <b:First>Heiko</b:First>
          </b:Person>
        </b:NameList>
      </b:Author>
    </b:Author>
    <b:Title>How Do Prior Outcomes Affect Risk Attitude: Comparing Escalation of Commitment and the House-Money Effect</b:Title>
    <b:JournalName>Decisions Analysis, Vol. 2</b:JournalName>
    <b:Year>2005</b:Year>
    <b:Pages>30-43</b:Pages>
    <b:RefOrder>31</b:RefOrder>
  </b:Source>
  <b:Source>
    <b:Tag>Kah93</b:Tag>
    <b:SourceType>JournalArticle</b:SourceType>
    <b:Guid>{797BABB3-E84D-48FC-A502-011D4F85B8EC}</b:Guid>
    <b:LCID>0</b:LCID>
    <b:Author>
      <b:Author>
        <b:NameList>
          <b:Person>
            <b:Last>Kahneman</b:Last>
          </b:Person>
          <b:Person>
            <b:Last>Lovallo</b:Last>
          </b:Person>
        </b:NameList>
      </b:Author>
    </b:Author>
    <b:Title>Timid choices and bold forecasts: a cognitive perspective on risk taking</b:Title>
    <b:JournalName>Management Science</b:JournalName>
    <b:Year>1993</b:Year>
    <b:Pages>17-31</b:Pages>
    <b:RefOrder>27</b:RefOrder>
  </b:Source>
  <b:Source>
    <b:Tag>Tet92</b:Tag>
    <b:SourceType>Book</b:SourceType>
    <b:Guid>{4C249FC7-89BF-4E50-8D8A-DD8E397042DF}</b:Guid>
    <b:LCID>0</b:LCID>
    <b:Author>
      <b:Author>
        <b:NameList>
          <b:Person>
            <b:Last>Tetlock</b:Last>
            <b:First>P.E.</b:First>
          </b:Person>
          <b:Person>
            <b:Last>Boettger</b:Last>
            <b:First>R.</b:First>
          </b:Person>
        </b:NameList>
      </b:Author>
    </b:Author>
    <b:Title>Accountability amplifies the status quo effect when change creates victims</b:Title>
    <b:Year>1992</b:Year>
    <b:City>Berkeley, CA</b:City>
    <b:Publisher>Working paper: University of Berkeley</b:Publisher>
    <b:RefOrder>28</b:RefOrder>
  </b:Source>
  <b:Source>
    <b:Tag>Sam63</b:Tag>
    <b:SourceType>JournalArticle</b:SourceType>
    <b:Guid>{9CACF3A4-D074-4842-8EEA-E4D80FE86465}</b:Guid>
    <b:LCID>0</b:LCID>
    <b:Author>
      <b:Author>
        <b:NameList>
          <b:Person>
            <b:Last>Samuelson</b:Last>
            <b:First>P.A.</b:First>
          </b:Person>
        </b:NameList>
      </b:Author>
    </b:Author>
    <b:Title>Risk and uncertainty: a fallacy of large numbers</b:Title>
    <b:Year>1963</b:Year>
    <b:JournalName>Scientia</b:JournalName>
    <b:Pages>108-113</b:Pages>
    <b:Volume>98</b:Volume>
    <b:RefOrder>71</b:RefOrder>
  </b:Source>
  <b:Source>
    <b:Tag>Kah03</b:Tag>
    <b:SourceType>JournalArticle</b:SourceType>
    <b:Guid>{ADAC335B-FFFD-49E4-87B0-02058901AB23}</b:Guid>
    <b:LCID>0</b:LCID>
    <b:Author>
      <b:Author>
        <b:NameList>
          <b:Person>
            <b:Last>Kahneman</b:Last>
            <b:First>D.</b:First>
          </b:Person>
        </b:NameList>
      </b:Author>
    </b:Author>
    <b:Title>A perspective on judgment and choice: mapping bounded rationality</b:Title>
    <b:JournalName>American Psychologist</b:JournalName>
    <b:Year>2003</b:Year>
    <b:Pages>697-720</b:Pages>
    <b:Volume>58</b:Volume>
    <b:Issue>9</b:Issue>
    <b:RefOrder>72</b:RefOrder>
  </b:Source>
  <b:Source>
    <b:Tag>Sta00</b:Tag>
    <b:SourceType>JournalArticle</b:SourceType>
    <b:Guid>{2BB0284A-7C1B-43F1-88C4-108F0EC3BA0D}</b:Guid>
    <b:LCID>0</b:LCID>
    <b:Author>
      <b:Author>
        <b:NameList>
          <b:Person>
            <b:Last>Stanovich</b:Last>
            <b:First>K.</b:First>
            <b:Middle>E.</b:Middle>
          </b:Person>
          <b:Person>
            <b:Last>West</b:Last>
            <b:First>R.F.</b:First>
          </b:Person>
        </b:NameList>
      </b:Author>
    </b:Author>
    <b:Title>Individual differences in reasoning: implications for the rationality debate?</b:Title>
    <b:JournalName>Behavioral and Brain Sciences</b:JournalName>
    <b:Year>2000</b:Year>
    <b:Pages>645-723</b:Pages>
    <b:Volume>23</b:Volume>
    <b:Issue>5</b:Issue>
    <b:RefOrder>38</b:RefOrder>
  </b:Source>
  <b:Source>
    <b:Tag>Bat86</b:Tag>
    <b:SourceType>JournalArticle</b:SourceType>
    <b:Guid>{474F3FBD-8773-4804-9635-E220E729478A}</b:Guid>
    <b:LCID>0</b:LCID>
    <b:Author>
      <b:Author>
        <b:NameList>
          <b:Person>
            <b:Last>Bateman</b:Last>
            <b:First>Thomas</b:First>
          </b:Person>
        </b:NameList>
      </b:Author>
    </b:Author>
    <b:Title>The escalation of commitment in sequential decision making: situational and personal moderators and limiting conditions</b:Title>
    <b:JournalName>Decision Sciences</b:JournalName>
    <b:Year>1986</b:Year>
    <b:Pages>33-49</b:Pages>
    <b:Volume>17</b:Volume>
    <b:Issue>1</b:Issue>
    <b:RefOrder>73</b:RefOrder>
  </b:Source>
  <b:Source>
    <b:Tag>Sta78</b:Tag>
    <b:SourceType>JournalArticle</b:SourceType>
    <b:Guid>{EF501333-4357-49B1-837E-D66C13D51069}</b:Guid>
    <b:LCID>0</b:LCID>
    <b:Author>
      <b:Author>
        <b:NameList>
          <b:Person>
            <b:Last>Staw</b:Last>
            <b:First>Barry</b:First>
          </b:Person>
          <b:Person>
            <b:Last>Ross</b:Last>
            <b:First>Terry</b:First>
          </b:Person>
        </b:NameList>
      </b:Author>
    </b:Author>
    <b:Title>Commitment to a policy decision: a multi-theoretical perspective</b:Title>
    <b:JournalName>Administrative Science Quarterly</b:JournalName>
    <b:Year>1978</b:Year>
    <b:Pages>40-64</b:Pages>
    <b:Volume>23</b:Volume>
    <b:Issue>1</b:Issue>
    <b:RefOrder>74</b:RefOrder>
  </b:Source>
  <b:Source>
    <b:Tag>Wor75</b:Tag>
    <b:SourceType>JournalArticle</b:SourceType>
    <b:Guid>{DC0F3E23-8E8B-4B79-B3C0-1A3E4086E276}</b:Guid>
    <b:LCID>0</b:LCID>
    <b:Author>
      <b:Author>
        <b:NameList>
          <b:Person>
            <b:Last>Wortman</b:Last>
            <b:First>C.</b:First>
          </b:Person>
          <b:Person>
            <b:Last>Brehm</b:Last>
            <b:First>J.</b:First>
          </b:Person>
          <b:Person>
            <b:Last>Berkowitz</b:Last>
            <b:First>L.</b:First>
          </b:Person>
        </b:NameList>
      </b:Author>
    </b:Author>
    <b:Title>Responses to uncontrollable outcomes: an integration of reactance theory and learned helplessness</b:Title>
    <b:JournalName>Advances in experimental social psychology</b:JournalName>
    <b:Year>1975</b:Year>
    <b:Pages>277-336</b:Pages>
    <b:Volume>8</b:Volume>
    <b:RefOrder>23</b:RefOrder>
  </b:Source>
  <b:Source>
    <b:Tag>All79</b:Tag>
    <b:SourceType>JournalArticle</b:SourceType>
    <b:Guid>{42F5D81C-D4EC-460D-9DE2-ED070F7A840B}</b:Guid>
    <b:LCID>0</b:LCID>
    <b:Author>
      <b:Author>
        <b:NameList>
          <b:Person>
            <b:Last>Alloy</b:Last>
            <b:First>L.B.</b:First>
          </b:Person>
          <b:Person>
            <b:Last>Abramson</b:Last>
            <b:First>L.</b:First>
            <b:Middle>Y.</b:Middle>
          </b:Person>
        </b:NameList>
      </b:Author>
    </b:Author>
    <b:Title>Judgement of contigency in depressed and nondepressed students: sadder but wiser?</b:Title>
    <b:JournalName>Journal of Experimental Psychology</b:JournalName>
    <b:Year>1979</b:Year>
    <b:Pages>441-485</b:Pages>
    <b:Volume>108</b:Volume>
    <b:Issue>4</b:Issue>
    <b:RefOrder>24</b:RefOrder>
  </b:Source>
  <b:Source>
    <b:Tag>Gar10</b:Tag>
    <b:SourceType>JournalArticle</b:SourceType>
    <b:Guid>{71DB51A4-0F1A-4E4D-B8B3-6EB99A3CBA87}</b:Guid>
    <b:LCID>0</b:LCID>
    <b:Author>
      <b:Author>
        <b:NameList>
          <b:Person>
            <b:Last>Garbuio</b:Last>
            <b:First>M.</b:First>
          </b:Person>
          <b:Person>
            <b:Last>Lovallo</b:Last>
            <b:First>D.</b:First>
          </b:Person>
          <b:Person>
            <b:Last>Horn</b:Last>
            <b:First>J.</b:First>
          </b:Person>
        </b:NameList>
      </b:Author>
    </b:Author>
    <b:Title>Overcoming biases in M&amp;A: a process perspective</b:Title>
    <b:JournalName>Advances in Mergers and Acquisitions</b:JournalName>
    <b:Year>2010</b:Year>
    <b:Pages>83-104</b:Pages>
    <b:Volume>9</b:Volume>
    <b:RefOrder>75</b:RefOrder>
  </b:Source>
  <b:Source>
    <b:Tag>Kah11</b:Tag>
    <b:SourceType>JournalArticle</b:SourceType>
    <b:Guid>{549EA6A9-2397-4D57-A9B2-AE13AC905FEF}</b:Guid>
    <b:LCID>0</b:LCID>
    <b:Author>
      <b:Author>
        <b:NameList>
          <b:Person>
            <b:Last>Kahneman</b:Last>
            <b:First>D.</b:First>
          </b:Person>
          <b:Person>
            <b:Last>Lovallo</b:Last>
            <b:First>D.</b:First>
          </b:Person>
          <b:Person>
            <b:Last>Sibony</b:Last>
            <b:First>O.</b:First>
          </b:Person>
        </b:NameList>
      </b:Author>
    </b:Author>
    <b:Title>Before you make that big decision</b:Title>
    <b:JournalName>Harvard Business Review</b:JournalName>
    <b:Year>2011</b:Year>
    <b:Month>June</b:Month>
    <b:Volume>89</b:Volume>
    <b:Issue>6</b:Issue>
    <b:RefOrder>76</b:RefOrder>
  </b:Source>
  <b:Source>
    <b:Tag>Han14</b:Tag>
    <b:SourceType>JournalArticle</b:SourceType>
    <b:Guid>{2E9FD38A-36E9-4569-B97F-1CC3AB5F1C59}</b:Guid>
    <b:LCID>0</b:LCID>
    <b:Author>
      <b:Author>
        <b:NameList>
          <b:Person>
            <b:Last>Smit</b:Last>
            <b:First>Han</b:First>
          </b:Person>
          <b:Person>
            <b:Last>Lovallo</b:Last>
            <b:First>Dan</b:First>
          </b:Person>
        </b:NameList>
      </b:Author>
    </b:Author>
    <b:Title>Valuation Biases: Solutions for hot and cold deal markets</b:Title>
    <b:JournalName>Working Paper</b:JournalName>
    <b:Year>2014</b:Year>
    <b:RefOrder>77</b:RefOrder>
  </b:Source>
  <b:Source>
    <b:Tag>Zen92</b:Tag>
    <b:SourceType>JournalArticle</b:SourceType>
    <b:Guid>{EE92DDEC-0540-49EE-93CB-22F841A63082}</b:Guid>
    <b:LCID>0</b:LCID>
    <b:Author>
      <b:Author>
        <b:NameList>
          <b:Person>
            <b:Last>Zenger</b:Last>
            <b:First>T.R.</b:First>
          </b:Person>
        </b:NameList>
      </b:Author>
    </b:Author>
    <b:Title>Why do employers only reward extreme perfomance? Examining the relationships among performance, pay and turnover</b:Title>
    <b:JournalName>Administrative Science Quarterly</b:JournalName>
    <b:Year>1992</b:Year>
    <b:Pages>198-219</b:Pages>
    <b:Volume>37</b:Volume>
    <b:RefOrder>20</b:RefOrder>
  </b:Source>
  <b:Source>
    <b:Tag>Gri92</b:Tag>
    <b:SourceType>JournalArticle</b:SourceType>
    <b:Guid>{5DE1FF18-2030-4F10-81F1-9D82470B0458}</b:Guid>
    <b:LCID>0</b:LCID>
    <b:Author>
      <b:Author>
        <b:NameList>
          <b:Person>
            <b:Last>Griffin</b:Last>
            <b:First>D.</b:First>
          </b:Person>
          <b:Person>
            <b:Last>Tversky</b:Last>
            <b:First>A.</b:First>
          </b:Person>
        </b:NameList>
      </b:Author>
    </b:Author>
    <b:Title>The weighing of evidence and the determinants of confidence</b:Title>
    <b:JournalName>Cognitive psychology</b:JournalName>
    <b:Year>1992</b:Year>
    <b:Pages>411-435</b:Pages>
    <b:Volume>24</b:Volume>
    <b:Issue>3</b:Issue>
    <b:RefOrder>15</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AB2FA4-5747-4628-BD53-3766D4F76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20560</Words>
  <Characters>117197</Characters>
  <Application>Microsoft Office Word</Application>
  <DocSecurity>4</DocSecurity>
  <Lines>976</Lines>
  <Paragraphs>274</Paragraphs>
  <ScaleCrop>false</ScaleCrop>
  <HeadingPairs>
    <vt:vector size="2" baseType="variant">
      <vt:variant>
        <vt:lpstr>Titel</vt:lpstr>
      </vt:variant>
      <vt:variant>
        <vt:i4>1</vt:i4>
      </vt:variant>
    </vt:vector>
  </HeadingPairs>
  <TitlesOfParts>
    <vt:vector size="1" baseType="lpstr">
      <vt:lpstr> Could real options be the solution for over- and undervaluation in hot and cold deal markets?</vt:lpstr>
    </vt:vector>
  </TitlesOfParts>
  <Company>Bachelor Thesis</Company>
  <LinksUpToDate>false</LinksUpToDate>
  <CharactersWithSpaces>137483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Could real options be the solution for over- and undervaluation in hot and cold deal markets?</dc:title>
  <dc:subject>An experiment to test whether prior business experiences influence valuations due to cognitive biases and whether receptivity for the use of real exists</dc:subject>
  <dc:creator>Pieter Vermaas</dc:creator>
  <cp:lastModifiedBy>K. Steenbeek</cp:lastModifiedBy>
  <cp:revision>2</cp:revision>
  <dcterms:created xsi:type="dcterms:W3CDTF">2014-09-09T08:56:00Z</dcterms:created>
  <dcterms:modified xsi:type="dcterms:W3CDTF">2014-09-09T08:56:00Z</dcterms:modified>
</cp:coreProperties>
</file>