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harts/colors1.xml" ContentType="application/vnd.ms-office.chartcolorstyle+xml"/>
  <Override PartName="/word/charts/colors2.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Override PartName="/word/charts/style2.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46D" w:rsidRDefault="0004046D" w:rsidP="0004046D">
      <w:pPr>
        <w:pStyle w:val="TOCHeading"/>
        <w:spacing w:line="360" w:lineRule="auto"/>
        <w:ind w:left="-1417" w:right="-1417"/>
        <w:rPr>
          <w:rFonts w:eastAsiaTheme="minorHAnsi" w:cstheme="minorBidi"/>
          <w:b w:val="0"/>
          <w:color w:val="auto"/>
          <w:sz w:val="20"/>
          <w:szCs w:val="20"/>
          <w:lang w:eastAsia="en-US"/>
        </w:rPr>
      </w:pPr>
      <w:bookmarkStart w:id="0" w:name="_Toc388967044"/>
      <w:r w:rsidRPr="0004046D">
        <w:rPr>
          <w:rFonts w:eastAsiaTheme="minorHAnsi" w:cstheme="minorBidi"/>
          <w:b w:val="0"/>
          <w:noProof/>
          <w:color w:val="auto"/>
          <w:sz w:val="20"/>
          <w:szCs w:val="20"/>
          <w:lang w:val="en-US" w:eastAsia="en-US"/>
        </w:rPr>
        <w:drawing>
          <wp:anchor distT="0" distB="0" distL="114300" distR="114300" simplePos="0" relativeHeight="251665408" behindDoc="1" locked="0" layoutInCell="1" allowOverlap="1">
            <wp:simplePos x="0" y="0"/>
            <wp:positionH relativeFrom="page">
              <wp:posOffset>14990</wp:posOffset>
            </wp:positionH>
            <wp:positionV relativeFrom="paragraph">
              <wp:posOffset>0</wp:posOffset>
            </wp:positionV>
            <wp:extent cx="7546236" cy="10673080"/>
            <wp:effectExtent l="0" t="0" r="0" b="0"/>
            <wp:wrapTight wrapText="bothSides">
              <wp:wrapPolygon edited="0">
                <wp:start x="0" y="0"/>
                <wp:lineTo x="0" y="21551"/>
                <wp:lineTo x="21540" y="21551"/>
                <wp:lineTo x="21540" y="0"/>
                <wp:lineTo x="0" y="0"/>
              </wp:wrapPolygon>
            </wp:wrapTight>
            <wp:docPr id="7" name="Afbeelding 7" descr="C:\Users\Esmée\Downloads\voorkant script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smée\Downloads\voorkant scriptie.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50056" cy="10678483"/>
                    </a:xfrm>
                    <a:prstGeom prst="rect">
                      <a:avLst/>
                    </a:prstGeom>
                    <a:noFill/>
                    <a:ln>
                      <a:noFill/>
                    </a:ln>
                  </pic:spPr>
                </pic:pic>
              </a:graphicData>
            </a:graphic>
          </wp:anchor>
        </w:drawing>
      </w:r>
    </w:p>
    <w:p w:rsidR="0004046D" w:rsidRDefault="0004046D" w:rsidP="00BE7102">
      <w:pPr>
        <w:pStyle w:val="TOCHeading"/>
        <w:spacing w:line="360" w:lineRule="auto"/>
        <w:rPr>
          <w:rFonts w:eastAsiaTheme="minorHAnsi" w:cstheme="minorBidi"/>
          <w:b w:val="0"/>
          <w:color w:val="auto"/>
          <w:sz w:val="20"/>
          <w:szCs w:val="20"/>
          <w:lang w:eastAsia="en-US"/>
        </w:rPr>
      </w:pPr>
    </w:p>
    <w:sdt>
      <w:sdtPr>
        <w:rPr>
          <w:rFonts w:eastAsiaTheme="minorHAnsi" w:cstheme="minorBidi"/>
          <w:b w:val="0"/>
          <w:color w:val="auto"/>
          <w:sz w:val="20"/>
          <w:szCs w:val="20"/>
          <w:lang w:eastAsia="en-US"/>
        </w:rPr>
        <w:id w:val="-310949405"/>
        <w:docPartObj>
          <w:docPartGallery w:val="Table of Contents"/>
          <w:docPartUnique/>
        </w:docPartObj>
      </w:sdtPr>
      <w:sdtEndPr>
        <w:rPr>
          <w:bCs/>
        </w:rPr>
      </w:sdtEndPr>
      <w:sdtContent>
        <w:p w:rsidR="00380155" w:rsidRPr="0004046D" w:rsidRDefault="00380155" w:rsidP="00BE7102">
          <w:pPr>
            <w:pStyle w:val="TOCHeading"/>
            <w:spacing w:line="360" w:lineRule="auto"/>
            <w:rPr>
              <w:rFonts w:eastAsiaTheme="minorHAnsi" w:cstheme="minorBidi"/>
              <w:b w:val="0"/>
              <w:color w:val="auto"/>
              <w:sz w:val="20"/>
              <w:szCs w:val="20"/>
              <w:lang w:eastAsia="en-US"/>
            </w:rPr>
          </w:pPr>
          <w:r w:rsidRPr="000B623B">
            <w:rPr>
              <w:sz w:val="28"/>
              <w:szCs w:val="28"/>
            </w:rPr>
            <w:t>Inhoudsopgave</w:t>
          </w:r>
        </w:p>
        <w:p w:rsidR="00BD717F" w:rsidRPr="00BD717F" w:rsidRDefault="00C3187A" w:rsidP="00BD717F">
          <w:pPr>
            <w:pStyle w:val="TOC1"/>
            <w:spacing w:line="240" w:lineRule="auto"/>
            <w:rPr>
              <w:rFonts w:asciiTheme="minorHAnsi" w:eastAsiaTheme="minorEastAsia" w:hAnsiTheme="minorHAnsi"/>
              <w:b w:val="0"/>
              <w:color w:val="auto"/>
              <w:lang w:eastAsia="nl-NL"/>
            </w:rPr>
          </w:pPr>
          <w:r w:rsidRPr="00C3187A">
            <w:rPr>
              <w:szCs w:val="20"/>
            </w:rPr>
            <w:fldChar w:fldCharType="begin"/>
          </w:r>
          <w:r w:rsidR="00380155" w:rsidRPr="000B623B">
            <w:rPr>
              <w:szCs w:val="20"/>
            </w:rPr>
            <w:instrText xml:space="preserve"> TOC \o "1-3" \h \z \u </w:instrText>
          </w:r>
          <w:r w:rsidRPr="00C3187A">
            <w:rPr>
              <w:szCs w:val="20"/>
            </w:rPr>
            <w:fldChar w:fldCharType="separate"/>
          </w:r>
          <w:hyperlink w:anchor="_Toc391563904" w:history="1">
            <w:r w:rsidR="00BD717F" w:rsidRPr="00BD717F">
              <w:rPr>
                <w:rStyle w:val="Hyperlink"/>
              </w:rPr>
              <w:t>1</w:t>
            </w:r>
            <w:r w:rsidR="00BD717F">
              <w:rPr>
                <w:rFonts w:asciiTheme="minorHAnsi" w:eastAsiaTheme="minorEastAsia" w:hAnsiTheme="minorHAnsi"/>
                <w:b w:val="0"/>
                <w:color w:val="auto"/>
                <w:lang w:eastAsia="nl-NL"/>
              </w:rPr>
              <w:t xml:space="preserve"> </w:t>
            </w:r>
            <w:r w:rsidR="00BD717F" w:rsidRPr="00BD717F">
              <w:rPr>
                <w:rStyle w:val="Hyperlink"/>
              </w:rPr>
              <w:t>Inleiding</w:t>
            </w:r>
            <w:r w:rsidR="00BD717F" w:rsidRPr="00BD717F">
              <w:rPr>
                <w:webHidden/>
              </w:rPr>
              <w:tab/>
            </w:r>
            <w:r w:rsidRPr="00BD717F">
              <w:rPr>
                <w:webHidden/>
              </w:rPr>
              <w:fldChar w:fldCharType="begin"/>
            </w:r>
            <w:r w:rsidR="00BD717F" w:rsidRPr="00BD717F">
              <w:rPr>
                <w:webHidden/>
              </w:rPr>
              <w:instrText xml:space="preserve"> PAGEREF _Toc391563904 \h </w:instrText>
            </w:r>
            <w:r w:rsidRPr="00BD717F">
              <w:rPr>
                <w:webHidden/>
              </w:rPr>
            </w:r>
            <w:r w:rsidRPr="00BD717F">
              <w:rPr>
                <w:webHidden/>
              </w:rPr>
              <w:fldChar w:fldCharType="separate"/>
            </w:r>
            <w:r w:rsidR="00D87C27">
              <w:rPr>
                <w:webHidden/>
              </w:rPr>
              <w:t>4</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05" w:history="1">
            <w:r w:rsidR="00BD717F" w:rsidRPr="00BD717F">
              <w:rPr>
                <w:rStyle w:val="Hyperlink"/>
                <w:noProof/>
              </w:rPr>
              <w:t>Relevantie</w:t>
            </w:r>
            <w:r w:rsidR="00BD717F" w:rsidRPr="00BD717F">
              <w:rPr>
                <w:noProof/>
                <w:webHidden/>
              </w:rPr>
              <w:tab/>
            </w:r>
            <w:r w:rsidRPr="00BD717F">
              <w:rPr>
                <w:noProof/>
                <w:webHidden/>
              </w:rPr>
              <w:fldChar w:fldCharType="begin"/>
            </w:r>
            <w:r w:rsidR="00BD717F" w:rsidRPr="00BD717F">
              <w:rPr>
                <w:noProof/>
                <w:webHidden/>
              </w:rPr>
              <w:instrText xml:space="preserve"> PAGEREF _Toc391563905 \h </w:instrText>
            </w:r>
            <w:r w:rsidRPr="00BD717F">
              <w:rPr>
                <w:noProof/>
                <w:webHidden/>
              </w:rPr>
            </w:r>
            <w:r w:rsidRPr="00BD717F">
              <w:rPr>
                <w:noProof/>
                <w:webHidden/>
              </w:rPr>
              <w:fldChar w:fldCharType="separate"/>
            </w:r>
            <w:r w:rsidR="00D87C27">
              <w:rPr>
                <w:noProof/>
                <w:webHidden/>
              </w:rPr>
              <w:t>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06" w:history="1">
            <w:r w:rsidR="00BD717F" w:rsidRPr="00BD717F">
              <w:rPr>
                <w:rStyle w:val="Hyperlink"/>
                <w:noProof/>
              </w:rPr>
              <w:t>Opbouw scriptie</w:t>
            </w:r>
            <w:r w:rsidR="00BD717F" w:rsidRPr="00BD717F">
              <w:rPr>
                <w:noProof/>
                <w:webHidden/>
              </w:rPr>
              <w:tab/>
            </w:r>
            <w:r w:rsidRPr="00BD717F">
              <w:rPr>
                <w:noProof/>
                <w:webHidden/>
              </w:rPr>
              <w:fldChar w:fldCharType="begin"/>
            </w:r>
            <w:r w:rsidR="00BD717F" w:rsidRPr="00BD717F">
              <w:rPr>
                <w:noProof/>
                <w:webHidden/>
              </w:rPr>
              <w:instrText xml:space="preserve"> PAGEREF _Toc391563906 \h </w:instrText>
            </w:r>
            <w:r w:rsidRPr="00BD717F">
              <w:rPr>
                <w:noProof/>
                <w:webHidden/>
              </w:rPr>
            </w:r>
            <w:r w:rsidRPr="00BD717F">
              <w:rPr>
                <w:noProof/>
                <w:webHidden/>
              </w:rPr>
              <w:fldChar w:fldCharType="separate"/>
            </w:r>
            <w:r w:rsidR="00D87C27">
              <w:rPr>
                <w:noProof/>
                <w:webHidden/>
              </w:rPr>
              <w:t>6</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07" w:history="1">
            <w:r w:rsidR="00BD717F" w:rsidRPr="00BD717F">
              <w:rPr>
                <w:rStyle w:val="Hyperlink"/>
              </w:rPr>
              <w:t>2</w:t>
            </w:r>
            <w:r w:rsidR="00BD717F">
              <w:rPr>
                <w:rFonts w:asciiTheme="minorHAnsi" w:eastAsiaTheme="minorEastAsia" w:hAnsiTheme="minorHAnsi"/>
                <w:b w:val="0"/>
                <w:color w:val="auto"/>
                <w:lang w:eastAsia="nl-NL"/>
              </w:rPr>
              <w:t xml:space="preserve"> </w:t>
            </w:r>
            <w:r w:rsidR="00BD717F" w:rsidRPr="00BD717F">
              <w:rPr>
                <w:rStyle w:val="Hyperlink"/>
              </w:rPr>
              <w:t>Methodologie</w:t>
            </w:r>
            <w:r w:rsidR="00BD717F" w:rsidRPr="00BD717F">
              <w:rPr>
                <w:webHidden/>
              </w:rPr>
              <w:tab/>
            </w:r>
            <w:r w:rsidRPr="00BD717F">
              <w:rPr>
                <w:webHidden/>
              </w:rPr>
              <w:fldChar w:fldCharType="begin"/>
            </w:r>
            <w:r w:rsidR="00BD717F" w:rsidRPr="00BD717F">
              <w:rPr>
                <w:webHidden/>
              </w:rPr>
              <w:instrText xml:space="preserve"> PAGEREF _Toc391563907 \h </w:instrText>
            </w:r>
            <w:r w:rsidRPr="00BD717F">
              <w:rPr>
                <w:webHidden/>
              </w:rPr>
            </w:r>
            <w:r w:rsidRPr="00BD717F">
              <w:rPr>
                <w:webHidden/>
              </w:rPr>
              <w:fldChar w:fldCharType="separate"/>
            </w:r>
            <w:r w:rsidR="00D87C27">
              <w:rPr>
                <w:webHidden/>
              </w:rPr>
              <w:t>7</w:t>
            </w:r>
            <w:r w:rsidRPr="00BD717F">
              <w:rPr>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08" w:history="1">
            <w:r w:rsidR="00BD717F" w:rsidRPr="00BD717F">
              <w:rPr>
                <w:rStyle w:val="Hyperlink"/>
              </w:rPr>
              <w:t>3</w:t>
            </w:r>
            <w:r w:rsidR="00BD717F">
              <w:rPr>
                <w:rFonts w:asciiTheme="minorHAnsi" w:eastAsiaTheme="minorEastAsia" w:hAnsiTheme="minorHAnsi"/>
                <w:b w:val="0"/>
                <w:color w:val="auto"/>
                <w:lang w:eastAsia="nl-NL"/>
              </w:rPr>
              <w:t xml:space="preserve"> </w:t>
            </w:r>
            <w:r w:rsidR="00BD717F" w:rsidRPr="00BD717F">
              <w:rPr>
                <w:rStyle w:val="Hyperlink"/>
              </w:rPr>
              <w:t>Theoretisch kader</w:t>
            </w:r>
            <w:r w:rsidR="00BD717F" w:rsidRPr="00BD717F">
              <w:rPr>
                <w:webHidden/>
              </w:rPr>
              <w:tab/>
            </w:r>
            <w:r w:rsidRPr="00BD717F">
              <w:rPr>
                <w:webHidden/>
              </w:rPr>
              <w:fldChar w:fldCharType="begin"/>
            </w:r>
            <w:r w:rsidR="00BD717F" w:rsidRPr="00BD717F">
              <w:rPr>
                <w:webHidden/>
              </w:rPr>
              <w:instrText xml:space="preserve"> PAGEREF _Toc391563908 \h </w:instrText>
            </w:r>
            <w:r w:rsidRPr="00BD717F">
              <w:rPr>
                <w:webHidden/>
              </w:rPr>
            </w:r>
            <w:r w:rsidRPr="00BD717F">
              <w:rPr>
                <w:webHidden/>
              </w:rPr>
              <w:fldChar w:fldCharType="separate"/>
            </w:r>
            <w:r w:rsidR="00D87C27">
              <w:rPr>
                <w:webHidden/>
              </w:rPr>
              <w:t>10</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09" w:history="1">
            <w:r w:rsidR="00BD717F" w:rsidRPr="00BD717F">
              <w:rPr>
                <w:rStyle w:val="Hyperlink"/>
                <w:noProof/>
              </w:rPr>
              <w:t>3.1 Agency theory</w:t>
            </w:r>
            <w:r w:rsidR="00BD717F" w:rsidRPr="00BD717F">
              <w:rPr>
                <w:noProof/>
                <w:webHidden/>
              </w:rPr>
              <w:tab/>
            </w:r>
            <w:r w:rsidRPr="00BD717F">
              <w:rPr>
                <w:noProof/>
                <w:webHidden/>
              </w:rPr>
              <w:fldChar w:fldCharType="begin"/>
            </w:r>
            <w:r w:rsidR="00BD717F" w:rsidRPr="00BD717F">
              <w:rPr>
                <w:noProof/>
                <w:webHidden/>
              </w:rPr>
              <w:instrText xml:space="preserve"> PAGEREF _Toc391563909 \h </w:instrText>
            </w:r>
            <w:r w:rsidRPr="00BD717F">
              <w:rPr>
                <w:noProof/>
                <w:webHidden/>
              </w:rPr>
            </w:r>
            <w:r w:rsidRPr="00BD717F">
              <w:rPr>
                <w:noProof/>
                <w:webHidden/>
              </w:rPr>
              <w:fldChar w:fldCharType="separate"/>
            </w:r>
            <w:r w:rsidR="00D87C27">
              <w:rPr>
                <w:noProof/>
                <w:webHidden/>
              </w:rPr>
              <w:t>10</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10" w:history="1">
            <w:r w:rsidR="00BD717F" w:rsidRPr="00BD717F">
              <w:rPr>
                <w:rStyle w:val="Hyperlink"/>
                <w:noProof/>
              </w:rPr>
              <w:t>3.1.1 Agent-Principaal relatie</w:t>
            </w:r>
            <w:r w:rsidR="00BD717F" w:rsidRPr="00BD717F">
              <w:rPr>
                <w:noProof/>
                <w:webHidden/>
              </w:rPr>
              <w:tab/>
            </w:r>
            <w:r w:rsidRPr="00BD717F">
              <w:rPr>
                <w:noProof/>
                <w:webHidden/>
              </w:rPr>
              <w:fldChar w:fldCharType="begin"/>
            </w:r>
            <w:r w:rsidR="00BD717F" w:rsidRPr="00BD717F">
              <w:rPr>
                <w:noProof/>
                <w:webHidden/>
              </w:rPr>
              <w:instrText xml:space="preserve"> PAGEREF _Toc391563910 \h </w:instrText>
            </w:r>
            <w:r w:rsidRPr="00BD717F">
              <w:rPr>
                <w:noProof/>
                <w:webHidden/>
              </w:rPr>
            </w:r>
            <w:r w:rsidRPr="00BD717F">
              <w:rPr>
                <w:noProof/>
                <w:webHidden/>
              </w:rPr>
              <w:fldChar w:fldCharType="separate"/>
            </w:r>
            <w:r w:rsidR="00D87C27">
              <w:rPr>
                <w:noProof/>
                <w:webHidden/>
              </w:rPr>
              <w:t>10</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11" w:history="1">
            <w:r w:rsidR="00BD717F" w:rsidRPr="00BD717F">
              <w:rPr>
                <w:rStyle w:val="Hyperlink"/>
                <w:noProof/>
              </w:rPr>
              <w:t>3.1.2 Agency problemen</w:t>
            </w:r>
            <w:r w:rsidR="00BD717F" w:rsidRPr="00BD717F">
              <w:rPr>
                <w:noProof/>
                <w:webHidden/>
              </w:rPr>
              <w:tab/>
            </w:r>
            <w:r w:rsidRPr="00BD717F">
              <w:rPr>
                <w:noProof/>
                <w:webHidden/>
              </w:rPr>
              <w:fldChar w:fldCharType="begin"/>
            </w:r>
            <w:r w:rsidR="00BD717F" w:rsidRPr="00BD717F">
              <w:rPr>
                <w:noProof/>
                <w:webHidden/>
              </w:rPr>
              <w:instrText xml:space="preserve"> PAGEREF _Toc391563911 \h </w:instrText>
            </w:r>
            <w:r w:rsidRPr="00BD717F">
              <w:rPr>
                <w:noProof/>
                <w:webHidden/>
              </w:rPr>
            </w:r>
            <w:r w:rsidRPr="00BD717F">
              <w:rPr>
                <w:noProof/>
                <w:webHidden/>
              </w:rPr>
              <w:fldChar w:fldCharType="separate"/>
            </w:r>
            <w:r w:rsidR="00D87C27">
              <w:rPr>
                <w:noProof/>
                <w:webHidden/>
              </w:rPr>
              <w:t>10</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2" w:history="1">
            <w:r w:rsidR="00BD717F" w:rsidRPr="00BD717F">
              <w:rPr>
                <w:rStyle w:val="Hyperlink"/>
                <w:noProof/>
              </w:rPr>
              <w:t>3.2 Stakeholdertheorie</w:t>
            </w:r>
            <w:r w:rsidR="00BD717F" w:rsidRPr="00BD717F">
              <w:rPr>
                <w:noProof/>
                <w:webHidden/>
              </w:rPr>
              <w:tab/>
            </w:r>
            <w:r w:rsidRPr="00BD717F">
              <w:rPr>
                <w:noProof/>
                <w:webHidden/>
              </w:rPr>
              <w:fldChar w:fldCharType="begin"/>
            </w:r>
            <w:r w:rsidR="00BD717F" w:rsidRPr="00BD717F">
              <w:rPr>
                <w:noProof/>
                <w:webHidden/>
              </w:rPr>
              <w:instrText xml:space="preserve"> PAGEREF _Toc391563912 \h </w:instrText>
            </w:r>
            <w:r w:rsidRPr="00BD717F">
              <w:rPr>
                <w:noProof/>
                <w:webHidden/>
              </w:rPr>
            </w:r>
            <w:r w:rsidRPr="00BD717F">
              <w:rPr>
                <w:noProof/>
                <w:webHidden/>
              </w:rPr>
              <w:fldChar w:fldCharType="separate"/>
            </w:r>
            <w:r w:rsidR="00D87C27">
              <w:rPr>
                <w:noProof/>
                <w:webHidden/>
              </w:rPr>
              <w:t>11</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3" w:history="1">
            <w:r w:rsidR="00BD717F" w:rsidRPr="00BD717F">
              <w:rPr>
                <w:rStyle w:val="Hyperlink"/>
                <w:noProof/>
              </w:rPr>
              <w:t>3.3 Legitimiteitstheorie</w:t>
            </w:r>
            <w:r w:rsidR="00BD717F" w:rsidRPr="00BD717F">
              <w:rPr>
                <w:noProof/>
                <w:webHidden/>
              </w:rPr>
              <w:tab/>
            </w:r>
            <w:r w:rsidRPr="00BD717F">
              <w:rPr>
                <w:noProof/>
                <w:webHidden/>
              </w:rPr>
              <w:fldChar w:fldCharType="begin"/>
            </w:r>
            <w:r w:rsidR="00BD717F" w:rsidRPr="00BD717F">
              <w:rPr>
                <w:noProof/>
                <w:webHidden/>
              </w:rPr>
              <w:instrText xml:space="preserve"> PAGEREF _Toc391563913 \h </w:instrText>
            </w:r>
            <w:r w:rsidRPr="00BD717F">
              <w:rPr>
                <w:noProof/>
                <w:webHidden/>
              </w:rPr>
            </w:r>
            <w:r w:rsidRPr="00BD717F">
              <w:rPr>
                <w:noProof/>
                <w:webHidden/>
              </w:rPr>
              <w:fldChar w:fldCharType="separate"/>
            </w:r>
            <w:r w:rsidR="00D87C27">
              <w:rPr>
                <w:noProof/>
                <w:webHidden/>
              </w:rPr>
              <w:t>12</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4" w:history="1">
            <w:r w:rsidR="00BD717F" w:rsidRPr="00BD717F">
              <w:rPr>
                <w:rStyle w:val="Hyperlink"/>
                <w:noProof/>
              </w:rPr>
              <w:t>3.4 Vertrouwenstheorie van Limperg</w:t>
            </w:r>
            <w:r w:rsidR="00BD717F" w:rsidRPr="00BD717F">
              <w:rPr>
                <w:noProof/>
                <w:webHidden/>
              </w:rPr>
              <w:tab/>
            </w:r>
            <w:r w:rsidRPr="00BD717F">
              <w:rPr>
                <w:noProof/>
                <w:webHidden/>
              </w:rPr>
              <w:fldChar w:fldCharType="begin"/>
            </w:r>
            <w:r w:rsidR="00BD717F" w:rsidRPr="00BD717F">
              <w:rPr>
                <w:noProof/>
                <w:webHidden/>
              </w:rPr>
              <w:instrText xml:space="preserve"> PAGEREF _Toc391563914 \h </w:instrText>
            </w:r>
            <w:r w:rsidRPr="00BD717F">
              <w:rPr>
                <w:noProof/>
                <w:webHidden/>
              </w:rPr>
            </w:r>
            <w:r w:rsidRPr="00BD717F">
              <w:rPr>
                <w:noProof/>
                <w:webHidden/>
              </w:rPr>
              <w:fldChar w:fldCharType="separate"/>
            </w:r>
            <w:r w:rsidR="00D87C27">
              <w:rPr>
                <w:noProof/>
                <w:webHidden/>
              </w:rPr>
              <w:t>12</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15" w:history="1">
            <w:r w:rsidR="00BD717F" w:rsidRPr="00BD717F">
              <w:rPr>
                <w:rStyle w:val="Hyperlink"/>
                <w:lang w:val="en-GB"/>
              </w:rPr>
              <w:t>4</w:t>
            </w:r>
            <w:r w:rsidR="00BD717F">
              <w:rPr>
                <w:rFonts w:asciiTheme="minorHAnsi" w:eastAsiaTheme="minorEastAsia" w:hAnsiTheme="minorHAnsi"/>
                <w:b w:val="0"/>
                <w:color w:val="auto"/>
                <w:lang w:eastAsia="nl-NL"/>
              </w:rPr>
              <w:t xml:space="preserve"> </w:t>
            </w:r>
            <w:r w:rsidR="00BD717F" w:rsidRPr="00BD717F">
              <w:rPr>
                <w:rStyle w:val="Hyperlink"/>
                <w:lang w:val="en-GB"/>
              </w:rPr>
              <w:t>De accountant</w:t>
            </w:r>
            <w:r w:rsidR="00BD717F" w:rsidRPr="00BD717F">
              <w:rPr>
                <w:webHidden/>
              </w:rPr>
              <w:tab/>
            </w:r>
            <w:r w:rsidRPr="00BD717F">
              <w:rPr>
                <w:webHidden/>
              </w:rPr>
              <w:fldChar w:fldCharType="begin"/>
            </w:r>
            <w:r w:rsidR="00BD717F" w:rsidRPr="00BD717F">
              <w:rPr>
                <w:webHidden/>
              </w:rPr>
              <w:instrText xml:space="preserve"> PAGEREF _Toc391563915 \h </w:instrText>
            </w:r>
            <w:r w:rsidRPr="00BD717F">
              <w:rPr>
                <w:webHidden/>
              </w:rPr>
            </w:r>
            <w:r w:rsidRPr="00BD717F">
              <w:rPr>
                <w:webHidden/>
              </w:rPr>
              <w:fldChar w:fldCharType="separate"/>
            </w:r>
            <w:r w:rsidR="00D87C27">
              <w:rPr>
                <w:webHidden/>
              </w:rPr>
              <w:t>14</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6" w:history="1">
            <w:r w:rsidR="00BD717F" w:rsidRPr="00BD717F">
              <w:rPr>
                <w:rStyle w:val="Hyperlink"/>
                <w:noProof/>
              </w:rPr>
              <w:t>4.1 Pincoffs-affaire</w:t>
            </w:r>
            <w:r w:rsidR="00BD717F" w:rsidRPr="00BD717F">
              <w:rPr>
                <w:noProof/>
                <w:webHidden/>
              </w:rPr>
              <w:tab/>
            </w:r>
            <w:r w:rsidRPr="00BD717F">
              <w:rPr>
                <w:noProof/>
                <w:webHidden/>
              </w:rPr>
              <w:fldChar w:fldCharType="begin"/>
            </w:r>
            <w:r w:rsidR="00BD717F" w:rsidRPr="00BD717F">
              <w:rPr>
                <w:noProof/>
                <w:webHidden/>
              </w:rPr>
              <w:instrText xml:space="preserve"> PAGEREF _Toc391563916 \h </w:instrText>
            </w:r>
            <w:r w:rsidRPr="00BD717F">
              <w:rPr>
                <w:noProof/>
                <w:webHidden/>
              </w:rPr>
            </w:r>
            <w:r w:rsidRPr="00BD717F">
              <w:rPr>
                <w:noProof/>
                <w:webHidden/>
              </w:rPr>
              <w:fldChar w:fldCharType="separate"/>
            </w:r>
            <w:r w:rsidR="00D87C27">
              <w:rPr>
                <w:noProof/>
                <w:webHidden/>
              </w:rPr>
              <w:t>14</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7" w:history="1">
            <w:r w:rsidR="00BD717F" w:rsidRPr="00BD717F">
              <w:rPr>
                <w:rStyle w:val="Hyperlink"/>
                <w:noProof/>
              </w:rPr>
              <w:t>4.2 Verklaring accountantsberoep</w:t>
            </w:r>
            <w:r w:rsidR="00BD717F" w:rsidRPr="00BD717F">
              <w:rPr>
                <w:noProof/>
                <w:webHidden/>
              </w:rPr>
              <w:tab/>
            </w:r>
            <w:r w:rsidRPr="00BD717F">
              <w:rPr>
                <w:noProof/>
                <w:webHidden/>
              </w:rPr>
              <w:fldChar w:fldCharType="begin"/>
            </w:r>
            <w:r w:rsidR="00BD717F" w:rsidRPr="00BD717F">
              <w:rPr>
                <w:noProof/>
                <w:webHidden/>
              </w:rPr>
              <w:instrText xml:space="preserve"> PAGEREF _Toc391563917 \h </w:instrText>
            </w:r>
            <w:r w:rsidRPr="00BD717F">
              <w:rPr>
                <w:noProof/>
                <w:webHidden/>
              </w:rPr>
            </w:r>
            <w:r w:rsidRPr="00BD717F">
              <w:rPr>
                <w:noProof/>
                <w:webHidden/>
              </w:rPr>
              <w:fldChar w:fldCharType="separate"/>
            </w:r>
            <w:r w:rsidR="00D87C27">
              <w:rPr>
                <w:noProof/>
                <w:webHidden/>
              </w:rPr>
              <w:t>14</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8" w:history="1">
            <w:r w:rsidR="00BD717F" w:rsidRPr="00BD717F">
              <w:rPr>
                <w:rStyle w:val="Hyperlink"/>
                <w:noProof/>
              </w:rPr>
              <w:t>4.3 Werkzaamheden van de accountant</w:t>
            </w:r>
            <w:r w:rsidR="00BD717F" w:rsidRPr="00BD717F">
              <w:rPr>
                <w:noProof/>
                <w:webHidden/>
              </w:rPr>
              <w:tab/>
            </w:r>
            <w:r w:rsidRPr="00BD717F">
              <w:rPr>
                <w:noProof/>
                <w:webHidden/>
              </w:rPr>
              <w:fldChar w:fldCharType="begin"/>
            </w:r>
            <w:r w:rsidR="00BD717F" w:rsidRPr="00BD717F">
              <w:rPr>
                <w:noProof/>
                <w:webHidden/>
              </w:rPr>
              <w:instrText xml:space="preserve"> PAGEREF _Toc391563918 \h </w:instrText>
            </w:r>
            <w:r w:rsidRPr="00BD717F">
              <w:rPr>
                <w:noProof/>
                <w:webHidden/>
              </w:rPr>
            </w:r>
            <w:r w:rsidRPr="00BD717F">
              <w:rPr>
                <w:noProof/>
                <w:webHidden/>
              </w:rPr>
              <w:fldChar w:fldCharType="separate"/>
            </w:r>
            <w:r w:rsidR="00D87C27">
              <w:rPr>
                <w:noProof/>
                <w:webHidden/>
              </w:rPr>
              <w:t>15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19" w:history="1">
            <w:r w:rsidR="00BD717F" w:rsidRPr="00BD717F">
              <w:rPr>
                <w:rStyle w:val="Hyperlink"/>
                <w:noProof/>
              </w:rPr>
              <w:t>4.4 Samenvatting en beantwoording deelvraag</w:t>
            </w:r>
            <w:r w:rsidR="00BD717F" w:rsidRPr="00BD717F">
              <w:rPr>
                <w:noProof/>
                <w:webHidden/>
              </w:rPr>
              <w:tab/>
            </w:r>
            <w:r w:rsidRPr="00BD717F">
              <w:rPr>
                <w:noProof/>
                <w:webHidden/>
              </w:rPr>
              <w:fldChar w:fldCharType="begin"/>
            </w:r>
            <w:r w:rsidR="00BD717F" w:rsidRPr="00BD717F">
              <w:rPr>
                <w:noProof/>
                <w:webHidden/>
              </w:rPr>
              <w:instrText xml:space="preserve"> PAGEREF _Toc391563919 \h </w:instrText>
            </w:r>
            <w:r w:rsidRPr="00BD717F">
              <w:rPr>
                <w:noProof/>
                <w:webHidden/>
              </w:rPr>
            </w:r>
            <w:r w:rsidRPr="00BD717F">
              <w:rPr>
                <w:noProof/>
                <w:webHidden/>
              </w:rPr>
              <w:fldChar w:fldCharType="separate"/>
            </w:r>
            <w:r w:rsidR="00D87C27">
              <w:rPr>
                <w:noProof/>
                <w:webHidden/>
              </w:rPr>
              <w:t>16</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20" w:history="1">
            <w:r w:rsidR="00BD717F" w:rsidRPr="00BD717F">
              <w:rPr>
                <w:rStyle w:val="Hyperlink"/>
                <w:noProof/>
              </w:rPr>
              <w:t>5.1 Financiële informatie vs. Niet-financiële informatie</w:t>
            </w:r>
            <w:r w:rsidR="00BD717F" w:rsidRPr="00BD717F">
              <w:rPr>
                <w:noProof/>
                <w:webHidden/>
              </w:rPr>
              <w:tab/>
            </w:r>
            <w:r w:rsidRPr="00BD717F">
              <w:rPr>
                <w:noProof/>
                <w:webHidden/>
              </w:rPr>
              <w:fldChar w:fldCharType="begin"/>
            </w:r>
            <w:r w:rsidR="00BD717F" w:rsidRPr="00BD717F">
              <w:rPr>
                <w:noProof/>
                <w:webHidden/>
              </w:rPr>
              <w:instrText xml:space="preserve"> PAGEREF _Toc391563920 \h </w:instrText>
            </w:r>
            <w:r w:rsidRPr="00BD717F">
              <w:rPr>
                <w:noProof/>
                <w:webHidden/>
              </w:rPr>
            </w:r>
            <w:r w:rsidRPr="00BD717F">
              <w:rPr>
                <w:noProof/>
                <w:webHidden/>
              </w:rPr>
              <w:fldChar w:fldCharType="separate"/>
            </w:r>
            <w:r w:rsidR="00D87C27">
              <w:rPr>
                <w:noProof/>
                <w:webHidden/>
              </w:rPr>
              <w:t>17</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21" w:history="1">
            <w:r w:rsidR="00BD717F" w:rsidRPr="00BD717F">
              <w:rPr>
                <w:rStyle w:val="Hyperlink"/>
                <w:noProof/>
              </w:rPr>
              <w:t>5.1.1 Financiële informatie</w:t>
            </w:r>
            <w:r w:rsidR="00BD717F" w:rsidRPr="00BD717F">
              <w:rPr>
                <w:noProof/>
                <w:webHidden/>
              </w:rPr>
              <w:tab/>
            </w:r>
            <w:r w:rsidRPr="00BD717F">
              <w:rPr>
                <w:noProof/>
                <w:webHidden/>
              </w:rPr>
              <w:fldChar w:fldCharType="begin"/>
            </w:r>
            <w:r w:rsidR="00BD717F" w:rsidRPr="00BD717F">
              <w:rPr>
                <w:noProof/>
                <w:webHidden/>
              </w:rPr>
              <w:instrText xml:space="preserve"> PAGEREF _Toc391563921 \h </w:instrText>
            </w:r>
            <w:r w:rsidRPr="00BD717F">
              <w:rPr>
                <w:noProof/>
                <w:webHidden/>
              </w:rPr>
            </w:r>
            <w:r w:rsidRPr="00BD717F">
              <w:rPr>
                <w:noProof/>
                <w:webHidden/>
              </w:rPr>
              <w:fldChar w:fldCharType="separate"/>
            </w:r>
            <w:r w:rsidR="00D87C27">
              <w:rPr>
                <w:noProof/>
                <w:webHidden/>
              </w:rPr>
              <w:t>17</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22" w:history="1">
            <w:r w:rsidR="00BD717F" w:rsidRPr="00BD717F">
              <w:rPr>
                <w:rStyle w:val="Hyperlink"/>
                <w:noProof/>
              </w:rPr>
              <w:t>5.1.2 Niet-financiële informatie</w:t>
            </w:r>
            <w:r w:rsidR="00BD717F" w:rsidRPr="00BD717F">
              <w:rPr>
                <w:noProof/>
                <w:webHidden/>
              </w:rPr>
              <w:tab/>
            </w:r>
            <w:r w:rsidRPr="00BD717F">
              <w:rPr>
                <w:noProof/>
                <w:webHidden/>
              </w:rPr>
              <w:fldChar w:fldCharType="begin"/>
            </w:r>
            <w:r w:rsidR="00BD717F" w:rsidRPr="00BD717F">
              <w:rPr>
                <w:noProof/>
                <w:webHidden/>
              </w:rPr>
              <w:instrText xml:space="preserve"> PAGEREF _Toc391563922 \h </w:instrText>
            </w:r>
            <w:r w:rsidRPr="00BD717F">
              <w:rPr>
                <w:noProof/>
                <w:webHidden/>
              </w:rPr>
            </w:r>
            <w:r w:rsidRPr="00BD717F">
              <w:rPr>
                <w:noProof/>
                <w:webHidden/>
              </w:rPr>
              <w:fldChar w:fldCharType="separate"/>
            </w:r>
            <w:r w:rsidR="00D87C27">
              <w:rPr>
                <w:noProof/>
                <w:webHidden/>
              </w:rPr>
              <w:t>17</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23" w:history="1">
            <w:r w:rsidR="00BD717F" w:rsidRPr="00BD717F">
              <w:rPr>
                <w:rStyle w:val="Hyperlink"/>
                <w:noProof/>
              </w:rPr>
              <w:t>5.2 Van financiële naar niet-financiële informatie</w:t>
            </w:r>
            <w:r w:rsidR="00BD717F" w:rsidRPr="00BD717F">
              <w:rPr>
                <w:noProof/>
                <w:webHidden/>
              </w:rPr>
              <w:tab/>
            </w:r>
            <w:r w:rsidRPr="00BD717F">
              <w:rPr>
                <w:noProof/>
                <w:webHidden/>
              </w:rPr>
              <w:fldChar w:fldCharType="begin"/>
            </w:r>
            <w:r w:rsidR="00BD717F" w:rsidRPr="00BD717F">
              <w:rPr>
                <w:noProof/>
                <w:webHidden/>
              </w:rPr>
              <w:instrText xml:space="preserve"> PAGEREF _Toc391563923 \h </w:instrText>
            </w:r>
            <w:r w:rsidRPr="00BD717F">
              <w:rPr>
                <w:noProof/>
                <w:webHidden/>
              </w:rPr>
            </w:r>
            <w:r w:rsidRPr="00BD717F">
              <w:rPr>
                <w:noProof/>
                <w:webHidden/>
              </w:rPr>
              <w:fldChar w:fldCharType="separate"/>
            </w:r>
            <w:r w:rsidR="00D87C27">
              <w:rPr>
                <w:noProof/>
                <w:webHidden/>
              </w:rPr>
              <w:t>18</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24" w:history="1">
            <w:r w:rsidR="00BD717F" w:rsidRPr="00BD717F">
              <w:rPr>
                <w:rStyle w:val="Hyperlink"/>
                <w:noProof/>
              </w:rPr>
              <w:t>5.3 Relatie niet-financiële informatie en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_Toc391563924 \h </w:instrText>
            </w:r>
            <w:r w:rsidRPr="00BD717F">
              <w:rPr>
                <w:noProof/>
                <w:webHidden/>
              </w:rPr>
            </w:r>
            <w:r w:rsidRPr="00BD717F">
              <w:rPr>
                <w:noProof/>
                <w:webHidden/>
              </w:rPr>
              <w:fldChar w:fldCharType="separate"/>
            </w:r>
            <w:r w:rsidR="00D87C27">
              <w:rPr>
                <w:noProof/>
                <w:webHidden/>
              </w:rPr>
              <w:t>21</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25" w:history="1">
            <w:r w:rsidR="00BD717F" w:rsidRPr="00BD717F">
              <w:rPr>
                <w:rStyle w:val="Hyperlink"/>
                <w:noProof/>
              </w:rPr>
              <w:t>5.4 Samenvatting en beantwoording deelvraag</w:t>
            </w:r>
            <w:r w:rsidR="00BD717F" w:rsidRPr="00BD717F">
              <w:rPr>
                <w:noProof/>
                <w:webHidden/>
              </w:rPr>
              <w:tab/>
            </w:r>
            <w:r w:rsidRPr="00BD717F">
              <w:rPr>
                <w:noProof/>
                <w:webHidden/>
              </w:rPr>
              <w:fldChar w:fldCharType="begin"/>
            </w:r>
            <w:r w:rsidR="00BD717F" w:rsidRPr="00BD717F">
              <w:rPr>
                <w:noProof/>
                <w:webHidden/>
              </w:rPr>
              <w:instrText xml:space="preserve"> PAGEREF _Toc391563925 \h </w:instrText>
            </w:r>
            <w:r w:rsidRPr="00BD717F">
              <w:rPr>
                <w:noProof/>
                <w:webHidden/>
              </w:rPr>
            </w:r>
            <w:r w:rsidRPr="00BD717F">
              <w:rPr>
                <w:noProof/>
                <w:webHidden/>
              </w:rPr>
              <w:fldChar w:fldCharType="separate"/>
            </w:r>
            <w:r w:rsidR="00D87C27">
              <w:rPr>
                <w:noProof/>
                <w:webHidden/>
              </w:rPr>
              <w:t>21</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26" w:history="1">
            <w:r w:rsidR="00BD717F" w:rsidRPr="00BD717F">
              <w:rPr>
                <w:rStyle w:val="Hyperlink"/>
                <w:rFonts w:cs="Tahoma"/>
              </w:rPr>
              <w:t>6</w:t>
            </w:r>
            <w:r w:rsidR="00BD717F">
              <w:rPr>
                <w:rFonts w:asciiTheme="minorHAnsi" w:eastAsiaTheme="minorEastAsia" w:hAnsiTheme="minorHAnsi"/>
                <w:b w:val="0"/>
                <w:color w:val="auto"/>
                <w:lang w:eastAsia="nl-NL"/>
              </w:rPr>
              <w:t xml:space="preserve"> </w:t>
            </w:r>
            <w:r w:rsidR="00BD717F" w:rsidRPr="00BD717F">
              <w:rPr>
                <w:rStyle w:val="Hyperlink"/>
                <w:rFonts w:cs="Tahoma"/>
              </w:rPr>
              <w:t>Maatschappelijke Verantwoord Ondernemen</w:t>
            </w:r>
            <w:r w:rsidR="00BD717F" w:rsidRPr="00BD717F">
              <w:rPr>
                <w:webHidden/>
              </w:rPr>
              <w:tab/>
            </w:r>
            <w:r w:rsidRPr="00BD717F">
              <w:rPr>
                <w:webHidden/>
              </w:rPr>
              <w:fldChar w:fldCharType="begin"/>
            </w:r>
            <w:r w:rsidR="00BD717F" w:rsidRPr="00BD717F">
              <w:rPr>
                <w:webHidden/>
              </w:rPr>
              <w:instrText xml:space="preserve"> PAGEREF _Toc391563926 \h </w:instrText>
            </w:r>
            <w:r w:rsidRPr="00BD717F">
              <w:rPr>
                <w:webHidden/>
              </w:rPr>
            </w:r>
            <w:r w:rsidRPr="00BD717F">
              <w:rPr>
                <w:webHidden/>
              </w:rPr>
              <w:fldChar w:fldCharType="separate"/>
            </w:r>
            <w:r w:rsidR="00D87C27">
              <w:rPr>
                <w:webHidden/>
              </w:rPr>
              <w:t>22</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27" w:history="1">
            <w:r w:rsidR="00BD717F" w:rsidRPr="00BD717F">
              <w:rPr>
                <w:rStyle w:val="Hyperlink"/>
                <w:rFonts w:cs="Tahoma"/>
                <w:noProof/>
              </w:rPr>
              <w:t>6.1 Wat is Maatschappelijk Verantwoord Ondernemen?</w:t>
            </w:r>
            <w:r w:rsidR="00BD717F" w:rsidRPr="00BD717F">
              <w:rPr>
                <w:noProof/>
                <w:webHidden/>
              </w:rPr>
              <w:tab/>
            </w:r>
            <w:r w:rsidRPr="00BD717F">
              <w:rPr>
                <w:noProof/>
                <w:webHidden/>
              </w:rPr>
              <w:fldChar w:fldCharType="begin"/>
            </w:r>
            <w:r w:rsidR="00BD717F" w:rsidRPr="00BD717F">
              <w:rPr>
                <w:noProof/>
                <w:webHidden/>
              </w:rPr>
              <w:instrText xml:space="preserve"> PAGEREF _Toc391563927 \h </w:instrText>
            </w:r>
            <w:r w:rsidRPr="00BD717F">
              <w:rPr>
                <w:noProof/>
                <w:webHidden/>
              </w:rPr>
            </w:r>
            <w:r w:rsidRPr="00BD717F">
              <w:rPr>
                <w:noProof/>
                <w:webHidden/>
              </w:rPr>
              <w:fldChar w:fldCharType="separate"/>
            </w:r>
            <w:r w:rsidR="00D87C27">
              <w:rPr>
                <w:noProof/>
                <w:webHidden/>
              </w:rPr>
              <w:t>22</w:t>
            </w:r>
            <w:r w:rsidRPr="00BD717F">
              <w:rPr>
                <w:noProof/>
                <w:webHidden/>
              </w:rPr>
              <w:fldChar w:fldCharType="end"/>
            </w:r>
          </w:hyperlink>
        </w:p>
        <w:p w:rsidR="00BD717F" w:rsidRPr="00BD717F" w:rsidRDefault="00C3187A" w:rsidP="00BD717F">
          <w:pPr>
            <w:pStyle w:val="TOC3"/>
            <w:tabs>
              <w:tab w:val="left" w:pos="1320"/>
              <w:tab w:val="right" w:leader="dot" w:pos="9062"/>
            </w:tabs>
            <w:spacing w:line="240" w:lineRule="auto"/>
            <w:rPr>
              <w:rFonts w:asciiTheme="minorHAnsi" w:eastAsiaTheme="minorEastAsia" w:hAnsiTheme="minorHAnsi"/>
              <w:noProof/>
              <w:lang w:eastAsia="nl-NL"/>
            </w:rPr>
          </w:pPr>
          <w:hyperlink w:anchor="_Toc391563928" w:history="1">
            <w:r w:rsidR="00BD717F" w:rsidRPr="00BD717F">
              <w:rPr>
                <w:rStyle w:val="Hyperlink"/>
                <w:rFonts w:cs="Tahoma"/>
                <w:noProof/>
              </w:rPr>
              <w:t>6.1.1</w:t>
            </w:r>
            <w:r w:rsidR="00BD717F">
              <w:rPr>
                <w:rFonts w:asciiTheme="minorHAnsi" w:eastAsiaTheme="minorEastAsia" w:hAnsiTheme="minorHAnsi"/>
                <w:noProof/>
                <w:lang w:eastAsia="nl-NL"/>
              </w:rPr>
              <w:t xml:space="preserve"> </w:t>
            </w:r>
            <w:r w:rsidR="00BD717F" w:rsidRPr="00BD717F">
              <w:rPr>
                <w:rStyle w:val="Hyperlink"/>
                <w:rFonts w:cs="Tahoma"/>
                <w:noProof/>
              </w:rPr>
              <w:t>Triple P bottom line</w:t>
            </w:r>
            <w:r w:rsidR="00BD717F" w:rsidRPr="00BD717F">
              <w:rPr>
                <w:noProof/>
                <w:webHidden/>
              </w:rPr>
              <w:tab/>
            </w:r>
            <w:r w:rsidRPr="00BD717F">
              <w:rPr>
                <w:noProof/>
                <w:webHidden/>
              </w:rPr>
              <w:fldChar w:fldCharType="begin"/>
            </w:r>
            <w:r w:rsidR="00BD717F" w:rsidRPr="00BD717F">
              <w:rPr>
                <w:noProof/>
                <w:webHidden/>
              </w:rPr>
              <w:instrText xml:space="preserve"> PAGEREF _Toc391563928 \h </w:instrText>
            </w:r>
            <w:r w:rsidRPr="00BD717F">
              <w:rPr>
                <w:noProof/>
                <w:webHidden/>
              </w:rPr>
            </w:r>
            <w:r w:rsidRPr="00BD717F">
              <w:rPr>
                <w:noProof/>
                <w:webHidden/>
              </w:rPr>
              <w:fldChar w:fldCharType="separate"/>
            </w:r>
            <w:r w:rsidR="00D87C27">
              <w:rPr>
                <w:noProof/>
                <w:webHidden/>
              </w:rPr>
              <w:t>24</w:t>
            </w:r>
            <w:r w:rsidRPr="00BD717F">
              <w:rPr>
                <w:noProof/>
                <w:webHidden/>
              </w:rPr>
              <w:fldChar w:fldCharType="end"/>
            </w:r>
          </w:hyperlink>
        </w:p>
        <w:p w:rsidR="00BD717F" w:rsidRPr="00BD717F" w:rsidRDefault="00C3187A" w:rsidP="00BD717F">
          <w:pPr>
            <w:pStyle w:val="TOC3"/>
            <w:tabs>
              <w:tab w:val="left" w:pos="1320"/>
              <w:tab w:val="right" w:leader="dot" w:pos="9062"/>
            </w:tabs>
            <w:spacing w:line="240" w:lineRule="auto"/>
            <w:rPr>
              <w:rFonts w:asciiTheme="minorHAnsi" w:eastAsiaTheme="minorEastAsia" w:hAnsiTheme="minorHAnsi"/>
              <w:noProof/>
              <w:lang w:eastAsia="nl-NL"/>
            </w:rPr>
          </w:pPr>
          <w:hyperlink w:anchor="_Toc391563929" w:history="1">
            <w:r w:rsidR="00BD717F" w:rsidRPr="00BD717F">
              <w:rPr>
                <w:rStyle w:val="Hyperlink"/>
                <w:noProof/>
              </w:rPr>
              <w:t>6.1.2</w:t>
            </w:r>
            <w:r w:rsidR="00BD717F">
              <w:rPr>
                <w:rFonts w:asciiTheme="minorHAnsi" w:eastAsiaTheme="minorEastAsia" w:hAnsiTheme="minorHAnsi"/>
                <w:noProof/>
                <w:lang w:eastAsia="nl-NL"/>
              </w:rPr>
              <w:t xml:space="preserve"> </w:t>
            </w:r>
            <w:r w:rsidR="00BD717F" w:rsidRPr="00BD717F">
              <w:rPr>
                <w:rStyle w:val="Hyperlink"/>
                <w:noProof/>
              </w:rPr>
              <w:t>Vrijwilligheid</w:t>
            </w:r>
            <w:r w:rsidR="00BD717F" w:rsidRPr="00BD717F">
              <w:rPr>
                <w:noProof/>
                <w:webHidden/>
              </w:rPr>
              <w:tab/>
            </w:r>
            <w:r w:rsidRPr="00BD717F">
              <w:rPr>
                <w:noProof/>
                <w:webHidden/>
              </w:rPr>
              <w:fldChar w:fldCharType="begin"/>
            </w:r>
            <w:r w:rsidR="00BD717F" w:rsidRPr="00BD717F">
              <w:rPr>
                <w:noProof/>
                <w:webHidden/>
              </w:rPr>
              <w:instrText xml:space="preserve"> PAGEREF _Toc391563929 \h </w:instrText>
            </w:r>
            <w:r w:rsidRPr="00BD717F">
              <w:rPr>
                <w:noProof/>
                <w:webHidden/>
              </w:rPr>
            </w:r>
            <w:r w:rsidRPr="00BD717F">
              <w:rPr>
                <w:noProof/>
                <w:webHidden/>
              </w:rPr>
              <w:fldChar w:fldCharType="separate"/>
            </w:r>
            <w:r w:rsidR="00D87C27">
              <w:rPr>
                <w:noProof/>
                <w:webHidden/>
              </w:rPr>
              <w:t>25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0" w:history="1">
            <w:r w:rsidR="00BD717F" w:rsidRPr="00BD717F">
              <w:rPr>
                <w:rStyle w:val="Hyperlink"/>
                <w:noProof/>
              </w:rPr>
              <w:t>6.2 Maatschappelijk verantwoord ondernemen en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_Toc391563930 \h </w:instrText>
            </w:r>
            <w:r w:rsidRPr="00BD717F">
              <w:rPr>
                <w:noProof/>
                <w:webHidden/>
              </w:rPr>
            </w:r>
            <w:r w:rsidRPr="00BD717F">
              <w:rPr>
                <w:noProof/>
                <w:webHidden/>
              </w:rPr>
              <w:fldChar w:fldCharType="separate"/>
            </w:r>
            <w:r w:rsidR="00D87C27">
              <w:rPr>
                <w:noProof/>
                <w:webHidden/>
              </w:rPr>
              <w:t>25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1" w:history="1">
            <w:r w:rsidR="00BD717F" w:rsidRPr="00BD717F">
              <w:rPr>
                <w:rStyle w:val="Hyperlink"/>
                <w:noProof/>
              </w:rPr>
              <w:t>6.3 Samenvatting en beantwoording deelvraag</w:t>
            </w:r>
            <w:r w:rsidR="00BD717F" w:rsidRPr="00BD717F">
              <w:rPr>
                <w:noProof/>
                <w:webHidden/>
              </w:rPr>
              <w:tab/>
            </w:r>
            <w:r w:rsidRPr="00BD717F">
              <w:rPr>
                <w:noProof/>
                <w:webHidden/>
              </w:rPr>
              <w:fldChar w:fldCharType="begin"/>
            </w:r>
            <w:r w:rsidR="00BD717F" w:rsidRPr="00BD717F">
              <w:rPr>
                <w:noProof/>
                <w:webHidden/>
              </w:rPr>
              <w:instrText xml:space="preserve"> PAGEREF _Toc391563931 \h </w:instrText>
            </w:r>
            <w:r w:rsidRPr="00BD717F">
              <w:rPr>
                <w:noProof/>
                <w:webHidden/>
              </w:rPr>
            </w:r>
            <w:r w:rsidRPr="00BD717F">
              <w:rPr>
                <w:noProof/>
                <w:webHidden/>
              </w:rPr>
              <w:fldChar w:fldCharType="separate"/>
            </w:r>
            <w:r w:rsidR="00D87C27">
              <w:rPr>
                <w:noProof/>
                <w:webHidden/>
              </w:rPr>
              <w:t>27</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32" w:history="1">
            <w:r w:rsidR="00BD717F" w:rsidRPr="00BD717F">
              <w:rPr>
                <w:rStyle w:val="Hyperlink"/>
              </w:rPr>
              <w:t>7</w:t>
            </w:r>
            <w:r w:rsidR="00BD717F">
              <w:rPr>
                <w:rFonts w:asciiTheme="minorHAnsi" w:eastAsiaTheme="minorEastAsia" w:hAnsiTheme="minorHAnsi"/>
                <w:b w:val="0"/>
                <w:color w:val="auto"/>
                <w:lang w:eastAsia="nl-NL"/>
              </w:rPr>
              <w:t xml:space="preserve"> </w:t>
            </w:r>
            <w:r w:rsidR="00BD717F" w:rsidRPr="00BD717F">
              <w:rPr>
                <w:rStyle w:val="Hyperlink"/>
              </w:rPr>
              <w:t>Maatschappelijke verslaggeving en integrated reporting</w:t>
            </w:r>
            <w:r w:rsidR="00BD717F" w:rsidRPr="00BD717F">
              <w:rPr>
                <w:webHidden/>
              </w:rPr>
              <w:tab/>
            </w:r>
            <w:r w:rsidRPr="00BD717F">
              <w:rPr>
                <w:webHidden/>
              </w:rPr>
              <w:fldChar w:fldCharType="begin"/>
            </w:r>
            <w:r w:rsidR="00BD717F" w:rsidRPr="00BD717F">
              <w:rPr>
                <w:webHidden/>
              </w:rPr>
              <w:instrText xml:space="preserve"> PAGEREF _Toc391563932 \h </w:instrText>
            </w:r>
            <w:r w:rsidRPr="00BD717F">
              <w:rPr>
                <w:webHidden/>
              </w:rPr>
            </w:r>
            <w:r w:rsidRPr="00BD717F">
              <w:rPr>
                <w:webHidden/>
              </w:rPr>
              <w:fldChar w:fldCharType="separate"/>
            </w:r>
            <w:r w:rsidR="00D87C27">
              <w:rPr>
                <w:webHidden/>
              </w:rPr>
              <w:t>28</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3" w:history="1">
            <w:r w:rsidR="00BD717F" w:rsidRPr="00BD717F">
              <w:rPr>
                <w:rStyle w:val="Hyperlink"/>
                <w:noProof/>
              </w:rPr>
              <w:t>7.1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_Toc391563933 \h </w:instrText>
            </w:r>
            <w:r w:rsidRPr="00BD717F">
              <w:rPr>
                <w:noProof/>
                <w:webHidden/>
              </w:rPr>
            </w:r>
            <w:r w:rsidRPr="00BD717F">
              <w:rPr>
                <w:noProof/>
                <w:webHidden/>
              </w:rPr>
              <w:fldChar w:fldCharType="separate"/>
            </w:r>
            <w:r w:rsidR="00D87C27">
              <w:rPr>
                <w:noProof/>
                <w:webHidden/>
              </w:rPr>
              <w:t>28</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34" w:history="1">
            <w:r w:rsidR="00BD717F" w:rsidRPr="00BD717F">
              <w:rPr>
                <w:rStyle w:val="Hyperlink"/>
                <w:noProof/>
              </w:rPr>
              <w:t>7.1.1 Motieven voor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_Toc391563934 \h </w:instrText>
            </w:r>
            <w:r w:rsidRPr="00BD717F">
              <w:rPr>
                <w:noProof/>
                <w:webHidden/>
              </w:rPr>
            </w:r>
            <w:r w:rsidRPr="00BD717F">
              <w:rPr>
                <w:noProof/>
                <w:webHidden/>
              </w:rPr>
              <w:fldChar w:fldCharType="separate"/>
            </w:r>
            <w:r w:rsidR="00D87C27">
              <w:rPr>
                <w:noProof/>
                <w:webHidden/>
              </w:rPr>
              <w:t>29</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35" w:history="1">
            <w:r w:rsidR="00BD717F" w:rsidRPr="00BD717F">
              <w:rPr>
                <w:rStyle w:val="Hyperlink"/>
                <w:noProof/>
              </w:rPr>
              <w:t>7.1.2 Inhoud maatschappelijke verslag</w:t>
            </w:r>
            <w:r w:rsidR="00BD717F" w:rsidRPr="00BD717F">
              <w:rPr>
                <w:noProof/>
                <w:webHidden/>
              </w:rPr>
              <w:tab/>
            </w:r>
            <w:r w:rsidRPr="00BD717F">
              <w:rPr>
                <w:noProof/>
                <w:webHidden/>
              </w:rPr>
              <w:fldChar w:fldCharType="begin"/>
            </w:r>
            <w:r w:rsidR="00BD717F" w:rsidRPr="00BD717F">
              <w:rPr>
                <w:noProof/>
                <w:webHidden/>
              </w:rPr>
              <w:instrText xml:space="preserve"> PAGEREF _Toc391563935 \h </w:instrText>
            </w:r>
            <w:r w:rsidRPr="00BD717F">
              <w:rPr>
                <w:noProof/>
                <w:webHidden/>
              </w:rPr>
            </w:r>
            <w:r w:rsidRPr="00BD717F">
              <w:rPr>
                <w:noProof/>
                <w:webHidden/>
              </w:rPr>
              <w:fldChar w:fldCharType="separate"/>
            </w:r>
            <w:r w:rsidR="00D87C27">
              <w:rPr>
                <w:noProof/>
                <w:webHidden/>
              </w:rPr>
              <w:t>30</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6" w:history="1">
            <w:r w:rsidR="00BD717F" w:rsidRPr="00BD717F">
              <w:rPr>
                <w:rStyle w:val="Hyperlink"/>
                <w:noProof/>
              </w:rPr>
              <w:t>7.2 Integrated Reporting</w:t>
            </w:r>
            <w:r w:rsidR="00BD717F" w:rsidRPr="00BD717F">
              <w:rPr>
                <w:noProof/>
                <w:webHidden/>
              </w:rPr>
              <w:tab/>
            </w:r>
            <w:r w:rsidRPr="00BD717F">
              <w:rPr>
                <w:noProof/>
                <w:webHidden/>
              </w:rPr>
              <w:fldChar w:fldCharType="begin"/>
            </w:r>
            <w:r w:rsidR="00BD717F" w:rsidRPr="00BD717F">
              <w:rPr>
                <w:noProof/>
                <w:webHidden/>
              </w:rPr>
              <w:instrText xml:space="preserve"> PAGEREF _Toc391563936 \h </w:instrText>
            </w:r>
            <w:r w:rsidRPr="00BD717F">
              <w:rPr>
                <w:noProof/>
                <w:webHidden/>
              </w:rPr>
            </w:r>
            <w:r w:rsidRPr="00BD717F">
              <w:rPr>
                <w:noProof/>
                <w:webHidden/>
              </w:rPr>
              <w:fldChar w:fldCharType="separate"/>
            </w:r>
            <w:r w:rsidR="00D87C27">
              <w:rPr>
                <w:noProof/>
                <w:webHidden/>
              </w:rPr>
              <w:t>32</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7" w:history="1">
            <w:r w:rsidR="00BD717F" w:rsidRPr="00BD717F">
              <w:rPr>
                <w:rStyle w:val="Hyperlink"/>
                <w:noProof/>
              </w:rPr>
              <w:t>7.3 Samenvatting en beantwoording deelvraag</w:t>
            </w:r>
            <w:r w:rsidR="00BD717F" w:rsidRPr="00BD717F">
              <w:rPr>
                <w:noProof/>
                <w:webHidden/>
              </w:rPr>
              <w:tab/>
            </w:r>
            <w:r w:rsidRPr="00BD717F">
              <w:rPr>
                <w:noProof/>
                <w:webHidden/>
              </w:rPr>
              <w:fldChar w:fldCharType="begin"/>
            </w:r>
            <w:r w:rsidR="00BD717F" w:rsidRPr="00BD717F">
              <w:rPr>
                <w:noProof/>
                <w:webHidden/>
              </w:rPr>
              <w:instrText xml:space="preserve"> PAGEREF _Toc391563937 \h </w:instrText>
            </w:r>
            <w:r w:rsidRPr="00BD717F">
              <w:rPr>
                <w:noProof/>
                <w:webHidden/>
              </w:rPr>
            </w:r>
            <w:r w:rsidRPr="00BD717F">
              <w:rPr>
                <w:noProof/>
                <w:webHidden/>
              </w:rPr>
              <w:fldChar w:fldCharType="separate"/>
            </w:r>
            <w:r w:rsidR="00D87C27">
              <w:rPr>
                <w:noProof/>
                <w:webHidden/>
              </w:rPr>
              <w:t>33</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38" w:history="1">
            <w:r w:rsidR="00BD717F" w:rsidRPr="00BD717F">
              <w:rPr>
                <w:rStyle w:val="Hyperlink"/>
              </w:rPr>
              <w:t>8</w:t>
            </w:r>
            <w:r w:rsidR="00BD717F">
              <w:rPr>
                <w:rFonts w:asciiTheme="minorHAnsi" w:eastAsiaTheme="minorEastAsia" w:hAnsiTheme="minorHAnsi"/>
                <w:b w:val="0"/>
                <w:color w:val="auto"/>
                <w:lang w:eastAsia="nl-NL"/>
              </w:rPr>
              <w:t xml:space="preserve"> </w:t>
            </w:r>
            <w:r w:rsidR="00BD717F" w:rsidRPr="00BD717F">
              <w:rPr>
                <w:rStyle w:val="Hyperlink"/>
              </w:rPr>
              <w:t>Regelgeving omtrent maatschappelijk verslaggeving en integrated reporting</w:t>
            </w:r>
            <w:r w:rsidR="00BD717F" w:rsidRPr="00BD717F">
              <w:rPr>
                <w:webHidden/>
              </w:rPr>
              <w:tab/>
            </w:r>
            <w:r w:rsidRPr="00BD717F">
              <w:rPr>
                <w:webHidden/>
              </w:rPr>
              <w:fldChar w:fldCharType="begin"/>
            </w:r>
            <w:r w:rsidR="00BD717F" w:rsidRPr="00BD717F">
              <w:rPr>
                <w:webHidden/>
              </w:rPr>
              <w:instrText xml:space="preserve"> PAGEREF _Toc391563938 \h </w:instrText>
            </w:r>
            <w:r w:rsidRPr="00BD717F">
              <w:rPr>
                <w:webHidden/>
              </w:rPr>
            </w:r>
            <w:r w:rsidRPr="00BD717F">
              <w:rPr>
                <w:webHidden/>
              </w:rPr>
              <w:fldChar w:fldCharType="separate"/>
            </w:r>
            <w:r w:rsidR="00D87C27">
              <w:rPr>
                <w:webHidden/>
              </w:rPr>
              <w:t>34</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39" w:history="1">
            <w:r w:rsidR="00BD717F" w:rsidRPr="00BD717F">
              <w:rPr>
                <w:rStyle w:val="Hyperlink"/>
                <w:noProof/>
              </w:rPr>
              <w:t>8.1 Nederlandse wet- en regelgeving</w:t>
            </w:r>
            <w:r w:rsidR="00BD717F" w:rsidRPr="00BD717F">
              <w:rPr>
                <w:noProof/>
                <w:webHidden/>
              </w:rPr>
              <w:tab/>
            </w:r>
            <w:r w:rsidRPr="00BD717F">
              <w:rPr>
                <w:noProof/>
                <w:webHidden/>
              </w:rPr>
              <w:fldChar w:fldCharType="begin"/>
            </w:r>
            <w:r w:rsidR="00BD717F" w:rsidRPr="00BD717F">
              <w:rPr>
                <w:noProof/>
                <w:webHidden/>
              </w:rPr>
              <w:instrText xml:space="preserve"> PAGEREF _Toc391563939 \h </w:instrText>
            </w:r>
            <w:r w:rsidRPr="00BD717F">
              <w:rPr>
                <w:noProof/>
                <w:webHidden/>
              </w:rPr>
            </w:r>
            <w:r w:rsidRPr="00BD717F">
              <w:rPr>
                <w:noProof/>
                <w:webHidden/>
              </w:rPr>
              <w:fldChar w:fldCharType="separate"/>
            </w:r>
            <w:r w:rsidR="00D87C27">
              <w:rPr>
                <w:noProof/>
                <w:webHidden/>
              </w:rPr>
              <w:t>34</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0" w:history="1">
            <w:r w:rsidR="00BD717F" w:rsidRPr="00BD717F">
              <w:rPr>
                <w:rStyle w:val="Hyperlink"/>
                <w:noProof/>
              </w:rPr>
              <w:t>8.1.1 Wettelijk kader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_Toc391563940 \h </w:instrText>
            </w:r>
            <w:r w:rsidRPr="00BD717F">
              <w:rPr>
                <w:noProof/>
                <w:webHidden/>
              </w:rPr>
            </w:r>
            <w:r w:rsidRPr="00BD717F">
              <w:rPr>
                <w:noProof/>
                <w:webHidden/>
              </w:rPr>
              <w:fldChar w:fldCharType="separate"/>
            </w:r>
            <w:r w:rsidR="00D87C27">
              <w:rPr>
                <w:noProof/>
                <w:webHidden/>
              </w:rPr>
              <w:t>34</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1" w:history="1">
            <w:r w:rsidR="00BD717F" w:rsidRPr="00BD717F">
              <w:rPr>
                <w:rStyle w:val="Hyperlink"/>
                <w:noProof/>
              </w:rPr>
              <w:t>8.1.2 Richtlijnen voor de Jaarverslaggeving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_Toc391563941 \h </w:instrText>
            </w:r>
            <w:r w:rsidRPr="00BD717F">
              <w:rPr>
                <w:noProof/>
                <w:webHidden/>
              </w:rPr>
            </w:r>
            <w:r w:rsidRPr="00BD717F">
              <w:rPr>
                <w:noProof/>
                <w:webHidden/>
              </w:rPr>
              <w:fldChar w:fldCharType="separate"/>
            </w:r>
            <w:r w:rsidR="00D87C27">
              <w:rPr>
                <w:noProof/>
                <w:webHidden/>
              </w:rPr>
              <w:t>35</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2" w:history="1">
            <w:r w:rsidR="00BD717F" w:rsidRPr="00BD717F">
              <w:rPr>
                <w:rStyle w:val="Hyperlink"/>
                <w:noProof/>
              </w:rPr>
              <w:t>8.1.3 Handreiking voor Maatschappelijke verslaggeving</w:t>
            </w:r>
            <w:r w:rsidR="00BD717F" w:rsidRPr="00BD717F">
              <w:rPr>
                <w:noProof/>
                <w:webHidden/>
              </w:rPr>
              <w:tab/>
            </w:r>
            <w:r w:rsidRPr="00BD717F">
              <w:rPr>
                <w:noProof/>
                <w:webHidden/>
              </w:rPr>
              <w:fldChar w:fldCharType="begin"/>
            </w:r>
            <w:r w:rsidR="00BD717F" w:rsidRPr="00BD717F">
              <w:rPr>
                <w:noProof/>
                <w:webHidden/>
              </w:rPr>
              <w:instrText xml:space="preserve"> PAGEREF _Toc391563942 \h </w:instrText>
            </w:r>
            <w:r w:rsidRPr="00BD717F">
              <w:rPr>
                <w:noProof/>
                <w:webHidden/>
              </w:rPr>
            </w:r>
            <w:r w:rsidRPr="00BD717F">
              <w:rPr>
                <w:noProof/>
                <w:webHidden/>
              </w:rPr>
              <w:fldChar w:fldCharType="separate"/>
            </w:r>
            <w:r w:rsidR="00D87C27">
              <w:rPr>
                <w:noProof/>
                <w:webHidden/>
              </w:rPr>
              <w:t>35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43" w:history="1">
            <w:r w:rsidR="00BD717F" w:rsidRPr="00BD717F">
              <w:rPr>
                <w:rStyle w:val="Hyperlink"/>
                <w:noProof/>
              </w:rPr>
              <w:t>8.2 Internationale wet- en regelgeving</w:t>
            </w:r>
            <w:r w:rsidR="00BD717F" w:rsidRPr="00BD717F">
              <w:rPr>
                <w:noProof/>
                <w:webHidden/>
              </w:rPr>
              <w:tab/>
            </w:r>
            <w:r w:rsidRPr="00BD717F">
              <w:rPr>
                <w:noProof/>
                <w:webHidden/>
              </w:rPr>
              <w:fldChar w:fldCharType="begin"/>
            </w:r>
            <w:r w:rsidR="00BD717F" w:rsidRPr="00BD717F">
              <w:rPr>
                <w:noProof/>
                <w:webHidden/>
              </w:rPr>
              <w:instrText xml:space="preserve"> PAGEREF _Toc391563943 \h </w:instrText>
            </w:r>
            <w:r w:rsidRPr="00BD717F">
              <w:rPr>
                <w:noProof/>
                <w:webHidden/>
              </w:rPr>
            </w:r>
            <w:r w:rsidRPr="00BD717F">
              <w:rPr>
                <w:noProof/>
                <w:webHidden/>
              </w:rPr>
              <w:fldChar w:fldCharType="separate"/>
            </w:r>
            <w:r w:rsidR="00D87C27">
              <w:rPr>
                <w:noProof/>
                <w:webHidden/>
              </w:rPr>
              <w:t>36</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4" w:history="1">
            <w:r w:rsidR="00BD717F" w:rsidRPr="00BD717F">
              <w:rPr>
                <w:rStyle w:val="Hyperlink"/>
                <w:noProof/>
              </w:rPr>
              <w:t>8.2.1 Wettelijk kader</w:t>
            </w:r>
            <w:r w:rsidR="00BD717F" w:rsidRPr="00BD717F">
              <w:rPr>
                <w:noProof/>
                <w:webHidden/>
              </w:rPr>
              <w:tab/>
            </w:r>
            <w:r w:rsidRPr="00BD717F">
              <w:rPr>
                <w:noProof/>
                <w:webHidden/>
              </w:rPr>
              <w:fldChar w:fldCharType="begin"/>
            </w:r>
            <w:r w:rsidR="00BD717F" w:rsidRPr="00BD717F">
              <w:rPr>
                <w:noProof/>
                <w:webHidden/>
              </w:rPr>
              <w:instrText xml:space="preserve"> PAGEREF _Toc391563944 \h </w:instrText>
            </w:r>
            <w:r w:rsidRPr="00BD717F">
              <w:rPr>
                <w:noProof/>
                <w:webHidden/>
              </w:rPr>
            </w:r>
            <w:r w:rsidRPr="00BD717F">
              <w:rPr>
                <w:noProof/>
                <w:webHidden/>
              </w:rPr>
              <w:fldChar w:fldCharType="separate"/>
            </w:r>
            <w:r w:rsidR="00D87C27">
              <w:rPr>
                <w:noProof/>
                <w:webHidden/>
              </w:rPr>
              <w:t>36</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5" w:history="1">
            <w:r w:rsidR="00BD717F" w:rsidRPr="00BD717F">
              <w:rPr>
                <w:rStyle w:val="Hyperlink"/>
                <w:noProof/>
              </w:rPr>
              <w:t>8.2.2 Global Reporting initiative</w:t>
            </w:r>
            <w:r w:rsidR="00BD717F" w:rsidRPr="00BD717F">
              <w:rPr>
                <w:noProof/>
                <w:webHidden/>
              </w:rPr>
              <w:tab/>
            </w:r>
            <w:r w:rsidRPr="00BD717F">
              <w:rPr>
                <w:noProof/>
                <w:webHidden/>
              </w:rPr>
              <w:fldChar w:fldCharType="begin"/>
            </w:r>
            <w:r w:rsidR="00BD717F" w:rsidRPr="00BD717F">
              <w:rPr>
                <w:noProof/>
                <w:webHidden/>
              </w:rPr>
              <w:instrText xml:space="preserve"> PAGEREF _Toc391563945 \h </w:instrText>
            </w:r>
            <w:r w:rsidRPr="00BD717F">
              <w:rPr>
                <w:noProof/>
                <w:webHidden/>
              </w:rPr>
            </w:r>
            <w:r w:rsidRPr="00BD717F">
              <w:rPr>
                <w:noProof/>
                <w:webHidden/>
              </w:rPr>
              <w:fldChar w:fldCharType="separate"/>
            </w:r>
            <w:r w:rsidR="00D87C27">
              <w:rPr>
                <w:noProof/>
                <w:webHidden/>
              </w:rPr>
              <w:t>36</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46" w:history="1">
            <w:r w:rsidR="00BD717F" w:rsidRPr="00BD717F">
              <w:rPr>
                <w:rStyle w:val="Hyperlink"/>
                <w:noProof/>
              </w:rPr>
              <w:t>8.2.3 Overige internationale richtlijnen</w:t>
            </w:r>
            <w:r w:rsidR="00BD717F" w:rsidRPr="00BD717F">
              <w:rPr>
                <w:noProof/>
                <w:webHidden/>
              </w:rPr>
              <w:tab/>
            </w:r>
            <w:r w:rsidRPr="00BD717F">
              <w:rPr>
                <w:noProof/>
                <w:webHidden/>
              </w:rPr>
              <w:fldChar w:fldCharType="begin"/>
            </w:r>
            <w:r w:rsidR="00BD717F" w:rsidRPr="00BD717F">
              <w:rPr>
                <w:noProof/>
                <w:webHidden/>
              </w:rPr>
              <w:instrText xml:space="preserve"> PAGEREF _Toc391563946 \h </w:instrText>
            </w:r>
            <w:r w:rsidRPr="00BD717F">
              <w:rPr>
                <w:noProof/>
                <w:webHidden/>
              </w:rPr>
            </w:r>
            <w:r w:rsidRPr="00BD717F">
              <w:rPr>
                <w:noProof/>
                <w:webHidden/>
              </w:rPr>
              <w:fldChar w:fldCharType="separate"/>
            </w:r>
            <w:r w:rsidR="00D87C27">
              <w:rPr>
                <w:noProof/>
                <w:webHidden/>
              </w:rPr>
              <w:t>37</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47" w:history="1">
            <w:r w:rsidR="00BD717F" w:rsidRPr="00BD717F">
              <w:rPr>
                <w:rStyle w:val="Hyperlink"/>
                <w:noProof/>
              </w:rPr>
              <w:t>8.3 International integated Reporting Committee</w:t>
            </w:r>
            <w:r w:rsidR="00BD717F" w:rsidRPr="00BD717F">
              <w:rPr>
                <w:noProof/>
                <w:webHidden/>
              </w:rPr>
              <w:tab/>
            </w:r>
            <w:r w:rsidRPr="00BD717F">
              <w:rPr>
                <w:noProof/>
                <w:webHidden/>
              </w:rPr>
              <w:fldChar w:fldCharType="begin"/>
            </w:r>
            <w:r w:rsidR="00BD717F" w:rsidRPr="00BD717F">
              <w:rPr>
                <w:noProof/>
                <w:webHidden/>
              </w:rPr>
              <w:instrText xml:space="preserve"> PAGEREF _Toc391563947 \h </w:instrText>
            </w:r>
            <w:r w:rsidRPr="00BD717F">
              <w:rPr>
                <w:noProof/>
                <w:webHidden/>
              </w:rPr>
            </w:r>
            <w:r w:rsidRPr="00BD717F">
              <w:rPr>
                <w:noProof/>
                <w:webHidden/>
              </w:rPr>
              <w:fldChar w:fldCharType="separate"/>
            </w:r>
            <w:r w:rsidR="00D87C27">
              <w:rPr>
                <w:noProof/>
                <w:webHidden/>
              </w:rPr>
              <w:t>37</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48" w:history="1">
            <w:r w:rsidR="00BD717F" w:rsidRPr="00BD717F">
              <w:rPr>
                <w:rStyle w:val="Hyperlink"/>
                <w:noProof/>
              </w:rPr>
              <w:t>8.4 Samenvatting en beantwoording deelvraag</w:t>
            </w:r>
            <w:r w:rsidR="00BD717F" w:rsidRPr="00BD717F">
              <w:rPr>
                <w:noProof/>
                <w:webHidden/>
              </w:rPr>
              <w:tab/>
            </w:r>
            <w:r w:rsidRPr="00BD717F">
              <w:rPr>
                <w:noProof/>
                <w:webHidden/>
              </w:rPr>
              <w:fldChar w:fldCharType="begin"/>
            </w:r>
            <w:r w:rsidR="00BD717F" w:rsidRPr="00BD717F">
              <w:rPr>
                <w:noProof/>
                <w:webHidden/>
              </w:rPr>
              <w:instrText xml:space="preserve"> PAGEREF _Toc391563948 \h </w:instrText>
            </w:r>
            <w:r w:rsidRPr="00BD717F">
              <w:rPr>
                <w:noProof/>
                <w:webHidden/>
              </w:rPr>
            </w:r>
            <w:r w:rsidRPr="00BD717F">
              <w:rPr>
                <w:noProof/>
                <w:webHidden/>
              </w:rPr>
              <w:fldChar w:fldCharType="separate"/>
            </w:r>
            <w:r w:rsidR="00D87C27">
              <w:rPr>
                <w:noProof/>
                <w:webHidden/>
              </w:rPr>
              <w:t>37</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49" w:history="1">
            <w:r w:rsidR="00BD717F" w:rsidRPr="00BD717F">
              <w:rPr>
                <w:rStyle w:val="Hyperlink"/>
              </w:rPr>
              <w:t>9</w:t>
            </w:r>
            <w:r w:rsidR="00BD717F">
              <w:rPr>
                <w:rFonts w:asciiTheme="minorHAnsi" w:eastAsiaTheme="minorEastAsia" w:hAnsiTheme="minorHAnsi"/>
                <w:b w:val="0"/>
                <w:color w:val="auto"/>
                <w:lang w:eastAsia="nl-NL"/>
              </w:rPr>
              <w:t xml:space="preserve"> </w:t>
            </w:r>
            <w:r w:rsidR="00BD717F" w:rsidRPr="00BD717F">
              <w:rPr>
                <w:rStyle w:val="Hyperlink"/>
              </w:rPr>
              <w:t>Maatschappelijke Verslaggeving en de Accountant</w:t>
            </w:r>
            <w:r w:rsidR="00BD717F" w:rsidRPr="00BD717F">
              <w:rPr>
                <w:webHidden/>
              </w:rPr>
              <w:tab/>
            </w:r>
            <w:r w:rsidRPr="00BD717F">
              <w:rPr>
                <w:webHidden/>
              </w:rPr>
              <w:fldChar w:fldCharType="begin"/>
            </w:r>
            <w:r w:rsidR="00BD717F" w:rsidRPr="00BD717F">
              <w:rPr>
                <w:webHidden/>
              </w:rPr>
              <w:instrText xml:space="preserve"> PAGEREF _Toc391563949 \h </w:instrText>
            </w:r>
            <w:r w:rsidRPr="00BD717F">
              <w:rPr>
                <w:webHidden/>
              </w:rPr>
            </w:r>
            <w:r w:rsidRPr="00BD717F">
              <w:rPr>
                <w:webHidden/>
              </w:rPr>
              <w:fldChar w:fldCharType="separate"/>
            </w:r>
            <w:r w:rsidR="00D87C27">
              <w:rPr>
                <w:webHidden/>
              </w:rPr>
              <w:t>39</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50" w:history="1">
            <w:r w:rsidR="00BD717F" w:rsidRPr="00BD717F">
              <w:rPr>
                <w:rStyle w:val="Hyperlink"/>
                <w:noProof/>
              </w:rPr>
              <w:t>9.1 Motivatie om maatschappelijke verslagen extern te controleren</w:t>
            </w:r>
            <w:r w:rsidR="00BD717F" w:rsidRPr="00BD717F">
              <w:rPr>
                <w:noProof/>
                <w:webHidden/>
              </w:rPr>
              <w:tab/>
            </w:r>
            <w:r w:rsidRPr="00BD717F">
              <w:rPr>
                <w:noProof/>
                <w:webHidden/>
              </w:rPr>
              <w:fldChar w:fldCharType="begin"/>
            </w:r>
            <w:r w:rsidR="00BD717F" w:rsidRPr="00BD717F">
              <w:rPr>
                <w:noProof/>
                <w:webHidden/>
              </w:rPr>
              <w:instrText xml:space="preserve"> PAGEREF _Toc391563950 \h </w:instrText>
            </w:r>
            <w:r w:rsidRPr="00BD717F">
              <w:rPr>
                <w:noProof/>
                <w:webHidden/>
              </w:rPr>
            </w:r>
            <w:r w:rsidRPr="00BD717F">
              <w:rPr>
                <w:noProof/>
                <w:webHidden/>
              </w:rPr>
              <w:fldChar w:fldCharType="separate"/>
            </w:r>
            <w:r w:rsidR="00D87C27">
              <w:rPr>
                <w:noProof/>
                <w:webHidden/>
              </w:rPr>
              <w:t>39</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51" w:history="1">
            <w:r w:rsidR="00BD717F" w:rsidRPr="00BD717F">
              <w:rPr>
                <w:rStyle w:val="Hyperlink"/>
                <w:noProof/>
              </w:rPr>
              <w:t>9.2 Verificatie van maatschappelijke verslagen en integrated reports</w:t>
            </w:r>
            <w:r w:rsidR="00BD717F" w:rsidRPr="00BD717F">
              <w:rPr>
                <w:noProof/>
                <w:webHidden/>
              </w:rPr>
              <w:tab/>
            </w:r>
            <w:r w:rsidRPr="00BD717F">
              <w:rPr>
                <w:noProof/>
                <w:webHidden/>
              </w:rPr>
              <w:fldChar w:fldCharType="begin"/>
            </w:r>
            <w:r w:rsidR="00BD717F" w:rsidRPr="00BD717F">
              <w:rPr>
                <w:noProof/>
                <w:webHidden/>
              </w:rPr>
              <w:instrText xml:space="preserve"> PAGEREF _Toc391563951 \h </w:instrText>
            </w:r>
            <w:r w:rsidRPr="00BD717F">
              <w:rPr>
                <w:noProof/>
                <w:webHidden/>
              </w:rPr>
            </w:r>
            <w:r w:rsidRPr="00BD717F">
              <w:rPr>
                <w:noProof/>
                <w:webHidden/>
              </w:rPr>
              <w:fldChar w:fldCharType="separate"/>
            </w:r>
            <w:r w:rsidR="00D87C27">
              <w:rPr>
                <w:noProof/>
                <w:webHidden/>
              </w:rPr>
              <w:t>40</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2" w:history="1">
            <w:r w:rsidR="00BD717F" w:rsidRPr="00BD717F">
              <w:rPr>
                <w:rStyle w:val="Hyperlink"/>
                <w:noProof/>
              </w:rPr>
              <w:t>9.2.1 Standaarden en richtlijnen</w:t>
            </w:r>
            <w:r w:rsidR="00BD717F" w:rsidRPr="00BD717F">
              <w:rPr>
                <w:noProof/>
                <w:webHidden/>
              </w:rPr>
              <w:tab/>
            </w:r>
            <w:r w:rsidRPr="00BD717F">
              <w:rPr>
                <w:noProof/>
                <w:webHidden/>
              </w:rPr>
              <w:fldChar w:fldCharType="begin"/>
            </w:r>
            <w:r w:rsidR="00BD717F" w:rsidRPr="00BD717F">
              <w:rPr>
                <w:noProof/>
                <w:webHidden/>
              </w:rPr>
              <w:instrText xml:space="preserve"> PAGEREF _Toc391563952 \h </w:instrText>
            </w:r>
            <w:r w:rsidRPr="00BD717F">
              <w:rPr>
                <w:noProof/>
                <w:webHidden/>
              </w:rPr>
            </w:r>
            <w:r w:rsidRPr="00BD717F">
              <w:rPr>
                <w:noProof/>
                <w:webHidden/>
              </w:rPr>
              <w:fldChar w:fldCharType="separate"/>
            </w:r>
            <w:r w:rsidR="00D87C27">
              <w:rPr>
                <w:noProof/>
                <w:webHidden/>
              </w:rPr>
              <w:t>40</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3" w:history="1">
            <w:r w:rsidR="00BD717F" w:rsidRPr="00BD717F">
              <w:rPr>
                <w:rStyle w:val="Hyperlink"/>
                <w:noProof/>
              </w:rPr>
              <w:t>9.2.2 Controle bij IR</w:t>
            </w:r>
            <w:r w:rsidR="00BD717F" w:rsidRPr="00BD717F">
              <w:rPr>
                <w:noProof/>
                <w:webHidden/>
              </w:rPr>
              <w:tab/>
            </w:r>
            <w:r w:rsidRPr="00BD717F">
              <w:rPr>
                <w:noProof/>
                <w:webHidden/>
              </w:rPr>
              <w:fldChar w:fldCharType="begin"/>
            </w:r>
            <w:r w:rsidR="00BD717F" w:rsidRPr="00BD717F">
              <w:rPr>
                <w:noProof/>
                <w:webHidden/>
              </w:rPr>
              <w:instrText xml:space="preserve"> PAGEREF _Toc391563953 \h </w:instrText>
            </w:r>
            <w:r w:rsidRPr="00BD717F">
              <w:rPr>
                <w:noProof/>
                <w:webHidden/>
              </w:rPr>
            </w:r>
            <w:r w:rsidRPr="00BD717F">
              <w:rPr>
                <w:noProof/>
                <w:webHidden/>
              </w:rPr>
              <w:fldChar w:fldCharType="separate"/>
            </w:r>
            <w:r w:rsidR="00D87C27">
              <w:rPr>
                <w:noProof/>
                <w:webHidden/>
              </w:rPr>
              <w:t>41</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54" w:history="1">
            <w:r w:rsidR="00BD717F" w:rsidRPr="00BD717F">
              <w:rPr>
                <w:rStyle w:val="Hyperlink"/>
                <w:noProof/>
              </w:rPr>
              <w:t>9.3 Verschillen controle traditioneel verslag en maatschappelijk verslag</w:t>
            </w:r>
            <w:r w:rsidR="00BD717F" w:rsidRPr="00BD717F">
              <w:rPr>
                <w:noProof/>
                <w:webHidden/>
              </w:rPr>
              <w:tab/>
            </w:r>
            <w:r w:rsidRPr="00BD717F">
              <w:rPr>
                <w:noProof/>
                <w:webHidden/>
              </w:rPr>
              <w:fldChar w:fldCharType="begin"/>
            </w:r>
            <w:r w:rsidR="00BD717F" w:rsidRPr="00BD717F">
              <w:rPr>
                <w:noProof/>
                <w:webHidden/>
              </w:rPr>
              <w:instrText xml:space="preserve"> PAGEREF _Toc391563954 \h </w:instrText>
            </w:r>
            <w:r w:rsidRPr="00BD717F">
              <w:rPr>
                <w:noProof/>
                <w:webHidden/>
              </w:rPr>
            </w:r>
            <w:r w:rsidRPr="00BD717F">
              <w:rPr>
                <w:noProof/>
                <w:webHidden/>
              </w:rPr>
              <w:fldChar w:fldCharType="separate"/>
            </w:r>
            <w:r w:rsidR="00D87C27">
              <w:rPr>
                <w:noProof/>
                <w:webHidden/>
              </w:rPr>
              <w:t>41</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5" w:history="1">
            <w:r w:rsidR="00BD717F" w:rsidRPr="00BD717F">
              <w:rPr>
                <w:rStyle w:val="Hyperlink"/>
                <w:noProof/>
              </w:rPr>
              <w:t>9.3.1 Concurrentie</w:t>
            </w:r>
            <w:r w:rsidR="00BD717F" w:rsidRPr="00BD717F">
              <w:rPr>
                <w:noProof/>
                <w:webHidden/>
              </w:rPr>
              <w:tab/>
            </w:r>
            <w:r w:rsidRPr="00BD717F">
              <w:rPr>
                <w:noProof/>
                <w:webHidden/>
              </w:rPr>
              <w:fldChar w:fldCharType="begin"/>
            </w:r>
            <w:r w:rsidR="00BD717F" w:rsidRPr="00BD717F">
              <w:rPr>
                <w:noProof/>
                <w:webHidden/>
              </w:rPr>
              <w:instrText xml:space="preserve"> PAGEREF _Toc391563955 \h </w:instrText>
            </w:r>
            <w:r w:rsidRPr="00BD717F">
              <w:rPr>
                <w:noProof/>
                <w:webHidden/>
              </w:rPr>
            </w:r>
            <w:r w:rsidRPr="00BD717F">
              <w:rPr>
                <w:noProof/>
                <w:webHidden/>
              </w:rPr>
              <w:fldChar w:fldCharType="separate"/>
            </w:r>
            <w:r w:rsidR="00D87C27">
              <w:rPr>
                <w:noProof/>
                <w:webHidden/>
              </w:rPr>
              <w:t>42</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6" w:history="1">
            <w:r w:rsidR="00BD717F" w:rsidRPr="00BD717F">
              <w:rPr>
                <w:rStyle w:val="Hyperlink"/>
                <w:noProof/>
              </w:rPr>
              <w:t>9.3.2 Multidisciplinaire teams</w:t>
            </w:r>
            <w:r w:rsidR="00BD717F" w:rsidRPr="00BD717F">
              <w:rPr>
                <w:noProof/>
                <w:webHidden/>
              </w:rPr>
              <w:tab/>
            </w:r>
            <w:r w:rsidRPr="00BD717F">
              <w:rPr>
                <w:noProof/>
                <w:webHidden/>
              </w:rPr>
              <w:fldChar w:fldCharType="begin"/>
            </w:r>
            <w:r w:rsidR="00BD717F" w:rsidRPr="00BD717F">
              <w:rPr>
                <w:noProof/>
                <w:webHidden/>
              </w:rPr>
              <w:instrText xml:space="preserve"> PAGEREF _Toc391563956 \h </w:instrText>
            </w:r>
            <w:r w:rsidRPr="00BD717F">
              <w:rPr>
                <w:noProof/>
                <w:webHidden/>
              </w:rPr>
            </w:r>
            <w:r w:rsidRPr="00BD717F">
              <w:rPr>
                <w:noProof/>
                <w:webHidden/>
              </w:rPr>
              <w:fldChar w:fldCharType="separate"/>
            </w:r>
            <w:r w:rsidR="00D87C27">
              <w:rPr>
                <w:noProof/>
                <w:webHidden/>
              </w:rPr>
              <w:t>42</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7" w:history="1">
            <w:r w:rsidR="00BD717F" w:rsidRPr="00BD717F">
              <w:rPr>
                <w:rStyle w:val="Hyperlink"/>
                <w:noProof/>
              </w:rPr>
              <w:t>9.3.3 Andere soorten informatie</w:t>
            </w:r>
            <w:r w:rsidR="00BD717F" w:rsidRPr="00BD717F">
              <w:rPr>
                <w:noProof/>
                <w:webHidden/>
              </w:rPr>
              <w:tab/>
            </w:r>
            <w:r w:rsidRPr="00BD717F">
              <w:rPr>
                <w:noProof/>
                <w:webHidden/>
              </w:rPr>
              <w:fldChar w:fldCharType="begin"/>
            </w:r>
            <w:r w:rsidR="00BD717F" w:rsidRPr="00BD717F">
              <w:rPr>
                <w:noProof/>
                <w:webHidden/>
              </w:rPr>
              <w:instrText xml:space="preserve"> PAGEREF _Toc391563957 \h </w:instrText>
            </w:r>
            <w:r w:rsidRPr="00BD717F">
              <w:rPr>
                <w:noProof/>
                <w:webHidden/>
              </w:rPr>
            </w:r>
            <w:r w:rsidRPr="00BD717F">
              <w:rPr>
                <w:noProof/>
                <w:webHidden/>
              </w:rPr>
              <w:fldChar w:fldCharType="separate"/>
            </w:r>
            <w:r w:rsidR="00D87C27">
              <w:rPr>
                <w:noProof/>
                <w:webHidden/>
              </w:rPr>
              <w:t>42</w:t>
            </w:r>
            <w:r w:rsidRPr="00BD717F">
              <w:rPr>
                <w:noProof/>
                <w:webHidden/>
              </w:rPr>
              <w:fldChar w:fldCharType="end"/>
            </w:r>
          </w:hyperlink>
        </w:p>
        <w:p w:rsidR="00BD717F" w:rsidRPr="00BD717F" w:rsidRDefault="00C3187A" w:rsidP="00BD717F">
          <w:pPr>
            <w:pStyle w:val="TOC3"/>
            <w:tabs>
              <w:tab w:val="right" w:leader="dot" w:pos="9062"/>
            </w:tabs>
            <w:spacing w:line="240" w:lineRule="auto"/>
            <w:rPr>
              <w:rFonts w:asciiTheme="minorHAnsi" w:eastAsiaTheme="minorEastAsia" w:hAnsiTheme="minorHAnsi"/>
              <w:noProof/>
              <w:lang w:eastAsia="nl-NL"/>
            </w:rPr>
          </w:pPr>
          <w:hyperlink w:anchor="_Toc391563958" w:history="1">
            <w:r w:rsidR="00BD717F" w:rsidRPr="00BD717F">
              <w:rPr>
                <w:rStyle w:val="Hyperlink"/>
                <w:noProof/>
              </w:rPr>
              <w:t>9.3.3 Relevantie vs. Volledigheid</w:t>
            </w:r>
            <w:r w:rsidR="00BD717F" w:rsidRPr="00BD717F">
              <w:rPr>
                <w:noProof/>
                <w:webHidden/>
              </w:rPr>
              <w:tab/>
            </w:r>
            <w:r w:rsidRPr="00BD717F">
              <w:rPr>
                <w:noProof/>
                <w:webHidden/>
              </w:rPr>
              <w:fldChar w:fldCharType="begin"/>
            </w:r>
            <w:r w:rsidR="00BD717F" w:rsidRPr="00BD717F">
              <w:rPr>
                <w:noProof/>
                <w:webHidden/>
              </w:rPr>
              <w:instrText xml:space="preserve"> PAGEREF _Toc391563958 \h </w:instrText>
            </w:r>
            <w:r w:rsidRPr="00BD717F">
              <w:rPr>
                <w:noProof/>
                <w:webHidden/>
              </w:rPr>
            </w:r>
            <w:r w:rsidRPr="00BD717F">
              <w:rPr>
                <w:noProof/>
                <w:webHidden/>
              </w:rPr>
              <w:fldChar w:fldCharType="separate"/>
            </w:r>
            <w:r w:rsidR="00D87C27">
              <w:rPr>
                <w:noProof/>
                <w:webHidden/>
              </w:rPr>
              <w:t>43</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59" w:history="1">
            <w:r w:rsidR="00BD717F" w:rsidRPr="00BD717F">
              <w:rPr>
                <w:rStyle w:val="Hyperlink"/>
                <w:noProof/>
              </w:rPr>
              <w:t>9.4 Verwachtingskloof</w:t>
            </w:r>
            <w:r w:rsidR="00BD717F" w:rsidRPr="00BD717F">
              <w:rPr>
                <w:noProof/>
                <w:webHidden/>
              </w:rPr>
              <w:tab/>
            </w:r>
            <w:r w:rsidRPr="00BD717F">
              <w:rPr>
                <w:noProof/>
                <w:webHidden/>
              </w:rPr>
              <w:fldChar w:fldCharType="begin"/>
            </w:r>
            <w:r w:rsidR="00BD717F" w:rsidRPr="00BD717F">
              <w:rPr>
                <w:noProof/>
                <w:webHidden/>
              </w:rPr>
              <w:instrText xml:space="preserve"> PAGEREF _Toc391563959 \h </w:instrText>
            </w:r>
            <w:r w:rsidRPr="00BD717F">
              <w:rPr>
                <w:noProof/>
                <w:webHidden/>
              </w:rPr>
            </w:r>
            <w:r w:rsidRPr="00BD717F">
              <w:rPr>
                <w:noProof/>
                <w:webHidden/>
              </w:rPr>
              <w:fldChar w:fldCharType="separate"/>
            </w:r>
            <w:r w:rsidR="00D87C27">
              <w:rPr>
                <w:noProof/>
                <w:webHidden/>
              </w:rPr>
              <w:t>43</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60" w:history="1">
            <w:r w:rsidR="00BD717F" w:rsidRPr="00BD717F">
              <w:rPr>
                <w:rStyle w:val="Hyperlink"/>
                <w:noProof/>
              </w:rPr>
              <w:t>9.5 Samenvatting &amp; beantwoording deelvragen</w:t>
            </w:r>
            <w:r w:rsidR="00BD717F" w:rsidRPr="00BD717F">
              <w:rPr>
                <w:noProof/>
                <w:webHidden/>
              </w:rPr>
              <w:tab/>
            </w:r>
            <w:r w:rsidRPr="00BD717F">
              <w:rPr>
                <w:noProof/>
                <w:webHidden/>
              </w:rPr>
              <w:fldChar w:fldCharType="begin"/>
            </w:r>
            <w:r w:rsidR="00BD717F" w:rsidRPr="00BD717F">
              <w:rPr>
                <w:noProof/>
                <w:webHidden/>
              </w:rPr>
              <w:instrText xml:space="preserve"> PAGEREF _Toc391563960 \h </w:instrText>
            </w:r>
            <w:r w:rsidRPr="00BD717F">
              <w:rPr>
                <w:noProof/>
                <w:webHidden/>
              </w:rPr>
            </w:r>
            <w:r w:rsidRPr="00BD717F">
              <w:rPr>
                <w:noProof/>
                <w:webHidden/>
              </w:rPr>
              <w:fldChar w:fldCharType="separate"/>
            </w:r>
            <w:r w:rsidR="00D87C27">
              <w:rPr>
                <w:noProof/>
                <w:webHidden/>
              </w:rPr>
              <w:t>44</w:t>
            </w:r>
            <w:r w:rsidRPr="00BD717F">
              <w:rPr>
                <w:noProof/>
                <w:webHidden/>
              </w:rPr>
              <w:fldChar w:fldCharType="end"/>
            </w:r>
          </w:hyperlink>
        </w:p>
        <w:p w:rsidR="00BD717F" w:rsidRPr="00BD717F" w:rsidRDefault="00C3187A" w:rsidP="00BD717F">
          <w:pPr>
            <w:pStyle w:val="TOC1"/>
            <w:spacing w:line="240" w:lineRule="auto"/>
            <w:rPr>
              <w:rFonts w:asciiTheme="minorHAnsi" w:eastAsiaTheme="minorEastAsia" w:hAnsiTheme="minorHAnsi"/>
              <w:b w:val="0"/>
              <w:color w:val="auto"/>
              <w:lang w:eastAsia="nl-NL"/>
            </w:rPr>
          </w:pPr>
          <w:hyperlink w:anchor="_Toc391563961" w:history="1">
            <w:r w:rsidR="00BD717F" w:rsidRPr="00BD717F">
              <w:rPr>
                <w:rStyle w:val="Hyperlink"/>
              </w:rPr>
              <w:t>10</w:t>
            </w:r>
            <w:r w:rsidR="00BD717F">
              <w:rPr>
                <w:rFonts w:asciiTheme="minorHAnsi" w:eastAsiaTheme="minorEastAsia" w:hAnsiTheme="minorHAnsi"/>
                <w:b w:val="0"/>
                <w:color w:val="auto"/>
                <w:lang w:eastAsia="nl-NL"/>
              </w:rPr>
              <w:t xml:space="preserve"> </w:t>
            </w:r>
            <w:r w:rsidR="00BD717F" w:rsidRPr="00BD717F">
              <w:rPr>
                <w:rStyle w:val="Hyperlink"/>
              </w:rPr>
              <w:t>Conclusie</w:t>
            </w:r>
            <w:r w:rsidR="00BD717F" w:rsidRPr="00BD717F">
              <w:rPr>
                <w:webHidden/>
              </w:rPr>
              <w:tab/>
            </w:r>
            <w:r w:rsidRPr="00BD717F">
              <w:rPr>
                <w:webHidden/>
              </w:rPr>
              <w:fldChar w:fldCharType="begin"/>
            </w:r>
            <w:r w:rsidR="00BD717F" w:rsidRPr="00BD717F">
              <w:rPr>
                <w:webHidden/>
              </w:rPr>
              <w:instrText xml:space="preserve"> PAGEREF _Toc391563961 \h </w:instrText>
            </w:r>
            <w:r w:rsidRPr="00BD717F">
              <w:rPr>
                <w:webHidden/>
              </w:rPr>
            </w:r>
            <w:r w:rsidRPr="00BD717F">
              <w:rPr>
                <w:webHidden/>
              </w:rPr>
              <w:fldChar w:fldCharType="separate"/>
            </w:r>
            <w:r w:rsidR="00D87C27">
              <w:rPr>
                <w:webHidden/>
              </w:rPr>
              <w:t>45</w:t>
            </w:r>
            <w:r w:rsidRPr="00BD717F">
              <w:rPr>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62" w:history="1">
            <w:r w:rsidR="00BD717F" w:rsidRPr="00BD717F">
              <w:rPr>
                <w:rStyle w:val="Hyperlink"/>
                <w:noProof/>
              </w:rPr>
              <w:t>10.1 Samenvatting</w:t>
            </w:r>
            <w:r w:rsidR="00BD717F" w:rsidRPr="00BD717F">
              <w:rPr>
                <w:noProof/>
                <w:webHidden/>
              </w:rPr>
              <w:tab/>
            </w:r>
            <w:r w:rsidRPr="00BD717F">
              <w:rPr>
                <w:noProof/>
                <w:webHidden/>
              </w:rPr>
              <w:fldChar w:fldCharType="begin"/>
            </w:r>
            <w:r w:rsidR="00BD717F" w:rsidRPr="00BD717F">
              <w:rPr>
                <w:noProof/>
                <w:webHidden/>
              </w:rPr>
              <w:instrText xml:space="preserve"> PAGEREF _Toc391563962 \h </w:instrText>
            </w:r>
            <w:r w:rsidRPr="00BD717F">
              <w:rPr>
                <w:noProof/>
                <w:webHidden/>
              </w:rPr>
            </w:r>
            <w:r w:rsidRPr="00BD717F">
              <w:rPr>
                <w:noProof/>
                <w:webHidden/>
              </w:rPr>
              <w:fldChar w:fldCharType="separate"/>
            </w:r>
            <w:r w:rsidR="00D87C27">
              <w:rPr>
                <w:noProof/>
                <w:webHidden/>
              </w:rPr>
              <w:t>45</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63" w:history="1">
            <w:r w:rsidR="00BD717F" w:rsidRPr="00BD717F">
              <w:rPr>
                <w:rStyle w:val="Hyperlink"/>
                <w:noProof/>
              </w:rPr>
              <w:t>10.2 Beantwoording hoofdvraag</w:t>
            </w:r>
            <w:r w:rsidR="00BD717F" w:rsidRPr="00BD717F">
              <w:rPr>
                <w:noProof/>
                <w:webHidden/>
              </w:rPr>
              <w:tab/>
            </w:r>
            <w:r w:rsidRPr="00BD717F">
              <w:rPr>
                <w:noProof/>
                <w:webHidden/>
              </w:rPr>
              <w:fldChar w:fldCharType="begin"/>
            </w:r>
            <w:r w:rsidR="00BD717F" w:rsidRPr="00BD717F">
              <w:rPr>
                <w:noProof/>
                <w:webHidden/>
              </w:rPr>
              <w:instrText xml:space="preserve"> PAGEREF _Toc391563963 \h </w:instrText>
            </w:r>
            <w:r w:rsidRPr="00BD717F">
              <w:rPr>
                <w:noProof/>
                <w:webHidden/>
              </w:rPr>
            </w:r>
            <w:r w:rsidRPr="00BD717F">
              <w:rPr>
                <w:noProof/>
                <w:webHidden/>
              </w:rPr>
              <w:fldChar w:fldCharType="separate"/>
            </w:r>
            <w:r w:rsidR="00D87C27">
              <w:rPr>
                <w:noProof/>
                <w:webHidden/>
              </w:rPr>
              <w:t>46</w:t>
            </w:r>
            <w:r w:rsidRPr="00BD717F">
              <w:rPr>
                <w:noProof/>
                <w:webHidden/>
              </w:rPr>
              <w:fldChar w:fldCharType="end"/>
            </w:r>
          </w:hyperlink>
        </w:p>
        <w:p w:rsidR="00BD717F" w:rsidRPr="00BD717F" w:rsidRDefault="00C3187A" w:rsidP="00BD717F">
          <w:pPr>
            <w:pStyle w:val="TOC2"/>
            <w:spacing w:line="240" w:lineRule="auto"/>
            <w:rPr>
              <w:rFonts w:asciiTheme="minorHAnsi" w:eastAsiaTheme="minorEastAsia" w:hAnsiTheme="minorHAnsi"/>
              <w:noProof/>
              <w:lang w:eastAsia="nl-NL"/>
            </w:rPr>
          </w:pPr>
          <w:hyperlink w:anchor="_Toc391563964" w:history="1">
            <w:r w:rsidR="00BD717F" w:rsidRPr="00BD717F">
              <w:rPr>
                <w:rStyle w:val="Hyperlink"/>
                <w:noProof/>
              </w:rPr>
              <w:t>10.3 Vervolgonderzoek</w:t>
            </w:r>
            <w:r w:rsidR="00BD717F" w:rsidRPr="00BD717F">
              <w:rPr>
                <w:noProof/>
                <w:webHidden/>
              </w:rPr>
              <w:tab/>
            </w:r>
            <w:r w:rsidRPr="00BD717F">
              <w:rPr>
                <w:noProof/>
                <w:webHidden/>
              </w:rPr>
              <w:fldChar w:fldCharType="begin"/>
            </w:r>
            <w:r w:rsidR="00BD717F" w:rsidRPr="00BD717F">
              <w:rPr>
                <w:noProof/>
                <w:webHidden/>
              </w:rPr>
              <w:instrText xml:space="preserve"> PAGEREF _Toc391563964 \h </w:instrText>
            </w:r>
            <w:r w:rsidRPr="00BD717F">
              <w:rPr>
                <w:noProof/>
                <w:webHidden/>
              </w:rPr>
            </w:r>
            <w:r w:rsidRPr="00BD717F">
              <w:rPr>
                <w:noProof/>
                <w:webHidden/>
              </w:rPr>
              <w:fldChar w:fldCharType="separate"/>
            </w:r>
            <w:r w:rsidR="00D87C27">
              <w:rPr>
                <w:noProof/>
                <w:webHidden/>
              </w:rPr>
              <w:t>47</w:t>
            </w:r>
            <w:r w:rsidRPr="00BD717F">
              <w:rPr>
                <w:noProof/>
                <w:webHidden/>
              </w:rPr>
              <w:fldChar w:fldCharType="end"/>
            </w:r>
          </w:hyperlink>
        </w:p>
        <w:p w:rsidR="00BD717F" w:rsidRDefault="00C3187A" w:rsidP="00BD717F">
          <w:pPr>
            <w:pStyle w:val="TOC1"/>
            <w:spacing w:line="240" w:lineRule="auto"/>
            <w:rPr>
              <w:rFonts w:asciiTheme="minorHAnsi" w:eastAsiaTheme="minorEastAsia" w:hAnsiTheme="minorHAnsi"/>
              <w:b w:val="0"/>
              <w:color w:val="auto"/>
              <w:lang w:eastAsia="nl-NL"/>
            </w:rPr>
          </w:pPr>
          <w:hyperlink w:anchor="_Toc391563965" w:history="1">
            <w:r w:rsidR="00BD717F" w:rsidRPr="00BD717F">
              <w:rPr>
                <w:rStyle w:val="Hyperlink"/>
                <w:lang w:val="en-GB"/>
              </w:rPr>
              <w:t>Bibliografie</w:t>
            </w:r>
            <w:r w:rsidR="00BD717F" w:rsidRPr="00BD717F">
              <w:rPr>
                <w:webHidden/>
              </w:rPr>
              <w:tab/>
            </w:r>
            <w:r w:rsidRPr="00BD717F">
              <w:rPr>
                <w:webHidden/>
              </w:rPr>
              <w:fldChar w:fldCharType="begin"/>
            </w:r>
            <w:r w:rsidR="00BD717F" w:rsidRPr="00BD717F">
              <w:rPr>
                <w:webHidden/>
              </w:rPr>
              <w:instrText xml:space="preserve"> PAGEREF _Toc391563965 \h </w:instrText>
            </w:r>
            <w:r w:rsidRPr="00BD717F">
              <w:rPr>
                <w:webHidden/>
              </w:rPr>
            </w:r>
            <w:r w:rsidRPr="00BD717F">
              <w:rPr>
                <w:webHidden/>
              </w:rPr>
              <w:fldChar w:fldCharType="separate"/>
            </w:r>
            <w:r w:rsidR="00D87C27">
              <w:rPr>
                <w:webHidden/>
              </w:rPr>
              <w:t>48</w:t>
            </w:r>
            <w:r w:rsidRPr="00BD717F">
              <w:rPr>
                <w:webHidden/>
              </w:rPr>
              <w:fldChar w:fldCharType="end"/>
            </w:r>
          </w:hyperlink>
        </w:p>
        <w:p w:rsidR="00380155" w:rsidRPr="007B0C1C" w:rsidRDefault="00C3187A" w:rsidP="00BE7102">
          <w:pPr>
            <w:rPr>
              <w:szCs w:val="20"/>
            </w:rPr>
          </w:pPr>
          <w:r w:rsidRPr="000B623B">
            <w:rPr>
              <w:b/>
              <w:bCs/>
              <w:szCs w:val="20"/>
            </w:rPr>
            <w:fldChar w:fldCharType="end"/>
          </w:r>
          <w:r w:rsidR="00380155" w:rsidRPr="000B623B">
            <w:rPr>
              <w:szCs w:val="20"/>
            </w:rPr>
            <w:br w:type="page"/>
          </w:r>
        </w:p>
      </w:sdtContent>
    </w:sdt>
    <w:p w:rsidR="00380155" w:rsidRPr="00B238A5" w:rsidRDefault="00380155" w:rsidP="00BE7102">
      <w:pPr>
        <w:pStyle w:val="Heading1"/>
        <w:numPr>
          <w:ilvl w:val="0"/>
          <w:numId w:val="17"/>
        </w:numPr>
        <w:rPr>
          <w:sz w:val="96"/>
          <w:szCs w:val="96"/>
        </w:rPr>
      </w:pPr>
      <w:bookmarkStart w:id="1" w:name="_Toc391563904"/>
      <w:r w:rsidRPr="00B238A5">
        <w:lastRenderedPageBreak/>
        <w:t>Inleiding</w:t>
      </w:r>
      <w:bookmarkEnd w:id="1"/>
    </w:p>
    <w:p w:rsidR="00380155" w:rsidRPr="00B238A5" w:rsidRDefault="00380155" w:rsidP="001D2FD3">
      <w:pPr>
        <w:rPr>
          <w:b/>
          <w:sz w:val="96"/>
          <w:szCs w:val="96"/>
        </w:rPr>
      </w:pPr>
      <w:r w:rsidRPr="00B238A5">
        <w:t>27 maart 2014 is in het Financieel Dagblad te lezen dat ExxonMobil door haar aandeelhouders is aangedrongen op het vrijgeven van klimaatrisico’s</w:t>
      </w:r>
      <w:r w:rsidR="006415BE">
        <w:t xml:space="preserve"> (Broekhuizen, 2014)</w:t>
      </w:r>
      <w:r w:rsidRPr="00B238A5">
        <w:t>. ExxonMobil heeft er mee ingestemd op de website openbaar te maken hoe wordt omgegaan met de klimaatrisico’s. Door de toezegging van ExxonMobil wordt bevestigd dat klimaatrisico’s en de effecten hiervan niet</w:t>
      </w:r>
      <w:r w:rsidR="006C7FD4">
        <w:t xml:space="preserve"> langer genegeerd kunnen worden</w:t>
      </w:r>
      <w:r w:rsidR="00362B67">
        <w:t xml:space="preserve"> (Broekhuizen, 2014)</w:t>
      </w:r>
      <w:r w:rsidRPr="00B238A5">
        <w:t>. Uit dit nieuwsbericht komt naar voren dat er een grote noodzaak is voor het vrijgeven van andere dan f</w:t>
      </w:r>
      <w:r w:rsidR="006025CC">
        <w:t>inanciële informatie. Naast de traditionele</w:t>
      </w:r>
      <w:r w:rsidRPr="00B238A5">
        <w:t xml:space="preserve"> financiële verslaggeving, spelen er andere zaken zoals bovenstaande klimaatrisico’s een belangrijke rol bij de prestaties van de onderneming. Er is een duidelijke verschuiving waar te nemen in de informatiebehoefte van de gebruikers van de jaarrekening. Waar vroeger voldaan kon worden met alleen financiële informatie, is er nu een steeds groter wordende vraag naar niet-financiële informatie. De verschuiving in de informatiebehoefte heeft geleidt tot twee zichtbare gevolgen gerelateerd aan de jaarrekening. Als eerste maatschappel</w:t>
      </w:r>
      <w:r w:rsidR="00571DAB">
        <w:t>ijke verslaggeving en daarnaast integrated reporting (hierna IR)</w:t>
      </w:r>
      <w:r w:rsidR="00E76762">
        <w:t xml:space="preserve"> (Böhmer, Hoogendoorn &amp; Kruit, 2013)</w:t>
      </w:r>
      <w:r w:rsidRPr="00B238A5">
        <w:t xml:space="preserve">. </w:t>
      </w:r>
    </w:p>
    <w:p w:rsidR="00380155" w:rsidRPr="00B238A5" w:rsidRDefault="00380155" w:rsidP="001D2FD3">
      <w:r w:rsidRPr="00B238A5">
        <w:t xml:space="preserve">Maatschappelijk Verantwoord Ondernemen (hierna MVO) draagt ook bij aan de toenemende hoeveelheid vrijgegeven niet-financiële informatie. Bij MVO gaat het er om dat er naast economische verantwoordelijkheden ook invulling wordt gegeven aan milieu en sociale-verantwoordelijkheden van de onderneming. Transparantie is bij MVO van groot belang, en de overheid adviseert ondernemingen dan ook om open te zijn over hun MVO-beleid en activiteiten. De toenemende mate van MVO zorgt voor een toenemende hoeveelheid niet-financiële informatie die naar buiten wordt gebracht. Dit kan in de vorm van een opzichzelfstaand maatschappelijk verslag, in het huidige financiële verslag, of in het opkomende geïntegreerde verslag. In het geïntegreerde verslag worden financiële en niet-financiële informatie gecombineerd. </w:t>
      </w:r>
    </w:p>
    <w:p w:rsidR="00380155" w:rsidRPr="00B238A5" w:rsidRDefault="00380155" w:rsidP="001D2FD3">
      <w:r w:rsidRPr="00B238A5">
        <w:t>Voor de financiële jaarverslaggeving is een onafhankelijke controle een normale gang van zaken. De behoefte aan een onafhankelijke controle van financiële informatie, denk aan de jaarrekening, komt voort uit verschijnselen als “</w:t>
      </w:r>
      <w:r w:rsidR="00642D9A">
        <w:t>belangentegenstellingen</w:t>
      </w:r>
      <w:r w:rsidRPr="00B238A5">
        <w:t>” en “informatieasymmetrie”</w:t>
      </w:r>
      <w:r w:rsidR="00D4725B">
        <w:t xml:space="preserve"> (Wallage, 2000)</w:t>
      </w:r>
      <w:r w:rsidRPr="00B238A5">
        <w:t xml:space="preserve">. </w:t>
      </w:r>
      <w:r w:rsidR="00DA320D">
        <w:t xml:space="preserve">Naast het feit </w:t>
      </w:r>
      <w:r w:rsidRPr="00B238A5">
        <w:t xml:space="preserve">dat de stakeholders van ondernemingen steeds meer transparantie en verantwoording willen over niet-financiële </w:t>
      </w:r>
      <w:r w:rsidR="00DA320D">
        <w:t>informatie, willen de</w:t>
      </w:r>
      <w:r w:rsidRPr="00B238A5">
        <w:t xml:space="preserve"> stakeholders ook zekerheid over deze niet-financiële informatie. Als het gaat om het verstrekken van deze zekerheid kan men zich wenden tot een accountant. Echter</w:t>
      </w:r>
      <w:r w:rsidR="006C7FD4">
        <w:t>,</w:t>
      </w:r>
      <w:r w:rsidRPr="00B238A5">
        <w:t xml:space="preserve"> in tegenstelling tot financiële verslaggeving</w:t>
      </w:r>
      <w:r w:rsidR="006C7FD4">
        <w:t xml:space="preserve"> zij</w:t>
      </w:r>
      <w:r w:rsidR="0011241D">
        <w:t>n</w:t>
      </w:r>
      <w:r w:rsidR="006C7FD4">
        <w:t xml:space="preserve"> er</w:t>
      </w:r>
      <w:r w:rsidRPr="00B238A5">
        <w:t xml:space="preserve"> punten </w:t>
      </w:r>
      <w:r w:rsidR="0011241D">
        <w:t xml:space="preserve">die de controle van niet-financiële informatie lastig maken. </w:t>
      </w:r>
      <w:r w:rsidRPr="00B238A5">
        <w:t xml:space="preserve"> Een van deze punten is dat niet-financiële informatie vaak per organisatie verschilt</w:t>
      </w:r>
      <w:r w:rsidR="009E6BD8">
        <w:t xml:space="preserve"> (van Kuij</w:t>
      </w:r>
      <w:r w:rsidR="00E478B1">
        <w:t>c</w:t>
      </w:r>
      <w:r w:rsidR="009E6BD8">
        <w:t>k &amp; Leus, 2010)</w:t>
      </w:r>
      <w:r w:rsidRPr="00B238A5">
        <w:t xml:space="preserve">. Hierdoor kunnen er moeilijkheden ontstaan bij de verificatie van deze niet-financiële informatie in maatschappelijke verslagen </w:t>
      </w:r>
      <w:r w:rsidR="00642D9A">
        <w:t>of geïntegreerde jaarrekeningen</w:t>
      </w:r>
      <w:r w:rsidRPr="00B238A5">
        <w:t>. Omdat deze verificatie erg lastig is, wordt er veel kritiek geuit op assurance van maatschappelijke verslagen of geïntegreerde jaarrekeningen. De verklaringen zouden nietszeg</w:t>
      </w:r>
      <w:r w:rsidR="0011241D">
        <w:t>g</w:t>
      </w:r>
      <w:r w:rsidRPr="00B238A5">
        <w:t>end zijn en ook het onderzoek wat gedaan wordt zou niet diepgaand genoeg zijn</w:t>
      </w:r>
      <w:r w:rsidR="009E6BD8">
        <w:t xml:space="preserve"> (van Bergen, 2011)</w:t>
      </w:r>
      <w:r w:rsidRPr="00B238A5">
        <w:t xml:space="preserve">. Waar de controle op financiële </w:t>
      </w:r>
      <w:r w:rsidRPr="00B238A5">
        <w:lastRenderedPageBreak/>
        <w:t xml:space="preserve">verslaggeving neer kwam op het controleren van de cijfers, moet voor de controle van niet-financiële informatie heel anders naar de onderneming worden gekeken en moet de accountant naast zijn eigen specialisme, ook over kennis beschikken buiten zijn of haar vakgebied. </w:t>
      </w:r>
    </w:p>
    <w:p w:rsidR="00380155" w:rsidRPr="00B238A5" w:rsidRDefault="00380155" w:rsidP="00BE7102">
      <w:r w:rsidRPr="00B238A5">
        <w:t xml:space="preserve">De onderzoeksvraag die hier logisch uit voort komt luidt dan ook: </w:t>
      </w:r>
      <w:r w:rsidRPr="00B238A5">
        <w:rPr>
          <w:i/>
        </w:rPr>
        <w:t xml:space="preserve">“Welke invloed heeft de toenemende mate van maatschappelijke verslaggeving en </w:t>
      </w:r>
      <w:r w:rsidR="00571DAB">
        <w:rPr>
          <w:i/>
        </w:rPr>
        <w:t>IR</w:t>
      </w:r>
      <w:r w:rsidRPr="00B238A5">
        <w:rPr>
          <w:i/>
        </w:rPr>
        <w:t xml:space="preserve"> op de rol van de accountant?”</w:t>
      </w:r>
    </w:p>
    <w:p w:rsidR="00380155" w:rsidRDefault="00380155" w:rsidP="00BE7102">
      <w:r w:rsidRPr="00B238A5">
        <w:t xml:space="preserve">Teneinde de voorgaande onderzoeksvraag te beantwoorden, worden in dit onderzoek de volgende deelvragen beantwoord: </w:t>
      </w:r>
    </w:p>
    <w:p w:rsidR="00DA320D" w:rsidRPr="00B238A5" w:rsidRDefault="00DA320D" w:rsidP="00BE7102">
      <w:pPr>
        <w:pStyle w:val="ListParagraph"/>
        <w:numPr>
          <w:ilvl w:val="0"/>
          <w:numId w:val="1"/>
        </w:numPr>
      </w:pPr>
      <w:r w:rsidRPr="00B238A5">
        <w:t xml:space="preserve">Wat is in het algemeen de rol van de accountant? </w:t>
      </w:r>
    </w:p>
    <w:p w:rsidR="00380155" w:rsidRPr="00B238A5" w:rsidRDefault="00380155" w:rsidP="00BE7102">
      <w:pPr>
        <w:pStyle w:val="ListParagraph"/>
        <w:numPr>
          <w:ilvl w:val="0"/>
          <w:numId w:val="1"/>
        </w:numPr>
      </w:pPr>
      <w:r w:rsidRPr="00B238A5">
        <w:t xml:space="preserve">Wat zijn de redenen voor niet-financiële informatie in de jaarrekening? </w:t>
      </w:r>
    </w:p>
    <w:p w:rsidR="00380155" w:rsidRPr="00B238A5" w:rsidRDefault="00380155" w:rsidP="00BE7102">
      <w:pPr>
        <w:pStyle w:val="ListParagraph"/>
        <w:numPr>
          <w:ilvl w:val="0"/>
          <w:numId w:val="1"/>
        </w:numPr>
      </w:pPr>
      <w:r w:rsidRPr="00B238A5">
        <w:t xml:space="preserve">Wat is maatschappelijk verantwoord ondernemen en wat is de relatie met </w:t>
      </w:r>
      <w:r w:rsidR="0011241D">
        <w:t>niet-financiële informatieverstrekking?</w:t>
      </w:r>
    </w:p>
    <w:p w:rsidR="007D6552" w:rsidRPr="00B238A5" w:rsidRDefault="007D6552" w:rsidP="00BE7102">
      <w:pPr>
        <w:pStyle w:val="ListParagraph"/>
        <w:numPr>
          <w:ilvl w:val="0"/>
          <w:numId w:val="1"/>
        </w:numPr>
      </w:pPr>
      <w:r w:rsidRPr="00B238A5">
        <w:t xml:space="preserve">Wat is maatschappelijke verslaggeving en </w:t>
      </w:r>
      <w:r w:rsidR="00571DAB">
        <w:t>integrated reporting</w:t>
      </w:r>
      <w:r w:rsidRPr="00B238A5">
        <w:t xml:space="preserve">? </w:t>
      </w:r>
    </w:p>
    <w:p w:rsidR="00380155" w:rsidRPr="00B238A5" w:rsidRDefault="00380155" w:rsidP="00BE7102">
      <w:pPr>
        <w:pStyle w:val="ListParagraph"/>
        <w:numPr>
          <w:ilvl w:val="0"/>
          <w:numId w:val="1"/>
        </w:numPr>
      </w:pPr>
      <w:r w:rsidRPr="00B238A5">
        <w:t xml:space="preserve">Wat is de regelgeving met betrekking tot maatschappelijke verslaggeving en </w:t>
      </w:r>
      <w:r w:rsidR="00571DAB">
        <w:t>intergrated reporting</w:t>
      </w:r>
      <w:r w:rsidRPr="00B238A5">
        <w:t xml:space="preserve">? </w:t>
      </w:r>
    </w:p>
    <w:p w:rsidR="00380155" w:rsidRPr="00B238A5" w:rsidRDefault="00380155" w:rsidP="00DA320D">
      <w:pPr>
        <w:pStyle w:val="ListParagraph"/>
        <w:numPr>
          <w:ilvl w:val="0"/>
          <w:numId w:val="1"/>
        </w:numPr>
      </w:pPr>
      <w:r w:rsidRPr="00B238A5">
        <w:t>Welke redenen hebben ondernemingen om hun maatschappelijke verslagen extern te laten controleren?</w:t>
      </w:r>
    </w:p>
    <w:p w:rsidR="00380155" w:rsidRPr="00B238A5" w:rsidRDefault="00380155" w:rsidP="00BE7102">
      <w:pPr>
        <w:pStyle w:val="ListParagraph"/>
        <w:numPr>
          <w:ilvl w:val="0"/>
          <w:numId w:val="1"/>
        </w:numPr>
      </w:pPr>
      <w:r w:rsidRPr="00B238A5">
        <w:t xml:space="preserve">Wat is de taak van de accountant met betrekking tot de verificatie van niet-financiële informatie? </w:t>
      </w:r>
    </w:p>
    <w:p w:rsidR="00380155" w:rsidRPr="00B238A5" w:rsidRDefault="00380155" w:rsidP="00BE7102">
      <w:pPr>
        <w:pStyle w:val="Heading2"/>
      </w:pPr>
      <w:bookmarkStart w:id="2" w:name="_Toc388855212"/>
      <w:bookmarkStart w:id="3" w:name="_Toc390172016"/>
      <w:bookmarkStart w:id="4" w:name="_Toc391563905"/>
      <w:r w:rsidRPr="00B238A5">
        <w:t>Relevantie</w:t>
      </w:r>
      <w:bookmarkEnd w:id="2"/>
      <w:bookmarkEnd w:id="3"/>
      <w:bookmarkEnd w:id="4"/>
    </w:p>
    <w:p w:rsidR="00380155" w:rsidRPr="00B238A5" w:rsidRDefault="00380155" w:rsidP="001D2FD3">
      <w:r w:rsidRPr="00B238A5">
        <w:t xml:space="preserve">Maatschappelijke verslaggeving neemt vandaag de dag een steeds grotere rol in. Steeds meer ondernemingen nemen de stap om naast de financiële informatie ook niet-financiële informatie te presenteren aan de gebruikers van de jaarrekening. Dit maakt het een relevant onderwerp tot onderzoek. Dat maatschappelijke verslaggeving waarde toevoegt is al meerdere malen onderzocht, en daarom zal dit onderzoek daar dan ook niet op in gaan. De rol van de accountant is in de huidige maatschappij van groot belang. Stakeholders willen meer zekerheid over de informatie die de onderneming naar buiten brengt.  Omdat deze informatie nu wordt uitgebreid met niet-financiële informatie zal de taak van de accountant ook worden uitgebreid. Relevant onderwerp tot onderzoek is dan ook hoe deze maatschappelijke verslaggeving de rol van de accountant beïnvloed en of dit ook moeilijkheden met zich mee brengt. </w:t>
      </w:r>
      <w:r w:rsidR="006025CC">
        <w:t>In 2010 is zowel bij BP als bij Shell een verklaring afgegeven voor het duurzaamheidsverslag. Vlak daarna hebben schokkende gebeurtenissen plaatsgevonden, die niet in het verslag waren vermeld</w:t>
      </w:r>
      <w:r w:rsidR="00DA320D">
        <w:t xml:space="preserve"> (van Bergen, 2011)</w:t>
      </w:r>
      <w:r w:rsidR="006025CC">
        <w:t xml:space="preserve">. </w:t>
      </w:r>
      <w:r w:rsidRPr="00B238A5">
        <w:t xml:space="preserve">Dit laat zien dat het nog niet zo vanzelfsprekend is dat de accountant een verklaring af kan geven voor maatschappelijke verslagen. Dit onderwerp vindt aansluiting met externe verslaggeving omdat de huidige jaarrekening meestal gepaard gaan met een maatschappelijk verslag, en soms zelfs wordt gekozen voor een geïntegreerd verslag. In de toekomst zal de nadruk dan ook steeds meer komen te liggen op niet-financiële informatie, waardoor het goed is om te onderzoeken wat dit zal betekenen voor het accountantsberoep. </w:t>
      </w:r>
    </w:p>
    <w:p w:rsidR="00380155" w:rsidRDefault="00380155" w:rsidP="00BE7102">
      <w:pPr>
        <w:pStyle w:val="Heading2"/>
      </w:pPr>
      <w:bookmarkStart w:id="5" w:name="_Toc388855214"/>
      <w:bookmarkStart w:id="6" w:name="_Toc390172017"/>
      <w:bookmarkStart w:id="7" w:name="_Toc391563906"/>
      <w:r w:rsidRPr="00B238A5">
        <w:lastRenderedPageBreak/>
        <w:t>Opbouw scriptie</w:t>
      </w:r>
      <w:bookmarkEnd w:id="5"/>
      <w:bookmarkEnd w:id="6"/>
      <w:bookmarkEnd w:id="7"/>
    </w:p>
    <w:p w:rsidR="0011241D" w:rsidRPr="0011241D" w:rsidRDefault="00DA320D" w:rsidP="0011241D">
      <w:r>
        <w:t xml:space="preserve">In hoofdstuk twee bevindt zich allereest een uiteenzetting en verantwoording van de onderzoeksmethode die in dit onderzoek gebruikt zal worden. </w:t>
      </w:r>
      <w:r w:rsidR="0011241D">
        <w:t>Het derde hoofdstuk beschrijft de</w:t>
      </w:r>
      <w:r w:rsidR="008C685C">
        <w:t xml:space="preserve"> in dit onderzoek gebruikte</w:t>
      </w:r>
      <w:r w:rsidR="0011241D">
        <w:t xml:space="preserve"> theorieën  waar meermaals naar verwezen zal worden</w:t>
      </w:r>
      <w:r w:rsidR="008C685C">
        <w:t xml:space="preserve"> in het vervolg van het onderzoek</w:t>
      </w:r>
      <w:r w:rsidR="0011241D">
        <w:t>. Hoofdstuk vier van de scriptie beschrijft het accountantsberoep, zowel vanuit de theorie als vanuit de werkzaamheden van de accountant in de praktijk. De betekenis van niet-financiële informatie en de toenemende vraag n</w:t>
      </w:r>
      <w:r>
        <w:t>a</w:t>
      </w:r>
      <w:r w:rsidR="0011241D">
        <w:t xml:space="preserve">ar niet-financiële informatie komt aan bod in hoofdstuk 5. Daarna zal hoofdstuk zes worden gewijd aan het begrip MVO. MVO ligt ten grondslagen aan maatschappelijke verslaggeving en is een van de meest voorkomende onderwerpen van het maatschappelijk verslag. Het zevende hoofdstuk zal voornamelijk gericht zijn op het maatschappelijke verslag en integrated reporting. Dit hoofdstuk zal de begrippen verduidelijken en motivaties voor deze vormen van verslaggeving omschrijven. Hoofdstuk acht </w:t>
      </w:r>
      <w:r>
        <w:t>vorm</w:t>
      </w:r>
      <w:r w:rsidR="0011241D">
        <w:t xml:space="preserve">t een vervolg op het voorgaande hoofdstuk. Dit hoofdstuk belicht de begrippen maatschappelijke verslaggeving en integrated reporting vanuit het </w:t>
      </w:r>
      <w:r w:rsidR="00D923DF">
        <w:t xml:space="preserve">perspectief van regel- en wetgeving. Het negende hoofdstuk tracht een verband te leggen tussen de werkzaamheden van de accountant en het maatschappelijk verslag of integrated report. Dit verband wordt gelegd om uiteindelijk in het tiende en laatste hoofdstuk van deze scriptie te komen tot een antwoord op de eerder genoemde hoofdvraag. </w:t>
      </w:r>
    </w:p>
    <w:p w:rsidR="007473CE" w:rsidRPr="00B238A5" w:rsidRDefault="007473CE" w:rsidP="007473CE"/>
    <w:p w:rsidR="007473CE" w:rsidRPr="00B238A5" w:rsidRDefault="007473CE" w:rsidP="007473CE">
      <w:pPr>
        <w:rPr>
          <w:b/>
          <w:sz w:val="48"/>
          <w:szCs w:val="48"/>
        </w:rPr>
      </w:pPr>
      <w:r w:rsidRPr="00B238A5">
        <w:rPr>
          <w:b/>
          <w:sz w:val="48"/>
          <w:szCs w:val="48"/>
        </w:rPr>
        <w:br w:type="page"/>
      </w:r>
    </w:p>
    <w:p w:rsidR="007473CE" w:rsidRPr="00B238A5" w:rsidRDefault="007473CE" w:rsidP="007473CE">
      <w:pPr>
        <w:pStyle w:val="Heading1"/>
        <w:numPr>
          <w:ilvl w:val="0"/>
          <w:numId w:val="17"/>
        </w:numPr>
      </w:pPr>
      <w:bookmarkStart w:id="8" w:name="_Toc388967022"/>
      <w:bookmarkStart w:id="9" w:name="_Toc391563907"/>
      <w:r w:rsidRPr="00B238A5">
        <w:lastRenderedPageBreak/>
        <w:t>Methodologie</w:t>
      </w:r>
      <w:bookmarkEnd w:id="8"/>
      <w:bookmarkEnd w:id="9"/>
    </w:p>
    <w:p w:rsidR="007473CE" w:rsidRPr="00B238A5" w:rsidRDefault="007473CE" w:rsidP="007473CE">
      <w:pPr>
        <w:ind w:left="360"/>
        <w:rPr>
          <w:i/>
        </w:rPr>
      </w:pPr>
      <w:r w:rsidRPr="00B238A5">
        <w:rPr>
          <w:i/>
        </w:rPr>
        <w:t xml:space="preserve">In het hoofdstuk methodologie zal de onderzoeksmethode die is toegepast in dit onderzoek nader worden toegelicht. </w:t>
      </w:r>
    </w:p>
    <w:p w:rsidR="007473CE" w:rsidRPr="00B238A5" w:rsidRDefault="007473CE" w:rsidP="007473CE">
      <w:bookmarkStart w:id="10" w:name="_Toc388962967"/>
      <w:bookmarkStart w:id="11" w:name="_Toc388963029"/>
      <w:bookmarkStart w:id="12" w:name="_Toc388963646"/>
      <w:bookmarkStart w:id="13" w:name="_Toc388963724"/>
      <w:bookmarkStart w:id="14" w:name="_Toc388963779"/>
      <w:r>
        <w:t>Bij het beantwoorden van de</w:t>
      </w:r>
      <w:r w:rsidRPr="00B238A5">
        <w:t xml:space="preserve"> hoofdvraa</w:t>
      </w:r>
      <w:r w:rsidR="00D923DF">
        <w:t>g is gekozen voor een kwalitatieve</w:t>
      </w:r>
      <w:r w:rsidRPr="00B238A5">
        <w:t xml:space="preserve"> onderzoek</w:t>
      </w:r>
      <w:r w:rsidR="00D923DF">
        <w:t>smethode</w:t>
      </w:r>
      <w:r w:rsidRPr="00B238A5">
        <w:t xml:space="preserve">. </w:t>
      </w:r>
      <w:r w:rsidR="006F0EB8">
        <w:t xml:space="preserve">Dit onderzoek richt zich op de invloed die de opkomst van maatschappelijke verslaggeving zal hebben op het accountantsberoep. </w:t>
      </w:r>
      <w:r w:rsidRPr="00B238A5">
        <w:t>Het gaat hier dus om een beschrijving van een situatie en de gevolgen daarvan. De vraagstelling die centraal staat in dit onderzoek is kwalitatief van aard en ook zal het antwoord op deze vraag tot stand komen aan de hand van kwalitatieve informatie. Er zal dan dus ook geen sprake zijn van cijfermatige antwoorden op de hoofdvraag</w:t>
      </w:r>
      <w:r w:rsidR="00AB3D03">
        <w:t xml:space="preserve"> en deelvragen</w:t>
      </w:r>
      <w:r w:rsidRPr="00B238A5">
        <w:t xml:space="preserve">. </w:t>
      </w:r>
    </w:p>
    <w:p w:rsidR="006F0EB8" w:rsidRDefault="007473CE" w:rsidP="007473CE">
      <w:r w:rsidRPr="00B238A5">
        <w:t xml:space="preserve">Eén van de manieren om kwalitatief onderzoek te verrichten is </w:t>
      </w:r>
      <w:r w:rsidR="00AB3D03">
        <w:t>op basis</w:t>
      </w:r>
      <w:r w:rsidR="006F0EB8">
        <w:t xml:space="preserve"> van een literatuurstudie, aan de hand waarvan dit onderzoek is gedaan. </w:t>
      </w:r>
      <w:r w:rsidR="00DB2D93">
        <w:t xml:space="preserve">De literatuurstudie zal de enige methodologie in dit onderzoek zijn. </w:t>
      </w:r>
      <w:r w:rsidR="006F0EB8">
        <w:t xml:space="preserve">Dit onderzoek tracht een antwoord te vormen op de hoofdvraag op basis van de al bestaande kennis over de onderwerpen; accountant, maatschappelijke verslaggevig, IR en MVO, wat de keuze voor een literatuurstudie verklaard. </w:t>
      </w:r>
    </w:p>
    <w:p w:rsidR="007473CE" w:rsidRDefault="007473CE" w:rsidP="007473CE">
      <w:r w:rsidRPr="00B238A5">
        <w:t>Eén mogelijke tekortkoming van deze manier van onderzoek is het gebrek aan empirisch bewijs. Er is gekozen om geen empirisch onderzoek te doen, en het onderzoek te beperken tot louter een onde</w:t>
      </w:r>
      <w:r w:rsidR="00D923DF">
        <w:t>rzoek in de literatuur. Vervolg</w:t>
      </w:r>
      <w:r w:rsidRPr="00B238A5">
        <w:t xml:space="preserve">onderzoek zou empirisch onderzoek hierbij kunnen betrekken. Hiermee zou kunnen worden nagegaan of de resultaten, gevonden in de literatuur overeenkomen met de werkelijkheid. </w:t>
      </w:r>
    </w:p>
    <w:p w:rsidR="007473CE" w:rsidRPr="00B238A5" w:rsidRDefault="007473CE" w:rsidP="007473CE">
      <w:r>
        <w:t>Om de literatuur te verkrijgen is voornamelijk de ‘snowballing’ methode gebruikt. Dit wil zeggen dat bronnen zijn verkregen vanuit andere bronnen, door bijvoorbeeld citaten en verwijzingen. Deze methode begint bij één document, dit document bevat citaten en verwijzingen</w:t>
      </w:r>
      <w:r w:rsidR="00AB3D03">
        <w:t xml:space="preserve"> die leiden </w:t>
      </w:r>
      <w:r>
        <w:t xml:space="preserve"> naar een </w:t>
      </w:r>
      <w:r w:rsidR="00EC3944">
        <w:t xml:space="preserve">volgend </w:t>
      </w:r>
      <w:r>
        <w:t xml:space="preserve">document, waarbij dit </w:t>
      </w:r>
      <w:r w:rsidR="00AB3D03">
        <w:t>tot in het oneindige door zou kunnen gaan</w:t>
      </w:r>
      <w:r>
        <w:t xml:space="preserve">. Dit is onder andere </w:t>
      </w:r>
      <w:r w:rsidR="00EC3944">
        <w:t>toegepast</w:t>
      </w:r>
      <w:r>
        <w:t xml:space="preserve"> bij het vinden van de wetenschappelijke artikelen, artikelen uit de vakbladen en de scripties. </w:t>
      </w:r>
    </w:p>
    <w:p w:rsidR="00ED5591" w:rsidRDefault="006F0EB8" w:rsidP="007473CE">
      <w:r>
        <w:t xml:space="preserve">Het antwoord op de hoofvraag zal tot stand komen door gebruik te maken van verschillende bronnen over onder andere de accountant, MVO en maatschappelijke verslaggeving. </w:t>
      </w:r>
      <w:r w:rsidR="00EC3944">
        <w:t>Deze verschillende bronnen bevatten ook verschillende soorten literatuur.</w:t>
      </w:r>
      <w:r w:rsidR="00DB2D93">
        <w:t xml:space="preserve"> Ten eerste primaire </w:t>
      </w:r>
      <w:r w:rsidR="007473CE" w:rsidRPr="00B238A5">
        <w:t xml:space="preserve">literatuur. Deze literatuur is bijvoorbeeld afkomstig uit het vakblad, maandblad voor accountancy en bedrijfseconomie. </w:t>
      </w:r>
      <w:r w:rsidR="00DB2D93">
        <w:t>Ten tweede</w:t>
      </w:r>
      <w:r w:rsidR="007473CE" w:rsidRPr="00B238A5">
        <w:t xml:space="preserve"> secundaire literatuur,</w:t>
      </w:r>
      <w:r w:rsidR="00DB2D93">
        <w:t xml:space="preserve"> zoals studieboeken</w:t>
      </w:r>
      <w:r w:rsidR="007473CE" w:rsidRPr="00B238A5">
        <w:t xml:space="preserve">. </w:t>
      </w:r>
      <w:r w:rsidR="00DB2D93">
        <w:t xml:space="preserve">Als laatste, zal ook grijze literatuur aan de orde komen </w:t>
      </w:r>
      <w:r w:rsidR="007473CE" w:rsidRPr="00B238A5">
        <w:t xml:space="preserve">in dit onderzoek, voorbeelden hiervan zijn rapporten van overheidsinstanties of vakorganisaties, scripties en proefschriften. </w:t>
      </w:r>
      <w:r w:rsidR="007473CE">
        <w:t xml:space="preserve">Onderstaande tabel laat de soorten bronnen zien die zijn gebruikt, geeft een omschrijving en geeft aan om welke soort literatuur het gaat. </w:t>
      </w:r>
    </w:p>
    <w:p w:rsidR="003C354B" w:rsidRDefault="003C354B" w:rsidP="007473CE"/>
    <w:p w:rsidR="007473CE" w:rsidRDefault="007473CE" w:rsidP="007473CE">
      <w:pPr>
        <w:pStyle w:val="Caption"/>
        <w:keepNext/>
      </w:pPr>
      <w:r>
        <w:lastRenderedPageBreak/>
        <w:t xml:space="preserve">Tabel </w:t>
      </w:r>
      <w:r w:rsidR="00C3187A">
        <w:fldChar w:fldCharType="begin"/>
      </w:r>
      <w:r w:rsidR="003630AE">
        <w:instrText xml:space="preserve"> SEQ Tabel \* ARABIC </w:instrText>
      </w:r>
      <w:r w:rsidR="00C3187A">
        <w:fldChar w:fldCharType="separate"/>
      </w:r>
      <w:r w:rsidR="00DB3568">
        <w:rPr>
          <w:noProof/>
        </w:rPr>
        <w:t>1</w:t>
      </w:r>
      <w:r w:rsidR="00C3187A">
        <w:rPr>
          <w:noProof/>
        </w:rPr>
        <w:fldChar w:fldCharType="end"/>
      </w:r>
      <w:r>
        <w:t xml:space="preserve"> beschrijving bronnen</w:t>
      </w:r>
    </w:p>
    <w:tbl>
      <w:tblPr>
        <w:tblStyle w:val="GridTable4Accent6"/>
        <w:tblW w:w="0" w:type="auto"/>
        <w:tblLook w:val="04A0"/>
      </w:tblPr>
      <w:tblGrid>
        <w:gridCol w:w="4230"/>
        <w:gridCol w:w="3217"/>
        <w:gridCol w:w="1841"/>
      </w:tblGrid>
      <w:tr w:rsidR="007473CE" w:rsidTr="00FF1578">
        <w:trPr>
          <w:cnfStyle w:val="100000000000"/>
        </w:trPr>
        <w:tc>
          <w:tcPr>
            <w:cnfStyle w:val="001000000000"/>
            <w:tcW w:w="3300" w:type="dxa"/>
          </w:tcPr>
          <w:p w:rsidR="007473CE" w:rsidRPr="007B0C1C" w:rsidRDefault="007473CE" w:rsidP="00FF1578">
            <w:r w:rsidRPr="007B0C1C">
              <w:t>Soort bron</w:t>
            </w:r>
          </w:p>
        </w:tc>
        <w:tc>
          <w:tcPr>
            <w:tcW w:w="3254" w:type="dxa"/>
          </w:tcPr>
          <w:p w:rsidR="007473CE" w:rsidRPr="007B0C1C" w:rsidRDefault="007473CE" w:rsidP="00FF1578">
            <w:pPr>
              <w:cnfStyle w:val="100000000000"/>
            </w:pPr>
            <w:r w:rsidRPr="007B0C1C">
              <w:t>Omschrijving</w:t>
            </w:r>
          </w:p>
        </w:tc>
        <w:tc>
          <w:tcPr>
            <w:tcW w:w="2508" w:type="dxa"/>
          </w:tcPr>
          <w:p w:rsidR="007473CE" w:rsidRPr="007B0C1C" w:rsidRDefault="007473CE" w:rsidP="00FF1578">
            <w:pPr>
              <w:cnfStyle w:val="100000000000"/>
            </w:pPr>
            <w:r w:rsidRPr="007B0C1C">
              <w:t>Soort literatuur</w:t>
            </w:r>
          </w:p>
        </w:tc>
      </w:tr>
      <w:tr w:rsidR="007473CE" w:rsidTr="00FF1578">
        <w:trPr>
          <w:cnfStyle w:val="000000100000"/>
        </w:trPr>
        <w:tc>
          <w:tcPr>
            <w:cnfStyle w:val="001000000000"/>
            <w:tcW w:w="3300" w:type="dxa"/>
          </w:tcPr>
          <w:p w:rsidR="007473CE" w:rsidRPr="007B0C1C" w:rsidRDefault="007473CE" w:rsidP="00FF1578">
            <w:r w:rsidRPr="007B0C1C">
              <w:t xml:space="preserve">Internet; </w:t>
            </w:r>
          </w:p>
          <w:p w:rsidR="007473CE" w:rsidRPr="007B0C1C" w:rsidRDefault="007473CE" w:rsidP="00FF1578">
            <w:pPr>
              <w:rPr>
                <w:b w:val="0"/>
              </w:rPr>
            </w:pPr>
            <w:r w:rsidRPr="007B0C1C">
              <w:rPr>
                <w:b w:val="0"/>
              </w:rPr>
              <w:t>Gebruikte zoektermen</w:t>
            </w:r>
            <w:r w:rsidRPr="007B0C1C">
              <w:rPr>
                <w:rStyle w:val="FootnoteReference"/>
                <w:b w:val="0"/>
              </w:rPr>
              <w:footnoteReference w:id="1"/>
            </w:r>
            <w:r w:rsidRPr="007B0C1C">
              <w:rPr>
                <w:b w:val="0"/>
              </w:rPr>
              <w:t>:</w:t>
            </w:r>
          </w:p>
          <w:p w:rsidR="007473CE" w:rsidRPr="007B0C1C" w:rsidRDefault="007473CE" w:rsidP="00FF1578">
            <w:pPr>
              <w:pStyle w:val="ListParagraph"/>
              <w:numPr>
                <w:ilvl w:val="0"/>
                <w:numId w:val="21"/>
              </w:numPr>
              <w:rPr>
                <w:b w:val="0"/>
              </w:rPr>
            </w:pPr>
            <w:r w:rsidRPr="007B0C1C">
              <w:rPr>
                <w:b w:val="0"/>
              </w:rPr>
              <w:t>Accountantsberoep</w:t>
            </w:r>
          </w:p>
          <w:p w:rsidR="007473CE" w:rsidRPr="007B0C1C" w:rsidRDefault="007473CE" w:rsidP="00FF1578">
            <w:pPr>
              <w:pStyle w:val="ListParagraph"/>
              <w:numPr>
                <w:ilvl w:val="1"/>
                <w:numId w:val="21"/>
              </w:numPr>
              <w:rPr>
                <w:b w:val="0"/>
              </w:rPr>
            </w:pPr>
            <w:r w:rsidRPr="007B0C1C">
              <w:rPr>
                <w:b w:val="0"/>
              </w:rPr>
              <w:t>Werkzaamheden</w:t>
            </w:r>
          </w:p>
          <w:p w:rsidR="007473CE" w:rsidRPr="007B0C1C" w:rsidRDefault="007473CE" w:rsidP="00FF1578">
            <w:pPr>
              <w:pStyle w:val="ListParagraph"/>
              <w:numPr>
                <w:ilvl w:val="0"/>
                <w:numId w:val="21"/>
              </w:numPr>
              <w:rPr>
                <w:b w:val="0"/>
              </w:rPr>
            </w:pPr>
            <w:r w:rsidRPr="007B0C1C">
              <w:rPr>
                <w:b w:val="0"/>
              </w:rPr>
              <w:t>Maatschappelijke verslaggeving</w:t>
            </w:r>
          </w:p>
          <w:p w:rsidR="007473CE" w:rsidRPr="007B0C1C" w:rsidRDefault="007473CE" w:rsidP="00FF1578">
            <w:pPr>
              <w:pStyle w:val="ListParagraph"/>
              <w:numPr>
                <w:ilvl w:val="0"/>
                <w:numId w:val="21"/>
              </w:numPr>
              <w:rPr>
                <w:b w:val="0"/>
              </w:rPr>
            </w:pPr>
            <w:r w:rsidRPr="007B0C1C">
              <w:rPr>
                <w:b w:val="0"/>
              </w:rPr>
              <w:t>MVO</w:t>
            </w:r>
          </w:p>
          <w:p w:rsidR="007473CE" w:rsidRPr="007B0C1C" w:rsidRDefault="007473CE" w:rsidP="00FF1578">
            <w:pPr>
              <w:pStyle w:val="ListParagraph"/>
              <w:numPr>
                <w:ilvl w:val="0"/>
                <w:numId w:val="21"/>
              </w:numPr>
              <w:rPr>
                <w:b w:val="0"/>
              </w:rPr>
            </w:pPr>
            <w:r>
              <w:rPr>
                <w:b w:val="0"/>
              </w:rPr>
              <w:t>IR</w:t>
            </w:r>
          </w:p>
          <w:p w:rsidR="007473CE" w:rsidRPr="007B0C1C" w:rsidRDefault="007473CE" w:rsidP="00FF1578">
            <w:pPr>
              <w:pStyle w:val="ListParagraph"/>
              <w:numPr>
                <w:ilvl w:val="0"/>
                <w:numId w:val="21"/>
              </w:numPr>
              <w:rPr>
                <w:b w:val="0"/>
              </w:rPr>
            </w:pPr>
            <w:r w:rsidRPr="007B0C1C">
              <w:rPr>
                <w:b w:val="0"/>
              </w:rPr>
              <w:t>Assurance:</w:t>
            </w:r>
          </w:p>
          <w:p w:rsidR="007473CE" w:rsidRPr="007B0C1C" w:rsidRDefault="007473CE" w:rsidP="00FF1578">
            <w:pPr>
              <w:pStyle w:val="ListParagraph"/>
              <w:numPr>
                <w:ilvl w:val="1"/>
                <w:numId w:val="21"/>
              </w:numPr>
              <w:rPr>
                <w:b w:val="0"/>
              </w:rPr>
            </w:pPr>
            <w:r w:rsidRPr="007B0C1C">
              <w:rPr>
                <w:b w:val="0"/>
              </w:rPr>
              <w:t>Niet-financiële informatie</w:t>
            </w:r>
          </w:p>
          <w:p w:rsidR="007473CE" w:rsidRPr="007B0C1C" w:rsidRDefault="007473CE" w:rsidP="00FF1578">
            <w:pPr>
              <w:pStyle w:val="ListParagraph"/>
              <w:numPr>
                <w:ilvl w:val="1"/>
                <w:numId w:val="21"/>
              </w:numPr>
              <w:rPr>
                <w:b w:val="0"/>
              </w:rPr>
            </w:pPr>
            <w:r w:rsidRPr="007B0C1C">
              <w:rPr>
                <w:b w:val="0"/>
              </w:rPr>
              <w:t>Maatschappelijke verslagen</w:t>
            </w:r>
          </w:p>
          <w:p w:rsidR="007473CE" w:rsidRPr="007B0C1C" w:rsidRDefault="007473CE" w:rsidP="00FF1578">
            <w:pPr>
              <w:pStyle w:val="ListParagraph"/>
              <w:numPr>
                <w:ilvl w:val="1"/>
                <w:numId w:val="21"/>
              </w:numPr>
            </w:pPr>
            <w:r w:rsidRPr="007B0C1C">
              <w:rPr>
                <w:b w:val="0"/>
              </w:rPr>
              <w:t>Integrated reports</w:t>
            </w:r>
          </w:p>
        </w:tc>
        <w:tc>
          <w:tcPr>
            <w:tcW w:w="3254" w:type="dxa"/>
          </w:tcPr>
          <w:p w:rsidR="007473CE" w:rsidRPr="007B0C1C" w:rsidRDefault="007473CE" w:rsidP="00FF1578">
            <w:pPr>
              <w:cnfStyle w:val="000000100000"/>
            </w:pPr>
            <w:r w:rsidRPr="007B0C1C">
              <w:t>Internet is met name gebruikt, om andere bronnen te verkrijgen. Hiervoor is gebruik gemaakt van verschillende databases zoals:</w:t>
            </w:r>
          </w:p>
          <w:p w:rsidR="007473CE" w:rsidRPr="007B0C1C" w:rsidRDefault="007473CE" w:rsidP="00FF1578">
            <w:pPr>
              <w:pStyle w:val="ListParagraph"/>
              <w:numPr>
                <w:ilvl w:val="0"/>
                <w:numId w:val="18"/>
              </w:numPr>
              <w:cnfStyle w:val="000000100000"/>
            </w:pPr>
            <w:r w:rsidRPr="007B0C1C">
              <w:t>Google: reguliere website</w:t>
            </w:r>
          </w:p>
          <w:p w:rsidR="007473CE" w:rsidRPr="007B0C1C" w:rsidRDefault="007473CE" w:rsidP="00FF1578">
            <w:pPr>
              <w:pStyle w:val="ListParagraph"/>
              <w:numPr>
                <w:ilvl w:val="0"/>
                <w:numId w:val="18"/>
              </w:numPr>
              <w:cnfStyle w:val="000000100000"/>
            </w:pPr>
            <w:r w:rsidRPr="007B0C1C">
              <w:t>Google scholar: de zoekmachine voor wetenschappelijke artikelen</w:t>
            </w:r>
          </w:p>
          <w:p w:rsidR="007473CE" w:rsidRPr="007B0C1C" w:rsidRDefault="007473CE" w:rsidP="00FF1578">
            <w:pPr>
              <w:pStyle w:val="ListParagraph"/>
              <w:numPr>
                <w:ilvl w:val="0"/>
                <w:numId w:val="18"/>
              </w:numPr>
              <w:cnfStyle w:val="000000100000"/>
            </w:pPr>
            <w:r w:rsidRPr="007B0C1C">
              <w:t>Seurch: de zoekmachine van de universiteitsbibliotheek, Erasmus Universiteit</w:t>
            </w:r>
          </w:p>
        </w:tc>
        <w:tc>
          <w:tcPr>
            <w:tcW w:w="2508" w:type="dxa"/>
          </w:tcPr>
          <w:p w:rsidR="007473CE" w:rsidRPr="007B0C1C" w:rsidRDefault="007473CE" w:rsidP="00FF1578">
            <w:pPr>
              <w:cnfStyle w:val="000000100000"/>
            </w:pPr>
            <w:r w:rsidRPr="007B0C1C">
              <w:t xml:space="preserve">Buiten het verkrijgen van andere bronnen zijn ook websites van de overheid voor het onderzoek gebruikt. Deze vallen onder primaire literatuur. </w:t>
            </w:r>
          </w:p>
        </w:tc>
      </w:tr>
      <w:tr w:rsidR="007473CE" w:rsidTr="00FF1578">
        <w:tc>
          <w:tcPr>
            <w:cnfStyle w:val="001000000000"/>
            <w:tcW w:w="3300" w:type="dxa"/>
          </w:tcPr>
          <w:p w:rsidR="007473CE" w:rsidRPr="007B0C1C" w:rsidRDefault="007473CE" w:rsidP="00FF1578">
            <w:r w:rsidRPr="007B0C1C">
              <w:t>Vakbladen</w:t>
            </w:r>
          </w:p>
        </w:tc>
        <w:tc>
          <w:tcPr>
            <w:tcW w:w="3254" w:type="dxa"/>
          </w:tcPr>
          <w:p w:rsidR="007473CE" w:rsidRPr="007B0C1C" w:rsidRDefault="007473CE" w:rsidP="00FF1578">
            <w:pPr>
              <w:cnfStyle w:val="000000000000"/>
            </w:pPr>
            <w:r w:rsidRPr="007B0C1C">
              <w:t xml:space="preserve">In vakbladen worden vaak artikelen van </w:t>
            </w:r>
            <w:r w:rsidR="00EC3944" w:rsidRPr="007B0C1C">
              <w:t>professoren</w:t>
            </w:r>
            <w:r w:rsidRPr="007B0C1C">
              <w:t xml:space="preserve">, of vakspecialisten geplaatst. Vakbladen waar </w:t>
            </w:r>
            <w:r w:rsidR="00EC3944" w:rsidRPr="007B0C1C">
              <w:t>onder</w:t>
            </w:r>
            <w:r w:rsidRPr="007B0C1C">
              <w:t xml:space="preserve"> andere gebruik van is gemaakt zijn:</w:t>
            </w:r>
          </w:p>
          <w:p w:rsidR="007473CE" w:rsidRPr="007B0C1C" w:rsidRDefault="007473CE" w:rsidP="00FF1578">
            <w:pPr>
              <w:pStyle w:val="ListParagraph"/>
              <w:numPr>
                <w:ilvl w:val="0"/>
                <w:numId w:val="19"/>
              </w:numPr>
              <w:cnfStyle w:val="000000000000"/>
            </w:pPr>
            <w:r w:rsidRPr="007B0C1C">
              <w:t>Maandblad voor Accountancy en Bedrijfseconomie</w:t>
            </w:r>
          </w:p>
          <w:p w:rsidR="007473CE" w:rsidRPr="007B0C1C" w:rsidRDefault="007473CE" w:rsidP="00FF1578">
            <w:pPr>
              <w:pStyle w:val="ListParagraph"/>
              <w:numPr>
                <w:ilvl w:val="0"/>
                <w:numId w:val="19"/>
              </w:numPr>
              <w:cnfStyle w:val="000000000000"/>
            </w:pPr>
            <w:r w:rsidRPr="007B0C1C">
              <w:t>Update: vaktechnische publicatie van Deloitte</w:t>
            </w:r>
          </w:p>
          <w:p w:rsidR="007473CE" w:rsidRPr="007B0C1C" w:rsidRDefault="007473CE" w:rsidP="00FF1578">
            <w:pPr>
              <w:pStyle w:val="ListParagraph"/>
              <w:numPr>
                <w:ilvl w:val="0"/>
                <w:numId w:val="19"/>
              </w:numPr>
              <w:cnfStyle w:val="000000000000"/>
            </w:pPr>
            <w:r w:rsidRPr="007B0C1C">
              <w:t>Spotlight: vaktechnisch bulletin van PwC</w:t>
            </w:r>
          </w:p>
        </w:tc>
        <w:tc>
          <w:tcPr>
            <w:tcW w:w="2508" w:type="dxa"/>
          </w:tcPr>
          <w:p w:rsidR="007473CE" w:rsidRPr="007B0C1C" w:rsidRDefault="007473CE" w:rsidP="00FF1578">
            <w:pPr>
              <w:cnfStyle w:val="000000000000"/>
            </w:pPr>
            <w:r w:rsidRPr="007B0C1C">
              <w:t xml:space="preserve">De artikelen uit deze vakbladen kunnen worden aangemerkt als primaire literatuur. </w:t>
            </w:r>
          </w:p>
        </w:tc>
      </w:tr>
      <w:tr w:rsidR="007473CE" w:rsidTr="00FF1578">
        <w:trPr>
          <w:cnfStyle w:val="000000100000"/>
        </w:trPr>
        <w:tc>
          <w:tcPr>
            <w:cnfStyle w:val="001000000000"/>
            <w:tcW w:w="3300" w:type="dxa"/>
          </w:tcPr>
          <w:p w:rsidR="007473CE" w:rsidRPr="007B0C1C" w:rsidRDefault="007473CE" w:rsidP="00FF1578">
            <w:r w:rsidRPr="007B0C1C">
              <w:t>Scripties;</w:t>
            </w:r>
          </w:p>
          <w:p w:rsidR="007473CE" w:rsidRPr="007B0C1C" w:rsidRDefault="007473CE" w:rsidP="00FF1578">
            <w:pPr>
              <w:rPr>
                <w:b w:val="0"/>
              </w:rPr>
            </w:pPr>
            <w:r w:rsidRPr="007B0C1C">
              <w:rPr>
                <w:b w:val="0"/>
              </w:rPr>
              <w:t>Onderwerpen:</w:t>
            </w:r>
          </w:p>
          <w:p w:rsidR="007473CE" w:rsidRPr="007B0C1C" w:rsidRDefault="007473CE" w:rsidP="00FF1578">
            <w:pPr>
              <w:pStyle w:val="ListParagraph"/>
              <w:numPr>
                <w:ilvl w:val="0"/>
                <w:numId w:val="22"/>
              </w:numPr>
              <w:rPr>
                <w:b w:val="0"/>
              </w:rPr>
            </w:pPr>
            <w:r w:rsidRPr="007B0C1C">
              <w:rPr>
                <w:b w:val="0"/>
              </w:rPr>
              <w:t>MVO</w:t>
            </w:r>
          </w:p>
          <w:p w:rsidR="007473CE" w:rsidRPr="007B0C1C" w:rsidRDefault="007473CE" w:rsidP="00FF1578">
            <w:pPr>
              <w:pStyle w:val="ListParagraph"/>
              <w:numPr>
                <w:ilvl w:val="0"/>
                <w:numId w:val="22"/>
              </w:numPr>
              <w:rPr>
                <w:b w:val="0"/>
              </w:rPr>
            </w:pPr>
            <w:r w:rsidRPr="007B0C1C">
              <w:rPr>
                <w:b w:val="0"/>
              </w:rPr>
              <w:t>Maatschappelijke verslaggeving</w:t>
            </w:r>
          </w:p>
          <w:p w:rsidR="007473CE" w:rsidRPr="007B0C1C" w:rsidRDefault="007473CE" w:rsidP="00FF1578">
            <w:pPr>
              <w:pStyle w:val="ListParagraph"/>
              <w:numPr>
                <w:ilvl w:val="0"/>
                <w:numId w:val="22"/>
              </w:numPr>
              <w:rPr>
                <w:b w:val="0"/>
              </w:rPr>
            </w:pPr>
            <w:r>
              <w:rPr>
                <w:b w:val="0"/>
              </w:rPr>
              <w:t>IR</w:t>
            </w:r>
          </w:p>
          <w:p w:rsidR="007473CE" w:rsidRPr="007B0C1C" w:rsidRDefault="007473CE" w:rsidP="00FF1578">
            <w:pPr>
              <w:pStyle w:val="ListParagraph"/>
              <w:numPr>
                <w:ilvl w:val="0"/>
                <w:numId w:val="22"/>
              </w:numPr>
            </w:pPr>
            <w:r w:rsidRPr="007B0C1C">
              <w:rPr>
                <w:b w:val="0"/>
              </w:rPr>
              <w:t>Accountant</w:t>
            </w:r>
            <w:r w:rsidRPr="007B0C1C">
              <w:t xml:space="preserve"> </w:t>
            </w:r>
          </w:p>
        </w:tc>
        <w:tc>
          <w:tcPr>
            <w:tcW w:w="3254" w:type="dxa"/>
          </w:tcPr>
          <w:p w:rsidR="007473CE" w:rsidRPr="007B0C1C" w:rsidRDefault="007473CE" w:rsidP="00FF1578">
            <w:pPr>
              <w:cnfStyle w:val="000000100000"/>
            </w:pPr>
            <w:r w:rsidRPr="007B0C1C">
              <w:t xml:space="preserve">Scripties waarvan gebruikt is gemaakt in dit onderzoek zijn voornamelijk bemachtigd via de scriptie databank van Nederlandse Universiteiten. Scripties zijn met name gebruikt om andere bronnen te achterhalen, en deze zelf te verwerken. </w:t>
            </w:r>
          </w:p>
        </w:tc>
        <w:tc>
          <w:tcPr>
            <w:tcW w:w="2508" w:type="dxa"/>
          </w:tcPr>
          <w:p w:rsidR="007473CE" w:rsidRPr="007B0C1C" w:rsidRDefault="007473CE" w:rsidP="00FF1578">
            <w:pPr>
              <w:cnfStyle w:val="000000100000"/>
            </w:pPr>
            <w:r w:rsidRPr="007B0C1C">
              <w:t xml:space="preserve">De scripties gebruikt in dit onderzoek vallen onder grijze literatuur.  </w:t>
            </w:r>
          </w:p>
        </w:tc>
      </w:tr>
      <w:tr w:rsidR="007473CE" w:rsidTr="00FF1578">
        <w:tc>
          <w:tcPr>
            <w:cnfStyle w:val="001000000000"/>
            <w:tcW w:w="3300" w:type="dxa"/>
          </w:tcPr>
          <w:p w:rsidR="007473CE" w:rsidRPr="007B0C1C" w:rsidRDefault="007473CE" w:rsidP="00FF1578">
            <w:r w:rsidRPr="007B0C1C">
              <w:t>Wetenschappelijke artikelen;</w:t>
            </w:r>
          </w:p>
          <w:p w:rsidR="007473CE" w:rsidRPr="007B0C1C" w:rsidRDefault="007473CE" w:rsidP="00FF1578">
            <w:pPr>
              <w:rPr>
                <w:b w:val="0"/>
              </w:rPr>
            </w:pPr>
            <w:r w:rsidRPr="007B0C1C">
              <w:rPr>
                <w:b w:val="0"/>
              </w:rPr>
              <w:t>Onderwerpen:</w:t>
            </w:r>
          </w:p>
          <w:p w:rsidR="007473CE" w:rsidRPr="007B0C1C" w:rsidRDefault="007473CE" w:rsidP="00FF1578">
            <w:pPr>
              <w:pStyle w:val="ListParagraph"/>
              <w:numPr>
                <w:ilvl w:val="0"/>
                <w:numId w:val="23"/>
              </w:numPr>
              <w:rPr>
                <w:b w:val="0"/>
              </w:rPr>
            </w:pPr>
            <w:r w:rsidRPr="007B0C1C">
              <w:rPr>
                <w:b w:val="0"/>
              </w:rPr>
              <w:t>Agency theorie</w:t>
            </w:r>
          </w:p>
          <w:p w:rsidR="007473CE" w:rsidRPr="007B0C1C" w:rsidRDefault="007473CE" w:rsidP="00FF1578">
            <w:pPr>
              <w:pStyle w:val="ListParagraph"/>
              <w:numPr>
                <w:ilvl w:val="0"/>
                <w:numId w:val="23"/>
              </w:numPr>
              <w:rPr>
                <w:b w:val="0"/>
              </w:rPr>
            </w:pPr>
            <w:r w:rsidRPr="007B0C1C">
              <w:rPr>
                <w:b w:val="0"/>
              </w:rPr>
              <w:t>Stakeholdertheorie</w:t>
            </w:r>
          </w:p>
          <w:p w:rsidR="007473CE" w:rsidRPr="007B0C1C" w:rsidRDefault="007473CE" w:rsidP="00FF1578">
            <w:pPr>
              <w:pStyle w:val="ListParagraph"/>
              <w:numPr>
                <w:ilvl w:val="0"/>
                <w:numId w:val="23"/>
              </w:numPr>
              <w:rPr>
                <w:b w:val="0"/>
              </w:rPr>
            </w:pPr>
            <w:r w:rsidRPr="007B0C1C">
              <w:rPr>
                <w:b w:val="0"/>
              </w:rPr>
              <w:t>Legitimiteitstheorie</w:t>
            </w:r>
          </w:p>
          <w:p w:rsidR="007473CE" w:rsidRPr="007B0C1C" w:rsidRDefault="007473CE" w:rsidP="00FF1578">
            <w:pPr>
              <w:pStyle w:val="ListParagraph"/>
              <w:numPr>
                <w:ilvl w:val="0"/>
                <w:numId w:val="23"/>
              </w:numPr>
            </w:pPr>
            <w:r w:rsidRPr="007B0C1C">
              <w:rPr>
                <w:b w:val="0"/>
              </w:rPr>
              <w:t xml:space="preserve">Maatschappelijke </w:t>
            </w:r>
            <w:r w:rsidR="00EC3944" w:rsidRPr="007B0C1C">
              <w:rPr>
                <w:b w:val="0"/>
              </w:rPr>
              <w:t>verslaggeving</w:t>
            </w:r>
          </w:p>
        </w:tc>
        <w:tc>
          <w:tcPr>
            <w:tcW w:w="3254" w:type="dxa"/>
          </w:tcPr>
          <w:p w:rsidR="007473CE" w:rsidRPr="007B0C1C" w:rsidRDefault="007473CE" w:rsidP="00FF1578">
            <w:pPr>
              <w:cnfStyle w:val="000000000000"/>
            </w:pPr>
            <w:r w:rsidRPr="007B0C1C">
              <w:t xml:space="preserve">In het onderzoek zijn onder andere wetenschappelijke artikelen gebruikt. Deze worden gebruikt om de gehanteerde theorieën te omschrijven en onderbouwen en voor het geven van definities van begrippen. </w:t>
            </w:r>
          </w:p>
        </w:tc>
        <w:tc>
          <w:tcPr>
            <w:tcW w:w="2508" w:type="dxa"/>
          </w:tcPr>
          <w:p w:rsidR="007473CE" w:rsidRPr="007B0C1C" w:rsidRDefault="007473CE" w:rsidP="00FF1578">
            <w:pPr>
              <w:cnfStyle w:val="000000000000"/>
            </w:pPr>
            <w:r w:rsidRPr="007B0C1C">
              <w:t xml:space="preserve">Deze wetenschappelijke artikelen worden aangemerkt als primaire literatuur, omdat deze vaak op eigen onderzoek zijn gebaseerd. </w:t>
            </w:r>
          </w:p>
        </w:tc>
      </w:tr>
      <w:tr w:rsidR="007473CE" w:rsidTr="00FF1578">
        <w:trPr>
          <w:cnfStyle w:val="000000100000"/>
        </w:trPr>
        <w:tc>
          <w:tcPr>
            <w:cnfStyle w:val="001000000000"/>
            <w:tcW w:w="3300" w:type="dxa"/>
          </w:tcPr>
          <w:p w:rsidR="007473CE" w:rsidRPr="007B0C1C" w:rsidRDefault="007473CE" w:rsidP="00FF1578">
            <w:r w:rsidRPr="007B0C1C">
              <w:t>Onderzoeksrapporten;</w:t>
            </w:r>
          </w:p>
          <w:p w:rsidR="007473CE" w:rsidRPr="007B0C1C" w:rsidRDefault="007473CE" w:rsidP="00FF1578">
            <w:pPr>
              <w:rPr>
                <w:b w:val="0"/>
              </w:rPr>
            </w:pPr>
            <w:r w:rsidRPr="007B0C1C">
              <w:rPr>
                <w:b w:val="0"/>
              </w:rPr>
              <w:t>Instanties:</w:t>
            </w:r>
          </w:p>
          <w:p w:rsidR="007473CE" w:rsidRPr="007B0C1C" w:rsidRDefault="007473CE" w:rsidP="00FF1578">
            <w:pPr>
              <w:pStyle w:val="ListParagraph"/>
              <w:numPr>
                <w:ilvl w:val="0"/>
                <w:numId w:val="24"/>
              </w:numPr>
              <w:rPr>
                <w:b w:val="0"/>
              </w:rPr>
            </w:pPr>
            <w:r w:rsidRPr="007B0C1C">
              <w:rPr>
                <w:b w:val="0"/>
              </w:rPr>
              <w:t>NBA</w:t>
            </w:r>
          </w:p>
          <w:p w:rsidR="007473CE" w:rsidRPr="007B0C1C" w:rsidRDefault="007473CE" w:rsidP="00FF1578">
            <w:pPr>
              <w:pStyle w:val="ListParagraph"/>
              <w:numPr>
                <w:ilvl w:val="0"/>
                <w:numId w:val="24"/>
              </w:numPr>
              <w:rPr>
                <w:b w:val="0"/>
              </w:rPr>
            </w:pPr>
            <w:r w:rsidRPr="007B0C1C">
              <w:rPr>
                <w:b w:val="0"/>
              </w:rPr>
              <w:t>NIVRA</w:t>
            </w:r>
          </w:p>
          <w:p w:rsidR="007473CE" w:rsidRPr="007B0C1C" w:rsidRDefault="007473CE" w:rsidP="00FF1578">
            <w:pPr>
              <w:pStyle w:val="ListParagraph"/>
              <w:numPr>
                <w:ilvl w:val="0"/>
                <w:numId w:val="24"/>
              </w:numPr>
              <w:rPr>
                <w:b w:val="0"/>
              </w:rPr>
            </w:pPr>
            <w:r w:rsidRPr="007B0C1C">
              <w:rPr>
                <w:b w:val="0"/>
              </w:rPr>
              <w:t>Rijksoverheid</w:t>
            </w:r>
          </w:p>
          <w:p w:rsidR="007473CE" w:rsidRPr="007B0C1C" w:rsidRDefault="007473CE" w:rsidP="00FF1578">
            <w:pPr>
              <w:pStyle w:val="ListParagraph"/>
              <w:numPr>
                <w:ilvl w:val="0"/>
                <w:numId w:val="24"/>
              </w:numPr>
              <w:rPr>
                <w:b w:val="0"/>
              </w:rPr>
            </w:pPr>
            <w:r w:rsidRPr="007B0C1C">
              <w:rPr>
                <w:b w:val="0"/>
              </w:rPr>
              <w:t>Global Reporting Initiative</w:t>
            </w:r>
          </w:p>
          <w:p w:rsidR="007473CE" w:rsidRPr="007B0C1C" w:rsidRDefault="007473CE" w:rsidP="00FF1578"/>
        </w:tc>
        <w:tc>
          <w:tcPr>
            <w:tcW w:w="3254" w:type="dxa"/>
          </w:tcPr>
          <w:p w:rsidR="007473CE" w:rsidRPr="007B0C1C" w:rsidRDefault="007473CE" w:rsidP="00FF1578">
            <w:pPr>
              <w:cnfStyle w:val="000000100000"/>
            </w:pPr>
            <w:r w:rsidRPr="007B0C1C">
              <w:t>De begrippen MVO, maatschappelijke verslaggeving en IR hebben de afgelopen jaren enorme groei doorgemaakt, daarom hebben overheidsinstanties en beroepsorganisaties veel rapporten gepubliceerd, die goed gebruikt kunnen worden in dit onderzoek.</w:t>
            </w:r>
          </w:p>
        </w:tc>
        <w:tc>
          <w:tcPr>
            <w:tcW w:w="2508" w:type="dxa"/>
          </w:tcPr>
          <w:p w:rsidR="007473CE" w:rsidRPr="007B0C1C" w:rsidRDefault="007473CE" w:rsidP="00FF1578">
            <w:pPr>
              <w:cnfStyle w:val="000000100000"/>
            </w:pPr>
            <w:r w:rsidRPr="007B0C1C">
              <w:t xml:space="preserve">Deze rapporten kunnen worden geschaard onder de grijze literatuur. </w:t>
            </w:r>
          </w:p>
        </w:tc>
      </w:tr>
      <w:tr w:rsidR="007473CE" w:rsidTr="00FF1578">
        <w:tc>
          <w:tcPr>
            <w:cnfStyle w:val="001000000000"/>
            <w:tcW w:w="3300" w:type="dxa"/>
          </w:tcPr>
          <w:p w:rsidR="007473CE" w:rsidRPr="007B0C1C" w:rsidRDefault="007473CE" w:rsidP="00FF1578">
            <w:r w:rsidRPr="007B0C1C">
              <w:t>Nieuwsartikelen</w:t>
            </w:r>
          </w:p>
        </w:tc>
        <w:tc>
          <w:tcPr>
            <w:tcW w:w="3254" w:type="dxa"/>
          </w:tcPr>
          <w:p w:rsidR="007473CE" w:rsidRPr="007B0C1C" w:rsidRDefault="007473CE" w:rsidP="00FF1578">
            <w:pPr>
              <w:cnfStyle w:val="000000000000"/>
            </w:pPr>
            <w:r w:rsidRPr="007B0C1C">
              <w:t xml:space="preserve">Om hedendaagse ontwikkelingen te volgen en kunnen opnemen in </w:t>
            </w:r>
            <w:r w:rsidRPr="007B0C1C">
              <w:lastRenderedPageBreak/>
              <w:t xml:space="preserve">dit onderzoek is ook gebruik gemaakt van nieuwsartikelen. Deze zijn onder andere afkomstig van: </w:t>
            </w:r>
          </w:p>
          <w:p w:rsidR="007473CE" w:rsidRPr="007B0C1C" w:rsidRDefault="007473CE" w:rsidP="00FF1578">
            <w:pPr>
              <w:pStyle w:val="ListParagraph"/>
              <w:numPr>
                <w:ilvl w:val="0"/>
                <w:numId w:val="20"/>
              </w:numPr>
              <w:cnfStyle w:val="000000000000"/>
            </w:pPr>
            <w:r w:rsidRPr="007B0C1C">
              <w:t>Financieel Dagblad</w:t>
            </w:r>
          </w:p>
          <w:p w:rsidR="007473CE" w:rsidRPr="007B0C1C" w:rsidRDefault="007473CE" w:rsidP="00FF1578">
            <w:pPr>
              <w:pStyle w:val="ListParagraph"/>
              <w:numPr>
                <w:ilvl w:val="0"/>
                <w:numId w:val="20"/>
              </w:numPr>
              <w:cnfStyle w:val="000000000000"/>
            </w:pPr>
            <w:r w:rsidRPr="007B0C1C">
              <w:t>Accountant.nl</w:t>
            </w:r>
          </w:p>
          <w:p w:rsidR="007473CE" w:rsidRPr="007B0C1C" w:rsidRDefault="007473CE" w:rsidP="00FF1578">
            <w:pPr>
              <w:pStyle w:val="ListParagraph"/>
              <w:numPr>
                <w:ilvl w:val="0"/>
                <w:numId w:val="20"/>
              </w:numPr>
              <w:cnfStyle w:val="000000000000"/>
            </w:pPr>
            <w:r w:rsidRPr="007B0C1C">
              <w:t>Accountancynieuws.nl</w:t>
            </w:r>
          </w:p>
        </w:tc>
        <w:tc>
          <w:tcPr>
            <w:tcW w:w="2508" w:type="dxa"/>
          </w:tcPr>
          <w:p w:rsidR="007473CE" w:rsidRPr="007B0C1C" w:rsidRDefault="007473CE" w:rsidP="00FF1578">
            <w:pPr>
              <w:cnfStyle w:val="000000000000"/>
            </w:pPr>
          </w:p>
        </w:tc>
      </w:tr>
      <w:tr w:rsidR="007473CE" w:rsidTr="00FF1578">
        <w:trPr>
          <w:cnfStyle w:val="000000100000"/>
        </w:trPr>
        <w:tc>
          <w:tcPr>
            <w:cnfStyle w:val="001000000000"/>
            <w:tcW w:w="3300" w:type="dxa"/>
          </w:tcPr>
          <w:p w:rsidR="007473CE" w:rsidRPr="007B0C1C" w:rsidRDefault="007473CE" w:rsidP="00FF1578">
            <w:r w:rsidRPr="007B0C1C">
              <w:lastRenderedPageBreak/>
              <w:t>Boeken</w:t>
            </w:r>
          </w:p>
        </w:tc>
        <w:tc>
          <w:tcPr>
            <w:tcW w:w="3254" w:type="dxa"/>
          </w:tcPr>
          <w:p w:rsidR="007473CE" w:rsidRPr="007B0C1C" w:rsidRDefault="007473CE" w:rsidP="00FF1578">
            <w:pPr>
              <w:cnfStyle w:val="000000100000"/>
            </w:pPr>
            <w:r w:rsidRPr="007B0C1C">
              <w:t>De boeken die gebruikt zijn bij dit onderzoek zijn voornamelijk studieboeken behorende tot de studie Economie en Bedrijfseconomie aan de Universiteit te Rotterdam</w:t>
            </w:r>
          </w:p>
        </w:tc>
        <w:tc>
          <w:tcPr>
            <w:tcW w:w="2508" w:type="dxa"/>
          </w:tcPr>
          <w:p w:rsidR="007473CE" w:rsidRPr="007B0C1C" w:rsidRDefault="007473CE" w:rsidP="00FF1578">
            <w:pPr>
              <w:cnfStyle w:val="000000100000"/>
            </w:pPr>
            <w:r w:rsidRPr="007B0C1C">
              <w:t>De gebruikte boeken zijn voornamelijk Secundaire literatuur.</w:t>
            </w:r>
          </w:p>
        </w:tc>
      </w:tr>
    </w:tbl>
    <w:p w:rsidR="007473CE" w:rsidRDefault="007473CE" w:rsidP="007473CE"/>
    <w:p w:rsidR="007473CE" w:rsidRDefault="007473CE" w:rsidP="007473CE">
      <w:r>
        <w:t xml:space="preserve">Voor een algeheel overzicht van de gebruikte literatuur in dit onderzoek wordt verwezen naar de bibliografie, die zich aan het einde van dit onderzoek bevindt. </w:t>
      </w:r>
    </w:p>
    <w:p w:rsidR="007473CE" w:rsidRPr="00B238A5" w:rsidRDefault="007473CE" w:rsidP="007473CE"/>
    <w:p w:rsidR="007473CE" w:rsidRPr="00B238A5" w:rsidRDefault="007473CE" w:rsidP="007473CE"/>
    <w:p w:rsidR="007473CE" w:rsidRPr="00B238A5" w:rsidRDefault="007473CE" w:rsidP="007473CE">
      <w:r w:rsidRPr="00B238A5">
        <w:br w:type="page"/>
      </w:r>
    </w:p>
    <w:p w:rsidR="007473CE" w:rsidRPr="00B238A5" w:rsidRDefault="007473CE" w:rsidP="007473CE">
      <w:pPr>
        <w:pStyle w:val="Heading1"/>
        <w:numPr>
          <w:ilvl w:val="0"/>
          <w:numId w:val="17"/>
        </w:numPr>
      </w:pPr>
      <w:bookmarkStart w:id="15" w:name="_Toc388967023"/>
      <w:bookmarkStart w:id="16" w:name="_Toc391563908"/>
      <w:bookmarkEnd w:id="10"/>
      <w:bookmarkEnd w:id="11"/>
      <w:bookmarkEnd w:id="12"/>
      <w:bookmarkEnd w:id="13"/>
      <w:bookmarkEnd w:id="14"/>
      <w:r w:rsidRPr="00B238A5">
        <w:lastRenderedPageBreak/>
        <w:t>Theoretisch kader</w:t>
      </w:r>
      <w:bookmarkEnd w:id="15"/>
      <w:bookmarkEnd w:id="16"/>
    </w:p>
    <w:p w:rsidR="007473CE" w:rsidRDefault="007473CE" w:rsidP="008C685C">
      <w:pPr>
        <w:ind w:left="426"/>
        <w:rPr>
          <w:i/>
        </w:rPr>
      </w:pPr>
      <w:r w:rsidRPr="00B238A5">
        <w:rPr>
          <w:i/>
        </w:rPr>
        <w:t>In dit onderzoek zal gebruik worden gemaakt van ve</w:t>
      </w:r>
      <w:r w:rsidR="008C685C">
        <w:rPr>
          <w:i/>
        </w:rPr>
        <w:t>rschillende theorieën. In het theoretisc</w:t>
      </w:r>
      <w:r w:rsidR="00AB3D03">
        <w:rPr>
          <w:i/>
        </w:rPr>
        <w:t>h kader bevinden zich daarom be</w:t>
      </w:r>
      <w:r w:rsidR="008C685C">
        <w:rPr>
          <w:i/>
        </w:rPr>
        <w:t>schrijvingen van deze theorieën. I</w:t>
      </w:r>
      <w:r w:rsidRPr="00B238A5">
        <w:rPr>
          <w:i/>
        </w:rPr>
        <w:t xml:space="preserve">n het onderzoek zal meermaals worden verwezen naar deze theorieën, enerzijds om begrippen te verduidelijken anderzijds om deze te verklaren. </w:t>
      </w:r>
    </w:p>
    <w:p w:rsidR="007473CE" w:rsidRPr="00B238A5" w:rsidRDefault="007473CE" w:rsidP="007473CE">
      <w:pPr>
        <w:pStyle w:val="Heading2"/>
      </w:pPr>
      <w:bookmarkStart w:id="17" w:name="_Toc391563909"/>
      <w:r>
        <w:t>3.1</w:t>
      </w:r>
      <w:r w:rsidRPr="00B238A5">
        <w:t xml:space="preserve"> Agency </w:t>
      </w:r>
      <w:bookmarkEnd w:id="17"/>
      <w:r w:rsidR="00EC3944" w:rsidRPr="00B238A5">
        <w:t>theorie</w:t>
      </w:r>
    </w:p>
    <w:p w:rsidR="007473CE" w:rsidRDefault="007473CE" w:rsidP="007473CE">
      <w:r w:rsidRPr="00B238A5">
        <w:t>De eerste theorie en één van de belangrijkste in dit onderzoek is de agency theorie.</w:t>
      </w:r>
      <w:r w:rsidR="00DB2D93">
        <w:t xml:space="preserve"> De rol van de accountant kan worden verklaard aan de hand van deze theorie. De informatiekloof en belangentegenstellingen</w:t>
      </w:r>
      <w:r w:rsidR="008C685C">
        <w:t>, beide hieronder uitgewerkt,</w:t>
      </w:r>
      <w:r w:rsidR="00DB2D93">
        <w:t xml:space="preserve"> spelen hierbij een belangrijke rol. </w:t>
      </w:r>
    </w:p>
    <w:p w:rsidR="007473CE" w:rsidRDefault="007473CE" w:rsidP="007473CE">
      <w:pPr>
        <w:pStyle w:val="Heading3"/>
      </w:pPr>
      <w:bookmarkStart w:id="18" w:name="_Toc391563910"/>
      <w:r>
        <w:t>3.1</w:t>
      </w:r>
      <w:r w:rsidRPr="00B238A5">
        <w:t>.1 Agent-Principaal relatie</w:t>
      </w:r>
      <w:bookmarkEnd w:id="18"/>
    </w:p>
    <w:p w:rsidR="00ED5591" w:rsidRDefault="007473CE" w:rsidP="007473CE">
      <w:r>
        <w:t xml:space="preserve">Binnen ondernemingen is vaak sprake van een scheiding tussen eigendom en beheer. Het eigendom van de onderneming ligt in handen van de bezitter van vermogen, maar de directe leiding van de onderneming wordt naar de managers gedelegeerd. De agency theorie </w:t>
      </w:r>
      <w:r w:rsidR="00AB3D03">
        <w:t>stelt</w:t>
      </w:r>
      <w:r>
        <w:t xml:space="preserve"> </w:t>
      </w:r>
      <w:r w:rsidR="00DB2D93">
        <w:t xml:space="preserve">dat de aandeelhouders de managers </w:t>
      </w:r>
      <w:r w:rsidR="00EC3944">
        <w:t>taak geven</w:t>
      </w:r>
      <w:r w:rsidR="00DB2D93">
        <w:t xml:space="preserve"> de onderneming te beheersen. </w:t>
      </w:r>
      <w:r>
        <w:t xml:space="preserve"> De eigenaren van de onderneming sluiten dus als het ware een contract met het management</w:t>
      </w:r>
      <w:r w:rsidR="009E6BD8">
        <w:t xml:space="preserve"> (Jensen &amp; Meckling, 1976)</w:t>
      </w:r>
      <w:r w:rsidR="00ED5591">
        <w:t xml:space="preserve">. </w:t>
      </w:r>
    </w:p>
    <w:p w:rsidR="00DB2D93" w:rsidRDefault="00DB2D93" w:rsidP="007473CE">
      <w:r>
        <w:t>De agency theorie spreekt niet over het management of de eigenaren</w:t>
      </w:r>
      <w:r w:rsidR="007473CE">
        <w:t>.</w:t>
      </w:r>
      <w:r>
        <w:t xml:space="preserve"> </w:t>
      </w:r>
      <w:r w:rsidR="00396B28">
        <w:t xml:space="preserve">Het management wordt volgens deze theorie aangeduid als de agent, de eigenaar als de principaal. </w:t>
      </w:r>
    </w:p>
    <w:p w:rsidR="007473CE" w:rsidRDefault="007473CE" w:rsidP="007473CE">
      <w:pPr>
        <w:pStyle w:val="Heading3"/>
      </w:pPr>
      <w:bookmarkStart w:id="19" w:name="_Toc391563911"/>
      <w:r>
        <w:t>3.1</w:t>
      </w:r>
      <w:r w:rsidRPr="00B238A5">
        <w:t>.2 Agency problemen</w:t>
      </w:r>
      <w:bookmarkEnd w:id="19"/>
    </w:p>
    <w:p w:rsidR="009E6BD8" w:rsidRDefault="00396B28" w:rsidP="007473CE">
      <w:r>
        <w:t>De</w:t>
      </w:r>
      <w:r w:rsidR="007473CE">
        <w:t xml:space="preserve"> functiescheiding</w:t>
      </w:r>
      <w:r>
        <w:t>, tussen eigendom en beheer,</w:t>
      </w:r>
      <w:r w:rsidR="007473CE">
        <w:t xml:space="preserve"> leidt tot meer efficiënte in het besturen van de onderneming. De functiescheiding kan daarentegen ook leiden tot verschillende problemen. Binnen de agency theorie </w:t>
      </w:r>
      <w:r w:rsidR="00EC3944">
        <w:t>beschrijft</w:t>
      </w:r>
      <w:r w:rsidR="007473CE">
        <w:t xml:space="preserve"> twee duidelijke probleme</w:t>
      </w:r>
      <w:r w:rsidR="00EC3944">
        <w:t>n van deze functiescheiding</w:t>
      </w:r>
      <w:r w:rsidR="007473CE">
        <w:t>. Ten eerste kunnen de belangen van de principaal afwijken van de belangen van het management. Beide partijen proberen hun eigen belangen na te streven, waardoor deze belangentegenstellingen kunnen leiden tot problemen</w:t>
      </w:r>
      <w:r w:rsidR="009E6BD8">
        <w:t xml:space="preserve"> (Hill &amp; Jones, 1992)</w:t>
      </w:r>
      <w:r w:rsidR="007473CE">
        <w:t>. Het tweede probleem dat gepaard kan gaan met de functiescheiding is informatie asymmetrie. Over het algemeen beschikt de agent over meer informatie dan de principaal. Door deze informatie asymmetrie is de principaal niet altijd in staat om vast te stellen of de agent in het belang van de principaal handelt</w:t>
      </w:r>
      <w:r w:rsidR="009E6BD8">
        <w:t xml:space="preserve"> (Abrahamson &amp; Park, 1994)</w:t>
      </w:r>
    </w:p>
    <w:p w:rsidR="00396B28" w:rsidRDefault="007473CE" w:rsidP="007473CE">
      <w:r>
        <w:t xml:space="preserve">De problemen die zich voordoen als gevolg van de functiescheiding kunnen kosten met zich mee brengen, de zogenaamde agency kosten. </w:t>
      </w:r>
      <w:r w:rsidR="00396B28">
        <w:t>De agency theorie onderscheidt drie soorten agency-kosten (Jensen &amp; Meckling, 1976) :</w:t>
      </w:r>
    </w:p>
    <w:p w:rsidR="007473CE" w:rsidRDefault="007473CE" w:rsidP="007473CE">
      <w:pPr>
        <w:pStyle w:val="ListParagraph"/>
        <w:numPr>
          <w:ilvl w:val="0"/>
          <w:numId w:val="29"/>
        </w:numPr>
      </w:pPr>
      <w:r>
        <w:t>De monitor kosten: kosten die de principaal moet maken om de agent te kunnen controleren</w:t>
      </w:r>
    </w:p>
    <w:p w:rsidR="007473CE" w:rsidRDefault="007473CE" w:rsidP="007473CE">
      <w:pPr>
        <w:pStyle w:val="ListParagraph"/>
        <w:numPr>
          <w:ilvl w:val="0"/>
          <w:numId w:val="29"/>
        </w:numPr>
      </w:pPr>
      <w:r>
        <w:t>De bindingskosten: kosten die de agent maakt om de principaal te overtuigen dat de agent in het belang van de principaal werkt.</w:t>
      </w:r>
    </w:p>
    <w:p w:rsidR="007473CE" w:rsidRDefault="007473CE" w:rsidP="007473CE">
      <w:pPr>
        <w:pStyle w:val="ListParagraph"/>
        <w:numPr>
          <w:ilvl w:val="0"/>
          <w:numId w:val="29"/>
        </w:numPr>
      </w:pPr>
      <w:r>
        <w:lastRenderedPageBreak/>
        <w:t xml:space="preserve">Residuele verlies: de mate waarin de agent erin slaat doelstellingen te behalen anders dan de doelstellingen van de principaal. </w:t>
      </w:r>
    </w:p>
    <w:p w:rsidR="007473CE" w:rsidRDefault="007473CE" w:rsidP="007473CE">
      <w:r>
        <w:t>Het uiteindelijk doel is om deze agency kosten zo klein mogelijk te doen uitvallen, waarbij bijvoorbeeld de accountant</w:t>
      </w:r>
      <w:r w:rsidR="00EC3944">
        <w:t xml:space="preserve"> zou kunnen </w:t>
      </w:r>
      <w:r>
        <w:t>helpen</w:t>
      </w:r>
      <w:r>
        <w:rPr>
          <w:rStyle w:val="FootnoteReference"/>
        </w:rPr>
        <w:footnoteReference w:id="2"/>
      </w:r>
      <w:r>
        <w:t xml:space="preserve">. </w:t>
      </w:r>
    </w:p>
    <w:p w:rsidR="007473CE" w:rsidRPr="00B238A5" w:rsidRDefault="007473CE" w:rsidP="007473CE">
      <w:pPr>
        <w:pStyle w:val="Heading2"/>
      </w:pPr>
      <w:bookmarkStart w:id="20" w:name="_Toc388962972"/>
      <w:bookmarkStart w:id="21" w:name="_Toc388963034"/>
      <w:bookmarkStart w:id="22" w:name="_Toc388967027"/>
      <w:bookmarkStart w:id="23" w:name="_Toc391563912"/>
      <w:r>
        <w:t>3.2</w:t>
      </w:r>
      <w:r w:rsidRPr="00B238A5">
        <w:t xml:space="preserve"> Stakeholdertheorie</w:t>
      </w:r>
      <w:bookmarkEnd w:id="20"/>
      <w:bookmarkEnd w:id="21"/>
      <w:bookmarkEnd w:id="22"/>
      <w:bookmarkEnd w:id="23"/>
    </w:p>
    <w:p w:rsidR="007473CE" w:rsidRPr="00B238A5" w:rsidRDefault="00396B28" w:rsidP="007473CE">
      <w:r>
        <w:t xml:space="preserve">Alvorens de bespreking van de stakeholdertheorie, zal </w:t>
      </w:r>
      <w:r w:rsidR="00AB3D03">
        <w:t>eerst</w:t>
      </w:r>
      <w:r>
        <w:t xml:space="preserve"> worden beschreven wat daadwerkelijk de betekenis van het begrip stakeholder</w:t>
      </w:r>
      <w:r w:rsidR="00AB3D03" w:rsidRPr="00AB3D03">
        <w:t xml:space="preserve"> </w:t>
      </w:r>
      <w:r w:rsidR="00AB3D03">
        <w:t>is</w:t>
      </w:r>
      <w:r>
        <w:t xml:space="preserve">. </w:t>
      </w:r>
      <w:r w:rsidR="007473CE" w:rsidRPr="00B238A5">
        <w:t xml:space="preserve">Freeman, bekend om zijn literatuur met betrekking tot de stakeholdertheorie, definieerde stakeholders als volgt: </w:t>
      </w:r>
    </w:p>
    <w:p w:rsidR="007473CE" w:rsidRPr="005B4E27" w:rsidRDefault="007473CE" w:rsidP="007473CE">
      <w:r w:rsidRPr="00B238A5">
        <w:rPr>
          <w:i/>
          <w:lang w:val="en-US"/>
        </w:rPr>
        <w:t>“Stakeholders, originally defined as those who are affected by and/or can affect achievement of the firm’s objectives.”</w:t>
      </w:r>
      <w:r w:rsidR="009E6BD8">
        <w:rPr>
          <w:i/>
          <w:lang w:val="en-US"/>
        </w:rPr>
        <w:t xml:space="preserve"> </w:t>
      </w:r>
      <w:r w:rsidR="009E6BD8" w:rsidRPr="005B4E27">
        <w:t xml:space="preserve">(Freeman, 2010 p. 46) </w:t>
      </w:r>
    </w:p>
    <w:p w:rsidR="007473CE" w:rsidRPr="00B238A5" w:rsidRDefault="007473CE" w:rsidP="007473CE">
      <w:r w:rsidRPr="00B238A5">
        <w:t>Kort gezegd beïnvloed</w:t>
      </w:r>
      <w:r>
        <w:t>t</w:t>
      </w:r>
      <w:r w:rsidRPr="00B238A5">
        <w:t xml:space="preserve"> de onderneming met zijn activiteiten de stakeholders en </w:t>
      </w:r>
      <w:r w:rsidR="005B4E27">
        <w:t xml:space="preserve">beïnvloeden de stakeholders daarentegen ook </w:t>
      </w:r>
      <w:r w:rsidRPr="00B238A5">
        <w:t>de activiteiten van de onderneming. Vaak wordt Freeman gezien als de grondlegger van de stakeholder theorie</w:t>
      </w:r>
      <w:r w:rsidR="00EC3944">
        <w:t xml:space="preserve"> (Melis, 2013)</w:t>
      </w:r>
      <w:r w:rsidRPr="00B238A5">
        <w:t xml:space="preserve">. </w:t>
      </w:r>
    </w:p>
    <w:p w:rsidR="007473CE" w:rsidRPr="00B238A5" w:rsidRDefault="007473CE" w:rsidP="007473CE">
      <w:r w:rsidRPr="00B238A5">
        <w:t>Traditioneel waren de ondernemingen vooral gericht op de aandeelhouders van deze onderneming. De onderneming had als taak de behoeft</w:t>
      </w:r>
      <w:r w:rsidR="00D923DF">
        <w:t>en</w:t>
      </w:r>
      <w:r w:rsidRPr="00B238A5">
        <w:t xml:space="preserve"> van de aandeelhouders bovenaan te zetten zodat de waarde voor de aandeelhouders zou stijgen</w:t>
      </w:r>
      <w:r w:rsidR="000028C5">
        <w:t xml:space="preserve"> (Palepu, Healy &amp; Peek, 2013).</w:t>
      </w:r>
      <w:r w:rsidRPr="00B238A5">
        <w:t xml:space="preserve"> Bij de stakeholder theorie wordt hiervan afgestapt. De stakeholder theorie laat zien dat er nog meer partijen betrokken zijn bij een onderneming. Bijvoorbeeld werknemers, klanten, leveranciers en de maatschappij waarin zij betrokken zijn</w:t>
      </w:r>
      <w:r w:rsidR="000028C5">
        <w:t xml:space="preserve"> (Boot &amp; Soeting, 2004)</w:t>
      </w:r>
      <w:r w:rsidRPr="00B238A5">
        <w:t>. Er wordt vanuit gegaan dat dus niet alleen rekening moet worden gehouden met de aandeelhouders maar ook met al deze andere belanghebbenden. Het is niet zo dat de aandeelhouders helemaal niet meer van belang zij</w:t>
      </w:r>
      <w:r>
        <w:t xml:space="preserve">n bij deze theorie. Sterker nog, </w:t>
      </w:r>
      <w:r w:rsidRPr="00B238A5">
        <w:t xml:space="preserve">het doel om de aandeelhouders tevreden te houden blijft gewoon bestaan. </w:t>
      </w:r>
    </w:p>
    <w:p w:rsidR="007473CE" w:rsidRPr="00B238A5" w:rsidRDefault="007473CE" w:rsidP="007473CE">
      <w:r>
        <w:t xml:space="preserve">Er zijn drie </w:t>
      </w:r>
      <w:r w:rsidRPr="00B238A5">
        <w:t>principes van de stakeholdertheorie</w:t>
      </w:r>
      <w:r w:rsidRPr="001D4DD2">
        <w:t xml:space="preserve"> </w:t>
      </w:r>
      <w:r w:rsidR="000028C5">
        <w:t>(de Waard, 2008):</w:t>
      </w:r>
    </w:p>
    <w:p w:rsidR="007473CE" w:rsidRPr="00B238A5" w:rsidRDefault="007473CE" w:rsidP="007473CE">
      <w:pPr>
        <w:pStyle w:val="ListParagraph"/>
        <w:numPr>
          <w:ilvl w:val="0"/>
          <w:numId w:val="2"/>
        </w:numPr>
        <w:spacing w:after="160"/>
      </w:pPr>
      <w:r w:rsidRPr="00B238A5">
        <w:t xml:space="preserve">Normatieve </w:t>
      </w:r>
      <w:r>
        <w:t>benadering</w:t>
      </w:r>
    </w:p>
    <w:p w:rsidR="007473CE" w:rsidRPr="00B238A5" w:rsidRDefault="007473CE" w:rsidP="007473CE">
      <w:pPr>
        <w:pStyle w:val="ListParagraph"/>
        <w:numPr>
          <w:ilvl w:val="0"/>
          <w:numId w:val="2"/>
        </w:numPr>
        <w:spacing w:after="160"/>
      </w:pPr>
      <w:r w:rsidRPr="00B238A5">
        <w:t xml:space="preserve">Instrumentele </w:t>
      </w:r>
      <w:r>
        <w:t>benadering</w:t>
      </w:r>
    </w:p>
    <w:p w:rsidR="007473CE" w:rsidRPr="00B238A5" w:rsidRDefault="007473CE" w:rsidP="007473CE">
      <w:pPr>
        <w:pStyle w:val="ListParagraph"/>
        <w:numPr>
          <w:ilvl w:val="0"/>
          <w:numId w:val="2"/>
        </w:numPr>
        <w:spacing w:after="160"/>
      </w:pPr>
      <w:r w:rsidRPr="00B238A5">
        <w:t xml:space="preserve">Descriptieve </w:t>
      </w:r>
      <w:r>
        <w:t>benadering</w:t>
      </w:r>
    </w:p>
    <w:p w:rsidR="007473CE" w:rsidRPr="00B238A5" w:rsidRDefault="00ED5591" w:rsidP="007473CE">
      <w:r>
        <w:t>Bij d</w:t>
      </w:r>
      <w:r w:rsidR="004B51F6">
        <w:t>e</w:t>
      </w:r>
      <w:r w:rsidR="00F13E65">
        <w:t xml:space="preserve"> normatieve benadering moet de onderneming nagaan wat zij moeten en kunnen doen om de belangen van de stakeholders te betrekken bij de ondernemingsactiviteiten</w:t>
      </w:r>
      <w:r w:rsidR="004B51F6">
        <w:t>.</w:t>
      </w:r>
      <w:r w:rsidR="008D4D20">
        <w:t xml:space="preserve"> De stakeholderbelangen moeten volgens deze benadering bij de ondernemingsactiviteiten worden betrokken vanuit een moreel en ethisch perspectief en niet om dat dit ten goede komt aan de aandeelhouders of de onderneming zelf. </w:t>
      </w:r>
      <w:r w:rsidR="006A70E2">
        <w:t xml:space="preserve"> </w:t>
      </w:r>
      <w:r w:rsidR="00F13E65">
        <w:t xml:space="preserve">Dit staat aan de basis van de stakeholdertheorie. </w:t>
      </w:r>
      <w:r w:rsidR="009F4DD6">
        <w:t xml:space="preserve">De stakeholders worden gezien als middel om de ondernemingsdoelstellingen te bereiken bij de instrumentele benadering. Door op een bewuste manier om te gaan met de stakeholders kan dit bijdragen aan het behalen van </w:t>
      </w:r>
      <w:r w:rsidR="008D4D20">
        <w:t>betere prestaties</w:t>
      </w:r>
      <w:r w:rsidR="009F4DD6">
        <w:t xml:space="preserve">. </w:t>
      </w:r>
      <w:r w:rsidR="00B775C1">
        <w:t xml:space="preserve">Er moet dus een </w:t>
      </w:r>
      <w:r w:rsidR="00B775C1">
        <w:lastRenderedPageBreak/>
        <w:t xml:space="preserve">link worden gelegd tussen stakeholder management en het bereiken van de ondernemingsdoelstellingen. De descriptieve benadering </w:t>
      </w:r>
      <w:r w:rsidR="004B51F6">
        <w:t>beschrijft de daadwerkelijke kenmerken van de onderneming. De benadering kan worden gebruikt om aan te tonen welke stakeholders belangrijk zijn en hoe er door de onderneming met de stakeholders wordt omgegaan</w:t>
      </w:r>
      <w:r w:rsidR="000028C5">
        <w:t xml:space="preserve"> (Donaldson &amp; Preston, 1995).</w:t>
      </w:r>
    </w:p>
    <w:p w:rsidR="007473CE" w:rsidRPr="00B238A5" w:rsidRDefault="007473CE" w:rsidP="007473CE">
      <w:pPr>
        <w:pStyle w:val="Heading2"/>
      </w:pPr>
      <w:bookmarkStart w:id="24" w:name="_Toc388962973"/>
      <w:bookmarkStart w:id="25" w:name="_Toc388963035"/>
      <w:bookmarkStart w:id="26" w:name="_Toc388967028"/>
      <w:bookmarkStart w:id="27" w:name="_Toc391563913"/>
      <w:r>
        <w:t>3.3</w:t>
      </w:r>
      <w:r w:rsidR="00D923DF">
        <w:t xml:space="preserve"> L</w:t>
      </w:r>
      <w:r w:rsidRPr="00B238A5">
        <w:t>egitimiteitstheorie</w:t>
      </w:r>
      <w:bookmarkEnd w:id="24"/>
      <w:bookmarkEnd w:id="25"/>
      <w:bookmarkEnd w:id="26"/>
      <w:bookmarkEnd w:id="27"/>
    </w:p>
    <w:p w:rsidR="007473CE" w:rsidRPr="00B238A5" w:rsidRDefault="007473CE" w:rsidP="007473CE">
      <w:r w:rsidRPr="00B238A5">
        <w:t>In het verlengde van de stakeholder theo</w:t>
      </w:r>
      <w:r w:rsidR="00375480">
        <w:t>rie bevindt zich de legitimiteits</w:t>
      </w:r>
      <w:r w:rsidRPr="00B238A5">
        <w:t xml:space="preserve">theorie. </w:t>
      </w:r>
      <w:r w:rsidR="008D4D20">
        <w:t>Bij deze theorie gaat het om de maatschappelijke positie van de ondernem</w:t>
      </w:r>
      <w:r w:rsidR="00130264">
        <w:t xml:space="preserve">ing en in hoeverre de onderneming word </w:t>
      </w:r>
      <w:r w:rsidR="008D4D20">
        <w:t xml:space="preserve">geaccepteerd door de maatschappij. </w:t>
      </w:r>
      <w:r>
        <w:t>Bij de legitimiteitstheorie worden de betrokkenen nog verder uitgebreid, van enkel de stakeholders naar de gehele maatschappij</w:t>
      </w:r>
      <w:r w:rsidR="000028C5">
        <w:t xml:space="preserve"> (Boot &amp; Soeting, 2004)</w:t>
      </w:r>
      <w:r>
        <w:t xml:space="preserve">. </w:t>
      </w:r>
      <w:r w:rsidRPr="00B238A5">
        <w:t xml:space="preserve">Het bestaansrecht van de onderneming wordt volgens deze theorie ontleent aan een contract dat de onderneming sluit met de omgeving, de stakeholders. Als de sociale normen en waarden van de activiteiten van de onderneming overeenkomen met de sociale normen en waarden van de gehele maatschappij waarin de onderneming zich bevindt </w:t>
      </w:r>
      <w:r w:rsidR="00375480">
        <w:t>dan is er sprake van legitimiteit</w:t>
      </w:r>
      <w:r w:rsidR="000028C5">
        <w:t xml:space="preserve"> (van der Laan, 2009)</w:t>
      </w:r>
      <w:r w:rsidR="00375480">
        <w:t>.</w:t>
      </w:r>
      <w:r w:rsidRPr="00B238A5">
        <w:t xml:space="preserve"> Voor een onderneming is het daarom van belang</w:t>
      </w:r>
      <w:r>
        <w:t xml:space="preserve"> om rekening te houden met drie a</w:t>
      </w:r>
      <w:r w:rsidRPr="00B238A5">
        <w:t xml:space="preserve">specten van ondernemen: </w:t>
      </w:r>
    </w:p>
    <w:p w:rsidR="007473CE" w:rsidRPr="00B238A5" w:rsidRDefault="007473CE" w:rsidP="007473CE">
      <w:pPr>
        <w:pStyle w:val="ListParagraph"/>
        <w:numPr>
          <w:ilvl w:val="0"/>
          <w:numId w:val="3"/>
        </w:numPr>
        <w:spacing w:after="160"/>
      </w:pPr>
      <w:r w:rsidRPr="00B238A5">
        <w:t>Economisch handelen</w:t>
      </w:r>
    </w:p>
    <w:p w:rsidR="007473CE" w:rsidRPr="00B238A5" w:rsidRDefault="007473CE" w:rsidP="007473CE">
      <w:pPr>
        <w:pStyle w:val="ListParagraph"/>
        <w:numPr>
          <w:ilvl w:val="0"/>
          <w:numId w:val="3"/>
        </w:numPr>
        <w:spacing w:after="160"/>
      </w:pPr>
      <w:r w:rsidRPr="00B238A5">
        <w:t>Naleving van wet- en regelgeving</w:t>
      </w:r>
    </w:p>
    <w:p w:rsidR="007473CE" w:rsidRPr="00B238A5" w:rsidRDefault="007473CE" w:rsidP="007473CE">
      <w:pPr>
        <w:pStyle w:val="ListParagraph"/>
        <w:numPr>
          <w:ilvl w:val="0"/>
          <w:numId w:val="3"/>
        </w:numPr>
        <w:spacing w:after="160"/>
      </w:pPr>
      <w:r w:rsidRPr="00B238A5">
        <w:t xml:space="preserve">Nastreven van legitimiteit </w:t>
      </w:r>
    </w:p>
    <w:p w:rsidR="007473CE" w:rsidRPr="00B238A5" w:rsidRDefault="007473CE" w:rsidP="007473CE">
      <w:r w:rsidRPr="00B238A5">
        <w:t>Als de situatie zich voordoet dat de normen en waarden van de ondernemingsactiviteiten niet overeenkomen met de normen en waarde van de maatschappij waarin de onderneming zich bevindt, zal de maatschappij zich teg</w:t>
      </w:r>
      <w:r w:rsidR="00375480">
        <w:t>en de onderneming</w:t>
      </w:r>
      <w:r w:rsidRPr="00B238A5">
        <w:t xml:space="preserve"> keren. De maatschappij zal proberen de onderneming weg te drijven. Kortom de onderneming heeft zijn bestaansrecht te danken aan de maatschappij</w:t>
      </w:r>
      <w:bookmarkStart w:id="28" w:name="_Toc388962969"/>
      <w:bookmarkStart w:id="29" w:name="_Toc388963031"/>
      <w:bookmarkStart w:id="30" w:name="_Toc388967024"/>
      <w:r w:rsidR="000028C5">
        <w:t xml:space="preserve"> (de Waard, 2008). </w:t>
      </w:r>
    </w:p>
    <w:p w:rsidR="007473CE" w:rsidRDefault="00D923DF" w:rsidP="007473CE">
      <w:pPr>
        <w:pStyle w:val="Heading2"/>
      </w:pPr>
      <w:bookmarkStart w:id="31" w:name="_Toc391563914"/>
      <w:bookmarkEnd w:id="28"/>
      <w:bookmarkEnd w:id="29"/>
      <w:bookmarkEnd w:id="30"/>
      <w:r>
        <w:t>3.4 V</w:t>
      </w:r>
      <w:r w:rsidR="007473CE" w:rsidRPr="00B238A5">
        <w:t>ertrouwenstheorie van Limperg</w:t>
      </w:r>
      <w:bookmarkEnd w:id="31"/>
    </w:p>
    <w:p w:rsidR="005371C4" w:rsidRDefault="008E77AD" w:rsidP="008E77AD">
      <w:r>
        <w:t xml:space="preserve">De laatste theorie die behandelt zal worden is de vertrouwenstheorie van Limperg. </w:t>
      </w:r>
      <w:r w:rsidR="005B4E27">
        <w:t xml:space="preserve">De agency theorie toont al aan dat de maatschappij geen genoegen kan nemen met de informatie die is vrijgegeven door het management. </w:t>
      </w:r>
      <w:r>
        <w:t xml:space="preserve">Te zien was dat verschillende problemen er voor </w:t>
      </w:r>
      <w:r w:rsidR="005B4E27">
        <w:t xml:space="preserve">kunnen </w:t>
      </w:r>
      <w:r>
        <w:t xml:space="preserve"> zorgen dat het vertrouwen in het management niet vanzelfsprekend is. De vertrouwenstheorie van Limperg vertrekt eigenlijk van dit zelfde punt, en noemt de accountant </w:t>
      </w:r>
      <w:r w:rsidR="005B4E27">
        <w:t xml:space="preserve">dan ook </w:t>
      </w:r>
      <w:r>
        <w:t>de vertrouwensman van de maatschappij. Eén van de belangrijkste aspecten van de functie als accountant is volgens deze theorie het vertrouwen van de maatschappij in de accountant. Als de maatschappij geen vertrouwen zou hebben in de accountant, dan zou het beroep geen bestaansrecht hebben</w:t>
      </w:r>
      <w:r w:rsidR="00D4725B">
        <w:t xml:space="preserve"> (Limperg, 1932)</w:t>
      </w:r>
      <w:r>
        <w:t xml:space="preserve">. </w:t>
      </w:r>
      <w:r w:rsidR="005371C4">
        <w:t>Hierom is het middelpunt van de vertrouwensthoerie dat de accountant verplicht is om zijn werk op een zodanige wijze uit te voeren dat hij voldoet aan de verwachtingen die hij oproept, en dat hij geen grotere verwachtingen mag opwekken dan gerechtvaardigd wordt door het werk wat hij doet</w:t>
      </w:r>
      <w:r w:rsidR="00D4725B">
        <w:t xml:space="preserve"> (Wallage, 2005).</w:t>
      </w:r>
    </w:p>
    <w:p w:rsidR="008E77AD" w:rsidRDefault="005371C4" w:rsidP="008E77AD">
      <w:r>
        <w:t>Het gevaar zit hem met name in de te hoge verwachtingen van het publiek. Als er sprake is van een hogere verwachting dan de accountant kan waarmaken, vormt dit een gevaar voor het accountants</w:t>
      </w:r>
      <w:r w:rsidR="00E528E8">
        <w:t>beroep</w:t>
      </w:r>
      <w:r>
        <w:t>. Worden deze verwachtingen namelijk niet waar gemaakt</w:t>
      </w:r>
      <w:r w:rsidR="005B4E27">
        <w:t>,</w:t>
      </w:r>
      <w:r>
        <w:t xml:space="preserve"> kan dit leiden tot telleurstelling en aangetast </w:t>
      </w:r>
      <w:r>
        <w:lastRenderedPageBreak/>
        <w:t>vertrouwen in de accountant</w:t>
      </w:r>
      <w:r w:rsidR="00D4725B">
        <w:t xml:space="preserve"> (Limperg, 1932)</w:t>
      </w:r>
      <w:r>
        <w:t xml:space="preserve">. </w:t>
      </w:r>
      <w:r w:rsidR="005B4E27">
        <w:t>De verwachtingskloof is hierbij h</w:t>
      </w:r>
      <w:r>
        <w:t>et verschil tussen wat het publiek, het maatschappelijke verkeer verwacht van een accountant en wat de accountant daa</w:t>
      </w:r>
      <w:r w:rsidR="005B4E27">
        <w:t xml:space="preserve">dwerkelijk biedt of kan bieden </w:t>
      </w:r>
      <w:r w:rsidR="00D4725B">
        <w:t>(</w:t>
      </w:r>
      <w:r w:rsidR="005B4E27">
        <w:t xml:space="preserve">van </w:t>
      </w:r>
      <w:r w:rsidR="00D4725B">
        <w:t xml:space="preserve">Onzenoort, 2009). </w:t>
      </w:r>
    </w:p>
    <w:p w:rsidR="005371C4" w:rsidRDefault="005371C4" w:rsidP="008E77AD"/>
    <w:p w:rsidR="005371C4" w:rsidRPr="008E77AD" w:rsidRDefault="005371C4" w:rsidP="008E77AD">
      <w:r>
        <w:br w:type="page"/>
      </w:r>
    </w:p>
    <w:p w:rsidR="007473CE" w:rsidRPr="00D91581" w:rsidRDefault="007473CE" w:rsidP="007473CE">
      <w:pPr>
        <w:pStyle w:val="Heading1"/>
        <w:numPr>
          <w:ilvl w:val="0"/>
          <w:numId w:val="17"/>
        </w:numPr>
        <w:rPr>
          <w:rFonts w:eastAsiaTheme="minorHAnsi"/>
          <w:lang w:val="en-GB"/>
        </w:rPr>
      </w:pPr>
      <w:bookmarkStart w:id="32" w:name="_Toc391563915"/>
      <w:r w:rsidRPr="00D91581">
        <w:rPr>
          <w:rFonts w:eastAsiaTheme="minorHAnsi"/>
          <w:lang w:val="en-GB"/>
        </w:rPr>
        <w:lastRenderedPageBreak/>
        <w:t>De accountant</w:t>
      </w:r>
      <w:bookmarkEnd w:id="32"/>
    </w:p>
    <w:p w:rsidR="007473CE" w:rsidRPr="00B238A5" w:rsidRDefault="007473CE" w:rsidP="007473CE">
      <w:pPr>
        <w:ind w:left="360"/>
        <w:rPr>
          <w:i/>
        </w:rPr>
      </w:pPr>
      <w:r w:rsidRPr="005371C4">
        <w:rPr>
          <w:i/>
        </w:rPr>
        <w:t>Het hoofdstuk ‘De accountant’ probeert een antwoord te geven op de deelv</w:t>
      </w:r>
      <w:r w:rsidRPr="00B238A5">
        <w:rPr>
          <w:i/>
        </w:rPr>
        <w:t xml:space="preserve">raag: “Wat is in het algemeen de rol van de accountant?”. Dit hoofdstuk en het antwoord op deze deelvraag kunnen niet ontbreken in het onderzoek naar de invloed van maatschappelijke verslaggeving en </w:t>
      </w:r>
      <w:r>
        <w:rPr>
          <w:i/>
        </w:rPr>
        <w:t>IR</w:t>
      </w:r>
      <w:r w:rsidRPr="00B238A5">
        <w:rPr>
          <w:i/>
        </w:rPr>
        <w:t xml:space="preserve"> op het accountantsberoep. In het hoofdstuk zullen achtereenvolgens uiteen worden gezet hoe het beroep is ontstaan, hoe het beroep kan worden verklaard en welke werkzaamheden behoren tot het accountantsberoep. </w:t>
      </w:r>
    </w:p>
    <w:p w:rsidR="007473CE" w:rsidRPr="00B238A5" w:rsidRDefault="007473CE" w:rsidP="007473CE">
      <w:pPr>
        <w:pStyle w:val="Heading2"/>
      </w:pPr>
      <w:bookmarkStart w:id="33" w:name="_Toc391563916"/>
      <w:r>
        <w:t>4</w:t>
      </w:r>
      <w:r w:rsidRPr="00B238A5">
        <w:t>.1 Pincoffs-affaire</w:t>
      </w:r>
      <w:bookmarkEnd w:id="33"/>
    </w:p>
    <w:p w:rsidR="007473CE" w:rsidRDefault="007473CE" w:rsidP="007473CE">
      <w:r w:rsidRPr="00B238A5">
        <w:t xml:space="preserve">Het accountantsberoep is al meer dan </w:t>
      </w:r>
      <w:r w:rsidR="00E528E8">
        <w:t>honderd</w:t>
      </w:r>
      <w:r w:rsidRPr="00B238A5">
        <w:t xml:space="preserve"> jaar oud,</w:t>
      </w:r>
      <w:r>
        <w:t xml:space="preserve"> waarbij vaak wordt gezegd dat de Pincoffs-affaire het ‘trigger-event’ was voor het ontstaan van het accountantsberoep</w:t>
      </w:r>
      <w:r w:rsidRPr="00B238A5">
        <w:t>.</w:t>
      </w:r>
      <w:r>
        <w:t xml:space="preserve"> Lodewijk Pincoffs </w:t>
      </w:r>
      <w:r w:rsidRPr="00B238A5">
        <w:t>was eigenaa</w:t>
      </w:r>
      <w:r>
        <w:t xml:space="preserve">r van talrijke </w:t>
      </w:r>
      <w:r w:rsidR="00D923DF">
        <w:t>ondernemingen. E</w:t>
      </w:r>
      <w:r w:rsidRPr="00B238A5">
        <w:t xml:space="preserve">én daarvan was de Afrikaanse Handelsvereniging. Later zou deze Afrikaanse Handelsvereniging bekend komen te staan als een van de eerste ondernemingen die geassocieerd kon worden met een boekhoudschandaal. De Afrikaanse Handelsvereniging dreef handel aan de westkust van Afrika. </w:t>
      </w:r>
      <w:r>
        <w:t xml:space="preserve">Omdat de </w:t>
      </w:r>
      <w:r w:rsidR="00D923DF">
        <w:t>handel in de jaren `70 van de negentiende</w:t>
      </w:r>
      <w:r>
        <w:t xml:space="preserve"> eeuw steeds meer begon af te nemen, zag Pincoffs redenen om de cijfers te vervalsen. In die tijd was er voor accountants nog geen verplichting om onafhankelijk te werk te gaan. Hierdoor kon Pincoffs de boekhouders onder druk zetten om de balansen en boeken beter te doen voorkomen dan dat zij daadwerkelijk waren. Zo werden grote verliezen ongemerkt omgezet in winsten. Uiteindelijk is dit alles aan het licht gekomen waardoor in Nederland de onafhankelijke accountant verplicht is gesteld. Dit om grote schandalen, als de zogenaamde Pincoffs-affaire te kunnen voorkomen</w:t>
      </w:r>
      <w:r w:rsidR="006C30F1">
        <w:t xml:space="preserve"> (Eimers, 2008)</w:t>
      </w:r>
      <w:r>
        <w:t xml:space="preserve">. </w:t>
      </w:r>
    </w:p>
    <w:p w:rsidR="007473CE" w:rsidRPr="00B238A5" w:rsidRDefault="007473CE" w:rsidP="007473CE">
      <w:pPr>
        <w:pStyle w:val="Heading2"/>
      </w:pPr>
      <w:bookmarkStart w:id="34" w:name="_Toc391563917"/>
      <w:r>
        <w:t>4</w:t>
      </w:r>
      <w:r w:rsidRPr="00B238A5">
        <w:t>.2 Verklaring accountantsberoep</w:t>
      </w:r>
      <w:bookmarkEnd w:id="34"/>
    </w:p>
    <w:p w:rsidR="007473CE" w:rsidRPr="00B238A5" w:rsidRDefault="007473CE" w:rsidP="007473CE">
      <w:r w:rsidRPr="00B238A5">
        <w:t>De Pincoffs-affaire wordt aangemerkt als het b</w:t>
      </w:r>
      <w:r w:rsidR="00D923DF">
        <w:t>egin van het accountantsberoep. E</w:t>
      </w:r>
      <w:r w:rsidRPr="00B238A5">
        <w:t>en wetenschappelijke verklaring voor het beroep is het echter niet. Om het accountantsberoep</w:t>
      </w:r>
      <w:r w:rsidR="00D923DF">
        <w:t>,</w:t>
      </w:r>
      <w:r w:rsidRPr="00B238A5">
        <w:t xml:space="preserve"> en dan met name de accountantscontrole</w:t>
      </w:r>
      <w:r w:rsidR="00D923DF">
        <w:t>,</w:t>
      </w:r>
      <w:r w:rsidRPr="00B238A5">
        <w:t xml:space="preserve"> te verklaren bestaan meerdere theorieën. In dit onderzoek is gekozen de functie te verklaren met behulp van de agency theorie</w:t>
      </w:r>
      <w:r w:rsidRPr="00B238A5">
        <w:rPr>
          <w:rStyle w:val="FootnoteReference"/>
        </w:rPr>
        <w:footnoteReference w:id="3"/>
      </w:r>
      <w:r w:rsidRPr="00B238A5">
        <w:t xml:space="preserve">. Dit omdat deze theorie algemeen aanvaard wordt als verklaring voor het accountantsberoep en omdat het goed de problemen verklaard die zich kunnen voordoen wanneer er geen controle zou zijn. </w:t>
      </w:r>
    </w:p>
    <w:p w:rsidR="007473CE" w:rsidRPr="00B238A5" w:rsidRDefault="007473CE" w:rsidP="007473CE">
      <w:r w:rsidRPr="00B238A5">
        <w:t>In ondernemingen is het veel</w:t>
      </w:r>
      <w:r w:rsidR="00763B67">
        <w:t xml:space="preserve"> </w:t>
      </w:r>
      <w:r w:rsidRPr="00B238A5">
        <w:t xml:space="preserve">voorkomend dat taken en bevoegdheden door de aandeelhouders worden gedelegeerd aan het management. </w:t>
      </w:r>
      <w:r>
        <w:t xml:space="preserve">De aandeelhouders moeten daarvoor vertrouwen hebben in het handelen van het management. </w:t>
      </w:r>
      <w:r w:rsidRPr="00B238A5">
        <w:t>Er zijn echter twee redenen die het voor de aandeelhouders lastig maken om het management volledig te vertrouwen</w:t>
      </w:r>
      <w:r>
        <w:t>, ook wel de agency-problemen</w:t>
      </w:r>
      <w:r>
        <w:rPr>
          <w:rStyle w:val="FootnoteReference"/>
        </w:rPr>
        <w:footnoteReference w:id="4"/>
      </w:r>
      <w:r w:rsidRPr="00B238A5">
        <w:t xml:space="preserve">: </w:t>
      </w:r>
    </w:p>
    <w:p w:rsidR="007473CE" w:rsidRPr="00B238A5" w:rsidRDefault="007473CE" w:rsidP="007473CE">
      <w:pPr>
        <w:pStyle w:val="ListParagraph"/>
        <w:numPr>
          <w:ilvl w:val="0"/>
          <w:numId w:val="12"/>
        </w:numPr>
      </w:pPr>
      <w:r w:rsidRPr="00B238A5">
        <w:lastRenderedPageBreak/>
        <w:t>Eigen belang: mensen hebben vaak de neiging t</w:t>
      </w:r>
      <w:r w:rsidR="00D923DF">
        <w:t>e handelen in hun eigen belang. D</w:t>
      </w:r>
      <w:r w:rsidRPr="00B238A5">
        <w:t xml:space="preserve">it hoeft niet problematisch te zijn. </w:t>
      </w:r>
      <w:r w:rsidR="008C685C">
        <w:t>Echter, vaak verschillen</w:t>
      </w:r>
      <w:r w:rsidR="00D923DF">
        <w:t xml:space="preserve"> de belangen van het management met </w:t>
      </w:r>
      <w:r w:rsidRPr="00B238A5">
        <w:t xml:space="preserve">de </w:t>
      </w:r>
      <w:r w:rsidR="00D923DF">
        <w:t>belangen van de aandeelhouders. D</w:t>
      </w:r>
      <w:r w:rsidRPr="00B238A5">
        <w:t xml:space="preserve">it zorgt voor belangentegenstellingen. </w:t>
      </w:r>
    </w:p>
    <w:p w:rsidR="007473CE" w:rsidRPr="00B238A5" w:rsidRDefault="007473CE" w:rsidP="007473CE">
      <w:pPr>
        <w:pStyle w:val="ListParagraph"/>
        <w:numPr>
          <w:ilvl w:val="0"/>
          <w:numId w:val="12"/>
        </w:numPr>
      </w:pPr>
      <w:r w:rsidRPr="00B238A5">
        <w:t xml:space="preserve">Informatie asymmetrie: het management van de onderneming beschikt vaak over meer informatie dan dat de aandeelhouders van de onderneming doen. </w:t>
      </w:r>
    </w:p>
    <w:p w:rsidR="007473CE" w:rsidRPr="00B238A5" w:rsidRDefault="007473CE" w:rsidP="007473CE">
      <w:r w:rsidRPr="00B238A5">
        <w:t xml:space="preserve">Deze twee problemen die mogelijk ontstaan als gevolg van de functie scheiding, kunnen leiden tot zorgen om de betrouwbaarheid van de informatie die het management vrijgeeft. </w:t>
      </w:r>
      <w:r>
        <w:t>Om het vertrouwen te verbeteren zal de principaal de agent willen controleren. Eén manier om de agent te controleren is door middel van een accountantscontrole van de verslaggeving</w:t>
      </w:r>
      <w:r w:rsidR="006C30F1">
        <w:t xml:space="preserve"> (Boot &amp; Soeting, 2004)</w:t>
      </w:r>
      <w:r>
        <w:t xml:space="preserve">. </w:t>
      </w:r>
      <w:r w:rsidRPr="00B238A5">
        <w:t xml:space="preserve">Door de controle van een accountant wordt de informatie die vrijgegeven is door het management getoetst, wat zorgt voor zekerheid en vertrouwen van de aandeelhouders in het management. Hierdoor neutraliseert de accountant de </w:t>
      </w:r>
      <w:r>
        <w:t>informatieasymmetrie</w:t>
      </w:r>
      <w:r w:rsidRPr="00B238A5">
        <w:t xml:space="preserve"> en de belangentegenstellingen. </w:t>
      </w:r>
    </w:p>
    <w:p w:rsidR="007473CE" w:rsidRPr="00B238A5" w:rsidRDefault="007473CE" w:rsidP="007473CE">
      <w:pPr>
        <w:pStyle w:val="Heading2"/>
      </w:pPr>
      <w:bookmarkStart w:id="35" w:name="_Toc391563918"/>
      <w:r>
        <w:t>4</w:t>
      </w:r>
      <w:r w:rsidR="00D923DF">
        <w:t>.3 W</w:t>
      </w:r>
      <w:r w:rsidRPr="00B238A5">
        <w:t>erkzaamheden van de accountant</w:t>
      </w:r>
      <w:bookmarkEnd w:id="35"/>
    </w:p>
    <w:p w:rsidR="007473CE" w:rsidRPr="00B238A5" w:rsidRDefault="007473CE" w:rsidP="007473CE">
      <w:pPr>
        <w:pStyle w:val="ListParagraph"/>
        <w:ind w:left="0"/>
      </w:pPr>
      <w:r w:rsidRPr="00B238A5">
        <w:t xml:space="preserve">Om de invloed op het accountantsberoep te kunnen bepalen, moet in kaart worden gebracht wat de werkzaamheden van de accountant inhouden. Hierdoor kan een beeld worden gevormd waartoe de accountant in staat is, en of het maatschappelijke verslag hier binnen valt. </w:t>
      </w:r>
    </w:p>
    <w:p w:rsidR="007473CE" w:rsidRPr="00B238A5" w:rsidRDefault="007473CE" w:rsidP="007473CE">
      <w:pPr>
        <w:rPr>
          <w:rFonts w:cs="TriniteNo2RomCon-Regular"/>
          <w:noProof/>
        </w:rPr>
      </w:pPr>
      <w:r w:rsidRPr="00B238A5">
        <w:t xml:space="preserve">Accountants kunnen </w:t>
      </w:r>
      <w:r>
        <w:t>in verschillende functies werkzaam zijn</w:t>
      </w:r>
      <w:r w:rsidR="00D923DF">
        <w:t>. Z</w:t>
      </w:r>
      <w:r w:rsidRPr="00B238A5">
        <w:t xml:space="preserve">o kunnen zij werkzaam zijn als openbaar accountant, interne accountant, overheidsaccountant en accountant in business. Dit onderzoek beperkt zich enkel tot de openbare accountant. De openbare accountant is werkzaam voor een accountantskantoor of heeft een eigen kantoor. Deze werkt onafhankelijk van de ondernemingen, waardoor zij in staat zijn een controle te verrichten op jaarverslagen van ondernemingen. De accountant heeft als belangrijkste taak het vertrouwen van de belanghebbenden in de kwaliteit van informatie te </w:t>
      </w:r>
      <w:r w:rsidR="00E528E8">
        <w:t>vergroten</w:t>
      </w:r>
      <w:r w:rsidRPr="00B238A5">
        <w:t>, zodat deze informatie mee genomen kan worden in de beslissingen van de belanghebbenden</w:t>
      </w:r>
      <w:r w:rsidR="00D70D1B">
        <w:t xml:space="preserve"> (Kamp-Roelands, 2011)</w:t>
      </w:r>
      <w:r w:rsidRPr="00B238A5">
        <w:rPr>
          <w:rFonts w:cs="TriniteNo2RomCon-Regular"/>
          <w:noProof/>
          <w:sz w:val="21"/>
          <w:szCs w:val="21"/>
        </w:rPr>
        <w:t xml:space="preserve">. </w:t>
      </w:r>
    </w:p>
    <w:p w:rsidR="007473CE" w:rsidRPr="00B238A5" w:rsidRDefault="007473CE" w:rsidP="007473CE">
      <w:r w:rsidRPr="00B238A5">
        <w:rPr>
          <w:rFonts w:cs="TriniteNo2RomCon-Regular"/>
          <w:noProof/>
        </w:rPr>
        <w:t xml:space="preserve">Grofweg levert de openbare accountant twee soorten diensten. </w:t>
      </w:r>
      <w:r w:rsidRPr="00B238A5">
        <w:t xml:space="preserve">Ten eerste de auditdiensten en </w:t>
      </w:r>
      <w:r w:rsidR="00D923DF">
        <w:t>ten tweede</w:t>
      </w:r>
      <w:r w:rsidRPr="00B238A5">
        <w:t xml:space="preserve"> de niet-auditdiensten. Audit-diensten worden ook wel assurance diensten genoemd. De controle van de jaarrekening is een voorbeeld van een auditdienst, maar dit is niet de enige auditopdracht die de accountant doet. NBA definieert een auditdienst als volgt: </w:t>
      </w:r>
    </w:p>
    <w:p w:rsidR="007473CE" w:rsidRPr="00D70D1B" w:rsidRDefault="007473CE" w:rsidP="007473CE">
      <w:pPr>
        <w:rPr>
          <w:shd w:val="clear" w:color="auto" w:fill="FFFFFF"/>
        </w:rPr>
      </w:pPr>
      <w:r w:rsidRPr="00B238A5">
        <w:rPr>
          <w:rStyle w:val="apple-converted-space"/>
          <w:color w:val="10206B"/>
          <w:sz w:val="17"/>
          <w:szCs w:val="17"/>
          <w:shd w:val="clear" w:color="auto" w:fill="FFFFFF"/>
        </w:rPr>
        <w:t>“</w:t>
      </w:r>
      <w:r w:rsidR="00D923DF">
        <w:rPr>
          <w:i/>
          <w:shd w:val="clear" w:color="auto" w:fill="FFFFFF"/>
        </w:rPr>
        <w:t>D</w:t>
      </w:r>
      <w:r w:rsidRPr="00B238A5">
        <w:rPr>
          <w:i/>
          <w:shd w:val="clear" w:color="auto" w:fill="FFFFFF"/>
        </w:rPr>
        <w:t>e opdracht, waarbij de openbaar accountant, de intern accountant of de overheidsaccountant een conclusie formuleert die is bedoeld om het vertrouwen van de beoogde gebruikers, niet zijnde de verantwoordelijke partij, in de uitkomst van de evaluatie van of de toetsing van het object van onderzoek ten opzichte van de criteria, te versterken.”</w:t>
      </w:r>
      <w:r w:rsidR="00D70D1B">
        <w:rPr>
          <w:i/>
          <w:shd w:val="clear" w:color="auto" w:fill="FFFFFF"/>
        </w:rPr>
        <w:t xml:space="preserve"> </w:t>
      </w:r>
      <w:r w:rsidR="00D70D1B">
        <w:rPr>
          <w:shd w:val="clear" w:color="auto" w:fill="FFFFFF"/>
        </w:rPr>
        <w:t xml:space="preserve">(NIVRA, 2009) </w:t>
      </w:r>
    </w:p>
    <w:p w:rsidR="007473CE" w:rsidRPr="00B238A5" w:rsidRDefault="007473CE" w:rsidP="007473CE">
      <w:r w:rsidRPr="00B238A5">
        <w:rPr>
          <w:shd w:val="clear" w:color="auto" w:fill="FFFFFF"/>
        </w:rPr>
        <w:t xml:space="preserve">Naast de controle van de jaarrekening kan bijvoorbeeld ook gedacht worden aan de opdracht een maatschappelijk verslag of milieuverslag van een extern oordeel te voorzien. </w:t>
      </w:r>
      <w:r w:rsidRPr="00B238A5">
        <w:t xml:space="preserve">Onder de niet-auditdiensten vallen alle overige werkzaamheden die de accountant verricht. </w:t>
      </w:r>
      <w:r w:rsidR="00763B67">
        <w:t xml:space="preserve">De </w:t>
      </w:r>
      <w:r w:rsidRPr="00B238A5">
        <w:t>auditdiensten van de accountant</w:t>
      </w:r>
      <w:r>
        <w:t xml:space="preserve"> vallen onder de attestfunctie</w:t>
      </w:r>
      <w:r w:rsidRPr="00B238A5">
        <w:t>,</w:t>
      </w:r>
      <w:r>
        <w:t xml:space="preserve"> hierbij werkt de accountant namens het maatschappelijk verkeer</w:t>
      </w:r>
      <w:r w:rsidRPr="00B238A5">
        <w:t>. Niet-</w:t>
      </w:r>
      <w:r w:rsidRPr="00B238A5">
        <w:lastRenderedPageBreak/>
        <w:t>auditdiensten zijn alle di</w:t>
      </w:r>
      <w:r>
        <w:t>ensten die niet tot deze attest</w:t>
      </w:r>
      <w:r w:rsidRPr="00B238A5">
        <w:t>functie worden gerekend. Het kan hier bijvoorbeeld gaan over het geven van adviezen of ondersteuning bij fiscale zaken</w:t>
      </w:r>
      <w:r w:rsidR="00E528E8">
        <w:t xml:space="preserve"> (Goei, 2012). </w:t>
      </w:r>
    </w:p>
    <w:p w:rsidR="007473CE" w:rsidRPr="00B238A5" w:rsidRDefault="007473CE" w:rsidP="007473CE">
      <w:r w:rsidRPr="00B238A5">
        <w:t>De auditdiensten zoals hierboven beschreven kunnen worden onderverdee</w:t>
      </w:r>
      <w:r w:rsidR="00D923DF">
        <w:t xml:space="preserve">ld in twee soorten opdrachten: </w:t>
      </w:r>
      <w:r w:rsidRPr="00B238A5">
        <w:t>de controle opdrachten en de beoordelingsopdrachten. De controle opdrachten van de accountant monden uit in een redelijke mate van betrouwbaarheid, terwijl de beoordelingsopdrachten enkel een beperkte mate van betrouwbaarheid</w:t>
      </w:r>
      <w:r w:rsidR="00763B67">
        <w:t xml:space="preserve"> geven</w:t>
      </w:r>
      <w:r w:rsidRPr="00B238A5">
        <w:t>. Het verschil tussen beide is gelegen in de aard van de werkzaamheden. Een beoordeling gaat minder diep dan een controle, biedt meer een analyse van de cijfers dan een verificatie, maar geeft wel een deskundig oordeel over de betrouwbaarheid van de jaarrekening</w:t>
      </w:r>
      <w:r w:rsidR="00D70D1B">
        <w:t xml:space="preserve"> (Mazars, z.d.)</w:t>
      </w:r>
      <w:r w:rsidRPr="00B238A5">
        <w:t xml:space="preserve">. </w:t>
      </w:r>
    </w:p>
    <w:p w:rsidR="007473CE" w:rsidRPr="00B238A5" w:rsidRDefault="007473CE" w:rsidP="007473CE">
      <w:r w:rsidRPr="00B238A5">
        <w:t xml:space="preserve">De accountant moet een objectief oordeel geven over de jaarrekening. Dit is van groot belang voor de gebruikers, omdat zij er op moeten kunnen vertrouwen dat de gepresenteerde cijfers een getrouw beeld van de werkelijkheid geven. Vaak is het jaarverslag de enige bron van informatie voor de belanghebbenden en dus is het belangrijk dat ze hierop kunnen vertrouwen. Om een objectief oordeel te kunnen geven, wordt onafhankelijkheid beschouwd als een van de belangrijkste kenmerken van de accountant. Artikel B1-290.1 van de Verordening gedragscode zegt dan ook dat de audit-opdracht onafhankelijk van de cliënt moet worden uitgevoerd. </w:t>
      </w:r>
      <w:r>
        <w:t>Hierdoor kan worden aangetoond dat de opdracht integer en objectief is uitgevoerd</w:t>
      </w:r>
      <w:r w:rsidR="00D70D1B">
        <w:t xml:space="preserve"> (NIVRA, 2009</w:t>
      </w:r>
      <w:r w:rsidR="008E00FA">
        <w:t>a</w:t>
      </w:r>
      <w:r w:rsidR="00D70D1B">
        <w:t>)</w:t>
      </w:r>
      <w:r w:rsidRPr="00B238A5">
        <w:t>.</w:t>
      </w:r>
    </w:p>
    <w:p w:rsidR="007473CE" w:rsidRPr="00B238A5" w:rsidRDefault="007473CE" w:rsidP="007473CE">
      <w:pPr>
        <w:pStyle w:val="Heading2"/>
        <w:tabs>
          <w:tab w:val="left" w:pos="6420"/>
        </w:tabs>
      </w:pPr>
      <w:bookmarkStart w:id="36" w:name="_Toc391563919"/>
      <w:r>
        <w:t>4</w:t>
      </w:r>
      <w:r w:rsidRPr="00B238A5">
        <w:t>.4 Samenvatting en beantwoording deelvraag</w:t>
      </w:r>
      <w:bookmarkEnd w:id="36"/>
      <w:r w:rsidRPr="00B238A5">
        <w:tab/>
      </w:r>
    </w:p>
    <w:p w:rsidR="007473CE" w:rsidRPr="00B238A5" w:rsidRDefault="007473CE" w:rsidP="007473CE">
      <w:r>
        <w:t>In deze samenvatting</w:t>
      </w:r>
      <w:r w:rsidRPr="00B238A5">
        <w:t xml:space="preserve"> zal een antwoord worden gegeven op de volgende deelvraag: </w:t>
      </w:r>
      <w:r w:rsidRPr="00B238A5">
        <w:rPr>
          <w:i/>
        </w:rPr>
        <w:t xml:space="preserve">Wat is in het algemeen de rol van de accountant? </w:t>
      </w:r>
      <w:r w:rsidRPr="00B238A5">
        <w:t xml:space="preserve">Het beroep van de accountant is </w:t>
      </w:r>
      <w:r w:rsidR="00763B67">
        <w:t xml:space="preserve">al </w:t>
      </w:r>
      <w:r w:rsidRPr="00B238A5">
        <w:t xml:space="preserve">oud en als critical event wordt vaak de Pincoffs-affaire aangewezen. Hier werd voor het eerst duidelijk dat niet alles wat een onderneming aan de belanghebbenden presenteert de waarheid hoeft te bevatten. </w:t>
      </w:r>
    </w:p>
    <w:p w:rsidR="007473CE" w:rsidRDefault="007473CE" w:rsidP="007473CE">
      <w:r>
        <w:t>In dit onderzoek is getracht het accountantsberoep te verklaren vanuit de theorie. Hierbij is gekozen voor de agency theorie, die goed kan verklaren dat door de belangentegenstellingen en inform</w:t>
      </w:r>
      <w:r w:rsidR="00E528E8">
        <w:t>atieasymmetrie</w:t>
      </w:r>
      <w:r>
        <w:t xml:space="preserve"> tussen het management en de stakeholders er behoefte is aan controle, waarbij de accountant een grote rol kan spelen. </w:t>
      </w:r>
    </w:p>
    <w:p w:rsidR="007473CE" w:rsidRDefault="007473CE" w:rsidP="007473CE">
      <w:r w:rsidRPr="00B238A5">
        <w:t xml:space="preserve">In de praktijk houdt de accountant zich met een aantal zaken bezig. Grofweg kunnen de bezigheden van de accountant worden gescheiden in </w:t>
      </w:r>
      <w:r>
        <w:t>twee diensten</w:t>
      </w:r>
      <w:r w:rsidRPr="00B238A5">
        <w:t xml:space="preserve">. Als eerste de auditdiensten en daarnaast de niet-auditdiensten. Bij de auditdiensten kan worden gedacht aan de controle van de jaarrekening en bij de niet-auditdiensten kan worden gedacht aan bijvoorbeeld advieswerkzaamheden. </w:t>
      </w:r>
      <w:r>
        <w:t xml:space="preserve">Binnen de auditdiensten van een accountant kan opnieuw een onderscheid worden gemaakt. Dit is het onderscheid tussen de controleopdrachten en beoordelingsopdrachten, waarbij de diepgang van het verrichte onderzoek leidt tot een verschil in de mate van zekerheid. </w:t>
      </w:r>
    </w:p>
    <w:p w:rsidR="007473CE" w:rsidRDefault="007473CE" w:rsidP="007473CE"/>
    <w:p w:rsidR="007473CE" w:rsidRPr="00B238A5" w:rsidRDefault="007473CE" w:rsidP="007473CE"/>
    <w:p w:rsidR="007473CE" w:rsidRPr="00B238A5" w:rsidRDefault="007473CE" w:rsidP="007473CE">
      <w:pPr>
        <w:pStyle w:val="ListParagraph"/>
        <w:numPr>
          <w:ilvl w:val="0"/>
          <w:numId w:val="17"/>
        </w:numPr>
        <w:rPr>
          <w:b/>
          <w:sz w:val="48"/>
          <w:szCs w:val="48"/>
        </w:rPr>
      </w:pPr>
      <w:r w:rsidRPr="00B238A5">
        <w:rPr>
          <w:b/>
          <w:sz w:val="48"/>
          <w:szCs w:val="48"/>
        </w:rPr>
        <w:lastRenderedPageBreak/>
        <w:t>Verschuiving informatiebehoefte</w:t>
      </w:r>
    </w:p>
    <w:p w:rsidR="007473CE" w:rsidRPr="00B238A5" w:rsidRDefault="007473CE" w:rsidP="007473CE">
      <w:pPr>
        <w:ind w:left="426"/>
        <w:rPr>
          <w:b/>
          <w:i/>
          <w:sz w:val="48"/>
          <w:szCs w:val="48"/>
        </w:rPr>
      </w:pPr>
      <w:r w:rsidRPr="00B238A5">
        <w:rPr>
          <w:i/>
        </w:rPr>
        <w:t xml:space="preserve">Het recente nieuwsbericht over de aandeelhouders van ExxonMobil, ook genoemd in de inleiding, laat zien dat er een toenemende vraag is naar andere dan financiële informatie in de jaarverslaggeving van ondernemingen. </w:t>
      </w:r>
    </w:p>
    <w:p w:rsidR="00E528E8" w:rsidRDefault="007473CE" w:rsidP="007473CE">
      <w:pPr>
        <w:ind w:left="426"/>
        <w:rPr>
          <w:i/>
        </w:rPr>
      </w:pPr>
      <w:r w:rsidRPr="00B238A5">
        <w:rPr>
          <w:i/>
        </w:rPr>
        <w:t xml:space="preserve">Voordat wordt ingegaan op de verschuiving van de informatiebehoefte zal in de eerste paragraaf de betekenis van zowel financiële als niet financiële informatie worden uiteengezet en de verschillen tussen deze twee begrippen benadrukt. Daarna zal worden ingegaan op de verschuiving van de informatiebehoefte. </w:t>
      </w:r>
      <w:r w:rsidR="00E528E8">
        <w:rPr>
          <w:i/>
        </w:rPr>
        <w:t xml:space="preserve">Als laatste </w:t>
      </w:r>
      <w:r w:rsidR="001F4A1E">
        <w:rPr>
          <w:i/>
        </w:rPr>
        <w:t xml:space="preserve">zal in dit hoofdstuk de relatie tussen niet-financiële informatie en maatschappelijke verslaggeving worden aangetoond. </w:t>
      </w:r>
    </w:p>
    <w:p w:rsidR="007473CE" w:rsidRPr="00B238A5" w:rsidRDefault="007473CE" w:rsidP="007473CE">
      <w:pPr>
        <w:pStyle w:val="Heading2"/>
      </w:pPr>
      <w:bookmarkStart w:id="37" w:name="_Toc388855215"/>
      <w:bookmarkStart w:id="38" w:name="_Toc391563920"/>
      <w:r>
        <w:t>5</w:t>
      </w:r>
      <w:r w:rsidRPr="00B238A5">
        <w:t>.1 Financiële informatie vs. Niet-financiële informatie</w:t>
      </w:r>
      <w:bookmarkEnd w:id="37"/>
      <w:bookmarkEnd w:id="38"/>
    </w:p>
    <w:p w:rsidR="007473CE" w:rsidRPr="00B238A5" w:rsidRDefault="007473CE" w:rsidP="007473CE">
      <w:r w:rsidRPr="00B238A5">
        <w:t xml:space="preserve">Financiële informatie spreekt over het algemeen </w:t>
      </w:r>
      <w:r>
        <w:t>meer tot de verbeelding dan niet-financiële informatie</w:t>
      </w:r>
      <w:r w:rsidRPr="00B238A5">
        <w:t>. Niet-financiële informatie lijkt een vaag begrip, wat duidt op informatie in de vorm van tekst en over andere aspecten dan de fina</w:t>
      </w:r>
      <w:r>
        <w:t>nciële kant van de onderneming. T</w:t>
      </w:r>
      <w:r w:rsidRPr="00B238A5">
        <w:t xml:space="preserve">och ligt dit op sommige punten net iets anders. </w:t>
      </w:r>
    </w:p>
    <w:p w:rsidR="007473CE" w:rsidRDefault="007473CE" w:rsidP="007473CE">
      <w:pPr>
        <w:pStyle w:val="Heading3"/>
      </w:pPr>
      <w:bookmarkStart w:id="39" w:name="_Toc388855216"/>
      <w:bookmarkStart w:id="40" w:name="_Toc391563921"/>
      <w:r>
        <w:t>5</w:t>
      </w:r>
      <w:r w:rsidRPr="00B238A5">
        <w:t>.1.1 Financiële informatie</w:t>
      </w:r>
      <w:bookmarkEnd w:id="39"/>
      <w:bookmarkEnd w:id="40"/>
    </w:p>
    <w:p w:rsidR="007473CE" w:rsidRDefault="007473CE" w:rsidP="007473CE">
      <w:r>
        <w:t>Als het gaat om financiële informatie van de onderneming wordt vaak gedacht aan de jaarrekening. Dit is dan ook het meeste bekende voorbeeld van niet-financiële informatie vrijgegeven door ondernemingen</w:t>
      </w:r>
      <w:r w:rsidR="00D70D1B">
        <w:t xml:space="preserve"> (van Kuij</w:t>
      </w:r>
      <w:r w:rsidR="00E478B1">
        <w:t>ck &amp; Leus, 2010)</w:t>
      </w:r>
      <w:r>
        <w:t xml:space="preserve">. </w:t>
      </w:r>
      <w:r w:rsidRPr="00B238A5">
        <w:t>Financiële informatie is informatie uitgedrukt in geldeenheden. Bij financiële informatie gaat het dan ook om geldstromen en daarmee samenhangende resultaten en posities</w:t>
      </w:r>
      <w:r w:rsidR="001F4A1E">
        <w:t>.</w:t>
      </w:r>
      <w:r w:rsidR="00E478B1">
        <w:t xml:space="preserve"> </w:t>
      </w:r>
      <w:r w:rsidR="001F4A1E">
        <w:t xml:space="preserve">Om deze financiële informatie te verkrijgen maken ondernemingen gebruik van een financieel registratiesysteem. </w:t>
      </w:r>
      <w:r>
        <w:t>Dit maakt dat financiële info</w:t>
      </w:r>
      <w:r w:rsidR="001F4A1E">
        <w:t>rmatie vaak exact meetbaar is</w:t>
      </w:r>
      <w:r w:rsidR="001F4A1E" w:rsidRPr="001F4A1E">
        <w:t xml:space="preserve"> </w:t>
      </w:r>
      <w:r w:rsidR="001F4A1E">
        <w:t>(NIVRA, 2006).</w:t>
      </w:r>
    </w:p>
    <w:p w:rsidR="007473CE" w:rsidRPr="00B238A5" w:rsidRDefault="007473CE" w:rsidP="007473CE">
      <w:r w:rsidRPr="00B238A5">
        <w:t>Voor financiële informatie bestaat al geruime tijd een normenkader, het kader waaraan de accountant deze inf</w:t>
      </w:r>
      <w:r w:rsidR="006B795B">
        <w:t>ormatie kan toetsen. Dit normen</w:t>
      </w:r>
      <w:r w:rsidRPr="00B238A5">
        <w:t>kader is wettelijk vastgesteld in het Burgerlijk Wetboek en de Richtlijnen voor de Jaarverslaggeving</w:t>
      </w:r>
      <w:r w:rsidR="00E478B1">
        <w:t xml:space="preserve"> (van Kuijck &amp; Leus, 2010)</w:t>
      </w:r>
      <w:r w:rsidRPr="00B238A5">
        <w:t xml:space="preserve">. </w:t>
      </w:r>
    </w:p>
    <w:p w:rsidR="007473CE" w:rsidRPr="00B238A5" w:rsidRDefault="007473CE" w:rsidP="007473CE">
      <w:pPr>
        <w:pStyle w:val="Heading3"/>
      </w:pPr>
      <w:bookmarkStart w:id="41" w:name="_Toc388855217"/>
      <w:bookmarkStart w:id="42" w:name="_Toc391563922"/>
      <w:r>
        <w:t>5</w:t>
      </w:r>
      <w:r w:rsidRPr="00B238A5">
        <w:t>.1.2 Niet-financiële informatie</w:t>
      </w:r>
      <w:bookmarkEnd w:id="41"/>
      <w:bookmarkEnd w:id="42"/>
    </w:p>
    <w:p w:rsidR="007473CE" w:rsidRPr="00B238A5" w:rsidRDefault="007473CE" w:rsidP="007473CE">
      <w:r w:rsidRPr="00B238A5">
        <w:t xml:space="preserve">Niet-financiële informatie is iets minder makkelijk te omvatten. </w:t>
      </w:r>
      <w:r>
        <w:t>Een</w:t>
      </w:r>
      <w:r w:rsidRPr="00B238A5">
        <w:t xml:space="preserve"> veel voorkomende opvatting is dat niet-financiële informatie alleen informatie over </w:t>
      </w:r>
      <w:r>
        <w:t>MVO</w:t>
      </w:r>
      <w:r w:rsidRPr="00B238A5">
        <w:t xml:space="preserve"> beslaat. </w:t>
      </w:r>
      <w:r>
        <w:t>Niet-financiële informatie is echter geen synoniem voor MVO. De reden hiervoor is dat MVO niet enkel bestaat uit niet-financiële informatie, maar ook kan bestaan uit financiële informatie. De twee overlappen elkaar wel</w:t>
      </w:r>
      <w:r w:rsidR="00E478B1">
        <w:t xml:space="preserve"> (NIVRA, 2009</w:t>
      </w:r>
      <w:r w:rsidR="008E00FA">
        <w:t>b</w:t>
      </w:r>
      <w:r w:rsidR="00E478B1">
        <w:t>)</w:t>
      </w:r>
      <w:r>
        <w:t xml:space="preserve">. Om een goed beeld te krijgen van niet-financiële informatie wordt in dit onderzoek de definitie van het NIVRA gehanteerd: </w:t>
      </w:r>
    </w:p>
    <w:p w:rsidR="007473CE" w:rsidRPr="00E478B1" w:rsidRDefault="007473CE" w:rsidP="007473CE">
      <w:r w:rsidRPr="00B238A5">
        <w:rPr>
          <w:i/>
        </w:rPr>
        <w:lastRenderedPageBreak/>
        <w:t>“Niet-financiële informatie bestaat uit alle kwantitatieve en kwalitatieve gegevens over het gevoerde beleid, de bedrijfsvoering en de uitkomsten van dit beleid in de vorm van output of outcome, zonder dat sprake is van een directe koppeling met een financieel registratiesysteem</w:t>
      </w:r>
      <w:r w:rsidR="00E478B1">
        <w:rPr>
          <w:i/>
        </w:rPr>
        <w:t xml:space="preserve">.” </w:t>
      </w:r>
      <w:r w:rsidR="00E478B1">
        <w:t>(NIVRA, 2008</w:t>
      </w:r>
      <w:r w:rsidR="001F4A1E">
        <w:t>,</w:t>
      </w:r>
      <w:r w:rsidR="00E478B1">
        <w:t xml:space="preserve"> pag. 6) </w:t>
      </w:r>
    </w:p>
    <w:p w:rsidR="007473CE" w:rsidRPr="00B238A5" w:rsidRDefault="007473CE" w:rsidP="007473CE">
      <w:r w:rsidRPr="00B238A5">
        <w:t>Opvallend hierbij is dat er bij niet-financiële informatie geen koppeling is met een</w:t>
      </w:r>
      <w:r>
        <w:t xml:space="preserve"> financieel registratiesysteem</w:t>
      </w:r>
      <w:r w:rsidRPr="00B238A5">
        <w:t xml:space="preserve">. </w:t>
      </w:r>
      <w:r>
        <w:t>Doordat</w:t>
      </w:r>
      <w:r w:rsidRPr="00B238A5">
        <w:t xml:space="preserve"> deze informatie niet gekoppeld is aan een registratiesysteem is de betrouwbaarheid van deze informatie lastiger te waarborgen in tegenstelling tot financiële informatie waarbij dat wel het geval is. </w:t>
      </w:r>
    </w:p>
    <w:p w:rsidR="007473CE" w:rsidRPr="00B238A5" w:rsidRDefault="007473CE" w:rsidP="007473CE">
      <w:r w:rsidRPr="00B238A5">
        <w:t>Een ander groot verschil met financiële informatie is het ontbreken van een wettelijk kader. Dit komt onder andere</w:t>
      </w:r>
      <w:r>
        <w:t xml:space="preserve"> door het heterogene karakter van niet-financiële informatie</w:t>
      </w:r>
      <w:r w:rsidRPr="00B238A5">
        <w:t>. Per onderneming verschilt de hoeveelheid en de aard van de niet-financiële informatie die wordt gepubliceerd</w:t>
      </w:r>
      <w:r w:rsidR="00E478B1">
        <w:t xml:space="preserve"> (van Kuijck &amp; Leus, 2010)</w:t>
      </w:r>
      <w:r w:rsidRPr="00B238A5">
        <w:t xml:space="preserve">. Een onderneming past namelijk de niet-financiële informatie aan op de behoeften van de stakeholders. Deze </w:t>
      </w:r>
      <w:r w:rsidR="006B795B">
        <w:t xml:space="preserve">behoeften </w:t>
      </w:r>
      <w:r w:rsidRPr="00B238A5">
        <w:t xml:space="preserve">verschillen per onderneming, de stakeholders van Shell hebben </w:t>
      </w:r>
      <w:r>
        <w:t xml:space="preserve">bijvoorbeeld </w:t>
      </w:r>
      <w:r w:rsidRPr="00B238A5">
        <w:t xml:space="preserve">behoeften aan andere </w:t>
      </w:r>
      <w:r>
        <w:t>financiële informatie dan</w:t>
      </w:r>
      <w:r w:rsidRPr="00B238A5">
        <w:t xml:space="preserve"> de stakeholders van een publieke instelling. Het ontbreken van een wettelijk kader kan onder andere problemen opleveren bij de accountantscontrole. Bij de financiële informati</w:t>
      </w:r>
      <w:r w:rsidR="006B795B">
        <w:t xml:space="preserve">e werd al beschreven dat het </w:t>
      </w:r>
      <w:r w:rsidRPr="00B238A5">
        <w:t>wettelijk kader</w:t>
      </w:r>
      <w:r w:rsidR="006B795B">
        <w:t xml:space="preserve"> namelijk</w:t>
      </w:r>
      <w:r w:rsidRPr="00B238A5">
        <w:t xml:space="preserve"> kan worden gebruikt om de informatie te toetsen</w:t>
      </w:r>
      <w:r w:rsidR="001F4A1E">
        <w:t xml:space="preserve"> (NIVRA, 2006)</w:t>
      </w:r>
      <w:r w:rsidRPr="00B238A5">
        <w:t xml:space="preserve">. </w:t>
      </w:r>
    </w:p>
    <w:p w:rsidR="007473CE" w:rsidRPr="00B238A5" w:rsidRDefault="007473CE" w:rsidP="007473CE">
      <w:pPr>
        <w:pStyle w:val="Heading2"/>
      </w:pPr>
      <w:bookmarkStart w:id="43" w:name="_Toc388855218"/>
      <w:bookmarkStart w:id="44" w:name="_Toc391563923"/>
      <w:r>
        <w:t>5</w:t>
      </w:r>
      <w:r w:rsidRPr="00B238A5">
        <w:t>.2 Van financiële naar niet-financiële informatie</w:t>
      </w:r>
      <w:bookmarkEnd w:id="43"/>
      <w:bookmarkEnd w:id="44"/>
    </w:p>
    <w:p w:rsidR="007473CE" w:rsidRPr="00B238A5" w:rsidRDefault="007473CE" w:rsidP="007473CE">
      <w:r w:rsidRPr="00B238A5">
        <w:t>De meest bekende vorm van verslaggeving is de traditionele jaarverslaggeving. Deze vorm van verslaggeving is voornamelijk gericht op de financiële informatie zoals eerder in dit hoofdstuk is beschreven. De laatste jaren is echter steeds meer kritiek op de jaarverslaggeving in deze traditionele vorm. De traditionele jaarverslaggeving lijkt steeds slechte</w:t>
      </w:r>
      <w:r>
        <w:t>r te kunnen voldoen in de informatiebehoeften</w:t>
      </w:r>
      <w:r w:rsidRPr="00B238A5">
        <w:t xml:space="preserve"> van de investeerders</w:t>
      </w:r>
      <w:r>
        <w:t>, die in toenemende mate vragen om meer dan financiële informatie</w:t>
      </w:r>
      <w:r w:rsidR="00E478B1">
        <w:t xml:space="preserve"> (Cheng, Green, Conradie, Konishi, Romi, 2014).</w:t>
      </w:r>
      <w:r w:rsidRPr="00B238A5">
        <w:t xml:space="preserve"> </w:t>
      </w:r>
    </w:p>
    <w:p w:rsidR="007473CE" w:rsidRPr="00B238A5" w:rsidRDefault="007473CE" w:rsidP="007473CE">
      <w:r w:rsidRPr="00B238A5">
        <w:t xml:space="preserve">Bij traditionele jaarverslaggeving gaat het over het algemeen over financiële informatie waarbij </w:t>
      </w:r>
      <w:r>
        <w:t>voor veel mensen de winst van de onderneming centraal staat</w:t>
      </w:r>
      <w:r w:rsidR="008E00FA">
        <w:t xml:space="preserve"> (Hoogendoorn, 2008)</w:t>
      </w:r>
      <w:r w:rsidRPr="00B238A5">
        <w:t>. Een probleem dat zich echter voordoet bij de winst is dat dit een historisch gegeven is. Ten eerste wordt uit deze cijfers niet duidelijk hoe de winst tot stand komt. Daarnaast geeft de winst ook geen garantie voor de toekomst, terwijl de toekomst voor investeerders wel interessant is</w:t>
      </w:r>
      <w:r w:rsidR="008E00FA">
        <w:t xml:space="preserve"> (accountant.nl, 2010)</w:t>
      </w:r>
      <w:r w:rsidRPr="00B238A5">
        <w:t>. Bij het maken van een investeringsbeslissing zou de investeerder het prefereren om over toekomst informatie te beschikken om daar zijn of haar beslissing op te baseren. Vaak is uit louter financiële informatie niet veel informatie voor de toekomst af te leiden. Denk bijvoorbeeld aan de jaarrekening, vaak wordt dit gezien als kern van het jaarverslag, maar deze jaarrekening bevat alleen historische informatie</w:t>
      </w:r>
      <w:r w:rsidR="008E00FA">
        <w:t xml:space="preserve"> (NIVRA, 2009c)</w:t>
      </w:r>
      <w:r w:rsidRPr="00B238A5">
        <w:t xml:space="preserve">. </w:t>
      </w:r>
    </w:p>
    <w:p w:rsidR="007473CE" w:rsidRPr="00B238A5" w:rsidRDefault="007473CE" w:rsidP="007473CE">
      <w:r w:rsidRPr="00B238A5">
        <w:t>Steeds vaker maken investeerders dan ook gebruik van een vorm van niet-financiële informatie die door de onderne</w:t>
      </w:r>
      <w:r w:rsidR="001F4A1E">
        <w:t>ming wordt verstrekt. Dit is onder andere</w:t>
      </w:r>
      <w:r w:rsidRPr="00B238A5">
        <w:t xml:space="preserve"> gebleken uit een onderzoek van Ocean Tomo</w:t>
      </w:r>
      <w:r w:rsidR="001F4A1E">
        <w:t xml:space="preserve"> (2010)</w:t>
      </w:r>
      <w:r w:rsidRPr="00B238A5">
        <w:t xml:space="preserve">. Deze Intellectual Capital Merchant Bank heeft de elementen die de beurswaarde van een onderneming bepalen onderzocht. De sample waarvan gebruik is gemaakt bestaat uit de Standard &amp; Poor’s 500 </w:t>
      </w:r>
      <w:r w:rsidRPr="00B238A5">
        <w:lastRenderedPageBreak/>
        <w:t>ondernemingen</w:t>
      </w:r>
      <w:r>
        <w:rPr>
          <w:rStyle w:val="FootnoteReference"/>
        </w:rPr>
        <w:footnoteReference w:id="5"/>
      </w:r>
      <w:r w:rsidRPr="00B238A5">
        <w:t>. In figuur 1 is de uitkomst van dit onderzoek grafisch weergeven. Zichtbaar is dat waar in 1975 de marktwaarde voor maar 17% gebaseerd werd op immateriële factoren</w:t>
      </w:r>
      <w:r w:rsidRPr="00B238A5">
        <w:rPr>
          <w:rStyle w:val="FootnoteReference"/>
        </w:rPr>
        <w:footnoteReference w:id="6"/>
      </w:r>
      <w:r w:rsidRPr="00B238A5">
        <w:t>, de marktwaarde in 2010 voor 80% werd gebaseerd op immateriële factore</w:t>
      </w:r>
      <w:r w:rsidR="008E00FA">
        <w:t>n (Ocean Tomo, 2010)</w:t>
      </w:r>
      <w:r>
        <w:t>.</w:t>
      </w:r>
    </w:p>
    <w:p w:rsidR="007473CE" w:rsidRPr="00B238A5" w:rsidRDefault="007473CE" w:rsidP="007473CE">
      <w:pPr>
        <w:keepNext/>
      </w:pPr>
      <w:r w:rsidRPr="00B238A5">
        <w:rPr>
          <w:noProof/>
          <w:lang w:val="en-US"/>
        </w:rPr>
        <w:drawing>
          <wp:inline distT="0" distB="0" distL="0" distR="0">
            <wp:extent cx="5486400" cy="3200400"/>
            <wp:effectExtent l="0" t="0" r="0" b="0"/>
            <wp:docPr id="5"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473CE" w:rsidRPr="00B238A5" w:rsidRDefault="007473CE" w:rsidP="007473CE">
      <w:pPr>
        <w:pStyle w:val="Caption"/>
        <w:spacing w:line="360" w:lineRule="auto"/>
      </w:pPr>
      <w:r w:rsidRPr="00B238A5">
        <w:t xml:space="preserve">Figuur </w:t>
      </w:r>
      <w:r w:rsidR="00C3187A">
        <w:fldChar w:fldCharType="begin"/>
      </w:r>
      <w:r w:rsidR="003630AE">
        <w:instrText xml:space="preserve"> SEQ Figuur \* ARABIC </w:instrText>
      </w:r>
      <w:r w:rsidR="00C3187A">
        <w:fldChar w:fldCharType="separate"/>
      </w:r>
      <w:r w:rsidR="00DB3568">
        <w:rPr>
          <w:noProof/>
        </w:rPr>
        <w:t>1</w:t>
      </w:r>
      <w:r w:rsidR="00C3187A">
        <w:rPr>
          <w:noProof/>
        </w:rPr>
        <w:fldChar w:fldCharType="end"/>
      </w:r>
      <w:r w:rsidRPr="00B238A5">
        <w:t xml:space="preserve"> bron: Ocean Tomo</w:t>
      </w:r>
    </w:p>
    <w:p w:rsidR="007473CE" w:rsidRPr="00B238A5" w:rsidRDefault="007473CE" w:rsidP="007473CE">
      <w:r>
        <w:t>Dit</w:t>
      </w:r>
      <w:r w:rsidRPr="00B238A5">
        <w:t xml:space="preserve"> onderzoek</w:t>
      </w:r>
      <w:r>
        <w:t xml:space="preserve"> laat </w:t>
      </w:r>
      <w:r w:rsidRPr="00B238A5">
        <w:t>zien dat investeerders steeds meer gebruik maken van deze immateriële factoren die we kunnen scharen onder niet-financiële informatie. Een merk zou eventueel nog financieel kunnen worden uitgedrukt in bijvoorbeeld de waarde</w:t>
      </w:r>
      <w:r w:rsidR="008E00FA">
        <w:t xml:space="preserve"> (Kamakura &amp; Russel, 1992)</w:t>
      </w:r>
      <w:r w:rsidRPr="00B238A5">
        <w:t xml:space="preserve">, maar bij reputatie en duurzaamheid </w:t>
      </w:r>
      <w:r w:rsidR="006B795B">
        <w:t>is dit beduidend</w:t>
      </w:r>
      <w:r w:rsidRPr="00B238A5">
        <w:t xml:space="preserve"> lastiger. Dit onderzoek laat zien dat investeerder</w:t>
      </w:r>
      <w:r>
        <w:t>s</w:t>
      </w:r>
      <w:r w:rsidRPr="00B238A5">
        <w:t xml:space="preserve"> een onderneming niet louter waarderen op de financiële aspecten. De moderne investeerder wil zijn oordeel op meerdere factoren baseren. </w:t>
      </w:r>
    </w:p>
    <w:p w:rsidR="007473CE" w:rsidRPr="00B238A5" w:rsidRDefault="007473CE" w:rsidP="007473CE">
      <w:r w:rsidRPr="00B238A5">
        <w:t>Onderzoek van Eccles</w:t>
      </w:r>
      <w:r w:rsidR="00D923DF">
        <w:t>, Ioannou en Serafeim (2012)</w:t>
      </w:r>
      <w:r w:rsidRPr="00B238A5">
        <w:t xml:space="preserve"> laat zien dat ondernemingen die naast de financiële prestaties ook de manier waarop zij deze financiële prestaties hebben bereikt laten zien in hun jaarverslagen</w:t>
      </w:r>
      <w:r w:rsidR="00D923DF">
        <w:t>,</w:t>
      </w:r>
      <w:r w:rsidRPr="00B238A5">
        <w:t xml:space="preserve"> hoger gewaardeerd worden door investeerders dan ondernemingen die dit niet doet. In dit onderzoek is gebruik gemaakt van een sample van 180 ondernemingen. Ondernemingen worden in dit onderzoek als ‘high sustainable’ aangemerkt wanneer zij vrijwillig sociale en maatschappelijke policies hebben aangenomen. Uit het onderzoek blijkt dat de ondernemingen die aangemerkt werden als ‘high sustainable’ beter presteerde dan ondernemingen die aangemerkt we</w:t>
      </w:r>
      <w:r>
        <w:t xml:space="preserve">rden als ‘low sustainable’, </w:t>
      </w:r>
      <w:r w:rsidRPr="00B238A5">
        <w:t xml:space="preserve">zowel op het gebied van accounting prestaties als op de aandelenmarkt. In de context van deze scriptie is vooral de aandelenmarkt van belang. De aandelen prijs weergeeft de perceptie van de aandeelhouders. Wanneer deze perceptie goed is, zal de waarde van de aandelen stijgen. In het geval van de ‘high sustainable’ </w:t>
      </w:r>
      <w:r w:rsidRPr="00B238A5">
        <w:lastRenderedPageBreak/>
        <w:t xml:space="preserve">ondernemingen is de perceptie van de aandeelhouders hoger dan bij ‘low sustainable’ ondernemingen. Dit wordt weerspiegeld in de aandelenprijs </w:t>
      </w:r>
      <w:r w:rsidR="008E00FA">
        <w:t>(Eccles, Ioannou &amp; Serafeim, 2012)</w:t>
      </w:r>
      <w:r w:rsidRPr="00B238A5">
        <w:t xml:space="preserve">.  </w:t>
      </w:r>
    </w:p>
    <w:p w:rsidR="00C024C7" w:rsidRDefault="007473CE" w:rsidP="007473CE">
      <w:r w:rsidRPr="00B238A5">
        <w:t>Niet alleen vanuit de investeerders wordt het belang van niet-financiële informatie erkend. Ook de Europese Commissie en het Europees Economisch en Sociaal Comité bevestigen dat ondernemingen in toenemende mate niet-financiële informatie zouden moeten vrijgeven. Op 16 april 2013 heeft de Europese Commissie een voorstel uitgebracht die betrekking heeft op wijzigingen in de bestaande jaarrekeningwetgeving. Volgens dit voor</w:t>
      </w:r>
      <w:r w:rsidR="00D923DF">
        <w:t>stel zouden grote ondernemingen</w:t>
      </w:r>
      <w:r w:rsidRPr="00B238A5">
        <w:t xml:space="preserve"> met meer dan 500 werknemers, relevante niet-financiële informatie moeten opnemen in het jaarverslag. Deze niet-financiële informatie heeft betrekking op milieu-, maatschappelijke en personeelsaangelegenheden, naleving van mensenrechten en bestrijding van corruptie. Het wordt niet verplicht deze informatie in het jaarverslag zelf op te nemen, er mag hierbij ook gekozen worden om deze informatie in een apart verslag kenbaar te maken</w:t>
      </w:r>
      <w:r w:rsidR="008E00FA">
        <w:t xml:space="preserve"> (Lambooy &amp; Brandt, 2013)</w:t>
      </w:r>
      <w:r w:rsidRPr="00B238A5">
        <w:t>. Het Europees Economisch en Sociaal Comité heeft met dit voorstel ingestemd en raad</w:t>
      </w:r>
      <w:r w:rsidR="00D923DF">
        <w:t>t</w:t>
      </w:r>
      <w:r w:rsidRPr="00B238A5">
        <w:t xml:space="preserve"> het Europees Parlement aan om dit voorstel in aanmerking te nemen. De huidige wetgeving met betrekking tot jaarrekeningen bepaalde al dat grote ondernemingen niet-financiële informatie van hun activiteiten bekend moeten maken. Omdat dit voorschrift onduidelijk is, bleek deze regeling niet effectief te zijn. Ten tijde het voorstel werd gepubliceerd maakte minder dan 10% van de grote ondernemingen in Europa regelmatig deze niet-financiële informatie bekend</w:t>
      </w:r>
      <w:r w:rsidR="00842274">
        <w:t xml:space="preserve"> (Hughes, Augier &amp; Dunne, 2014)</w:t>
      </w:r>
      <w:r w:rsidR="00C024C7">
        <w:t xml:space="preserve">. </w:t>
      </w:r>
    </w:p>
    <w:p w:rsidR="007473CE" w:rsidRPr="00B238A5" w:rsidRDefault="007473CE" w:rsidP="007473CE">
      <w:r w:rsidRPr="00B238A5">
        <w:t xml:space="preserve">Uit dit voorstel en de goedkeuring van het Europees Economisch en Sociaal Comité blijkt dat het publiceren van niet-financiële informatie een goede toevoeging aan het jaarverslag is. Belanghebbenden worden op deze manier beter geïnformeerd. Door dit voorstel lijkt het er </w:t>
      </w:r>
      <w:r w:rsidR="006B795B">
        <w:t>tevens op dat</w:t>
      </w:r>
      <w:r w:rsidRPr="00B238A5">
        <w:t xml:space="preserve"> niet-financiële informatie nu en zeker in de toekomst niet meer uit de jaarrekening is weg te denken. </w:t>
      </w:r>
    </w:p>
    <w:p w:rsidR="007473CE" w:rsidRPr="00B238A5" w:rsidRDefault="007473CE" w:rsidP="007473CE">
      <w:r w:rsidRPr="00B238A5">
        <w:t>Het toenemende belang van niet-financiële informatie betekent niet dat de financiële informatie uit de jaarverslagen zal verdwijnen. Deze informatie blijft natuurlijk van belang voor het maken van investeringsbeslissingen</w:t>
      </w:r>
      <w:r w:rsidRPr="00B238A5">
        <w:rPr>
          <w:rStyle w:val="FootnoteReference"/>
        </w:rPr>
        <w:footnoteReference w:id="7"/>
      </w:r>
      <w:r>
        <w:t>. In 2010 is door het NIVRA</w:t>
      </w:r>
      <w:r>
        <w:rPr>
          <w:rStyle w:val="FootnoteReference"/>
        </w:rPr>
        <w:footnoteReference w:id="8"/>
      </w:r>
      <w:r w:rsidRPr="00B238A5">
        <w:t xml:space="preserve">, de </w:t>
      </w:r>
      <w:r w:rsidR="008E00FA">
        <w:t>VBA</w:t>
      </w:r>
      <w:r>
        <w:rPr>
          <w:rStyle w:val="FootnoteReference"/>
        </w:rPr>
        <w:footnoteReference w:id="9"/>
      </w:r>
      <w:r w:rsidRPr="00B238A5">
        <w:t xml:space="preserve"> en Eumedion</w:t>
      </w:r>
      <w:r>
        <w:rPr>
          <w:rStyle w:val="FootnoteReference"/>
        </w:rPr>
        <w:footnoteReference w:id="10"/>
      </w:r>
      <w:r w:rsidRPr="00B238A5">
        <w:t xml:space="preserve"> een enquête gedaan naar het belang van niet-financiële informatie. Deze enquête is gedaan onder Nederlandse portfoliomanagers, beleggingsanalisten en ander</w:t>
      </w:r>
      <w:r w:rsidR="006B795B">
        <w:t>e beleggingsprofessionals. Twee</w:t>
      </w:r>
      <w:r w:rsidRPr="00B238A5">
        <w:t>derde van de ondervraagde</w:t>
      </w:r>
      <w:r>
        <w:t>n</w:t>
      </w:r>
      <w:r w:rsidRPr="00B238A5">
        <w:t xml:space="preserve"> gaf aan niet-financiële informatie van gelijke waarde te vinden als financiële informatie. Ondanks dat niet-financiële informatie veel terrein aan het winnen is onder zowel de investeerders als beleidmakers in Europa, blijft financiële informatie dus ook van grote waarde voor het maken van investeringsbeslissingen</w:t>
      </w:r>
      <w:r w:rsidR="00842274">
        <w:t xml:space="preserve"> (Schweppe, Abma &amp; de Ruiter, 2010)</w:t>
      </w:r>
      <w:r w:rsidRPr="00B238A5">
        <w:t xml:space="preserve">. </w:t>
      </w:r>
    </w:p>
    <w:p w:rsidR="007473CE" w:rsidRPr="00B238A5" w:rsidRDefault="007473CE" w:rsidP="007473CE">
      <w:pPr>
        <w:pStyle w:val="Heading2"/>
      </w:pPr>
      <w:bookmarkStart w:id="45" w:name="_Toc388855219"/>
      <w:bookmarkStart w:id="46" w:name="_Toc391563924"/>
      <w:r>
        <w:lastRenderedPageBreak/>
        <w:t>5</w:t>
      </w:r>
      <w:r w:rsidRPr="00B238A5">
        <w:t>.3 Relatie niet-financiële informatie en maatschappelijke verslaggeving</w:t>
      </w:r>
      <w:bookmarkEnd w:id="45"/>
      <w:bookmarkEnd w:id="46"/>
    </w:p>
    <w:p w:rsidR="007473CE" w:rsidRPr="00B238A5" w:rsidRDefault="007473CE" w:rsidP="007473CE">
      <w:r w:rsidRPr="00B238A5">
        <w:t xml:space="preserve">Om van waarde te zijn voor dit onderzoek moet de informatie verkregen over niet-financiële informatie in relatie worden gebracht met maatschappelijk verslagging. Maatschappelijke verslaggeving is immers </w:t>
      </w:r>
      <w:r>
        <w:t xml:space="preserve">waar dit onderzoek over gaat. </w:t>
      </w:r>
      <w:r w:rsidRPr="00B238A5">
        <w:t xml:space="preserve"> </w:t>
      </w:r>
    </w:p>
    <w:p w:rsidR="007473CE" w:rsidRPr="00B238A5" w:rsidRDefault="007473CE" w:rsidP="007473CE">
      <w:r w:rsidRPr="00B238A5">
        <w:t xml:space="preserve">Later in het onderzoek zal verdere invulling worden gegeven aan het begrip maatschappelijke verslaggeving. Kortgezegd bevat het maatschappelijk verslag voornamelijk niet-financiële informatie. Dit kan bijvoorbeeld gaan over de strategie, het beleid en de risico’s van de onderneming, maar ook over de impact van de ondernemingsactiviteiten op de maatschappij waarin de onderneming zich bevindt. </w:t>
      </w:r>
      <w:r w:rsidR="006B795B">
        <w:t xml:space="preserve">Uit onderzoek van ACCA (2013) is gebleken </w:t>
      </w:r>
      <w:r w:rsidRPr="00B238A5">
        <w:t>dat de voornaamste bronnen voor niet-financiële informatie bestaan uit duurzaamheidsverslagen en maatschappelijke verslagen</w:t>
      </w:r>
      <w:r w:rsidR="008E00FA">
        <w:t xml:space="preserve"> (ACCA, 2013)</w:t>
      </w:r>
      <w:r w:rsidRPr="00B238A5">
        <w:t xml:space="preserve">. Er is dus een grote samenhang zichtbaar tussen maatschappelijke verslaggeving (waaronder ook duurzaamheidsverslaggeving valt) en niet-financiële informatie. De toenemende behoefte aan niet-financiële informatie verklaard dan ook de opkomt van de </w:t>
      </w:r>
      <w:r>
        <w:t>maatschappelijke verslaggeving, waarbij steeds meer onderneming kiezen voor het publiceren van een dergelijk verslag</w:t>
      </w:r>
      <w:r w:rsidR="008E00FA">
        <w:t xml:space="preserve"> (Kamp-Roelands &amp; de Waard, 2008)</w:t>
      </w:r>
      <w:r>
        <w:t xml:space="preserve">. </w:t>
      </w:r>
      <w:r w:rsidRPr="00B238A5">
        <w:t xml:space="preserve"> </w:t>
      </w:r>
    </w:p>
    <w:p w:rsidR="007473CE" w:rsidRPr="00B238A5" w:rsidRDefault="007473CE" w:rsidP="007473CE">
      <w:pPr>
        <w:pStyle w:val="Heading2"/>
      </w:pPr>
      <w:bookmarkStart w:id="47" w:name="_Toc388855220"/>
      <w:bookmarkStart w:id="48" w:name="_Toc391563925"/>
      <w:r>
        <w:t>5</w:t>
      </w:r>
      <w:r w:rsidRPr="00B238A5">
        <w:t>.4 Samenvatting en beantwoording deelvraag</w:t>
      </w:r>
      <w:bookmarkEnd w:id="47"/>
      <w:bookmarkEnd w:id="48"/>
      <w:r w:rsidRPr="00B238A5">
        <w:t xml:space="preserve"> </w:t>
      </w:r>
    </w:p>
    <w:p w:rsidR="007473CE" w:rsidRPr="00B238A5" w:rsidRDefault="007473CE" w:rsidP="007473CE">
      <w:r w:rsidRPr="00B238A5">
        <w:t>Met dit hoofdstuk is getracht een antwoord te geven op de volgende deelvraag: “</w:t>
      </w:r>
      <w:r w:rsidRPr="00B238A5">
        <w:rPr>
          <w:i/>
        </w:rPr>
        <w:t>Wat zijn de redenen voor niet-financiële informatie in  de jaarrekening?”</w:t>
      </w:r>
    </w:p>
    <w:p w:rsidR="007473CE" w:rsidRPr="00B238A5" w:rsidRDefault="007473CE" w:rsidP="007473CE">
      <w:r w:rsidRPr="00B238A5">
        <w:t xml:space="preserve">In dit hoofdstuk is de nadruk gelegd op de verschillende soorten informatie. Enerzijds financiële informatie, uitgedrukt in geld, anderzijds niet-financiële informatie, informatie die niet kan worden uitgedrukt in geld. Het meest schrijnende en misschien ook belangrijkste verschil voor dit onderzoek is dat in tegenstelling tot voor financiële informatie, voor niet-financiële informatie nog geen normenkader bestaat, waaraan deze </w:t>
      </w:r>
      <w:r w:rsidR="00C024C7">
        <w:t>informatie kan worden getoetst.</w:t>
      </w:r>
    </w:p>
    <w:p w:rsidR="00522406" w:rsidRDefault="007473CE" w:rsidP="00522406">
      <w:r w:rsidRPr="00B238A5">
        <w:t>In de opvolgende paragraaf is zichtbaar dat niet-financiële informatie een groei doormaakt. Uit verschillende onderzoek</w:t>
      </w:r>
      <w:r w:rsidR="00C024C7">
        <w:t>en</w:t>
      </w:r>
      <w:r w:rsidRPr="00B238A5">
        <w:t xml:space="preserve"> wordt duidelijk dat de investeerder steeds meer gebruik maakt van niet-financiële informatie bij het maken van beslissingen en bij he</w:t>
      </w:r>
      <w:r>
        <w:t xml:space="preserve">t waarderen van ondernemingen. </w:t>
      </w:r>
      <w:r w:rsidRPr="00B238A5">
        <w:t xml:space="preserve">Daarnaast is het belang van het publiceren van niet-financiële informatie benadrukt door het voorstel van de </w:t>
      </w:r>
      <w:r w:rsidR="00C024C7">
        <w:t>Europese Commissie</w:t>
      </w:r>
      <w:r w:rsidRPr="00B238A5">
        <w:t xml:space="preserve">. Ook zij zijn van mening dat ondernemingen relevante niet-financiële informatie kenbaar moet maken, om zo de belanghebbenden beter te kunnen informeren. </w:t>
      </w:r>
    </w:p>
    <w:p w:rsidR="007473CE" w:rsidRPr="00ED5591" w:rsidRDefault="00522406" w:rsidP="007473CE">
      <w:r>
        <w:t xml:space="preserve">In de laatste paragraaf </w:t>
      </w:r>
      <w:r w:rsidR="007473CE" w:rsidRPr="00B238A5">
        <w:t>wordt</w:t>
      </w:r>
      <w:r>
        <w:t xml:space="preserve"> de link</w:t>
      </w:r>
      <w:r w:rsidR="007473CE" w:rsidRPr="00B238A5">
        <w:t xml:space="preserve"> gelegd tussen enerzijds niet-financiële informatie en anderzijds maatschappelijke verslaggeving. Het maatschappelijke verslag beslaat voor een groot deel niet-financiële informatie. De toenemende vraag naar niet-financiële informatie verklaard dan ook dat steeds meer ondernemingen kiezen voor een vorm van maatschappelijke verslaggeving. De ene onderneming kiest </w:t>
      </w:r>
      <w:r w:rsidR="00C024C7">
        <w:t>v</w:t>
      </w:r>
      <w:r w:rsidR="007473CE" w:rsidRPr="00B238A5">
        <w:t xml:space="preserve">oor een apart maatschappelijk verslag, andere ondernemingen voegen deze informatie </w:t>
      </w:r>
      <w:r w:rsidR="00C024C7">
        <w:t>bij het</w:t>
      </w:r>
      <w:r w:rsidR="007473CE" w:rsidRPr="00B238A5">
        <w:t xml:space="preserve"> traditionele jaarverslag.</w:t>
      </w:r>
    </w:p>
    <w:p w:rsidR="007473CE" w:rsidRPr="00B238A5" w:rsidRDefault="007473CE" w:rsidP="007473CE">
      <w:pPr>
        <w:pStyle w:val="Heading1"/>
        <w:numPr>
          <w:ilvl w:val="0"/>
          <w:numId w:val="17"/>
        </w:numPr>
        <w:rPr>
          <w:rFonts w:cs="Tahoma"/>
        </w:rPr>
      </w:pPr>
      <w:bookmarkStart w:id="49" w:name="_Toc391563926"/>
      <w:r w:rsidRPr="00B238A5">
        <w:rPr>
          <w:rFonts w:cs="Tahoma"/>
        </w:rPr>
        <w:lastRenderedPageBreak/>
        <w:t>Maatschappelijke Verantwoord Ondernemen</w:t>
      </w:r>
      <w:bookmarkEnd w:id="49"/>
    </w:p>
    <w:p w:rsidR="007473CE" w:rsidRPr="00B238A5" w:rsidRDefault="007473CE" w:rsidP="007473CE">
      <w:pPr>
        <w:ind w:left="499"/>
        <w:rPr>
          <w:rFonts w:cs="Tahoma"/>
          <w:i/>
        </w:rPr>
      </w:pPr>
      <w:r w:rsidRPr="00B238A5">
        <w:rPr>
          <w:rFonts w:cs="Tahoma"/>
          <w:i/>
        </w:rPr>
        <w:t xml:space="preserve">De toenemende vraag naar niet-financiële informatie is niet de enige ontwikkeling die bijdraagt aan de opkomst van maatschappelijke verslaggeving. Ten grondslag aan maatschappelijke verslaggeving en </w:t>
      </w:r>
      <w:r>
        <w:rPr>
          <w:rFonts w:cs="Tahoma"/>
          <w:i/>
        </w:rPr>
        <w:t>IR</w:t>
      </w:r>
      <w:r w:rsidRPr="00B238A5">
        <w:rPr>
          <w:rFonts w:cs="Tahoma"/>
          <w:i/>
        </w:rPr>
        <w:t xml:space="preserve"> ligt </w:t>
      </w:r>
      <w:r>
        <w:rPr>
          <w:rFonts w:cs="Tahoma"/>
          <w:i/>
        </w:rPr>
        <w:t>MVO</w:t>
      </w:r>
      <w:r w:rsidRPr="00B238A5">
        <w:rPr>
          <w:rFonts w:cs="Tahoma"/>
          <w:i/>
        </w:rPr>
        <w:t xml:space="preserve">. Daarom is het voor dit onderzoek van belang het begrip </w:t>
      </w:r>
      <w:r>
        <w:rPr>
          <w:rFonts w:cs="Tahoma"/>
          <w:i/>
        </w:rPr>
        <w:t>MVO</w:t>
      </w:r>
      <w:r w:rsidRPr="00B238A5">
        <w:rPr>
          <w:rFonts w:cs="Tahoma"/>
          <w:i/>
        </w:rPr>
        <w:t xml:space="preserve"> verder uit te werken. </w:t>
      </w:r>
      <w:r w:rsidRPr="00B238A5">
        <w:rPr>
          <w:rFonts w:cs="Tahoma"/>
          <w:i/>
        </w:rPr>
        <w:br/>
        <w:t xml:space="preserve">In dit hoofdstuk zal getracht worden uiteen te zetten wat </w:t>
      </w:r>
      <w:r>
        <w:rPr>
          <w:rFonts w:cs="Tahoma"/>
          <w:i/>
        </w:rPr>
        <w:t>MVO</w:t>
      </w:r>
      <w:r w:rsidR="001C150D">
        <w:rPr>
          <w:rFonts w:cs="Tahoma"/>
          <w:i/>
        </w:rPr>
        <w:t xml:space="preserve"> inhoudt, enerzijds vanuit de theorie en anderzijds door te belichten wat voor betekenis andere partijen aan MVO geven. </w:t>
      </w:r>
      <w:r w:rsidRPr="00B238A5">
        <w:rPr>
          <w:rFonts w:cs="Tahoma"/>
          <w:i/>
        </w:rPr>
        <w:t xml:space="preserve">. Daarnaast zal de relatie tussen </w:t>
      </w:r>
      <w:r>
        <w:rPr>
          <w:rFonts w:cs="Tahoma"/>
          <w:i/>
        </w:rPr>
        <w:t>MVO</w:t>
      </w:r>
      <w:r w:rsidRPr="00B238A5">
        <w:rPr>
          <w:rFonts w:cs="Tahoma"/>
          <w:i/>
        </w:rPr>
        <w:t xml:space="preserve"> en maatschappelijke verslaggeving aan bod komen. </w:t>
      </w:r>
    </w:p>
    <w:p w:rsidR="007473CE" w:rsidRPr="00B238A5" w:rsidRDefault="007473CE" w:rsidP="007473CE">
      <w:pPr>
        <w:pStyle w:val="Heading2"/>
        <w:rPr>
          <w:rFonts w:cs="Tahoma"/>
        </w:rPr>
      </w:pPr>
      <w:bookmarkStart w:id="50" w:name="_Toc391563927"/>
      <w:r>
        <w:rPr>
          <w:rFonts w:cs="Tahoma"/>
        </w:rPr>
        <w:t>6</w:t>
      </w:r>
      <w:r w:rsidRPr="00B238A5">
        <w:rPr>
          <w:rFonts w:cs="Tahoma"/>
        </w:rPr>
        <w:t>.1 Wat is Maatschappelijk Verantwoord Ondernemen?</w:t>
      </w:r>
      <w:bookmarkEnd w:id="50"/>
      <w:r w:rsidRPr="00B238A5">
        <w:rPr>
          <w:rFonts w:cs="Tahoma"/>
        </w:rPr>
        <w:t xml:space="preserve"> </w:t>
      </w:r>
    </w:p>
    <w:p w:rsidR="002E58E7" w:rsidRDefault="007473CE" w:rsidP="007473CE">
      <w:pPr>
        <w:rPr>
          <w:rFonts w:cs="Tahoma"/>
        </w:rPr>
      </w:pPr>
      <w:r>
        <w:rPr>
          <w:rFonts w:cs="Tahoma"/>
        </w:rPr>
        <w:t xml:space="preserve">MVO </w:t>
      </w:r>
      <w:r w:rsidRPr="00B238A5">
        <w:rPr>
          <w:rFonts w:cs="Tahoma"/>
        </w:rPr>
        <w:t>lijkt als begrip voor zich te spreken. Buiten het maken van winst moet er door de onderneming ook rekening worden gehouden met de andere aspecten van het ondernemen, maatschappelijke aspecten. Toch is de invulling van MVO voor iedere onderneming verschillend</w:t>
      </w:r>
      <w:r w:rsidR="008E00FA">
        <w:rPr>
          <w:rFonts w:cs="Tahoma"/>
        </w:rPr>
        <w:t xml:space="preserve"> (MVO platform, z.d.)</w:t>
      </w:r>
      <w:r w:rsidRPr="00B238A5">
        <w:rPr>
          <w:rStyle w:val="FootnoteReference"/>
          <w:rFonts w:cs="Tahoma"/>
        </w:rPr>
        <w:footnoteReference w:id="11"/>
      </w:r>
      <w:r w:rsidRPr="00B238A5">
        <w:rPr>
          <w:rFonts w:cs="Tahoma"/>
        </w:rPr>
        <w:t>. Juist omdat er zoveel verschillen zijn in de invulling door ondernemingen, zal het begrip MVO op een alge</w:t>
      </w:r>
      <w:r w:rsidR="002E58E7">
        <w:rPr>
          <w:rFonts w:cs="Tahoma"/>
        </w:rPr>
        <w:t xml:space="preserve">mene manier uiteen worden gezet, zonder te beschrijven op welke manier ondernemingen MVO toepassen. </w:t>
      </w:r>
    </w:p>
    <w:p w:rsidR="007473CE" w:rsidRPr="00B238A5" w:rsidRDefault="007473CE" w:rsidP="007473CE">
      <w:pPr>
        <w:rPr>
          <w:rFonts w:cs="Tahoma"/>
        </w:rPr>
      </w:pPr>
      <w:r w:rsidRPr="00B238A5">
        <w:rPr>
          <w:rFonts w:cs="Tahoma"/>
        </w:rPr>
        <w:t>Dat buiten de financiële aspecten ook  maatschappelijke aspecten bij ondernemen moeten worden betrokken spreekt bij de term MVO voor zich. Desondanks zijn er veel verschillende definities van MVO in omloop. MVO bestaat uit vele aspecten wat</w:t>
      </w:r>
      <w:r>
        <w:rPr>
          <w:rFonts w:cs="Tahoma"/>
        </w:rPr>
        <w:t xml:space="preserve"> het moeilijk</w:t>
      </w:r>
      <w:r w:rsidRPr="00B238A5">
        <w:rPr>
          <w:rFonts w:cs="Tahoma"/>
        </w:rPr>
        <w:t xml:space="preserve"> maakt een uniforme definitie te formuleren</w:t>
      </w:r>
      <w:r w:rsidR="00E01A03">
        <w:rPr>
          <w:rFonts w:cs="Tahoma"/>
        </w:rPr>
        <w:t xml:space="preserve"> (van der Laan, 2009)</w:t>
      </w:r>
      <w:r w:rsidRPr="00B238A5">
        <w:rPr>
          <w:rFonts w:cs="Tahoma"/>
        </w:rPr>
        <w:t>, soms wordt zelfs gesteld dat een eenduidige definitie van MVO een utopie is</w:t>
      </w:r>
      <w:r w:rsidR="00E01A03">
        <w:rPr>
          <w:rFonts w:cs="Tahoma"/>
        </w:rPr>
        <w:t xml:space="preserve"> (van Marrewijk, 2003)</w:t>
      </w:r>
      <w:r w:rsidRPr="00B238A5">
        <w:rPr>
          <w:rFonts w:cs="Tahoma"/>
        </w:rPr>
        <w:t xml:space="preserve">. Toch zullen in deze paragraaf enkele definities van het begrip worden gegeven, ter bevordering van de beeldvorming. </w:t>
      </w:r>
    </w:p>
    <w:p w:rsidR="007473CE" w:rsidRPr="00B238A5" w:rsidRDefault="007473CE" w:rsidP="007473CE">
      <w:pPr>
        <w:rPr>
          <w:rFonts w:cs="Tahoma"/>
        </w:rPr>
      </w:pPr>
      <w:r w:rsidRPr="00B238A5">
        <w:rPr>
          <w:rFonts w:cs="Tahoma"/>
        </w:rPr>
        <w:t>Het boek ‘Social Responsibilities of the Businessman’ van Bowen</w:t>
      </w:r>
      <w:r>
        <w:rPr>
          <w:rFonts w:cs="Tahoma"/>
        </w:rPr>
        <w:t xml:space="preserve"> uit 1953</w:t>
      </w:r>
      <w:r w:rsidRPr="00B238A5">
        <w:rPr>
          <w:rFonts w:cs="Tahoma"/>
        </w:rPr>
        <w:t xml:space="preserve"> wordt vaak aangemerkt als de start van de literatuur met betrekking tot MVO. In zijn boek wordt de volgende definitie van MVO gegeven: </w:t>
      </w:r>
    </w:p>
    <w:p w:rsidR="007473CE" w:rsidRPr="00FF1578" w:rsidRDefault="007473CE" w:rsidP="007473CE">
      <w:pPr>
        <w:rPr>
          <w:rFonts w:cs="Tahoma"/>
          <w:lang w:val="en-GB"/>
        </w:rPr>
      </w:pPr>
      <w:r w:rsidRPr="00B238A5">
        <w:rPr>
          <w:rFonts w:cs="Tahoma"/>
          <w:i/>
          <w:lang w:val="en-GB"/>
        </w:rPr>
        <w:t>“It refers to the obligation of businessmen to pursue those policies, to make those decision, or to follow those lines of action which are desirable in terms of the objectives and values of our society</w:t>
      </w:r>
      <w:r w:rsidRPr="00FF1578">
        <w:rPr>
          <w:rFonts w:cs="Tahoma"/>
          <w:i/>
          <w:lang w:val="en-GB"/>
        </w:rPr>
        <w:t xml:space="preserve">” </w:t>
      </w:r>
      <w:r w:rsidRPr="00FF1578">
        <w:rPr>
          <w:rFonts w:cs="Tahoma"/>
          <w:lang w:val="en-GB"/>
        </w:rPr>
        <w:t>(Bowen, 1953</w:t>
      </w:r>
      <w:r w:rsidR="00D923DF">
        <w:rPr>
          <w:rFonts w:cs="Tahoma"/>
          <w:lang w:val="en-GB"/>
        </w:rPr>
        <w:t>,</w:t>
      </w:r>
      <w:r w:rsidRPr="00FF1578">
        <w:rPr>
          <w:rFonts w:cs="Tahoma"/>
          <w:lang w:val="en-GB"/>
        </w:rPr>
        <w:t xml:space="preserve"> geciteerd door Maignan &amp; Ferrel, 2004)</w:t>
      </w:r>
    </w:p>
    <w:p w:rsidR="007473CE" w:rsidRPr="00B238A5" w:rsidRDefault="007473CE" w:rsidP="007473CE">
      <w:pPr>
        <w:rPr>
          <w:rFonts w:cs="Tahoma"/>
        </w:rPr>
      </w:pPr>
      <w:r w:rsidRPr="00B238A5">
        <w:rPr>
          <w:rFonts w:cs="Tahoma"/>
        </w:rPr>
        <w:t>Volgens Bowen moet bij elke beslissing of actie van de onderneming rekening worden gehouden met de effecten er van op de maatschappij. MVO werd gezien als een verplichting aan de maatschappij op verschillende gebieden. Zo zou een onderneming economische verplichtingen, wettelijke verplichtingen en filantropische verplichtingen hebben</w:t>
      </w:r>
      <w:r w:rsidRPr="00B238A5">
        <w:rPr>
          <w:rStyle w:val="FootnoteReference"/>
          <w:rFonts w:cs="Tahoma"/>
        </w:rPr>
        <w:footnoteReference w:id="12"/>
      </w:r>
      <w:r w:rsidRPr="00B238A5">
        <w:rPr>
          <w:rFonts w:cs="Tahoma"/>
        </w:rPr>
        <w:t xml:space="preserve">. In de jaren ’90 werd getwijfeld of een “verplichting aan de maatschappij” niet te breed was. Gesteld werd dat MVO gezien moest worden als een verplichting aan de </w:t>
      </w:r>
      <w:r w:rsidRPr="00B238A5">
        <w:rPr>
          <w:rFonts w:cs="Tahoma"/>
        </w:rPr>
        <w:lastRenderedPageBreak/>
        <w:t>stakeholders. Het ging niet langer om de maatschappij in het algemeen, maar alleen om diegene die direct of indirect werden beïnvloed door de ondernemingsactiviteiten</w:t>
      </w:r>
      <w:r w:rsidR="00E01A03">
        <w:rPr>
          <w:rFonts w:cs="Tahoma"/>
        </w:rPr>
        <w:t xml:space="preserve"> (Maignan &amp; Ferrel, 2004)</w:t>
      </w:r>
      <w:r w:rsidRPr="00B238A5">
        <w:rPr>
          <w:rFonts w:cs="Tahoma"/>
        </w:rPr>
        <w:t>. Dit is in overeenstemming met de stakeholdertheorie, die vooral bekend is geworden door Freeman</w:t>
      </w:r>
      <w:r w:rsidRPr="00B238A5">
        <w:rPr>
          <w:rStyle w:val="FootnoteReference"/>
          <w:rFonts w:cs="Tahoma"/>
        </w:rPr>
        <w:footnoteReference w:id="13"/>
      </w:r>
      <w:r w:rsidRPr="00B238A5">
        <w:rPr>
          <w:rFonts w:cs="Tahoma"/>
        </w:rPr>
        <w:t>. Deze zogenaamde ‘verplichting’ aan de stakeholders is in veel huidige definities van MVO terug te zien. Onder andere in de definitie die door MVO Nederland</w:t>
      </w:r>
      <w:r w:rsidRPr="00B238A5">
        <w:rPr>
          <w:rStyle w:val="FootnoteReference"/>
          <w:rFonts w:cs="Tahoma"/>
        </w:rPr>
        <w:footnoteReference w:id="14"/>
      </w:r>
      <w:r w:rsidRPr="00B238A5">
        <w:rPr>
          <w:rFonts w:cs="Tahoma"/>
        </w:rPr>
        <w:t xml:space="preserve"> aan MVO is gegeven. Deze definitie luidt als volgt:</w:t>
      </w:r>
    </w:p>
    <w:p w:rsidR="007473CE" w:rsidRPr="00B238A5" w:rsidRDefault="007473CE" w:rsidP="007473CE">
      <w:pPr>
        <w:rPr>
          <w:rFonts w:cs="Tahoma"/>
          <w:i/>
        </w:rPr>
      </w:pPr>
      <w:r w:rsidRPr="00B238A5">
        <w:rPr>
          <w:rFonts w:cs="Tahoma"/>
          <w:i/>
        </w:rPr>
        <w:t>“MVO is een integrale visie op de gehele bedrijfsvoering. Een bedrijf dat maatschappelijk verantwoord onderneemt, maakt bij iedere bedrijfsbeslissing een afweging tussen verschillende stakeholdersbelangen.”</w:t>
      </w:r>
      <w:r w:rsidR="00E01A03">
        <w:rPr>
          <w:rFonts w:cs="Tahoma"/>
          <w:i/>
        </w:rPr>
        <w:t xml:space="preserve"> </w:t>
      </w:r>
      <w:r w:rsidR="00E01A03">
        <w:rPr>
          <w:rFonts w:cs="Tahoma"/>
        </w:rPr>
        <w:t>(MVO Nederland, z.d.)</w:t>
      </w:r>
    </w:p>
    <w:p w:rsidR="007473CE" w:rsidRPr="00B238A5" w:rsidRDefault="007473CE" w:rsidP="007473CE">
      <w:pPr>
        <w:rPr>
          <w:rFonts w:cs="Tahoma"/>
        </w:rPr>
      </w:pPr>
      <w:r w:rsidRPr="00B238A5">
        <w:rPr>
          <w:rFonts w:cs="Tahoma"/>
        </w:rPr>
        <w:t>Deze definitie is een combinatie van de definitie van Bowen en de aanpassingen die daaraan werden gedaan in de jaren ’90. De reden dat de onderneming bij elke beslissing een afweging moet maken tussen de stakeholdersbelangen is gelegen in het feit dat de onderneming haar bestaansrecht te danken heeft aan de stakeholders. Door beleid te voeren in overeenstemming met de belangen van de stakeholders kan legitimiteit worden bereikt</w:t>
      </w:r>
      <w:r w:rsidRPr="00B238A5">
        <w:rPr>
          <w:rStyle w:val="FootnoteReference"/>
          <w:rFonts w:cs="Tahoma"/>
        </w:rPr>
        <w:footnoteReference w:id="15"/>
      </w:r>
      <w:r w:rsidRPr="00B238A5">
        <w:rPr>
          <w:rFonts w:cs="Tahoma"/>
        </w:rPr>
        <w:t>. De normen en waarden van de onderneming komen dan overeen met de normen en waarden van de maatschappij waarin de onderneming zich bevindt. Als deze situatie zich niet voordoet is er een kans dat de onderneming uit die maatschappij verdreven wordt. De legitimiteitstheorie verklaard daarom het belang van MVO: het behouden van het bestaansrecht in de maatschappij</w:t>
      </w:r>
      <w:r w:rsidR="00E01A03">
        <w:rPr>
          <w:rFonts w:cs="Tahoma"/>
        </w:rPr>
        <w:t xml:space="preserve"> (van der Laan, 2009)</w:t>
      </w:r>
      <w:r w:rsidRPr="00B238A5">
        <w:rPr>
          <w:rFonts w:cs="Tahoma"/>
        </w:rPr>
        <w:t xml:space="preserve">.  </w:t>
      </w:r>
    </w:p>
    <w:p w:rsidR="007473CE" w:rsidRPr="00B238A5" w:rsidRDefault="007473CE" w:rsidP="007473CE">
      <w:pPr>
        <w:rPr>
          <w:rFonts w:cs="Tahoma"/>
        </w:rPr>
      </w:pPr>
      <w:r w:rsidRPr="00B238A5">
        <w:rPr>
          <w:rFonts w:cs="Tahoma"/>
        </w:rPr>
        <w:t xml:space="preserve">De bovenstaande definitie heeft veel raakvlakken met de in het theoretisch kader beschreven theorieën en de definitie van Bowen. Toch is dit niet de enige definitie die in omloop is met betrekking tot MVO. Ondanks de vele raakvlakken is deze definitie vrij algemeen, en is het onduidelijk op welk gebied er rekening moet worden gehouden met stakeholdersbelangen. De definitie van de Sociaal Economische  Raad (hierna SER) </w:t>
      </w:r>
      <w:r>
        <w:rPr>
          <w:rFonts w:cs="Tahoma"/>
        </w:rPr>
        <w:t xml:space="preserve">bevat wel </w:t>
      </w:r>
      <w:r w:rsidRPr="00B238A5">
        <w:rPr>
          <w:rFonts w:cs="Tahoma"/>
        </w:rPr>
        <w:t xml:space="preserve">aspecten waarop MVO van toepassing </w:t>
      </w:r>
      <w:r>
        <w:rPr>
          <w:rFonts w:cs="Tahoma"/>
        </w:rPr>
        <w:t>zou zijn.</w:t>
      </w:r>
      <w:r w:rsidRPr="00B238A5">
        <w:rPr>
          <w:rFonts w:cs="Tahoma"/>
        </w:rPr>
        <w:t xml:space="preserve"> De definitie van de SER is de volgende: </w:t>
      </w:r>
    </w:p>
    <w:p w:rsidR="007473CE" w:rsidRPr="00B238A5" w:rsidRDefault="007473CE" w:rsidP="007473CE">
      <w:pPr>
        <w:rPr>
          <w:rFonts w:cs="Tahoma"/>
        </w:rPr>
      </w:pPr>
      <w:r w:rsidRPr="00B238A5">
        <w:rPr>
          <w:rFonts w:cs="Tahoma"/>
          <w:i/>
        </w:rPr>
        <w:t xml:space="preserve"> “Het bewust richten van de ondernemingsactiviteiten op waarde creatie op langere termijn in de drie dimensies people, planet en profit, gecombineerd met de bereidheid de dialoog met de samenleving aan te gaan. MVO behoort tot de core business van ondernemingen.” </w:t>
      </w:r>
      <w:r w:rsidRPr="00B238A5">
        <w:rPr>
          <w:rFonts w:cs="Tahoma"/>
        </w:rPr>
        <w:t xml:space="preserve"> (SER, 2000</w:t>
      </w:r>
      <w:r w:rsidR="00E01A03">
        <w:rPr>
          <w:rFonts w:cs="Tahoma"/>
        </w:rPr>
        <w:t>, pag. 13</w:t>
      </w:r>
      <w:r w:rsidRPr="00B238A5">
        <w:rPr>
          <w:rFonts w:cs="Tahoma"/>
        </w:rPr>
        <w:t>)</w:t>
      </w:r>
    </w:p>
    <w:p w:rsidR="007473CE" w:rsidRPr="00B238A5" w:rsidRDefault="007473CE" w:rsidP="007473CE">
      <w:pPr>
        <w:rPr>
          <w:rFonts w:cs="Tahoma"/>
        </w:rPr>
      </w:pPr>
      <w:r w:rsidRPr="00B238A5">
        <w:rPr>
          <w:rFonts w:cs="Tahoma"/>
        </w:rPr>
        <w:t xml:space="preserve">Deze definitie betrekt net als de eerder genoemde definitie van MVO Nederland de samenleving bij de onderneming. Ook hier </w:t>
      </w:r>
      <w:r>
        <w:rPr>
          <w:rFonts w:cs="Tahoma"/>
        </w:rPr>
        <w:t>zijn</w:t>
      </w:r>
      <w:r w:rsidRPr="00B238A5">
        <w:rPr>
          <w:rFonts w:cs="Tahoma"/>
        </w:rPr>
        <w:t xml:space="preserve"> dus de raakvlakken</w:t>
      </w:r>
      <w:r>
        <w:rPr>
          <w:rFonts w:cs="Tahoma"/>
        </w:rPr>
        <w:t xml:space="preserve"> te zien</w:t>
      </w:r>
      <w:r w:rsidRPr="00B238A5">
        <w:rPr>
          <w:rFonts w:cs="Tahoma"/>
        </w:rPr>
        <w:t xml:space="preserve"> met de stakeholdertheorie en legitimiteitstheorie.  Door de dialoog aan te gaan met de samenleving, worden meer dan alleen de aandeelhouders betrokken bij de bedrijfsvoering, </w:t>
      </w:r>
      <w:r w:rsidR="00297A84">
        <w:rPr>
          <w:rFonts w:cs="Tahoma"/>
        </w:rPr>
        <w:t>zoals beschreven in de</w:t>
      </w:r>
      <w:r w:rsidRPr="00B238A5">
        <w:rPr>
          <w:rFonts w:cs="Tahoma"/>
        </w:rPr>
        <w:t xml:space="preserve"> stakeholderth</w:t>
      </w:r>
      <w:r w:rsidR="00297A84">
        <w:rPr>
          <w:rFonts w:cs="Tahoma"/>
        </w:rPr>
        <w:t xml:space="preserve">eorie. Daarnaast is de dialoog </w:t>
      </w:r>
      <w:r w:rsidRPr="00B238A5">
        <w:rPr>
          <w:rFonts w:cs="Tahoma"/>
        </w:rPr>
        <w:t xml:space="preserve">een middel om te komen tot legitimiteit. Door de dialoog aan te gaan kunnen de normen en waarden van de onderneming en de maatschappij aan elkaar worden aangepast om zo te komen tot overeenstemming. Op het moment dat deze overeenstemming zal worden bereikt kan gesproken worden van legitimiteit. Het opvallende aan deze definitie is dat deze verder is uitgebreid en naast het belang van het betrekken van stakeholders ook </w:t>
      </w:r>
      <w:r w:rsidRPr="00B238A5">
        <w:rPr>
          <w:rFonts w:cs="Tahoma"/>
        </w:rPr>
        <w:lastRenderedPageBreak/>
        <w:t>een ander aspect van MVO aan het licht brengt. De onderneming zou moeten zorgen voor waarde creatie op drie dimensies, People, Planet en Profit, de zogenoemde drie P’s. Deze drie P’s zijn kenmerkend voor MVO en zullen dan ook verder worden uitgewerkt</w:t>
      </w:r>
      <w:r w:rsidR="005671CE">
        <w:rPr>
          <w:rFonts w:cs="Tahoma"/>
        </w:rPr>
        <w:t xml:space="preserve"> (Moratis &amp; van der Veen, 2010)</w:t>
      </w:r>
      <w:r w:rsidRPr="00B238A5">
        <w:rPr>
          <w:rFonts w:cs="Tahoma"/>
        </w:rPr>
        <w:t>.</w:t>
      </w:r>
    </w:p>
    <w:p w:rsidR="007473CE" w:rsidRPr="00B238A5" w:rsidRDefault="00BD717F" w:rsidP="00BD717F">
      <w:pPr>
        <w:pStyle w:val="Heading3"/>
        <w:rPr>
          <w:rFonts w:cs="Tahoma"/>
        </w:rPr>
      </w:pPr>
      <w:bookmarkStart w:id="51" w:name="_Toc391563928"/>
      <w:r>
        <w:rPr>
          <w:rFonts w:cs="Tahoma"/>
        </w:rPr>
        <w:t xml:space="preserve">6.1.1 </w:t>
      </w:r>
      <w:r w:rsidR="007473CE" w:rsidRPr="00B238A5">
        <w:rPr>
          <w:rFonts w:cs="Tahoma"/>
        </w:rPr>
        <w:t>Triple P bottom line</w:t>
      </w:r>
      <w:bookmarkEnd w:id="51"/>
    </w:p>
    <w:p w:rsidR="007473CE" w:rsidRPr="00B238A5" w:rsidRDefault="007473CE" w:rsidP="007473CE">
      <w:r w:rsidRPr="00B238A5">
        <w:t>‘De drie P’s’, genoemd in de definitie die de SER gaf aan MVO, worden vaak ‘Triple P bottom line’ genoemd. Deze drie dimensies weergeven het feit dat de onderneming zich niet alleen moet richten op de financiële prestaties maar ook op andere aspecten van ondernemen, people en planet. In sommige gevallen wordt ook wel gesproken over de sociale en milieuaspecten van ondernemen. Triple Bottom Line werd voor het eerst beschreven door John Elkington in zijn boek ‘Canibals with forks’</w:t>
      </w:r>
      <w:r w:rsidR="005671CE">
        <w:t xml:space="preserve"> (de Wit, 2011)</w:t>
      </w:r>
      <w:r w:rsidRPr="00B238A5">
        <w:t xml:space="preserve">. Kort zal worden toegelicht wat in deze context met de begrippen wordt bedoeld. </w:t>
      </w:r>
    </w:p>
    <w:p w:rsidR="007473CE" w:rsidRPr="00B238A5" w:rsidRDefault="007473CE" w:rsidP="007473CE">
      <w:pPr>
        <w:pStyle w:val="ListParagraph"/>
        <w:numPr>
          <w:ilvl w:val="0"/>
          <w:numId w:val="11"/>
        </w:numPr>
        <w:rPr>
          <w:rFonts w:cs="Tahoma"/>
        </w:rPr>
      </w:pPr>
      <w:r w:rsidRPr="00B238A5">
        <w:rPr>
          <w:rFonts w:cs="Tahoma"/>
          <w:b/>
        </w:rPr>
        <w:t>People</w:t>
      </w:r>
      <w:r w:rsidRPr="00B238A5">
        <w:rPr>
          <w:rFonts w:cs="Tahoma"/>
        </w:rPr>
        <w:t xml:space="preserve"> draait om het welzijn van mensen binnen en buiten de onderneming. De effecten op het welzijn van bijvoorbeeld de werknemers, maar ook de mensen uit de maatschappij waarin de onderneming zich bevindt. </w:t>
      </w:r>
    </w:p>
    <w:p w:rsidR="007473CE" w:rsidRPr="00B238A5" w:rsidRDefault="007473CE" w:rsidP="007473CE">
      <w:pPr>
        <w:pStyle w:val="ListParagraph"/>
        <w:numPr>
          <w:ilvl w:val="0"/>
          <w:numId w:val="11"/>
        </w:numPr>
        <w:rPr>
          <w:rFonts w:cs="Tahoma"/>
        </w:rPr>
      </w:pPr>
      <w:r w:rsidRPr="00B238A5">
        <w:rPr>
          <w:rFonts w:cs="Tahoma"/>
        </w:rPr>
        <w:t xml:space="preserve">Het begrip </w:t>
      </w:r>
      <w:r w:rsidRPr="00B238A5">
        <w:rPr>
          <w:rFonts w:cs="Tahoma"/>
          <w:b/>
        </w:rPr>
        <w:t xml:space="preserve">Planet </w:t>
      </w:r>
      <w:r w:rsidRPr="00B238A5">
        <w:rPr>
          <w:rFonts w:cs="Tahoma"/>
        </w:rPr>
        <w:t xml:space="preserve">gaat het om de manier waarop de onderneming omgaat met de milieueffecten van de ondernemingsactiviteiten. </w:t>
      </w:r>
    </w:p>
    <w:p w:rsidR="007473CE" w:rsidRPr="00B238A5" w:rsidRDefault="007473CE" w:rsidP="007473CE">
      <w:pPr>
        <w:pStyle w:val="ListParagraph"/>
        <w:numPr>
          <w:ilvl w:val="0"/>
          <w:numId w:val="11"/>
        </w:numPr>
        <w:rPr>
          <w:rFonts w:cs="Tahoma"/>
        </w:rPr>
      </w:pPr>
      <w:r w:rsidRPr="00B238A5">
        <w:rPr>
          <w:rFonts w:cs="Tahoma"/>
        </w:rPr>
        <w:t xml:space="preserve">Natuurlijk kan de onderneming niet om de financiële aspecten van ondernemen heen. Deze zijn onlosmakelijk verbonden met het ondernemen en dus is de laatste P, </w:t>
      </w:r>
      <w:r w:rsidRPr="00B238A5">
        <w:rPr>
          <w:rFonts w:cs="Tahoma"/>
          <w:b/>
        </w:rPr>
        <w:t>Profit</w:t>
      </w:r>
      <w:r w:rsidRPr="00B238A5">
        <w:rPr>
          <w:rFonts w:cs="Tahoma"/>
        </w:rPr>
        <w:t xml:space="preserve">. Hierbij gaat het om winstmaximalisatie. </w:t>
      </w:r>
    </w:p>
    <w:p w:rsidR="007473CE" w:rsidRPr="00B238A5" w:rsidRDefault="007473CE" w:rsidP="007473CE">
      <w:pPr>
        <w:rPr>
          <w:rFonts w:cs="Tahoma"/>
        </w:rPr>
      </w:pPr>
      <w:r w:rsidRPr="00B238A5">
        <w:rPr>
          <w:rFonts w:cs="Tahoma"/>
          <w:noProof/>
          <w:lang w:val="en-US"/>
        </w:rPr>
        <w:drawing>
          <wp:anchor distT="0" distB="0" distL="114300" distR="114300" simplePos="0" relativeHeight="251659264" behindDoc="0" locked="0" layoutInCell="1" allowOverlap="1">
            <wp:simplePos x="0" y="0"/>
            <wp:positionH relativeFrom="margin">
              <wp:align>right</wp:align>
            </wp:positionH>
            <wp:positionV relativeFrom="paragraph">
              <wp:posOffset>948956</wp:posOffset>
            </wp:positionV>
            <wp:extent cx="2739390" cy="2550795"/>
            <wp:effectExtent l="0" t="0" r="3810" b="190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39390" cy="2550795"/>
                    </a:xfrm>
                    <a:prstGeom prst="rect">
                      <a:avLst/>
                    </a:prstGeom>
                    <a:noFill/>
                    <a:ln>
                      <a:noFill/>
                    </a:ln>
                  </pic:spPr>
                </pic:pic>
              </a:graphicData>
            </a:graphic>
          </wp:anchor>
        </w:drawing>
      </w:r>
      <w:r w:rsidRPr="00B238A5">
        <w:rPr>
          <w:rFonts w:cs="Tahoma"/>
        </w:rPr>
        <w:t xml:space="preserve">Volgens MVO moet op elk van deze dimensies worden gepresteerd, en is het belangrijk om een goede balans te vinden tussen deze dimensies. De onderneming moet proberen winst voor zichzelf te creëren maar daarnaast ook winst voor de maatschappij waarin het zich bevindt </w:t>
      </w:r>
      <w:r w:rsidR="005671CE">
        <w:rPr>
          <w:rFonts w:cs="Tahoma"/>
        </w:rPr>
        <w:t>(Habets, 2009)</w:t>
      </w:r>
      <w:r w:rsidRPr="00B238A5">
        <w:rPr>
          <w:rFonts w:cs="Tahoma"/>
        </w:rPr>
        <w:t xml:space="preserve">. </w:t>
      </w:r>
    </w:p>
    <w:p w:rsidR="007473CE" w:rsidRPr="00B238A5" w:rsidRDefault="00C3187A" w:rsidP="007473CE">
      <w:pPr>
        <w:rPr>
          <w:rFonts w:cs="Tahoma"/>
        </w:rPr>
      </w:pPr>
      <w:r w:rsidRPr="00C3187A">
        <w:rPr>
          <w:noProof/>
          <w:lang w:eastAsia="nl-NL"/>
        </w:rPr>
        <w:pict>
          <v:shapetype id="_x0000_t202" coordsize="21600,21600" o:spt="202" path="m,l,21600r21600,l21600,xe">
            <v:stroke joinstyle="miter"/>
            <v:path gradientshapeok="t" o:connecttype="rect"/>
          </v:shapetype>
          <v:shape id="Tekstvak 6" o:spid="_x0000_s1026" type="#_x0000_t202" style="position:absolute;margin-left:340.2pt;margin-top:186.85pt;width:215.7pt;height:.05pt;z-index:25166028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" stroked="f">
            <v:textbox style="mso-fit-shape-to-text:t" inset="0,0,0,0">
              <w:txbxContent>
                <w:p w:rsidR="00EC3944" w:rsidRPr="00A36D77" w:rsidRDefault="00EC3944" w:rsidP="007473CE">
                  <w:pPr>
                    <w:pStyle w:val="Caption"/>
                    <w:rPr>
                      <w:rFonts w:cs="Tahoma"/>
                      <w:noProof/>
                    </w:rPr>
                  </w:pPr>
                  <w:r>
                    <w:t xml:space="preserve">Figuur </w:t>
                  </w:r>
                  <w:r w:rsidR="00C3187A">
                    <w:fldChar w:fldCharType="begin"/>
                  </w:r>
                  <w:r w:rsidR="003630AE">
                    <w:instrText xml:space="preserve"> SEQ Figuur \* ARABIC </w:instrText>
                  </w:r>
                  <w:r w:rsidR="00C3187A">
                    <w:fldChar w:fldCharType="separate"/>
                  </w:r>
                  <w:r>
                    <w:rPr>
                      <w:noProof/>
                    </w:rPr>
                    <w:t>2</w:t>
                  </w:r>
                  <w:r w:rsidR="00C3187A">
                    <w:rPr>
                      <w:noProof/>
                    </w:rPr>
                    <w:fldChar w:fldCharType="end"/>
                  </w:r>
                  <w:r>
                    <w:t xml:space="preserve"> Bron: Deloitte commissary survey een duurzame toekomst</w:t>
                  </w:r>
                </w:p>
              </w:txbxContent>
            </v:textbox>
            <w10:wrap type="square" anchorx="margin"/>
          </v:shape>
        </w:pict>
      </w:r>
      <w:r w:rsidR="007473CE" w:rsidRPr="00B238A5">
        <w:rPr>
          <w:rFonts w:cs="Tahoma"/>
        </w:rPr>
        <w:t>People en Planet zijn duidelijke begrippen, maar vrij abstract. De manier waarop een onderneming winst kan maken voor de maatschappij blijft in het ongewis. Uit een onderzoek van Deloitte onder commissarissen is gebleken wat zij onder duurzaamheid verstaan</w:t>
      </w:r>
      <w:r w:rsidR="007473CE" w:rsidRPr="00B238A5">
        <w:rPr>
          <w:rStyle w:val="FootnoteReference"/>
          <w:rFonts w:cs="Tahoma"/>
        </w:rPr>
        <w:footnoteReference w:id="16"/>
      </w:r>
      <w:r w:rsidR="007473CE" w:rsidRPr="00B238A5">
        <w:rPr>
          <w:rFonts w:cs="Tahoma"/>
        </w:rPr>
        <w:t xml:space="preserve">. De uitkomst van dit onderzoek is grafisch weergegeven in figuur 2. </w:t>
      </w:r>
      <w:r w:rsidR="007473CE">
        <w:rPr>
          <w:rFonts w:cs="Tahoma"/>
        </w:rPr>
        <w:t xml:space="preserve">Onder andere een leefbare samenleving en beperken van verspilling werden vaak door de commissarissen aangemerkt als betekenis van duurzaamheid. </w:t>
      </w:r>
      <w:r w:rsidR="007473CE" w:rsidRPr="00B238A5">
        <w:rPr>
          <w:rFonts w:cs="Tahoma"/>
        </w:rPr>
        <w:t>Door deze onderwerpen te bekijken kan een idee worden gekregen wat de invulling van abstracte begrippen als People en Planet zou kunnen zijn</w:t>
      </w:r>
      <w:r w:rsidR="005671CE">
        <w:rPr>
          <w:rFonts w:cs="Tahoma"/>
        </w:rPr>
        <w:t xml:space="preserve"> (Zegers, Kalleveen &amp; Bontes, 2010)</w:t>
      </w:r>
      <w:r w:rsidR="007473CE" w:rsidRPr="00B238A5">
        <w:rPr>
          <w:rFonts w:cs="Tahoma"/>
        </w:rPr>
        <w:t xml:space="preserve">. </w:t>
      </w:r>
    </w:p>
    <w:p w:rsidR="007473CE" w:rsidRPr="00B238A5" w:rsidRDefault="00BD717F" w:rsidP="00BD717F">
      <w:pPr>
        <w:pStyle w:val="Stijl1"/>
        <w:numPr>
          <w:ilvl w:val="0"/>
          <w:numId w:val="0"/>
        </w:numPr>
      </w:pPr>
      <w:bookmarkStart w:id="52" w:name="_Toc391563929"/>
      <w:r>
        <w:lastRenderedPageBreak/>
        <w:t>6</w:t>
      </w:r>
      <w:r>
        <w:rPr>
          <w:rFonts w:eastAsiaTheme="minorHAnsi"/>
          <w:sz w:val="22"/>
          <w:szCs w:val="22"/>
        </w:rPr>
        <w:t xml:space="preserve">.1.2 </w:t>
      </w:r>
      <w:r w:rsidR="007473CE" w:rsidRPr="00B238A5">
        <w:t>Vrijwilligheid</w:t>
      </w:r>
      <w:bookmarkEnd w:id="52"/>
    </w:p>
    <w:p w:rsidR="007473CE" w:rsidRPr="00FF1578" w:rsidRDefault="007473CE" w:rsidP="007473CE">
      <w:pPr>
        <w:rPr>
          <w:lang w:val="en-GB"/>
        </w:rPr>
      </w:pPr>
      <w:r w:rsidRPr="00B238A5">
        <w:t xml:space="preserve">De bovenstaande informatie lijkt te omvatten wat MVO inhoudt. Er is echter nog een ander aspect aan MVO verbonden: vrijwilligheid. </w:t>
      </w:r>
      <w:r w:rsidRPr="00FF1578">
        <w:rPr>
          <w:lang w:val="en-GB"/>
        </w:rPr>
        <w:t xml:space="preserve">Het boek ‘Environmental Protection and the Social Responsibility of Firms’ geeft de volgende definitie van MVO: </w:t>
      </w:r>
    </w:p>
    <w:p w:rsidR="007473CE" w:rsidRPr="00B238A5" w:rsidRDefault="007473CE" w:rsidP="007473CE">
      <w:pPr>
        <w:rPr>
          <w:i/>
        </w:rPr>
      </w:pPr>
      <w:r w:rsidRPr="00FF1578">
        <w:rPr>
          <w:i/>
          <w:lang w:val="en-GB"/>
        </w:rPr>
        <w:t>“</w:t>
      </w:r>
      <w:r w:rsidR="00E76762">
        <w:rPr>
          <w:i/>
          <w:lang w:val="en-GB"/>
        </w:rPr>
        <w:t>CSR is a</w:t>
      </w:r>
      <w:r w:rsidRPr="00FF1578">
        <w:rPr>
          <w:i/>
          <w:lang w:val="en-GB"/>
        </w:rPr>
        <w:t xml:space="preserve"> consistent pattern, at the very least, of private firms doing more than they are required to do under applicable laws and regulations governing the environment, worker safety and health, and investments in the communities in which they operate.”</w:t>
      </w:r>
      <w:r w:rsidR="00E76762">
        <w:rPr>
          <w:lang w:val="en-GB"/>
        </w:rPr>
        <w:t xml:space="preserve"> </w:t>
      </w:r>
      <w:r w:rsidR="00E76762" w:rsidRPr="00E76762">
        <w:t>(Hay, Stavins &amp; Vietor. 2010, pag.</w:t>
      </w:r>
      <w:r w:rsidR="00E76762">
        <w:t xml:space="preserve"> 6)</w:t>
      </w:r>
    </w:p>
    <w:p w:rsidR="007473CE" w:rsidRPr="00B238A5" w:rsidRDefault="007473CE" w:rsidP="007473CE">
      <w:r w:rsidRPr="00B238A5">
        <w:t xml:space="preserve">Deze definitie beschrijft dat het bij MVO gaat om activiteiten die verder gaan dan bij de wet verplicht is. Een onderneming moet zich ten allen tijden aan de wet en regelgeving houden die </w:t>
      </w:r>
      <w:r w:rsidR="00D923DF">
        <w:t>gelden. Als men</w:t>
      </w:r>
      <w:r w:rsidRPr="00B238A5">
        <w:t xml:space="preserve"> verder gaat dan wat wettelijk verplicht is, kan men spreken van MVO.</w:t>
      </w:r>
      <w:r w:rsidR="00697037">
        <w:t xml:space="preserve"> Een onderneming die de uitstoot van lucht- en watervervuiling consequent meer vermindert dan volgens de regelgevende autoriteiten is verplicht is hier een voorbeeld van</w:t>
      </w:r>
      <w:r w:rsidR="00E76762">
        <w:t xml:space="preserve"> (Hay, Stavins &amp; Vietor. 2010)</w:t>
      </w:r>
      <w:r w:rsidRPr="00B238A5">
        <w:t>. Echter</w:t>
      </w:r>
      <w:r w:rsidR="00D923DF">
        <w:t>,</w:t>
      </w:r>
      <w:r w:rsidRPr="00B238A5">
        <w:t xml:space="preserve"> de vrijwilligheid van MVO moet niet verward worden met liefdadigheid. Als het gaat om liefdadigheid </w:t>
      </w:r>
      <w:r w:rsidR="00530B56">
        <w:t xml:space="preserve">is </w:t>
      </w:r>
      <w:r w:rsidRPr="00B238A5">
        <w:t xml:space="preserve">het eigen belang ondergeschikt, dat is bij MVO niet het geval. De sociale en milieuaspecten worden betrokken bij het ondernemen, dit betekent niet dat dit niet </w:t>
      </w:r>
      <w:r w:rsidR="009F79D6">
        <w:t>in eigen belang is</w:t>
      </w:r>
      <w:r w:rsidRPr="00B238A5">
        <w:t xml:space="preserve">. </w:t>
      </w:r>
      <w:r w:rsidR="00530B56">
        <w:t xml:space="preserve">Uiteindelijk start de onderneming deze activiteiten om daar zelf ook voordeel uit te halen (Moratis &amp; van der Veen, 2010). </w:t>
      </w:r>
      <w:r w:rsidRPr="00B238A5">
        <w:t>Het doen aan MVO is al eerder verklaard aan de hand van de legitimiteitstheorie en de stakeholdertheorie. Deze theorieën laten zien dat MVO uiteindelijk nodig is om bestaansrecht</w:t>
      </w:r>
      <w:r>
        <w:t xml:space="preserve"> van de onderneming</w:t>
      </w:r>
      <w:r w:rsidRPr="00B238A5">
        <w:t xml:space="preserve"> te ontlenen. </w:t>
      </w:r>
    </w:p>
    <w:p w:rsidR="007473CE" w:rsidRPr="00B238A5" w:rsidRDefault="007473CE" w:rsidP="007473CE">
      <w:pPr>
        <w:pStyle w:val="Heading2"/>
      </w:pPr>
      <w:bookmarkStart w:id="53" w:name="_Toc391563930"/>
      <w:r w:rsidRPr="008C31C8">
        <w:t>6.</w:t>
      </w:r>
      <w:r>
        <w:t>2</w:t>
      </w:r>
      <w:r w:rsidR="008C31C8">
        <w:t xml:space="preserve"> </w:t>
      </w:r>
      <w:r>
        <w:t>Ma</w:t>
      </w:r>
      <w:r w:rsidRPr="00B238A5">
        <w:t>atschappelijk verantwoord ondernemen en</w:t>
      </w:r>
      <w:r w:rsidR="008C31C8">
        <w:t xml:space="preserve"> maatschappelijke verslaggeving.</w:t>
      </w:r>
      <w:bookmarkEnd w:id="53"/>
      <w:r w:rsidR="008C31C8">
        <w:t xml:space="preserve"> </w:t>
      </w:r>
    </w:p>
    <w:p w:rsidR="007473CE" w:rsidRPr="00B238A5" w:rsidRDefault="007473CE" w:rsidP="007473CE">
      <w:pPr>
        <w:pStyle w:val="ListParagraph"/>
        <w:ind w:left="0"/>
      </w:pPr>
      <w:r w:rsidRPr="00B238A5">
        <w:t xml:space="preserve">Dit onderzoek is niet per definitie gericht  op </w:t>
      </w:r>
      <w:r>
        <w:t>MVO</w:t>
      </w:r>
      <w:r w:rsidRPr="00B238A5">
        <w:t xml:space="preserve">, maar op maatschappelijke verslaggeving. Toch is MVO een belangrijk onderdeel van dit onderzoek omdat MVO ten grondslag ligt aan maatschappelijke verslaggeving. Dit wordt onder andere zichtbaar door het volgende fragment uit de Richtlijnen voor de Jaarverslaggeving: </w:t>
      </w:r>
    </w:p>
    <w:p w:rsidR="007473CE" w:rsidRPr="00B238A5" w:rsidRDefault="007473CE" w:rsidP="007473CE">
      <w:pPr>
        <w:rPr>
          <w:i/>
        </w:rPr>
      </w:pPr>
      <w:r w:rsidRPr="00B238A5">
        <w:t>RJ-400: “</w:t>
      </w:r>
      <w:r w:rsidRPr="00B238A5">
        <w:rPr>
          <w:i/>
        </w:rPr>
        <w:t>…Het verdient aanbeveling om in het jaarverslag een toelichting te geven op de hoofdzaken van voor de rechtspersoon relevante maatschappelijke aspecten van ondernemen.”</w:t>
      </w:r>
      <w:r w:rsidR="00E76762">
        <w:rPr>
          <w:i/>
        </w:rPr>
        <w:t xml:space="preserve"> </w:t>
      </w:r>
      <w:r w:rsidR="00E76762">
        <w:t>(Raad voor de Jaarverslaggeving, 2009, pag. 4)</w:t>
      </w:r>
    </w:p>
    <w:p w:rsidR="007473CE" w:rsidRPr="00B238A5" w:rsidRDefault="007473CE" w:rsidP="007473CE">
      <w:r w:rsidRPr="00B238A5">
        <w:t>De RJ raad</w:t>
      </w:r>
      <w:r w:rsidR="009F79D6">
        <w:t>t</w:t>
      </w:r>
      <w:r w:rsidRPr="00B238A5">
        <w:t xml:space="preserve"> aan om in het jaarverslag een toelichting op te nemen met daarin relevante maatschappelijke aspecten van ondernemen. Als een onderneming maatschappelijk verantwoord onderneemt wordt het dus aangeraden hier openheid over te geven. </w:t>
      </w:r>
      <w:r w:rsidR="008C31C8">
        <w:t xml:space="preserve">Veel informatie met betrekking tot MVO kan worden geschaard onder niet-financiële informatie. Bijvoorbeeld informatie over milieu- en sociale aangelegenheden. Er is dus een relatie tussen MVO en het verstrekken van niet-financiële informatie (NIVRA, 2009b). </w:t>
      </w:r>
    </w:p>
    <w:p w:rsidR="007473CE" w:rsidRPr="00B238A5" w:rsidRDefault="007473CE" w:rsidP="007473CE">
      <w:r w:rsidRPr="00B238A5">
        <w:t>Naast de Raad voor de Jaarverslaggeving, vindt ook de overheid dat openheid met betrekking tot de maatschappelijke aspecten van ondernemen hoog op de agenda van ondernemingen moet staan. Transparantie behoort dan ook tot één van de kernpunten van MVO</w:t>
      </w:r>
      <w:r w:rsidR="00E76762">
        <w:t xml:space="preserve"> (Lageweg, Vlaming, Tol &amp; Klomp, </w:t>
      </w:r>
      <w:r w:rsidR="00E76762">
        <w:lastRenderedPageBreak/>
        <w:t>2012)</w:t>
      </w:r>
      <w:r w:rsidRPr="00B238A5">
        <w:t xml:space="preserve">. Hiermee wordt bedoeld dat de onderneming naar haar stakeholders toe open, zichtbaar en toegankelijk is. </w:t>
      </w:r>
      <w:r w:rsidR="003D6862">
        <w:t>Verslag doen over de MVO-inspanningen van een onderneming bevordert volgens de overheid de stakeholderdialoog</w:t>
      </w:r>
      <w:r w:rsidR="00E76762">
        <w:t xml:space="preserve"> (Ministerie van Economische Zaken, z.d.)</w:t>
      </w:r>
      <w:r w:rsidRPr="00B238A5">
        <w:t xml:space="preserve">. Deze stakeholderdialoog staat centraal bij </w:t>
      </w:r>
      <w:r>
        <w:t>MVO</w:t>
      </w:r>
      <w:r w:rsidRPr="00B238A5">
        <w:t xml:space="preserve">. Het belang van deze stakeholderdialoog kan verklaard worden door de legitimiteitstheorie. Door in gesprek te gaan met de stakeholders, kan het bedrijf achter de geldende normen en waarden van deze stakeholders komen. Als het bedrijf het lukt een effectieve stakeholderdialoog aan te gaan, is de onderneming in staat haar beleid aan te passen aan deze normen en waarden om zo te komen tot legitimiteit. Het is een kettingreactie, waarbij transparantie zorgt voor de stakeholderdialoog, en de stakeholderdialoog zorgt voor mogelijkheden tot legitimiteit. </w:t>
      </w:r>
    </w:p>
    <w:p w:rsidR="007473CE" w:rsidRPr="00B238A5" w:rsidRDefault="007473CE" w:rsidP="007473CE">
      <w:r w:rsidRPr="00B238A5">
        <w:t xml:space="preserve">De manier waarop de informatie met betrekking tot MVO kan worden vrijgegeven kan verschillen. Er zijn verschillende media die zich er voor lenen om het MVO-beleid en de bijbehorende activiteiten te communiceren naar de verschillende stakeholders. Enkele voorbeelden hiervan zijn: </w:t>
      </w:r>
    </w:p>
    <w:p w:rsidR="007473CE" w:rsidRPr="00B238A5" w:rsidRDefault="007473CE" w:rsidP="007473CE">
      <w:pPr>
        <w:pStyle w:val="ListParagraph"/>
        <w:numPr>
          <w:ilvl w:val="0"/>
          <w:numId w:val="4"/>
        </w:numPr>
        <w:spacing w:after="160"/>
      </w:pPr>
      <w:r w:rsidRPr="00B238A5">
        <w:t>Op de website</w:t>
      </w:r>
    </w:p>
    <w:p w:rsidR="007473CE" w:rsidRPr="00B238A5" w:rsidRDefault="007473CE" w:rsidP="007473CE">
      <w:pPr>
        <w:pStyle w:val="ListParagraph"/>
        <w:numPr>
          <w:ilvl w:val="0"/>
          <w:numId w:val="4"/>
        </w:numPr>
        <w:spacing w:after="160"/>
      </w:pPr>
      <w:r w:rsidRPr="00B238A5">
        <w:t>Brochure</w:t>
      </w:r>
    </w:p>
    <w:p w:rsidR="007473CE" w:rsidRPr="00B238A5" w:rsidRDefault="007473CE" w:rsidP="007473CE">
      <w:pPr>
        <w:pStyle w:val="ListParagraph"/>
        <w:numPr>
          <w:ilvl w:val="0"/>
          <w:numId w:val="4"/>
        </w:numPr>
        <w:spacing w:after="160"/>
      </w:pPr>
      <w:r w:rsidRPr="00B238A5">
        <w:t>Een opzichzelfstaand maatschappelijk verslag</w:t>
      </w:r>
    </w:p>
    <w:p w:rsidR="007473CE" w:rsidRPr="00B238A5" w:rsidRDefault="007473CE" w:rsidP="007473CE">
      <w:pPr>
        <w:pStyle w:val="ListParagraph"/>
        <w:numPr>
          <w:ilvl w:val="0"/>
          <w:numId w:val="4"/>
        </w:numPr>
        <w:spacing w:after="160"/>
      </w:pPr>
      <w:r w:rsidRPr="00B238A5">
        <w:t>Opnemen van de MVO-strategie in het reguliere verslag</w:t>
      </w:r>
    </w:p>
    <w:p w:rsidR="007473CE" w:rsidRPr="00B238A5" w:rsidRDefault="003D6862" w:rsidP="007473CE">
      <w:pPr>
        <w:spacing w:after="160"/>
      </w:pPr>
      <w:r>
        <w:t>Het toepassen van MVO door een onderneming, zal bijna altijd leiden tot het vrijgeven van niet-financiële informatie met betrekking tot sociale en milieuaspecten van ondernemen. Omdat het maatschappelijk verslag niet bij wet is verplicht, zal MVO echter niet altijd direct leiden tot het publiceren van een daadwer</w:t>
      </w:r>
      <w:r w:rsidR="00EF5394">
        <w:t>kelijk maatschappelijk verslag</w:t>
      </w:r>
      <w:r w:rsidR="007473CE" w:rsidRPr="00B238A5">
        <w:t xml:space="preserve">. Wel is in artikel 2:391 lid 1 het volgende opgenomen: </w:t>
      </w:r>
    </w:p>
    <w:p w:rsidR="007473CE" w:rsidRPr="00B238A5" w:rsidRDefault="007473CE" w:rsidP="007473CE">
      <w:pPr>
        <w:spacing w:after="160"/>
        <w:rPr>
          <w:i/>
        </w:rPr>
      </w:pPr>
      <w:r w:rsidRPr="00B238A5">
        <w:rPr>
          <w:i/>
        </w:rPr>
        <w:t>“…Indien noodzakelijk voor een goed begrip van de ontwikkeling, de resultaten of de positie van de rechtspersoon en groepsmaatschappijen, omvat de analyse zowel financiële als niet-financiële prestatie-indicatoren, met inbegrip van milieu- en personeelsaangelegenheden.”</w:t>
      </w:r>
      <w:r w:rsidR="00E76762">
        <w:rPr>
          <w:i/>
        </w:rPr>
        <w:t xml:space="preserve"> </w:t>
      </w:r>
      <w:r w:rsidR="00E76762">
        <w:t>(Böhmer et al. 2013</w:t>
      </w:r>
      <w:r w:rsidR="003D6862">
        <w:t>, pag.</w:t>
      </w:r>
      <w:r w:rsidR="00B3123C">
        <w:t xml:space="preserve"> 1460</w:t>
      </w:r>
      <w:r w:rsidR="00E76762">
        <w:t>)</w:t>
      </w:r>
    </w:p>
    <w:p w:rsidR="007473CE" w:rsidRDefault="007473CE" w:rsidP="007473CE">
      <w:pPr>
        <w:spacing w:after="160"/>
      </w:pPr>
      <w:r w:rsidRPr="00B238A5">
        <w:t>Hieruit kan worden opgema</w:t>
      </w:r>
      <w:r w:rsidR="00697037">
        <w:t xml:space="preserve">akt dat er een </w:t>
      </w:r>
      <w:r w:rsidRPr="00B238A5">
        <w:t>verplicht</w:t>
      </w:r>
      <w:r w:rsidR="00697037">
        <w:t>ing is</w:t>
      </w:r>
      <w:r w:rsidRPr="00B238A5">
        <w:t xml:space="preserve"> om </w:t>
      </w:r>
      <w:r>
        <w:t>ook noodzakelijke niet-</w:t>
      </w:r>
      <w:r w:rsidR="00D923DF">
        <w:t xml:space="preserve">financiële </w:t>
      </w:r>
      <w:r w:rsidRPr="00B238A5">
        <w:t xml:space="preserve">informatie </w:t>
      </w:r>
      <w:r>
        <w:t xml:space="preserve">van de onderneming vrij te geven. De nadruk wordt gelegd op het vrijgeven van informatie inzake milieu- en personeelsaangelegenheden, punten die door MVO worden opgenomen in de bedrijfsactiviteiten. </w:t>
      </w:r>
      <w:r w:rsidR="00697037">
        <w:t>Het is hierbij aan de onderneming te bepalen welke informatie noodzakelijk is</w:t>
      </w:r>
      <w:r w:rsidR="00CF16E0">
        <w:t xml:space="preserve"> (Böhmer et al.,2013)</w:t>
      </w:r>
      <w:r w:rsidR="00697037">
        <w:t xml:space="preserve">. </w:t>
      </w:r>
    </w:p>
    <w:p w:rsidR="007473CE" w:rsidRPr="00B238A5" w:rsidRDefault="007473CE" w:rsidP="007473CE">
      <w:pPr>
        <w:spacing w:after="160"/>
      </w:pPr>
      <w:r w:rsidRPr="00B238A5">
        <w:t>Dat MVO wel degelijk leidt tot enige vorm van maatschappelijke verslaggeving is terug te zien in een rapport van de Transparantiebenchmark</w:t>
      </w:r>
      <w:r w:rsidRPr="00B238A5">
        <w:rPr>
          <w:rStyle w:val="FootnoteReference"/>
        </w:rPr>
        <w:footnoteReference w:id="17"/>
      </w:r>
      <w:r w:rsidRPr="00B238A5">
        <w:t xml:space="preserve">. In 2013 zijn in totaal 460 ondernemingen opgenomen in deze Transparantiebenchmark. Dit zijn met name ondernemingen in de categorie grootbedrijf, waarbij wordt gekeken naar het aantal werknemers en de omvang van de omzet. Al deze ondernemingen hebben een publiekelijk beschikbaar verslag uitgebracht waarbij verantwoording </w:t>
      </w:r>
      <w:r w:rsidR="00CF16E0">
        <w:t>is</w:t>
      </w:r>
      <w:r w:rsidRPr="00B238A5">
        <w:t xml:space="preserve"> afgelegd over de MVO-activiteiten. Dit in de vorm van jaarverslagen, financiële verslagen, maatschappelijke verslagen en sociale verslagen. Volgens het rapport </w:t>
      </w:r>
      <w:r w:rsidR="00697037">
        <w:t xml:space="preserve">is er een toename te zien in het opnemen van niet-financiële informatie in de </w:t>
      </w:r>
      <w:r w:rsidR="00697037">
        <w:lastRenderedPageBreak/>
        <w:t>verslagen. De s</w:t>
      </w:r>
      <w:r w:rsidRPr="00B238A5">
        <w:t>takeholderdialoog en de effecten van de bedrijfsactiviteiten op de samenleving zijn over het algemeen de meest voorkomende</w:t>
      </w:r>
      <w:r w:rsidR="00697037">
        <w:t xml:space="preserve"> maatschappelijke</w:t>
      </w:r>
      <w:r w:rsidRPr="00B238A5">
        <w:t xml:space="preserve"> onderwerpen</w:t>
      </w:r>
      <w:r w:rsidR="00697037">
        <w:t xml:space="preserve"> </w:t>
      </w:r>
      <w:r w:rsidR="00E76762">
        <w:t>(Stam &amp; Admiraal, 2013)</w:t>
      </w:r>
      <w:r w:rsidRPr="00B238A5">
        <w:t xml:space="preserve">. Deze twee aspecten zijn in de vorige paragraaf ruimschoots aan bod gekomen toen de inhoud van het begrip MVO werd besproken. Zichtbaar wordt dus dat steeds vaker de aspecten van MVO worden opgenomen in de verslaggeving van ondernemingen. </w:t>
      </w:r>
    </w:p>
    <w:p w:rsidR="007473CE" w:rsidRPr="00B238A5" w:rsidRDefault="007473CE" w:rsidP="007473CE">
      <w:pPr>
        <w:pStyle w:val="Heading2"/>
      </w:pPr>
      <w:bookmarkStart w:id="54" w:name="_Toc391563931"/>
      <w:r>
        <w:t>6</w:t>
      </w:r>
      <w:r w:rsidRPr="00B238A5">
        <w:t>.3 Samenvatting en beantwoording deelvraag</w:t>
      </w:r>
      <w:bookmarkEnd w:id="54"/>
    </w:p>
    <w:p w:rsidR="007473CE" w:rsidRDefault="007473CE" w:rsidP="007473CE">
      <w:r w:rsidRPr="00B238A5">
        <w:t>In dit hoofdstuk is getracht een antwoord te vinden op de volgende deelvraag: “</w:t>
      </w:r>
      <w:r w:rsidRPr="00B238A5">
        <w:rPr>
          <w:i/>
        </w:rPr>
        <w:t xml:space="preserve">Wat is maatschappelijk verantwoord ondernemen en wat is de relatie met </w:t>
      </w:r>
      <w:r w:rsidR="008C31C8">
        <w:rPr>
          <w:i/>
        </w:rPr>
        <w:t>niet-financiële informatieverstrekking</w:t>
      </w:r>
      <w:r w:rsidRPr="00B238A5">
        <w:rPr>
          <w:i/>
        </w:rPr>
        <w:t>?”</w:t>
      </w:r>
      <w:r w:rsidRPr="00B238A5">
        <w:t xml:space="preserve"> Beide delen van deze vraag zijn daarom ook uitvoerig aan bod gekomen in dit hoofdstuk van de scriptie. </w:t>
      </w:r>
    </w:p>
    <w:p w:rsidR="007473CE" w:rsidRPr="00B238A5" w:rsidRDefault="008E340A" w:rsidP="007473CE">
      <w:r>
        <w:t xml:space="preserve">Het eerste deel van de deelvraag heeft betrekking op de betekenis en inhoud van MVO. </w:t>
      </w:r>
      <w:r w:rsidR="007473CE" w:rsidRPr="00B238A5">
        <w:t xml:space="preserve">Duidelijk werd dat er geen eenduidige definitie voor MVO bestaat. Dit omdat het een complex begrip is dat bestaat uit veel verschillende aspecten. Wel valt te concluderen dat MVO een vorm van ondernemen is waarbij naast de financiële aspecten ook rekening wordt gehouden met sociale en milieuaspecten. Deze drie aspecten worden ook vaak People, Profit en Planet genoemd. Bij MVO gaat het om activiteiten die verder gaan dan de wettelijke verplichtingen die de onderneming heeft. </w:t>
      </w:r>
    </w:p>
    <w:p w:rsidR="007473CE" w:rsidRPr="00B238A5" w:rsidRDefault="007473CE" w:rsidP="007473CE">
      <w:r w:rsidRPr="00B238A5">
        <w:t xml:space="preserve">De relatie tussen MVO en </w:t>
      </w:r>
      <w:r w:rsidR="008C31C8">
        <w:t>niet-financiële informatie</w:t>
      </w:r>
      <w:r w:rsidRPr="00B238A5">
        <w:t xml:space="preserve"> is in de tweede paragraaf van dit hoofdstuk aan bod gekomen. Zowel de Raad voor de Jaarverslaggeving als de overheid raad ondernemingen aan transparant te zijn over het gevoerde MVO-beleid.</w:t>
      </w:r>
      <w:r w:rsidR="008C31C8">
        <w:t xml:space="preserve"> Een groot deel van de informatie over MVO behelst niet-financiële informatie, bijvoorbeeld over de sociale en milieuaangelegenheden.</w:t>
      </w:r>
      <w:r w:rsidRPr="00B238A5">
        <w:t xml:space="preserve"> Dit sluit aan bij de stakeholdertheorie en legitimatietheorie, die in het theoretisch kader zijn besproken. Door transparant te zijn over de MVO-activiteiten van een onderneming, kan de dialoog tussen de stakeholders e</w:t>
      </w:r>
      <w:r w:rsidR="00B12F17">
        <w:t xml:space="preserve">n de onderneming op gang komen. </w:t>
      </w:r>
    </w:p>
    <w:p w:rsidR="00697037" w:rsidRDefault="007473CE" w:rsidP="007473CE">
      <w:r w:rsidRPr="00B238A5">
        <w:t>Er bestaan meerdere manieren om deze informatie vrij te geven en dus leidt MVO niet automatisch tot maatschappelijke verslaggeving. Wel behoren een opzichzelfstaand maatschappelijk verslag of het toevoegen van maatschappelijke informatie aan het huidige jaarverslag tot de mogelijkheden. Uit het rapport van de transparantie benchmark wordt zichtbaar dat de kenmerken van MVO steeds vaker in de verslaggeving van de ondernemingen terug te vinden is, en kan er dus gesteld worden dat MVO op deze manier bijdraagt aan de opkomst van de maatschappelijke verslaggeving.</w:t>
      </w:r>
    </w:p>
    <w:p w:rsidR="00522406" w:rsidRPr="00B238A5" w:rsidRDefault="00522406" w:rsidP="007473CE"/>
    <w:p w:rsidR="007473CE" w:rsidRPr="00B238A5" w:rsidRDefault="007473CE" w:rsidP="007473CE">
      <w:pPr>
        <w:pStyle w:val="Heading1"/>
        <w:numPr>
          <w:ilvl w:val="0"/>
          <w:numId w:val="17"/>
        </w:numPr>
        <w:rPr>
          <w:sz w:val="96"/>
          <w:szCs w:val="96"/>
        </w:rPr>
      </w:pPr>
      <w:bookmarkStart w:id="55" w:name="_Toc391563932"/>
      <w:bookmarkStart w:id="56" w:name="_Toc388962994"/>
      <w:bookmarkStart w:id="57" w:name="_Toc388963056"/>
      <w:bookmarkStart w:id="58" w:name="_Toc388967049"/>
      <w:r w:rsidRPr="00B238A5">
        <w:lastRenderedPageBreak/>
        <w:t xml:space="preserve">Maatschappelijke verslaggeving en </w:t>
      </w:r>
      <w:r>
        <w:t>integrated reporting</w:t>
      </w:r>
      <w:bookmarkEnd w:id="55"/>
    </w:p>
    <w:p w:rsidR="007473CE" w:rsidRPr="00B238A5" w:rsidRDefault="007473CE" w:rsidP="007473CE">
      <w:pPr>
        <w:ind w:left="360"/>
        <w:rPr>
          <w:rFonts w:cs="Arial"/>
          <w:i/>
        </w:rPr>
      </w:pPr>
      <w:r w:rsidRPr="00B238A5">
        <w:rPr>
          <w:rFonts w:cs="Arial"/>
          <w:i/>
        </w:rPr>
        <w:t xml:space="preserve">In het vorige hoofdstuk werd al verwezen naar de termen maatschappelijke verslaggeving en </w:t>
      </w:r>
      <w:r>
        <w:rPr>
          <w:rFonts w:cs="Arial"/>
          <w:i/>
        </w:rPr>
        <w:t>IR</w:t>
      </w:r>
      <w:r w:rsidRPr="00B238A5">
        <w:rPr>
          <w:rFonts w:cs="Arial"/>
          <w:i/>
        </w:rPr>
        <w:t xml:space="preserve">. Duidelijk werd dat de veranderende informatiebehoefte en de opkomst van </w:t>
      </w:r>
      <w:r>
        <w:rPr>
          <w:rFonts w:cs="Arial"/>
          <w:i/>
        </w:rPr>
        <w:t>MVO</w:t>
      </w:r>
      <w:r w:rsidRPr="00B238A5">
        <w:rPr>
          <w:rFonts w:cs="Arial"/>
          <w:i/>
        </w:rPr>
        <w:t xml:space="preserve"> bijdraagt aan de totstandkoming van deze nieuwe vorm van verslaggeving. Om er achter te komen wat de rol van de accountant is bij maatschappelijke verslaggeving en </w:t>
      </w:r>
      <w:r>
        <w:rPr>
          <w:rFonts w:cs="Arial"/>
          <w:i/>
        </w:rPr>
        <w:t>IR</w:t>
      </w:r>
      <w:r w:rsidRPr="00B238A5">
        <w:rPr>
          <w:rFonts w:cs="Arial"/>
          <w:i/>
        </w:rPr>
        <w:t xml:space="preserve"> is het van belang uit een te zetten wat deze twee termen inhouden. In dit hoofdstuk zullen daarom de belangrijkste kenmerken van maatschappelijke verslaggeving en </w:t>
      </w:r>
      <w:r>
        <w:rPr>
          <w:rFonts w:cs="Arial"/>
          <w:i/>
        </w:rPr>
        <w:t>IR</w:t>
      </w:r>
      <w:r w:rsidRPr="00B238A5">
        <w:rPr>
          <w:rFonts w:cs="Arial"/>
          <w:i/>
        </w:rPr>
        <w:t xml:space="preserve"> worden beschreven. </w:t>
      </w:r>
    </w:p>
    <w:p w:rsidR="007473CE" w:rsidRPr="00B238A5" w:rsidRDefault="007473CE" w:rsidP="007473CE">
      <w:pPr>
        <w:pStyle w:val="Heading2"/>
      </w:pPr>
      <w:bookmarkStart w:id="59" w:name="_Toc391563933"/>
      <w:r>
        <w:t>7</w:t>
      </w:r>
      <w:r w:rsidRPr="00B238A5">
        <w:t>.1 Maatschappelijke verslaggeving</w:t>
      </w:r>
      <w:bookmarkEnd w:id="59"/>
    </w:p>
    <w:p w:rsidR="007473CE" w:rsidRPr="00B238A5" w:rsidRDefault="007473CE" w:rsidP="007473CE">
      <w:r w:rsidRPr="00B238A5">
        <w:t>Maatschappelijke verslaggeving is één van de tweetal ontwikkelingen die het gevolg zijn van de verschuiving van de informatiebehoefte van belanghebbenden. Het maatsch</w:t>
      </w:r>
      <w:r w:rsidR="008E340A">
        <w:t xml:space="preserve">appelijk verslag heeft tot doel </w:t>
      </w:r>
      <w:r w:rsidRPr="00B238A5">
        <w:t>de belanghebbenden</w:t>
      </w:r>
      <w:r w:rsidR="008E340A">
        <w:t xml:space="preserve"> te informeren</w:t>
      </w:r>
      <w:r w:rsidRPr="00B238A5">
        <w:t xml:space="preserve"> en verantwoording af te leggen over maatschappelijke verantwoordelijkheden. </w:t>
      </w:r>
      <w:r w:rsidR="007550AA">
        <w:t>De</w:t>
      </w:r>
      <w:r w:rsidRPr="00B238A5">
        <w:t xml:space="preserve"> economische, milieu- en sociale aspect</w:t>
      </w:r>
      <w:r w:rsidR="007550AA">
        <w:t>en</w:t>
      </w:r>
      <w:r w:rsidRPr="00B238A5">
        <w:t>, aan bod gekomen in hoofdstuk 5, zijn onderwerpen die worden toegelicht in deze vorm van verslaggeving. De effecten van de bedrijfsvoering op de maatschappij staan hierbij centraal</w:t>
      </w:r>
      <w:r w:rsidR="00E76762">
        <w:t xml:space="preserve"> (Böhmer et al., 2013)</w:t>
      </w:r>
      <w:r w:rsidRPr="00B238A5">
        <w:t>.</w:t>
      </w:r>
    </w:p>
    <w:p w:rsidR="007473CE" w:rsidRPr="00B238A5" w:rsidRDefault="007473CE" w:rsidP="007473CE">
      <w:r w:rsidRPr="00B238A5">
        <w:t>In het vorige hoofdstuk is de relatie al gelegd tussen het maatschappelijk verslag en MVO. Tra</w:t>
      </w:r>
      <w:r w:rsidR="007550AA">
        <w:t>nsparantie is van groot belang bij</w:t>
      </w:r>
      <w:r w:rsidRPr="00B238A5">
        <w:t xml:space="preserve"> MVO, en het wordt dan ook ten zeerste aangeraden</w:t>
      </w:r>
      <w:r w:rsidR="008E340A">
        <w:t xml:space="preserve"> verslag te doen </w:t>
      </w:r>
      <w:r w:rsidRPr="00B238A5">
        <w:t>over het MVO-beleid en de activiteiten en prestaties die daaraan verbonden zijn. Daarnaast biedt het maatschappelijk verslag ook een uitgangspunt voor de dialoog tussen ondernemingen en hun stakeholders. Ook deze stakeholderdialoog is in het vorige hoofdstuk beschreven als een van de kernpunten van MVO. Maatschappelijke verslaggeving is dus onlosmakelijk verbonden aan de effecten en activiteiten van het MVO-beleid van de desbetreffende onderneming</w:t>
      </w:r>
      <w:r w:rsidR="00E76762">
        <w:t xml:space="preserve"> (Kamp-Roelands &amp; de Waard, 2008)</w:t>
      </w:r>
      <w:r w:rsidRPr="00B238A5">
        <w:t>.</w:t>
      </w:r>
    </w:p>
    <w:p w:rsidR="007473CE" w:rsidRPr="00B238A5" w:rsidRDefault="007473CE" w:rsidP="007473CE">
      <w:r w:rsidRPr="00B238A5">
        <w:t xml:space="preserve">Maatschappelijke verslagen kunnen in verschillende vormen worden aangeboden door ondernemingen. Er kan bijvoorbeeld voor worden gekozen het maatschappelijk verslag alleen online te publiceren. Maar het is ook niet ongebruikelijk een opzichzelfstaand maatschappelijk verslag te publiceren of deze te bundelen met het financiële jaarverslag. De meest recente ontwikkeling is dat het maatschappelijke verslag wordt gecombineerd met het financiële verslag, waarbij verbanden tussen de twee worden gelegd. Op deze ontwikkeling wordt later in dit hoofdstuk terug gekomen als wordt ingegaan op </w:t>
      </w:r>
      <w:r>
        <w:t>IR</w:t>
      </w:r>
      <w:r w:rsidR="007550AA">
        <w:t xml:space="preserve"> (Böhmer et al., 2013)</w:t>
      </w:r>
      <w:r w:rsidRPr="00B238A5">
        <w:t xml:space="preserve">. </w:t>
      </w:r>
    </w:p>
    <w:p w:rsidR="007473CE" w:rsidRPr="00B238A5" w:rsidRDefault="007473CE" w:rsidP="007473CE">
      <w:pPr>
        <w:pStyle w:val="Heading3"/>
      </w:pPr>
      <w:bookmarkStart w:id="60" w:name="_Toc391563934"/>
      <w:r>
        <w:lastRenderedPageBreak/>
        <w:t>7</w:t>
      </w:r>
      <w:r w:rsidRPr="00B238A5">
        <w:t>.1.1 Motieven voor maatschappelijke verslaggeving</w:t>
      </w:r>
      <w:bookmarkEnd w:id="60"/>
    </w:p>
    <w:p w:rsidR="007473CE" w:rsidRPr="00B238A5" w:rsidRDefault="007473CE" w:rsidP="007473CE">
      <w:r w:rsidRPr="00B238A5">
        <w:t>De wet stelt het toepassen van MVO en de verslaggeving daarover niet</w:t>
      </w:r>
      <w:r>
        <w:t xml:space="preserve"> letterlijk</w:t>
      </w:r>
      <w:r w:rsidRPr="00B238A5">
        <w:t xml:space="preserve"> verplicht</w:t>
      </w:r>
      <w:r>
        <w:rPr>
          <w:rStyle w:val="FootnoteReference"/>
        </w:rPr>
        <w:footnoteReference w:id="18"/>
      </w:r>
      <w:r w:rsidRPr="00B238A5">
        <w:t>. Toch kiezen veel onderneming voor een vorm van maatschappelijke verslaggeving. Er moeten dus andere reden</w:t>
      </w:r>
      <w:r>
        <w:t>en zijn voor het vrijwillig vrij</w:t>
      </w:r>
      <w:r w:rsidRPr="00B238A5">
        <w:t>geven van maatschappelijke informatie. Deze motieven zullen in deze paragraaf worden uiteengezet en toegelicht.</w:t>
      </w:r>
    </w:p>
    <w:p w:rsidR="007473CE" w:rsidRPr="00B238A5" w:rsidRDefault="007473CE" w:rsidP="007473CE">
      <w:r w:rsidRPr="00B238A5">
        <w:t>De motieven van onderneming zijn in te delen in externe motieven en interne motieven</w:t>
      </w:r>
      <w:r w:rsidR="00E76762">
        <w:t xml:space="preserve"> (Niemenmaa &amp; Turtiainen, 2013)</w:t>
      </w:r>
      <w:r w:rsidRPr="00B238A5">
        <w:t xml:space="preserve">. Er zijn dus redenen die vanuit de onderneming zelf worden aangedragen om het toepassen van maatschappelijke verslaggeving te stimuleren. Maar er zijn ook factoren van buitenaf die het voor de onderneming aantrekkelijk maken een vorm van maatschappelijke verslaggeving toe te passen. </w:t>
      </w:r>
    </w:p>
    <w:p w:rsidR="007473CE" w:rsidRPr="00B238A5" w:rsidRDefault="007473CE" w:rsidP="007473CE">
      <w:r w:rsidRPr="00B238A5">
        <w:t>De meeste externe motieven hebben betrekking op de communicatie met de stakeholders. In hoofdstuk vier van dit onderzoek is zichtbaar geworden dat er steeds meer vraag is vanuit de stakeholders naar niet-financiële informatie, bijvoorbeeld over duurzaamheid. Eén van de motieven voor maatschappelijke verslaggeving is dan ook het voorzien in de informatiebehoefte van de stakeholders</w:t>
      </w:r>
      <w:r w:rsidR="00E76762">
        <w:t xml:space="preserve"> (Raad voor de Jaarverslaggeving, 2009)</w:t>
      </w:r>
      <w:r w:rsidRPr="00B238A5">
        <w:t>. Andere externe motieven zijn het bieden van transparantie over risico’s, kansen en prestaties van de onderneming en het winnen van vertrouwen van de stakeholders</w:t>
      </w:r>
      <w:r w:rsidR="00E76762">
        <w:t xml:space="preserve"> (Niemenmaa &amp; Turtiainen, 2013)</w:t>
      </w:r>
      <w:r w:rsidRPr="00B238A5">
        <w:t>. Daarnaast zijn redenen voor maatschappelijke verslaggeving dat er een maatschappelijke erkenning ontstaat van de betrokkenheid van de onderneming en dat het vaak gepaard gaat met een verbeterde reputatie of imago</w:t>
      </w:r>
      <w:r w:rsidR="00E76762">
        <w:t xml:space="preserve"> (Koolman, 2003)</w:t>
      </w:r>
      <w:r w:rsidRPr="00B238A5">
        <w:t xml:space="preserve">. </w:t>
      </w:r>
    </w:p>
    <w:p w:rsidR="007473CE" w:rsidRPr="00B238A5" w:rsidRDefault="007473CE" w:rsidP="007473CE">
      <w:r w:rsidRPr="00B238A5">
        <w:t xml:space="preserve">Naast de externe redenen zijn er ook interne redenen te bedenken die er voor zorgen dat een onderneming bereid is een maatschappelijk verslag te publiceren. </w:t>
      </w:r>
      <w:r w:rsidR="008E340A">
        <w:t>Zo</w:t>
      </w:r>
      <w:r w:rsidRPr="00B238A5">
        <w:t xml:space="preserve"> wordt de kwaliteit </w:t>
      </w:r>
      <w:r w:rsidR="008E340A">
        <w:t xml:space="preserve">van de informatie verbeterd, </w:t>
      </w:r>
      <w:r w:rsidRPr="00B238A5">
        <w:t xml:space="preserve"> mede door het genereren van nieuwe informatie die eerder niet beschikbaar was maar ook door het verbeteren van de bestaande informatie. Door het opstellen van een maatschappelijk verslag wordt een onderneming beter in staat om risico’s te managen. De onderneming wordt aantrekkelijker voor nieuwe werknemers, maar ook houdt het de huidige werknemers tevreden. Het zorgt voor het efficiënter gebruiken van natuurlijke hulpbronnen en het is een manier om kosten te besparen. Dus naast de informatie behoefte van de stakeholders, zijn er ook tal van redenen waarom het maatschappelijk verslag voor de onderneming zelf een verbetering zal zijn</w:t>
      </w:r>
      <w:r w:rsidR="00E76762">
        <w:t xml:space="preserve"> (Niemenmaa &amp; Turtiainen, 2013)</w:t>
      </w:r>
      <w:r w:rsidRPr="00B238A5">
        <w:t xml:space="preserve">. </w:t>
      </w:r>
    </w:p>
    <w:p w:rsidR="007473CE" w:rsidRPr="00B238A5" w:rsidRDefault="007473CE" w:rsidP="007473CE">
      <w:r w:rsidRPr="00B238A5">
        <w:t>Als laatste kan de legitimiteitstheorie</w:t>
      </w:r>
      <w:r w:rsidRPr="00B238A5">
        <w:rPr>
          <w:rStyle w:val="FootnoteReference"/>
        </w:rPr>
        <w:footnoteReference w:id="19"/>
      </w:r>
      <w:r w:rsidRPr="00B238A5">
        <w:t xml:space="preserve"> worden aangedragen als motief voor maatschappelijke verslaggeving. Al eerder is deze theorie aan bod gekomen in dit onderzoek, maar ook hier kan deze theorie worden toegepast. Maatschappelijke verslaggeving is een middel om de percepties van de stakeholders van de onderneming te beïnvloeden. Om er voor te zorgen dat de onderneming als legitiem wordt beschouwd door de omgeving publiceren zij informatie over de maatschappelijke aspecten van het ondernemen</w:t>
      </w:r>
      <w:r w:rsidR="0077638B">
        <w:t xml:space="preserve"> (van Eijk &amp; Hooghiemstra, 2007)</w:t>
      </w:r>
      <w:r w:rsidRPr="00B238A5">
        <w:t xml:space="preserve">. </w:t>
      </w:r>
    </w:p>
    <w:p w:rsidR="007473CE" w:rsidRPr="00B238A5" w:rsidRDefault="007473CE" w:rsidP="007473CE">
      <w:pPr>
        <w:pStyle w:val="Heading3"/>
      </w:pPr>
      <w:bookmarkStart w:id="61" w:name="_Toc391563935"/>
      <w:r>
        <w:lastRenderedPageBreak/>
        <w:t>7</w:t>
      </w:r>
      <w:r w:rsidRPr="00B238A5">
        <w:t>.1.2 Inhoud maatschappelijke verslag</w:t>
      </w:r>
      <w:bookmarkEnd w:id="61"/>
    </w:p>
    <w:p w:rsidR="007473CE" w:rsidRPr="00B238A5" w:rsidRDefault="007473CE" w:rsidP="007473CE">
      <w:r w:rsidRPr="00B238A5">
        <w:t>In het hoofdstuk met betrekking tot MVO is al naar voren gekomen dat de MVO-activiteiten voor elke onderneming verschillen. Dit zorgt ook voor veel verschillen in de maatschappelijke verslaggeving van ondernemingen. Ondernemingen zijn daarnaast vrij om zelf te bepalen welke maatschappelijke aspecten in hun situatie relevant zijn</w:t>
      </w:r>
      <w:r w:rsidR="0077638B">
        <w:t xml:space="preserve"> (Raad voor de Jaarverslaggeving, 2009)</w:t>
      </w:r>
      <w:r w:rsidRPr="00B238A5">
        <w:t xml:space="preserve">. Binnen de Nederlandse wet- en regelgeving bestaan geen dwingende voorschriften met betrekking tot de inhoud van maatschappelijke verslaggeving. Toch is voor het onderzoek belangrijk te weten wat de inhoud van het maatschappelijk verslag is, om uiteindelijk een oordeel te geven of de accountant in staat is een oordeel te geven over deze inhoud. </w:t>
      </w:r>
    </w:p>
    <w:p w:rsidR="007473CE" w:rsidRPr="00B238A5" w:rsidRDefault="007473CE" w:rsidP="007473CE">
      <w:r w:rsidRPr="00B238A5">
        <w:t>De vele verschillen in de inhoud van maatschappelijke verslagen maken dat in dit onderzoek is gekozen</w:t>
      </w:r>
      <w:r w:rsidR="008E340A">
        <w:t xml:space="preserve"> de inhoud op abstracte wijze te benaderen, gebruikmakend van de Transparantiebenchmark</w:t>
      </w:r>
      <w:r w:rsidR="0077638B">
        <w:t xml:space="preserve"> (Ministerie van Economische Zaken, z.d.)</w:t>
      </w:r>
      <w:r>
        <w:t>. De</w:t>
      </w:r>
      <w:r w:rsidRPr="00B238A5">
        <w:t xml:space="preserve"> Transparantiebenchmark beoordeelt de maatschappelijke verslaggeving van Nederlandse ondernemingen aan de hand van verschillende criteria. Na afloop van het onderzoek wordt jaarlijks een rapport gepubliceerd, met daarin de belangrijkste zaken met betrekking tot het onderzoek. Een groot onderdeel van dit rapport bestaat uit de beoordelingscriteria waarop de ondernemingen zijn getoetst. Deze beoordelingscriteria kunnen in dit onderzoek gebruikt worden om de verwachtingen met betrekking tot de inhoud van het maatschappelijk verslag weer te geven</w:t>
      </w:r>
      <w:r w:rsidR="007550AA">
        <w:t xml:space="preserve"> (Stam &amp; Admiraal, 2013)</w:t>
      </w:r>
      <w:r w:rsidRPr="00B238A5">
        <w:t>. Wel moet in acht worden genomen dat dit beoordelingscriteria zijn, en dus niet altijd consistent door alle ondernemingen worden toegepast. Later in deze paragraaf zal daar verder op worden ingegaan.</w:t>
      </w:r>
    </w:p>
    <w:p w:rsidR="007473CE" w:rsidRPr="00B238A5" w:rsidRDefault="007473CE" w:rsidP="007473CE">
      <w:r w:rsidRPr="00B238A5">
        <w:t>De beoordelingscriteria van de Transparantiebenchmark zijn onder te verdelen in kwaliteitsgerichte criteria en inhoudsgerichte criteria.</w:t>
      </w:r>
      <w:r>
        <w:t xml:space="preserve"> De kwaliteitsgerichte criteria zijn bedoeld om de kwaliteit van de vrijgegeven informatie te beoordelen. De inhoudsgerichte criteria daarentegen weergeven wat inhoudelijk in het verslag zou moeten zijn terug te vinden</w:t>
      </w:r>
      <w:r w:rsidR="007550AA">
        <w:t xml:space="preserve"> (Stam &amp; Admiraal, 2013)</w:t>
      </w:r>
      <w:r>
        <w:t>.</w:t>
      </w:r>
      <w:r w:rsidRPr="00B238A5">
        <w:t xml:space="preserve"> In deze paragraaf zal echter alleen aandacht worden besteed aan de inh</w:t>
      </w:r>
      <w:r w:rsidR="00C406BA">
        <w:t>oudsgerichte criteria.</w:t>
      </w:r>
      <w:r w:rsidRPr="00B238A5">
        <w:t xml:space="preserve"> </w:t>
      </w:r>
    </w:p>
    <w:p w:rsidR="007473CE" w:rsidRPr="00B238A5" w:rsidRDefault="007473CE" w:rsidP="007473CE">
      <w:pPr>
        <w:keepNext/>
      </w:pPr>
      <w:r w:rsidRPr="00B238A5">
        <w:rPr>
          <w:noProof/>
          <w:lang w:val="en-US"/>
        </w:rPr>
        <w:drawing>
          <wp:inline distT="0" distB="0" distL="0" distR="0">
            <wp:extent cx="4105275" cy="2761730"/>
            <wp:effectExtent l="0" t="0" r="0" b="63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9813" cy="2771510"/>
                    </a:xfrm>
                    <a:prstGeom prst="rect">
                      <a:avLst/>
                    </a:prstGeom>
                    <a:noFill/>
                    <a:ln>
                      <a:noFill/>
                    </a:ln>
                  </pic:spPr>
                </pic:pic>
              </a:graphicData>
            </a:graphic>
          </wp:inline>
        </w:drawing>
      </w:r>
    </w:p>
    <w:p w:rsidR="007473CE" w:rsidRPr="00B238A5" w:rsidRDefault="007473CE" w:rsidP="007473CE">
      <w:pPr>
        <w:pStyle w:val="Caption"/>
        <w:spacing w:line="360" w:lineRule="auto"/>
        <w:rPr>
          <w:noProof/>
        </w:rPr>
      </w:pPr>
      <w:r w:rsidRPr="00B238A5">
        <w:t xml:space="preserve">Figuur </w:t>
      </w:r>
      <w:r w:rsidR="00C3187A">
        <w:fldChar w:fldCharType="begin"/>
      </w:r>
      <w:r w:rsidR="003630AE">
        <w:instrText xml:space="preserve"> SEQ Figuur \* ARABIC </w:instrText>
      </w:r>
      <w:r w:rsidR="00C3187A">
        <w:fldChar w:fldCharType="separate"/>
      </w:r>
      <w:r w:rsidR="00DB3568">
        <w:rPr>
          <w:noProof/>
        </w:rPr>
        <w:t>3</w:t>
      </w:r>
      <w:r w:rsidR="00C3187A">
        <w:rPr>
          <w:noProof/>
        </w:rPr>
        <w:fldChar w:fldCharType="end"/>
      </w:r>
      <w:r w:rsidRPr="00B238A5">
        <w:t xml:space="preserve"> bron: Transparantiebenchmark </w:t>
      </w:r>
      <w:r w:rsidRPr="00B238A5">
        <w:rPr>
          <w:noProof/>
        </w:rPr>
        <w:t>2013</w:t>
      </w:r>
    </w:p>
    <w:p w:rsidR="007473CE" w:rsidRPr="00B238A5" w:rsidRDefault="007473CE" w:rsidP="007473CE">
      <w:r>
        <w:lastRenderedPageBreak/>
        <w:t>De criteria waarop de verslagen worden beoordeeld zijn weergegeven in figuur 1.  Onder andere profiel, strategie en beleid, bestuursstructuur en managementbenadering, resultaten en maatschappelijke verslaggevingsbeleid zouden tot de inhoud van een maatschappelijk verslag moeten behoren</w:t>
      </w:r>
      <w:r w:rsidR="007550AA">
        <w:t xml:space="preserve"> (Stam &amp; Admiraal, 2013)</w:t>
      </w:r>
      <w:r>
        <w:t xml:space="preserve">. Deze criteria bestaan grotendeels uit niet-financiële gegevens. </w:t>
      </w:r>
      <w:r w:rsidRPr="00B238A5">
        <w:t>Dit is kenmerkend voor de inhoud van het maatschappelijk verslag. Maatschappelijke verslaggeving kan zowel financiële als niet-financiële informatie omvatten. Maatschappelijk informatie kan dus mogelijk financieel van aard zijn, toch wordt dit niet altijd teruggezien. Maatschappelijke verslagen omvatten daarentegen altijd een aantal niet-financiële elementen</w:t>
      </w:r>
      <w:r w:rsidR="0077638B">
        <w:t xml:space="preserve"> (Niemenmaa &amp; Turtiainen, 2013)</w:t>
      </w:r>
      <w:r w:rsidRPr="00B238A5">
        <w:t>.</w:t>
      </w:r>
    </w:p>
    <w:p w:rsidR="007473CE" w:rsidRPr="00B238A5" w:rsidRDefault="007473CE" w:rsidP="007473CE">
      <w:r>
        <w:t xml:space="preserve">Op het moment dat een maatschappelijke verslag aan alle bovenstaande criteria voldoet, kan er vanuit worden gegaan dat de inhoud van het maatschappelijk verslag van voldoende niveau is. </w:t>
      </w:r>
      <w:r w:rsidR="008E340A">
        <w:t>H</w:t>
      </w:r>
      <w:r w:rsidRPr="00B238A5">
        <w:t xml:space="preserve">et </w:t>
      </w:r>
      <w:r w:rsidR="008E340A">
        <w:t xml:space="preserve">is </w:t>
      </w:r>
      <w:r w:rsidRPr="00B238A5">
        <w:t xml:space="preserve">voor ondernemingen </w:t>
      </w:r>
      <w:r w:rsidR="008E340A">
        <w:t xml:space="preserve">echter </w:t>
      </w:r>
      <w:r w:rsidRPr="00B238A5">
        <w:t xml:space="preserve">niet verplicht elk van deze criteria expliciet op te nemen in het maatschappelijk verslag met als gevolg dat in de praktijk niet altijd volledig aan alle criteria zal worden voldaan. </w:t>
      </w:r>
      <w:r w:rsidR="007550AA">
        <w:t>Het rapport besteedt daarom ook aandacht aan de mate waarin de criteria worden toegepast</w:t>
      </w:r>
      <w:r w:rsidR="0077638B">
        <w:t xml:space="preserve"> (Stam &amp; Admiraal, 2013)</w:t>
      </w:r>
      <w:r w:rsidRPr="00B238A5">
        <w:t xml:space="preserve">. </w:t>
      </w:r>
    </w:p>
    <w:p w:rsidR="007473CE" w:rsidRPr="00B238A5" w:rsidRDefault="007473CE" w:rsidP="007473CE">
      <w:r w:rsidRPr="00B238A5">
        <w:t xml:space="preserve">Figuur 2 weergeeft per categorie bij hoeveel procent van de ondernemingen het desbetreffende punt van beoordeling </w:t>
      </w:r>
      <w:r w:rsidR="00C406BA">
        <w:t xml:space="preserve">was </w:t>
      </w:r>
      <w:r w:rsidRPr="00B238A5">
        <w:t xml:space="preserve">terug te vinden. Met betrekking tot de inhoud is te zien dat op de categorieën ‘profiel’, ‘strategie en beleid’ en </w:t>
      </w:r>
      <w:r w:rsidR="00C406BA">
        <w:t>‘</w:t>
      </w:r>
      <w:r w:rsidRPr="00B238A5">
        <w:t>resultaten</w:t>
      </w:r>
      <w:r w:rsidR="00C406BA">
        <w:t>’</w:t>
      </w:r>
      <w:r w:rsidRPr="00B238A5">
        <w:t xml:space="preserve"> hoog wordt gescoord. ‘Bestuursstructuur en management benadering’ en ‘maatschappelijk verslaggevingsbeleid’ zijn categorieën waar minder vaak de aandacht aan wordt besteed in Nederlandse maatschappelijke verslagen. </w:t>
      </w:r>
    </w:p>
    <w:p w:rsidR="007473CE" w:rsidRPr="00B238A5" w:rsidRDefault="007473CE" w:rsidP="007473CE">
      <w:pPr>
        <w:keepNext/>
      </w:pPr>
      <w:r w:rsidRPr="00B238A5">
        <w:rPr>
          <w:noProof/>
          <w:lang w:val="en-US"/>
        </w:rPr>
        <w:drawing>
          <wp:inline distT="0" distB="0" distL="0" distR="0">
            <wp:extent cx="3476625" cy="257763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83905" cy="2583032"/>
                    </a:xfrm>
                    <a:prstGeom prst="rect">
                      <a:avLst/>
                    </a:prstGeom>
                    <a:noFill/>
                    <a:ln>
                      <a:noFill/>
                    </a:ln>
                  </pic:spPr>
                </pic:pic>
              </a:graphicData>
            </a:graphic>
          </wp:inline>
        </w:drawing>
      </w:r>
    </w:p>
    <w:p w:rsidR="007473CE" w:rsidRPr="00B238A5" w:rsidRDefault="007473CE" w:rsidP="007473CE">
      <w:pPr>
        <w:pStyle w:val="Caption"/>
        <w:spacing w:line="360" w:lineRule="auto"/>
      </w:pPr>
      <w:r w:rsidRPr="00B238A5">
        <w:t xml:space="preserve">Figuur </w:t>
      </w:r>
      <w:r w:rsidR="00C3187A">
        <w:fldChar w:fldCharType="begin"/>
      </w:r>
      <w:r w:rsidR="003630AE">
        <w:instrText xml:space="preserve"> SEQ Figuur \* ARABIC </w:instrText>
      </w:r>
      <w:r w:rsidR="00C3187A">
        <w:fldChar w:fldCharType="separate"/>
      </w:r>
      <w:r w:rsidR="00DB3568">
        <w:rPr>
          <w:noProof/>
        </w:rPr>
        <w:t>4</w:t>
      </w:r>
      <w:r w:rsidR="00C3187A">
        <w:rPr>
          <w:noProof/>
        </w:rPr>
        <w:fldChar w:fldCharType="end"/>
      </w:r>
      <w:r w:rsidRPr="00B238A5">
        <w:t>: bron: Transparantiebenchmark en kristal 2013</w:t>
      </w:r>
    </w:p>
    <w:p w:rsidR="007473CE" w:rsidRPr="00B238A5" w:rsidRDefault="007473CE" w:rsidP="007473CE">
      <w:r>
        <w:t>Aan de van de criteria</w:t>
      </w:r>
      <w:r w:rsidRPr="00B238A5">
        <w:t xml:space="preserve"> en de grafiek over de percentages aanwezigheid van de criteria, kan een redelijk tot goed beeld worden gevormd van de inhoud van maatschappelijke verslagen. </w:t>
      </w:r>
      <w:r w:rsidR="009D2552">
        <w:t xml:space="preserve">De huidige maatschappelijke verslaggeving heeft nog ruimte </w:t>
      </w:r>
      <w:r w:rsidR="00C406BA">
        <w:t>voor verbetering</w:t>
      </w:r>
      <w:r w:rsidR="009D2552">
        <w:t xml:space="preserve">, maar zo lang er geen duidelijke wet- of regelgeving is met betrekking tot de inhoud van het maatschappelijk verslag is het ultieme niveau van maatschappelijke verslaggeving lastig te bewerkstelligen </w:t>
      </w:r>
      <w:r w:rsidR="0077638B">
        <w:t>(Stam &amp; Admiraal, 2013)</w:t>
      </w:r>
      <w:r w:rsidRPr="00B238A5">
        <w:t xml:space="preserve">. </w:t>
      </w:r>
    </w:p>
    <w:p w:rsidR="007473CE" w:rsidRPr="00B238A5" w:rsidRDefault="007473CE" w:rsidP="007473CE">
      <w:pPr>
        <w:pStyle w:val="Heading2"/>
      </w:pPr>
      <w:bookmarkStart w:id="62" w:name="_Toc391563936"/>
      <w:r>
        <w:lastRenderedPageBreak/>
        <w:t>7</w:t>
      </w:r>
      <w:r w:rsidRPr="00B238A5">
        <w:t xml:space="preserve">.2 </w:t>
      </w:r>
      <w:r>
        <w:t>Integrated Reporting</w:t>
      </w:r>
      <w:bookmarkEnd w:id="62"/>
    </w:p>
    <w:p w:rsidR="007473CE" w:rsidRPr="00B238A5" w:rsidRDefault="007473CE" w:rsidP="007473CE">
      <w:r w:rsidRPr="00B238A5">
        <w:t xml:space="preserve">In de vorige paragraaf is uitgebreid ingegaan op maatschappelijke verslaggeving. Dit was één van de twee ontwikkelingen als reactie op de veranderende informatie behoefte van de stakeholders. Een tweede ontwikkeling die daaruit voortkomt is </w:t>
      </w:r>
      <w:r>
        <w:t>IR</w:t>
      </w:r>
      <w:r w:rsidRPr="00B238A5">
        <w:t xml:space="preserve">. In hoofdstuk vier werd zichtbaar dat stakeholders steeds meer informatie willen over niet-financiële aspecten van de onderneming. </w:t>
      </w:r>
      <w:r>
        <w:t>IR</w:t>
      </w:r>
      <w:r w:rsidRPr="00B238A5">
        <w:t xml:space="preserve"> betrekt dan ook zowel financiële als niet-financiële aspecten bij de verslaggeving</w:t>
      </w:r>
      <w:r w:rsidR="0077638B">
        <w:t xml:space="preserve"> (Böhmer et al., 2013)</w:t>
      </w:r>
      <w:r w:rsidRPr="00B238A5">
        <w:t xml:space="preserve">. </w:t>
      </w:r>
    </w:p>
    <w:p w:rsidR="007473CE" w:rsidRPr="00B238A5" w:rsidRDefault="007473CE" w:rsidP="007473CE">
      <w:r>
        <w:t>IR</w:t>
      </w:r>
      <w:r w:rsidRPr="00B238A5">
        <w:t xml:space="preserve"> is de nieuwste ontwikkeling op het gebied van verslaggeving waarbij maatschappelijke informatie niet langer apart van de financiële informatie wordt</w:t>
      </w:r>
      <w:r w:rsidR="009B004D">
        <w:t xml:space="preserve"> gepresenteerd, maar samen in éé</w:t>
      </w:r>
      <w:r w:rsidRPr="00B238A5">
        <w:t>n verslag</w:t>
      </w:r>
      <w:r w:rsidR="0077638B">
        <w:t xml:space="preserve"> (Niemenmaa &amp; Turtiainen, 2013)</w:t>
      </w:r>
      <w:r w:rsidRPr="00B238A5">
        <w:t>. Het is ech</w:t>
      </w:r>
      <w:r w:rsidR="0077638B">
        <w:t xml:space="preserve">ter niet zo dat niet-financiële of </w:t>
      </w:r>
      <w:r w:rsidRPr="00B238A5">
        <w:t>maatschappelijke informatie louter wordt toegevoegd aan het financiële verslag. Er moet een verband zichtbaar worden gemaakt tussen de financiële en niet-financiële informatie die wordt gepresenteerd</w:t>
      </w:r>
      <w:r w:rsidR="0077638B">
        <w:t xml:space="preserve"> (Pouw &amp; van der Laan, 2012)</w:t>
      </w:r>
      <w:r w:rsidRPr="00B238A5">
        <w:t>. Uit een integrated report moet</w:t>
      </w:r>
      <w:r>
        <w:t xml:space="preserve"> kunnen  worden</w:t>
      </w:r>
      <w:r w:rsidRPr="00B238A5">
        <w:t xml:space="preserve"> opgemaakt hoe de financiële factoren de niet-financiële factoren beïnvloeden en vice versa</w:t>
      </w:r>
      <w:r w:rsidR="0077638B">
        <w:t xml:space="preserve"> (King, 2011)</w:t>
      </w:r>
      <w:r w:rsidRPr="00B238A5">
        <w:t xml:space="preserve">. </w:t>
      </w:r>
      <w:r>
        <w:t>IR</w:t>
      </w:r>
      <w:r w:rsidR="009B004D">
        <w:t xml:space="preserve"> gaat dus</w:t>
      </w:r>
      <w:r w:rsidRPr="00B238A5">
        <w:t xml:space="preserve"> een stap verder dan maatschappelijke verslaggeving. </w:t>
      </w:r>
    </w:p>
    <w:p w:rsidR="007473CE" w:rsidRPr="00B238A5" w:rsidRDefault="007473CE" w:rsidP="007473CE">
      <w:r w:rsidRPr="00B238A5">
        <w:t xml:space="preserve">Aan </w:t>
      </w:r>
      <w:r>
        <w:t>IR</w:t>
      </w:r>
      <w:r w:rsidRPr="00B238A5">
        <w:t xml:space="preserve"> gaat een proces van integrated thinking vooraf. Met integrated thinking zal een organisatie alle relaties tussen operationele- en functionele eenheden en hoofdzakelijke onderdelen in consideratie</w:t>
      </w:r>
      <w:r>
        <w:t xml:space="preserve"> nemen</w:t>
      </w:r>
      <w:r w:rsidRPr="00B238A5">
        <w:t xml:space="preserve"> die invloed hebben op de organisatie zelf.  Hier worden de relaties tussen input, processen, output en impact geanalyseerd en verbeterd. Financiële en niet-financiële aspecten kunnen daardoor als één geheel bekeken worden en gebruikt worden bij het bepalen van toekomstige bedrijfsvoering. Door dit te doen ontstaat er een geïntegreerde besluitvorming  die de creatie van waarde op de korte, middellange en lange termijn in acht neemt voor zowel bedrijf als maatschappij</w:t>
      </w:r>
      <w:r w:rsidR="0077638B">
        <w:t xml:space="preserve"> (van der Veer, 2013)</w:t>
      </w:r>
      <w:r w:rsidRPr="00B238A5">
        <w:t xml:space="preserve">. Integrated thinking zal resulteren in andere beslissingen dan bij de traditionele bedrijfsvoering, waarbij alleen van financiële waarde creatie werd uitgegaan. Het integrated report is een manier om de resultaten van het integrated thinking te presenteren. </w:t>
      </w:r>
      <w:r>
        <w:t>IR</w:t>
      </w:r>
      <w:r w:rsidRPr="00B238A5">
        <w:t xml:space="preserve"> tracht weer te geven hoe de strategie, governance en performance (financieel en niet-financieel) bijdragen aan de waarde creatie voor de organisatie, haar stakeholders en de maatschappij. Door deze manier van rapporteren zullen belanghebbenden een meer relevant beeld krijgen van de onderneming</w:t>
      </w:r>
      <w:r w:rsidR="0077638B">
        <w:t xml:space="preserve"> (NBA, 2013)</w:t>
      </w:r>
      <w:r w:rsidRPr="00B238A5">
        <w:t>.</w:t>
      </w:r>
    </w:p>
    <w:p w:rsidR="007473CE" w:rsidRPr="00B238A5" w:rsidRDefault="007473CE" w:rsidP="007473CE">
      <w:pPr>
        <w:rPr>
          <w:color w:val="FF0000"/>
        </w:rPr>
      </w:pPr>
      <w:r w:rsidRPr="00B238A5">
        <w:t xml:space="preserve">Er zijn een aantal opvallende verschillen tussen traditionele verslaggeving en </w:t>
      </w:r>
      <w:r>
        <w:t>IR</w:t>
      </w:r>
      <w:r w:rsidRPr="00B238A5">
        <w:t xml:space="preserve">. Een eerste opvallend verschil is dat in de traditionele verslaggeving vaak alleen financieel kapitaal tot uitdrukking komt. Toch maken ondernemingen van veel meer vormen van kapitaal gebruikt, zo kan gedacht worden aan menselijk kapitaal, fysiek kapitaal en natuurlijke hulpbronnen. Bij </w:t>
      </w:r>
      <w:r>
        <w:t>IR</w:t>
      </w:r>
      <w:r w:rsidRPr="00B238A5">
        <w:t xml:space="preserve"> moeten alle vormen van kapitaal tot uitdrukking komen</w:t>
      </w:r>
      <w:r w:rsidR="0077638B">
        <w:t xml:space="preserve"> (Cheng et al., 2014)</w:t>
      </w:r>
      <w:r w:rsidRPr="00B238A5">
        <w:t xml:space="preserve">. Daarnaast ligt de focus van het traditionele jaarverslag op financiële prestaties in het verleden. Bij </w:t>
      </w:r>
      <w:r>
        <w:t>IR</w:t>
      </w:r>
      <w:r w:rsidRPr="00B238A5">
        <w:t xml:space="preserve"> wordt de focus gelegd op zowel de prestaties van de onderneming in het verleden als in de toekomst, en wordt er een verbinding gemaakt tussen de financiële en niet-financiële aspecten van waarde creatie. Daarnaast is het tijdsbestek vergroot bij </w:t>
      </w:r>
      <w:r>
        <w:t>IR</w:t>
      </w:r>
      <w:r w:rsidRPr="00B238A5">
        <w:t>. Waar het traditionele verslag vooral wa</w:t>
      </w:r>
      <w:r w:rsidR="009D2552">
        <w:t>s gericht op de korte termijn, is IR gericht op zowel</w:t>
      </w:r>
      <w:r w:rsidRPr="00B238A5">
        <w:t xml:space="preserve"> de korte, </w:t>
      </w:r>
      <w:r w:rsidR="009D2552">
        <w:t>middellange als lange termijn</w:t>
      </w:r>
      <w:r w:rsidR="0077638B">
        <w:t xml:space="preserve"> (NEMACC, 2013)</w:t>
      </w:r>
      <w:r w:rsidRPr="00B238A5">
        <w:t xml:space="preserve">. </w:t>
      </w:r>
    </w:p>
    <w:p w:rsidR="007473CE" w:rsidRPr="00B238A5" w:rsidRDefault="007473CE" w:rsidP="007473CE">
      <w:r w:rsidRPr="00B238A5">
        <w:t xml:space="preserve">Vaak wordt gedacht dat door </w:t>
      </w:r>
      <w:r>
        <w:t>IR</w:t>
      </w:r>
      <w:r w:rsidRPr="00B238A5">
        <w:t xml:space="preserve"> de hoeveelheid informatie drastisch zal toenemen. Dit omdat naast de huidige financiële verslaggeving, ook vele niet-financiële aspecten in het verslag zullen worden </w:t>
      </w:r>
      <w:r w:rsidRPr="00B238A5">
        <w:lastRenderedPageBreak/>
        <w:t xml:space="preserve">weergeven. Dit is echter niet de bedoeling van </w:t>
      </w:r>
      <w:r>
        <w:t>IR</w:t>
      </w:r>
      <w:r w:rsidRPr="00B238A5">
        <w:t>. Ondernemingen moeten heroverwegen welke informatie nodig is om een duidelijk, beknopt beeld van de prestaties, effecten en onderlinge afhankelijkheden te geven</w:t>
      </w:r>
      <w:r w:rsidR="0077638B">
        <w:t xml:space="preserve"> (Cheng et al., 2014)</w:t>
      </w:r>
      <w:r w:rsidRPr="00B238A5">
        <w:t>. Hierdoor zal het verslag niet meer informatie gaan bevatten, maar betere informatie</w:t>
      </w:r>
      <w:r w:rsidR="0077638B">
        <w:t xml:space="preserve"> (NBA, 2013)</w:t>
      </w:r>
      <w:r w:rsidRPr="00B238A5">
        <w:t xml:space="preserve">. </w:t>
      </w:r>
    </w:p>
    <w:p w:rsidR="007473CE" w:rsidRPr="00B238A5" w:rsidRDefault="007473CE" w:rsidP="007473CE">
      <w:r>
        <w:t>In hoofdstuk 5 is beschreven dat de informatiebehoefte van de gebruikers van jaarverslagen is toegenomen met de behoefte aan niet-financiële informatie. Deze niet-financiële informatie wordt in het integrated report gecombineerd met de financiële informatie van de onderneming wat een volledig beeld geeft van de onderneming. Vaak wordt dan ook gespeculeerd dat IR in de toekomst zal uitgroeien tot de primaire vorm van verslaggeving voor ondernemingen</w:t>
      </w:r>
      <w:r w:rsidR="0077638B">
        <w:t xml:space="preserve"> (Niemenmaa &amp; Turtiainen, 2013)</w:t>
      </w:r>
      <w:r w:rsidRPr="00B238A5">
        <w:t xml:space="preserve">. </w:t>
      </w:r>
      <w:bookmarkEnd w:id="56"/>
      <w:bookmarkEnd w:id="57"/>
      <w:bookmarkEnd w:id="58"/>
    </w:p>
    <w:p w:rsidR="007473CE" w:rsidRPr="00B238A5" w:rsidRDefault="007473CE" w:rsidP="007473CE">
      <w:pPr>
        <w:pStyle w:val="Heading2"/>
      </w:pPr>
      <w:bookmarkStart w:id="63" w:name="_Toc391563937"/>
      <w:r>
        <w:t>7</w:t>
      </w:r>
      <w:r w:rsidRPr="00B238A5">
        <w:t>.3 Samenvatting en beantwoording deelvraag</w:t>
      </w:r>
      <w:bookmarkEnd w:id="63"/>
    </w:p>
    <w:p w:rsidR="007473CE" w:rsidRPr="00B238A5" w:rsidRDefault="007473CE" w:rsidP="007473CE">
      <w:r w:rsidRPr="00B238A5">
        <w:t xml:space="preserve">In dit hoofdstuk wordt een antwoord gegeven op de derde deelvraag, die als volgt luidt: </w:t>
      </w:r>
      <w:r w:rsidRPr="00B238A5">
        <w:rPr>
          <w:i/>
        </w:rPr>
        <w:t xml:space="preserve">Wat is maatschappelijke verslaggeving en </w:t>
      </w:r>
      <w:r>
        <w:rPr>
          <w:i/>
        </w:rPr>
        <w:t>integrated reporting</w:t>
      </w:r>
      <w:r w:rsidRPr="00B238A5">
        <w:rPr>
          <w:i/>
        </w:rPr>
        <w:t xml:space="preserve">? </w:t>
      </w:r>
      <w:r w:rsidRPr="00B238A5">
        <w:t xml:space="preserve">De eerste paragraaf van dit hoofdstuk </w:t>
      </w:r>
      <w:r w:rsidR="00280AF8">
        <w:t xml:space="preserve">beschrijft </w:t>
      </w:r>
      <w:r w:rsidRPr="00B238A5">
        <w:t xml:space="preserve"> maatschappelijke verslaggeving. In de tweede paragraaf is </w:t>
      </w:r>
      <w:r>
        <w:t>IR</w:t>
      </w:r>
      <w:r w:rsidRPr="00B238A5">
        <w:t xml:space="preserve"> aan bod gekomen. Daarom zal als eerst antwoord worden gegeven op de vraag wat maatschappelijke verslaggeving is en daaropvolgend een antwoord op de vraag wat </w:t>
      </w:r>
      <w:r>
        <w:t>IR</w:t>
      </w:r>
      <w:r w:rsidRPr="00B238A5">
        <w:t xml:space="preserve"> is. </w:t>
      </w:r>
    </w:p>
    <w:p w:rsidR="009D2552" w:rsidRDefault="007473CE" w:rsidP="007473CE">
      <w:r w:rsidRPr="00B238A5">
        <w:t xml:space="preserve">Maatschappelijk verslaggeving is het inzichtelijk maken van het beleid met betrekking tot MVO. Het is één van het tweetal ontwikkelingen die het gevolg zijn van de verschuiving van de informatiebehoefte van belanghebbenden. </w:t>
      </w:r>
      <w:r w:rsidR="009D2552">
        <w:t xml:space="preserve">Deze vorm van verslaggeving licht </w:t>
      </w:r>
      <w:r w:rsidRPr="00B238A5">
        <w:t>economische, milieu- en sociale aspecten toe. Maatschappelijke verslaggeving draagt bij in de transparantie van de onderneming en vormt de basis van de stakeholderdialoog, beide centraal bij MVO. In het hoofdstuk kwam naar voren dat er verschillende motieven zijn voor het publiceren van een maatschappelijk verslag. Interne motieven, zoals verbeterde informatie, tevreden houden van de werknem</w:t>
      </w:r>
      <w:r w:rsidR="008E340A">
        <w:t>ers en het managen van risico’s en e</w:t>
      </w:r>
      <w:r w:rsidRPr="00B238A5">
        <w:t xml:space="preserve">xterne motieven, zoals communicatie met de stakeholders en verbeterde reputatie. </w:t>
      </w:r>
      <w:r w:rsidR="009D2552">
        <w:t>Ook de legitimiteitstheorie, al eerder behandeld, kan gelden als motivatie voor maatschappelijke verslaggeving.</w:t>
      </w:r>
      <w:r w:rsidRPr="00B238A5">
        <w:t xml:space="preserve"> De inhoud van het maatschappelijk verslag is behandeld aan de hand van de beoordelingscriteria van de Transparantiebenchmark. Duidelijk werd dat de inhoud grotendeels bestaat uit niet-financiële gegevens. </w:t>
      </w:r>
    </w:p>
    <w:p w:rsidR="007473CE" w:rsidRDefault="007473CE" w:rsidP="007473CE">
      <w:r w:rsidRPr="00B238A5">
        <w:t xml:space="preserve">De tweede paragraaf heeft de tweede ontwikkeling die het gevolg is van de verschuiving van de informatiebehoefte uiteengezet. </w:t>
      </w:r>
      <w:r>
        <w:t>IR</w:t>
      </w:r>
      <w:r w:rsidRPr="00B238A5">
        <w:t xml:space="preserve"> is de nieuwste vorm van verslaggeving. Hierbij wordt een verband gelegd tussen financiële en niet financiële informatie, zowel op korte, middellange als lange termijn. Vaak wordt gezegd dat in de toekomst het integrated report de primaire vorm voor verslaggeving van ondernemingen zal worden. </w:t>
      </w:r>
    </w:p>
    <w:p w:rsidR="00057CE1" w:rsidRDefault="00057CE1" w:rsidP="007473CE"/>
    <w:p w:rsidR="00057CE1" w:rsidRDefault="00057CE1" w:rsidP="007473CE"/>
    <w:p w:rsidR="00057CE1" w:rsidRPr="00B238A5" w:rsidRDefault="00057CE1" w:rsidP="007473CE"/>
    <w:p w:rsidR="007473CE" w:rsidRPr="00B238A5" w:rsidRDefault="007473CE" w:rsidP="007473CE">
      <w:pPr>
        <w:pStyle w:val="Heading1"/>
        <w:numPr>
          <w:ilvl w:val="0"/>
          <w:numId w:val="17"/>
        </w:numPr>
      </w:pPr>
      <w:bookmarkStart w:id="64" w:name="_Toc388967051"/>
      <w:bookmarkStart w:id="65" w:name="_Toc391563938"/>
      <w:r w:rsidRPr="00B238A5">
        <w:lastRenderedPageBreak/>
        <w:t xml:space="preserve">Regelgeving omtrent maatschappelijk verslaggeving en </w:t>
      </w:r>
      <w:bookmarkEnd w:id="64"/>
      <w:r>
        <w:t>integrated reporting</w:t>
      </w:r>
      <w:bookmarkEnd w:id="65"/>
    </w:p>
    <w:p w:rsidR="007473CE" w:rsidRPr="00B238A5" w:rsidRDefault="007473CE" w:rsidP="007473CE">
      <w:pPr>
        <w:ind w:left="360"/>
        <w:rPr>
          <w:i/>
        </w:rPr>
      </w:pPr>
      <w:r w:rsidRPr="00B238A5">
        <w:rPr>
          <w:i/>
        </w:rPr>
        <w:t xml:space="preserve">Bij de controle van verslagen is een normenkader om de informatie aan te toetsen van belang. Ook voor ondernemingen zijn richtlijnen en regelgeving van belang bij het opstellen van een dergelijk maatschappelijk of integrated report. RJ 400-allinea 115 geeft aan dat het aanbevolen is om in het jaarverslag een toelichting te geven op de hoofdzaken van voor de rechtspersoon relevante maatschappelijke aspecten van ondernemen. Door deze aanbeveling is het voor te stellen dat er ook enige mate van behoefte is voor regelgeving met betrekking tot maatschappelijke verslaggeving. In dit hoofdstuk zullen de wetgeving en richtlijnen met betrekking tot maatschappelijke verslaggeving en </w:t>
      </w:r>
      <w:r>
        <w:rPr>
          <w:i/>
        </w:rPr>
        <w:t>IR</w:t>
      </w:r>
      <w:r w:rsidRPr="00B238A5">
        <w:rPr>
          <w:i/>
        </w:rPr>
        <w:t xml:space="preserve"> worden besproken. </w:t>
      </w:r>
    </w:p>
    <w:p w:rsidR="007473CE" w:rsidRPr="00B238A5" w:rsidRDefault="007473CE" w:rsidP="007473CE">
      <w:pPr>
        <w:pStyle w:val="Heading2"/>
      </w:pPr>
      <w:bookmarkStart w:id="66" w:name="_Toc391563939"/>
      <w:r>
        <w:t>8</w:t>
      </w:r>
      <w:r w:rsidRPr="00B238A5">
        <w:t>.1 Nederlandse wet- en regelgeving</w:t>
      </w:r>
      <w:bookmarkEnd w:id="66"/>
    </w:p>
    <w:p w:rsidR="00DE0B09" w:rsidRDefault="007473CE" w:rsidP="007473CE">
      <w:r w:rsidRPr="00B238A5">
        <w:t>Als eerst zal de Nederlands wet- en regelgeving met betrekking tot maatschappelijke verslaggeving worden beschreven. Nederland heeft namelijk eigen wetten en richtlijnen die ingaan op maatschappelijke verslaggeving van ondernemingen.</w:t>
      </w:r>
      <w:r w:rsidR="00DE0B09">
        <w:t xml:space="preserve"> Deze paragraaf zal eerst een uiteenzetting geven van het wettelijk kader omtrent maatschappelijke verslaggeving gevolg door een beschrijving van de Richtlijnen die hier betrekking op hebben.</w:t>
      </w:r>
    </w:p>
    <w:p w:rsidR="007473CE" w:rsidRPr="00B238A5" w:rsidRDefault="007473CE" w:rsidP="007473CE">
      <w:pPr>
        <w:pStyle w:val="Heading3"/>
      </w:pPr>
      <w:bookmarkStart w:id="67" w:name="_Toc391563940"/>
      <w:r>
        <w:t>8</w:t>
      </w:r>
      <w:r w:rsidRPr="00B238A5">
        <w:t>.1.1 Wettelijk kader maatschappelijke verslaggeving</w:t>
      </w:r>
      <w:bookmarkEnd w:id="67"/>
    </w:p>
    <w:p w:rsidR="007473CE" w:rsidRPr="00B238A5" w:rsidRDefault="007473CE" w:rsidP="007473CE">
      <w:r w:rsidRPr="00B238A5">
        <w:t xml:space="preserve">In Nederland zijn de voorschriften voor de externe verslaggeving van ondernemingen opgenomen in Titel 9 van boek 2 BW. Hierin wordt onderscheidt gemaakt tussen de jaarrekening en het jaarverslag. De jaarrekening is het financiële gedeelte en het jaarverslag is een beschrijving van de gang van zaken in het boekjaar. Art 2:391 geeft inzicht in de inhoud van dit jaarverslag. Hierin is ook </w:t>
      </w:r>
      <w:r w:rsidR="003C743A" w:rsidRPr="00B238A5">
        <w:t xml:space="preserve">de wetgeving </w:t>
      </w:r>
      <w:r w:rsidRPr="00B238A5">
        <w:t>opgenomen met betrekking tot maatschappelijke verslaggeving, welke zeer beperkt is</w:t>
      </w:r>
      <w:r w:rsidR="0077638B">
        <w:t xml:space="preserve"> (Böhmer et al., 2013)</w:t>
      </w:r>
      <w:r w:rsidRPr="00B238A5">
        <w:t xml:space="preserve">. </w:t>
      </w:r>
    </w:p>
    <w:p w:rsidR="007473CE" w:rsidRPr="00B238A5" w:rsidRDefault="007473CE" w:rsidP="007473CE">
      <w:pPr>
        <w:rPr>
          <w:i/>
        </w:rPr>
      </w:pPr>
      <w:r w:rsidRPr="00B238A5">
        <w:rPr>
          <w:i/>
        </w:rPr>
        <w:t>Art. 2:391 lid 1 BW: “(…) Indien noodzakelijk voor een goed begrip van de ontwikkeling, de resultaten of de positie van de rechtspersoon en groepsmaatschappijen, omvat de analyse zowel financiële als niet-financiële prestatie-indicatoren, met inbegrip van milieu- en personeelsaangelegenheden.”</w:t>
      </w:r>
      <w:r w:rsidR="0077638B">
        <w:rPr>
          <w:i/>
        </w:rPr>
        <w:t xml:space="preserve"> </w:t>
      </w:r>
      <w:r w:rsidR="0077638B">
        <w:t>(Böhmer et al., 2013</w:t>
      </w:r>
      <w:r w:rsidR="008E340A">
        <w:t xml:space="preserve"> pag. </w:t>
      </w:r>
      <w:r w:rsidR="00B3123C">
        <w:t>1460</w:t>
      </w:r>
      <w:r w:rsidR="0077638B">
        <w:t>)</w:t>
      </w:r>
    </w:p>
    <w:p w:rsidR="007473CE" w:rsidRPr="00B238A5" w:rsidRDefault="007473CE" w:rsidP="007473CE">
      <w:r w:rsidRPr="00B238A5">
        <w:t xml:space="preserve">Deze wetgeving is gebaseerd op de vierde en zevende richtlijn van de Europese wetgeving. </w:t>
      </w:r>
      <w:r>
        <w:t xml:space="preserve">Binnen deze wetgeving is veel ruimte voor vrijheid en eigen interpretatie over de noodzakelijkheid van het vrijgeven van niet-financiële prestatie-indicatoren. </w:t>
      </w:r>
      <w:r w:rsidRPr="00B238A5">
        <w:t xml:space="preserve"> Een d</w:t>
      </w:r>
      <w:r>
        <w:t xml:space="preserve">aadwerkelijke </w:t>
      </w:r>
      <w:r w:rsidRPr="00B238A5">
        <w:t>verplichting voor het publiceren van een maatschappelijk jaarverslag of publiceren van deze maatschappelijke informatie is er niet</w:t>
      </w:r>
      <w:r w:rsidR="00DE0B09">
        <w:t xml:space="preserve"> (Böhmer et al., 2013)</w:t>
      </w:r>
      <w:r w:rsidRPr="00B238A5">
        <w:t xml:space="preserve">. </w:t>
      </w:r>
    </w:p>
    <w:p w:rsidR="007473CE" w:rsidRPr="00B238A5" w:rsidRDefault="007473CE" w:rsidP="007473CE">
      <w:pPr>
        <w:pStyle w:val="Heading3"/>
      </w:pPr>
      <w:bookmarkStart w:id="68" w:name="_Toc391563941"/>
      <w:r>
        <w:lastRenderedPageBreak/>
        <w:t>8</w:t>
      </w:r>
      <w:r w:rsidRPr="00B238A5">
        <w:t>.1.2 Richtlijnen voor de Jaarverslaggeving</w:t>
      </w:r>
      <w:bookmarkEnd w:id="68"/>
    </w:p>
    <w:p w:rsidR="007473CE" w:rsidRPr="00B238A5" w:rsidRDefault="007473CE" w:rsidP="007473CE">
      <w:r w:rsidRPr="00B238A5">
        <w:t xml:space="preserve">Bij het opstellen van het jaarverslag moet de ondernemingsleiding zich volgens de Nederlandse wet laten leiden door het doel van de jaarrekening en de normen die in het maatschappelijk verkeer als aanvaardbaar worden beschouwd. De Raad voor de Jaarverslaggeving (hierna RJ) tracht met zijn Richtlijnen voor de Jaarverslaggeving inhoud te geven aan die normen. Dit doen zij aan de hand van twee soorten richtlijnen, ten eerste zijn er stellige uitspraken en </w:t>
      </w:r>
      <w:r w:rsidR="0094228A">
        <w:t>ten tweede</w:t>
      </w:r>
      <w:r w:rsidRPr="00B238A5">
        <w:t xml:space="preserve"> zijn er aanbevelingen. Beide hebben g</w:t>
      </w:r>
      <w:r w:rsidR="0094228A">
        <w:t>een kracht van wet. Al</w:t>
      </w:r>
      <w:r w:rsidRPr="00B238A5">
        <w:t xml:space="preserve">s niet </w:t>
      </w:r>
      <w:r w:rsidR="0094228A">
        <w:t xml:space="preserve">wordt </w:t>
      </w:r>
      <w:r w:rsidRPr="00B238A5">
        <w:t>gehandeld naar de richtlijnen betekent dit dus niet automatisch dat dit in strijd is met de wet. Het verschil tussen de soorten richtlijnen is hier dan ook in gelegen. In het geval een stellige uitspraak niet wordt nagevolgd moet er een deugdelijke motivering zijn, bij aanbevelingen geldt dit niet</w:t>
      </w:r>
      <w:r w:rsidR="0077638B">
        <w:t xml:space="preserve"> (Vergoossen, 2010)</w:t>
      </w:r>
      <w:r w:rsidRPr="00B238A5">
        <w:t>.</w:t>
      </w:r>
    </w:p>
    <w:p w:rsidR="008E340A" w:rsidRDefault="007473CE" w:rsidP="007473CE">
      <w:r w:rsidRPr="00B238A5">
        <w:t>Zoals eerder besproken is art. 2:391 de wet die voorschrijft welke aspecten moeten worden opgenomen in het jaarverslag. De wet beperkt zich echter tot het noemen van de te bespreken onderwerpen. De inhou</w:t>
      </w:r>
      <w:r>
        <w:t>d ervan is niet nader</w:t>
      </w:r>
      <w:r w:rsidR="00D40C65">
        <w:t xml:space="preserve"> besproken</w:t>
      </w:r>
      <w:r>
        <w:t>, d</w:t>
      </w:r>
      <w:r w:rsidRPr="00B238A5">
        <w:t xml:space="preserve">it is gedaan in Richtlijn 400. Zo ook met betrekking tot het rapporteren over </w:t>
      </w:r>
      <w:r>
        <w:t>MVO</w:t>
      </w:r>
      <w:r w:rsidRPr="00B238A5">
        <w:t>. De RJ geeft aanwijzingen voor maatschappelijke aspecten van ondernemen als onderdeel van het jaarverslag</w:t>
      </w:r>
      <w:r w:rsidR="00DE0B09">
        <w:t xml:space="preserve"> (Böhmer et al., 2013)</w:t>
      </w:r>
      <w:r w:rsidRPr="00B238A5">
        <w:t xml:space="preserve">.  </w:t>
      </w:r>
      <w:r w:rsidR="008E340A">
        <w:t xml:space="preserve">Richtlijn 400 beschrijft met betrekking tot maatschappelijke verslaggeving het volgende: </w:t>
      </w:r>
    </w:p>
    <w:p w:rsidR="007473CE" w:rsidRPr="0077638B" w:rsidRDefault="007473CE" w:rsidP="007473CE">
      <w:r w:rsidRPr="00B238A5">
        <w:rPr>
          <w:i/>
        </w:rPr>
        <w:t>RJ 400 – alinea 115: “(…) Het verdient aanbeveling om in het jaarverslag een toelichting te geven op de hoofdzaken van voor de rechtspersoon relevante maatschappelijke aspecten van ondernemen, waaronder het ketenbeheer van de rechtspersoon.”</w:t>
      </w:r>
      <w:r w:rsidR="0077638B">
        <w:rPr>
          <w:i/>
        </w:rPr>
        <w:t xml:space="preserve"> </w:t>
      </w:r>
      <w:r w:rsidR="0077638B">
        <w:t>(Raad voor de Jaarverslaggeving, 2009, pag. 4)</w:t>
      </w:r>
    </w:p>
    <w:p w:rsidR="007473CE" w:rsidRPr="00B238A5" w:rsidRDefault="007473CE" w:rsidP="007473CE">
      <w:r w:rsidRPr="00B238A5">
        <w:t>Uit de richtlijn kan worden opgemaakt dat het hierbij gaat om een aanbeveling en geen stellige uitspraak. De RJ geeft dus aan dat het voor een onderneming geen verplichting is om maatschappelijke aspecten van ondernemen in het jaarverslag te presenteren, en ook in de vorm van een opzichzelfstaand verslag wordt dit niet verplicht</w:t>
      </w:r>
      <w:r w:rsidR="00DE0B09">
        <w:t xml:space="preserve"> (Vergoossen, 2010)</w:t>
      </w:r>
      <w:r w:rsidRPr="00B238A5">
        <w:t>. Ondanks de vrijwilligheid waar de nadruk op ligt bij de Richtlijn, geeft de Richtlijn wel aan welke inhoudelijke aspecten opgenomen zouden</w:t>
      </w:r>
      <w:r w:rsidR="00713548">
        <w:t xml:space="preserve"> kunnen worden als het gaat om m</w:t>
      </w:r>
      <w:r w:rsidRPr="00B238A5">
        <w:t>aatschappelijke verslaggeving, maar ook daarin is veel vrijheid overgelaten aan de onderneming. De Richtlijn 400 is voornamelijk bedoeld voor maatschappelijke verslaggevi</w:t>
      </w:r>
      <w:r w:rsidR="008E340A">
        <w:t>ng als deel van het jaarverslag. R</w:t>
      </w:r>
      <w:r w:rsidRPr="00B238A5">
        <w:t>ichtlijnen bedoelt voor het afzonderlijke maatschappelijk verslag zullen later worden besproken</w:t>
      </w:r>
      <w:r w:rsidR="0077638B">
        <w:t xml:space="preserve"> (Böhmer et al., 2013).</w:t>
      </w:r>
      <w:r w:rsidRPr="00B238A5">
        <w:rPr>
          <w:b/>
          <w:color w:val="FF0000"/>
        </w:rPr>
        <w:t xml:space="preserve"> </w:t>
      </w:r>
    </w:p>
    <w:p w:rsidR="007473CE" w:rsidRPr="00B238A5" w:rsidRDefault="007473CE" w:rsidP="007473CE">
      <w:pPr>
        <w:pStyle w:val="Heading3"/>
      </w:pPr>
      <w:bookmarkStart w:id="69" w:name="_Toc388962996"/>
      <w:bookmarkStart w:id="70" w:name="_Toc388963058"/>
      <w:bookmarkStart w:id="71" w:name="_Toc388967052"/>
      <w:bookmarkStart w:id="72" w:name="_Toc391563942"/>
      <w:r>
        <w:t>8</w:t>
      </w:r>
      <w:r w:rsidRPr="00B238A5">
        <w:t>.1.3 Handreiking voor Maatschappelijke verslaggeving</w:t>
      </w:r>
      <w:bookmarkEnd w:id="69"/>
      <w:bookmarkEnd w:id="70"/>
      <w:bookmarkEnd w:id="71"/>
      <w:bookmarkEnd w:id="72"/>
    </w:p>
    <w:p w:rsidR="007473CE" w:rsidRPr="00B238A5" w:rsidRDefault="007473CE" w:rsidP="007473CE">
      <w:r w:rsidRPr="00B238A5">
        <w:t>De bovenstaande aanbeveling van de RJ was zoals geschreven gericht op maatschappelijke verslaggeving als deel van het jaarverslag. De RJ heeft daarnaast ook een Handreiking gepubliceerd voor de afzonderlijke maatschappelijke verslagen</w:t>
      </w:r>
      <w:r w:rsidR="0077638B">
        <w:t xml:space="preserve"> (Böhmer et al., 2013)</w:t>
      </w:r>
      <w:r w:rsidRPr="00B238A5">
        <w:t xml:space="preserve">. De Handreiking geeft een conceptueel kader die ondernemingen kan helpen bij het opstellen bij het opstellen van een maatschappelijk verslag. Het toepassen van deze handreiking is niet verplicht voor ondernemingen. Veel ondernemingen maken namelijk gebruik van GRI richtlijnen, die later in dit hoofdstuk zullen worden besproken. Deze GRI-richtlijnen liggen dan ook aan de basis van de Handreiking. Ondernemingen die de GRI-richtlijnen gebruiken voor het opstellen van het maatschappelijke verslag, zijn tevens in overeenstemming met de uitgangspunten van de Handreiking. De handreiking gaat niet in detail in op onderwerpen die in een </w:t>
      </w:r>
      <w:r w:rsidRPr="00B238A5">
        <w:lastRenderedPageBreak/>
        <w:t>maatschappelijk verslag opgenomen kunnen worden. Voor aanwijzingen ten aanzien van de kwaliteit en inhoud van het verslag wordt in de Handreiking verwezen naar de Richtlijnen voor Duurzaamheidsverslaggeving van het GRI</w:t>
      </w:r>
      <w:r w:rsidR="0077638B">
        <w:t xml:space="preserve"> (Raad voor de Jaarverslaggeving, 2009)</w:t>
      </w:r>
      <w:r w:rsidRPr="00B238A5">
        <w:t xml:space="preserve">. </w:t>
      </w:r>
    </w:p>
    <w:p w:rsidR="007473CE" w:rsidRPr="00B238A5" w:rsidRDefault="007473CE" w:rsidP="007473CE">
      <w:pPr>
        <w:pStyle w:val="Heading2"/>
      </w:pPr>
      <w:bookmarkStart w:id="73" w:name="_Toc391563943"/>
      <w:r>
        <w:t>8</w:t>
      </w:r>
      <w:r w:rsidRPr="00B238A5">
        <w:t>.2 Internationale wet- en regelgeving</w:t>
      </w:r>
      <w:bookmarkEnd w:id="73"/>
      <w:r w:rsidRPr="00B238A5">
        <w:t xml:space="preserve"> </w:t>
      </w:r>
    </w:p>
    <w:p w:rsidR="007473CE" w:rsidRPr="00B238A5" w:rsidRDefault="007473CE" w:rsidP="007473CE">
      <w:r w:rsidRPr="00B238A5">
        <w:t>Naast de landelijke regelgeving is ook op internationaal niveau regelgeving met betrekking tot maat</w:t>
      </w:r>
      <w:r w:rsidR="00713548">
        <w:t xml:space="preserve">schappelijke verslaggeving, welke besproken worden in deze paragraaf. </w:t>
      </w:r>
    </w:p>
    <w:p w:rsidR="007473CE" w:rsidRPr="00B238A5" w:rsidRDefault="007473CE" w:rsidP="007473CE">
      <w:pPr>
        <w:pStyle w:val="Heading3"/>
      </w:pPr>
      <w:bookmarkStart w:id="74" w:name="_Toc391563944"/>
      <w:r>
        <w:t>8</w:t>
      </w:r>
      <w:r w:rsidRPr="00B238A5">
        <w:t>.2.1 Wettelijk kader</w:t>
      </w:r>
      <w:bookmarkEnd w:id="74"/>
    </w:p>
    <w:p w:rsidR="007473CE" w:rsidRPr="00B238A5" w:rsidRDefault="007473CE" w:rsidP="007473CE">
      <w:r w:rsidRPr="00B238A5">
        <w:t>Zoals eerder geschreven is de Nederlandse wetgeving omtrent externe verslaggeving gebaseerd op de vierde en</w:t>
      </w:r>
      <w:r w:rsidR="008E340A">
        <w:t xml:space="preserve"> zevende EG-richtlijn. Echter,</w:t>
      </w:r>
      <w:r w:rsidRPr="00B238A5">
        <w:t xml:space="preserve"> in 2013 </w:t>
      </w:r>
      <w:r w:rsidR="008E340A">
        <w:t xml:space="preserve">is </w:t>
      </w:r>
      <w:r w:rsidRPr="00B238A5">
        <w:t>een voorstel gedaan door de Europese Commissie om het vrijgeven van maatschappelijke aspecten voor grote ondernemingen (meer dan 500 werknemers) verplicht te stellen. In mei 2014 is dit voorstel goed gekeurd door het Europese Parlement, wat betekent dat dit in de nabije toekomst van toepassing zal zijn</w:t>
      </w:r>
      <w:r w:rsidR="00713548">
        <w:t xml:space="preserve"> en er dus een wettelijke verplichting zal gelden voor deze grote ondernemingen</w:t>
      </w:r>
      <w:r w:rsidR="00842274">
        <w:t xml:space="preserve"> (Hughes et al.</w:t>
      </w:r>
      <w:r w:rsidR="0077638B">
        <w:t>, 2014)</w:t>
      </w:r>
      <w:r w:rsidRPr="00B238A5">
        <w:t xml:space="preserve">. </w:t>
      </w:r>
    </w:p>
    <w:p w:rsidR="007473CE" w:rsidRPr="00B238A5" w:rsidRDefault="007473CE" w:rsidP="007473CE">
      <w:pPr>
        <w:pStyle w:val="Heading3"/>
      </w:pPr>
      <w:bookmarkStart w:id="75" w:name="_Toc388962999"/>
      <w:bookmarkStart w:id="76" w:name="_Toc388963061"/>
      <w:bookmarkStart w:id="77" w:name="_Toc388967055"/>
      <w:bookmarkStart w:id="78" w:name="_Toc391563945"/>
      <w:r>
        <w:t>8</w:t>
      </w:r>
      <w:r w:rsidR="00ED5591">
        <w:t>.2.2 Global Reporting I</w:t>
      </w:r>
      <w:r w:rsidRPr="00B238A5">
        <w:t>nitiative</w:t>
      </w:r>
      <w:bookmarkEnd w:id="75"/>
      <w:bookmarkEnd w:id="76"/>
      <w:bookmarkEnd w:id="77"/>
      <w:bookmarkEnd w:id="78"/>
    </w:p>
    <w:p w:rsidR="007473CE" w:rsidRPr="00B238A5" w:rsidRDefault="007473CE" w:rsidP="007473CE">
      <w:r w:rsidRPr="00B238A5">
        <w:t>Al eerder is het Global Reporting Initiative (hierna GRI) aan bod gekomen bij de bespreking van de Handreiking voor Maatschappelijke Verslaggeving. De Richtlijnen voor Duurzaamheidsverslaggeving van het GRI is de bekendste en meest gebruikte regelgeving met betrekking tot maatschappelijke verslaggeving</w:t>
      </w:r>
      <w:r w:rsidR="00DE0B09">
        <w:t xml:space="preserve"> (Kamp-Roelands, 2011)</w:t>
      </w:r>
      <w:r w:rsidRPr="00B238A5">
        <w:t>. In de Transparantiebenchmark is onderzocht welke richtlijnen de ondernemingen gebruikten om het maatschappelijke verslag op te stellen. Hieruit bleek dat de GRI-richtlijnen het meest werden toegepast, alle eerste 70 bedrijven rapporteerde volgens deze richtlijnen. Wereldwijd is bekend dat bijna 5000 ondernemingen rapporteren volgens de GRI-richtlijnen</w:t>
      </w:r>
      <w:r w:rsidR="0077638B">
        <w:t xml:space="preserve"> (Stam &amp; Admiraal, 2013)</w:t>
      </w:r>
      <w:r w:rsidRPr="00B238A5">
        <w:t xml:space="preserve">. </w:t>
      </w:r>
    </w:p>
    <w:p w:rsidR="007473CE" w:rsidRPr="00B238A5" w:rsidRDefault="007473CE" w:rsidP="007473CE">
      <w:r w:rsidRPr="00B238A5">
        <w:t>Het GRI is in 1997 opgericht en heeft als doel richtlijnen te ontwikkelen voor maatschappelijke verslaggeving die vrijwillig kunnen worden toegepast door ondernemingen. De richtlijnen voor Duurzaamheidsverslaggeving bestaan uit principes voor het bepalen van de inhoud van het verslag en voor het waarborgen van de kwaliteit van de informatie in het verslag. Maar het GRI publiceert daarnaast ook indicatorprotocollen, aanvullende sectorspecifieke richtlijnen, technische protocollen en de nationale agenda</w:t>
      </w:r>
      <w:r w:rsidR="00DE0B09">
        <w:t xml:space="preserve"> (GRI, 2006)</w:t>
      </w:r>
      <w:r w:rsidRPr="00B238A5">
        <w:t>. Indicatorprotocollen bieden definities, richtlijnen en ander informatie met betrekking tot prestatie-indicatoren. De aanvullende sectorspecifieke richtlijnen vullen de richtlijnen aan met interpretaties en toelichtingen over de toepassing van de richtlijnen in bepaalde sectoren en omvatten sectorspecifieke prestatie-indicatoren. De technische protocollen bieden ondersteuning bij het toepassen van het materialiteitsprincipe bij het selecteren van onderwerpen, en het bepalen van de afbakening</w:t>
      </w:r>
      <w:r w:rsidR="0077638B">
        <w:t xml:space="preserve"> (Böhmer et al., 2013)</w:t>
      </w:r>
      <w:r w:rsidRPr="00B238A5">
        <w:t xml:space="preserve">. </w:t>
      </w:r>
    </w:p>
    <w:p w:rsidR="007473CE" w:rsidRPr="00B238A5" w:rsidRDefault="007473CE" w:rsidP="007473CE">
      <w:r w:rsidRPr="00B238A5">
        <w:t xml:space="preserve">De GRI-richtlijnen worden regelmatig aangepast, de huidige versie van de GR richtlijnen is G4. Te zien is dat de huidige GRI richtlijn zich ook steeds meer gaat richten op </w:t>
      </w:r>
      <w:r>
        <w:t>IR</w:t>
      </w:r>
      <w:r w:rsidRPr="00B238A5">
        <w:t xml:space="preserve"> </w:t>
      </w:r>
      <w:r w:rsidR="00DF5C3B">
        <w:t>wat</w:t>
      </w:r>
      <w:r w:rsidRPr="00B238A5">
        <w:t xml:space="preserve"> vaak wordt gezien als verslaggevingsvorm van de toekomst</w:t>
      </w:r>
      <w:r w:rsidR="0077638B">
        <w:t xml:space="preserve"> (GRI, 2006)</w:t>
      </w:r>
      <w:r w:rsidRPr="00B238A5">
        <w:t xml:space="preserve">. </w:t>
      </w:r>
    </w:p>
    <w:p w:rsidR="007473CE" w:rsidRPr="00B238A5" w:rsidRDefault="007473CE" w:rsidP="007473CE">
      <w:pPr>
        <w:pStyle w:val="Heading3"/>
      </w:pPr>
      <w:bookmarkStart w:id="79" w:name="_Toc391563946"/>
      <w:r>
        <w:lastRenderedPageBreak/>
        <w:t>8.</w:t>
      </w:r>
      <w:r w:rsidRPr="00B238A5">
        <w:t>2.3 Overige internationale richtlijnen</w:t>
      </w:r>
      <w:bookmarkEnd w:id="79"/>
    </w:p>
    <w:p w:rsidR="007473CE" w:rsidRPr="00B238A5" w:rsidRDefault="007473CE" w:rsidP="007473CE">
      <w:r w:rsidRPr="00B238A5">
        <w:t>Naast de GRI-richtlijnen zijn er nog meer internationaal georiënteerde raamwerken voor maatschappelijke verslaggeving. Eén daarvan is AccountAbility1000. Naast het publiceren van een raamwerk voor het opstellen van maatschappelijke verslagen, bieden zij ook een standaard voor de assurance van deze verslagen. Ondernemingen kunnen er voor kiezen hun maatschappelijk verslag dus op te stellen volgens dit raamwerk</w:t>
      </w:r>
      <w:r w:rsidR="0077638B">
        <w:t xml:space="preserve"> (AccountAbility, z.d.)</w:t>
      </w:r>
      <w:r w:rsidRPr="00B238A5">
        <w:t>.</w:t>
      </w:r>
    </w:p>
    <w:p w:rsidR="007473CE" w:rsidRPr="00B238A5" w:rsidRDefault="007473CE" w:rsidP="007473CE">
      <w:r w:rsidRPr="00B238A5">
        <w:t xml:space="preserve">Als laatste wordt de OESO-Richtlijn beschreven, die door Nederland en nog 45 andere landen is onderschreven. Deze bieden handvatten voor het maatschappelijke verantwoord ondernemen, met betrekking tot kwesties als, mensenrechten, kinderarbeid en milieu. Eén van de onderdelen van de OESO-richtlijnen is de informatieverstrekking met betrekking tot </w:t>
      </w:r>
      <w:r>
        <w:t>MVO</w:t>
      </w:r>
      <w:r w:rsidRPr="00B238A5">
        <w:t>. De OESO-richtlijnen geven daarin voornamelijk aan wat voor</w:t>
      </w:r>
      <w:r w:rsidR="00244680">
        <w:t xml:space="preserve"> informatie ondernemingen zouden</w:t>
      </w:r>
      <w:r w:rsidRPr="00B238A5">
        <w:t xml:space="preserve"> kunnen verstrekken en wat voor toelichtingen hier</w:t>
      </w:r>
      <w:r>
        <w:t>op gegeven zouden moeten worden</w:t>
      </w:r>
      <w:r w:rsidR="0077638B">
        <w:t xml:space="preserve"> (Ministerie van Buitenlandse Zaken, 2014)</w:t>
      </w:r>
      <w:r>
        <w:t xml:space="preserve">. </w:t>
      </w:r>
      <w:r w:rsidRPr="00B238A5">
        <w:t xml:space="preserve"> </w:t>
      </w:r>
    </w:p>
    <w:p w:rsidR="007473CE" w:rsidRPr="00B238A5" w:rsidRDefault="007473CE" w:rsidP="007473CE">
      <w:pPr>
        <w:pStyle w:val="Heading2"/>
      </w:pPr>
      <w:bookmarkStart w:id="80" w:name="_Toc391563947"/>
      <w:r>
        <w:t>8</w:t>
      </w:r>
      <w:r w:rsidRPr="00B238A5">
        <w:t xml:space="preserve">.3 International </w:t>
      </w:r>
      <w:r>
        <w:t>integated Reporting</w:t>
      </w:r>
      <w:r w:rsidRPr="00B238A5">
        <w:t xml:space="preserve"> Committee</w:t>
      </w:r>
      <w:bookmarkEnd w:id="80"/>
    </w:p>
    <w:p w:rsidR="007473CE" w:rsidRDefault="007473CE" w:rsidP="007473CE">
      <w:pPr>
        <w:autoSpaceDE w:val="0"/>
        <w:autoSpaceDN w:val="0"/>
        <w:adjustRightInd w:val="0"/>
        <w:spacing w:after="0"/>
      </w:pPr>
      <w:r w:rsidRPr="00B238A5">
        <w:t xml:space="preserve">Eerder is duidelijk geworden dat de nieuwste ontwikkeling op het gebied van maatschappelijke verslaggeving, </w:t>
      </w:r>
      <w:r>
        <w:t>IR</w:t>
      </w:r>
      <w:r w:rsidRPr="00B238A5">
        <w:t xml:space="preserve"> is. Om te komen tot een dergelijk verslag is ook een framework nodig. De International </w:t>
      </w:r>
      <w:r>
        <w:t xml:space="preserve">Integrated Reporting </w:t>
      </w:r>
      <w:r w:rsidRPr="00B238A5">
        <w:t xml:space="preserve">Committee (hierna IIRC) is een organisatie die zich daarmee bezig houdt. In 2010 hebben The Prince’s Accounting for Sustainability Project, </w:t>
      </w:r>
      <w:r w:rsidR="008E340A">
        <w:t>GRI</w:t>
      </w:r>
      <w:r w:rsidRPr="00B238A5">
        <w:t xml:space="preserve"> en International Federation of Accountants het IIRC opgericht, met als doel te komen tot een framework voor </w:t>
      </w:r>
      <w:r>
        <w:t>IR</w:t>
      </w:r>
      <w:r w:rsidR="00B3123C">
        <w:t xml:space="preserve"> (Cheng et al., 2014)</w:t>
      </w:r>
      <w:r w:rsidRPr="00B238A5">
        <w:t xml:space="preserve">. In september 2011 is de eerste stap in die richting gezet met het discussion paper ‘Towards </w:t>
      </w:r>
      <w:r>
        <w:t>integrated reporting</w:t>
      </w:r>
      <w:r w:rsidRPr="00B238A5">
        <w:t xml:space="preserve">, communicating value in the 21st century’. In de discussion paper is </w:t>
      </w:r>
      <w:r>
        <w:t>IR</w:t>
      </w:r>
      <w:r w:rsidRPr="00B238A5">
        <w:t xml:space="preserve"> gedefinieerd en zijn de voorstellen en een stappenplan, om uiteindelijk te komen tot het framework, gepresenteerd. Het eerste prototype van het </w:t>
      </w:r>
      <w:r>
        <w:t>IR</w:t>
      </w:r>
      <w:r w:rsidRPr="00B238A5">
        <w:t xml:space="preserve"> framewok is gepubliceerd in november 2012, waarna commentaar mocht worden gegeven. In december 2013 is het eerste officiële framework voor </w:t>
      </w:r>
      <w:r>
        <w:t>IR</w:t>
      </w:r>
      <w:r w:rsidRPr="00B238A5">
        <w:t xml:space="preserve"> dan ook officieel gepubliceerd</w:t>
      </w:r>
      <w:r w:rsidR="0077638B">
        <w:t xml:space="preserve"> (IIRC, 2013)</w:t>
      </w:r>
      <w:r w:rsidRPr="00B238A5">
        <w:t xml:space="preserve">. </w:t>
      </w:r>
    </w:p>
    <w:p w:rsidR="007473CE" w:rsidRPr="00B238A5" w:rsidRDefault="007473CE" w:rsidP="007473CE">
      <w:pPr>
        <w:autoSpaceDE w:val="0"/>
        <w:autoSpaceDN w:val="0"/>
        <w:adjustRightInd w:val="0"/>
        <w:spacing w:after="0"/>
      </w:pPr>
    </w:p>
    <w:p w:rsidR="007473CE" w:rsidRPr="00B238A5" w:rsidRDefault="007473CE" w:rsidP="007473CE">
      <w:pPr>
        <w:pStyle w:val="Heading2"/>
      </w:pPr>
      <w:bookmarkStart w:id="81" w:name="_Toc391563948"/>
      <w:r>
        <w:t>8</w:t>
      </w:r>
      <w:r w:rsidRPr="00B238A5">
        <w:t>.4 Samenvatting en beantwoording deelvraag</w:t>
      </w:r>
      <w:bookmarkEnd w:id="81"/>
    </w:p>
    <w:p w:rsidR="007473CE" w:rsidRPr="00B238A5" w:rsidRDefault="007473CE" w:rsidP="007473CE">
      <w:r w:rsidRPr="00B238A5">
        <w:t xml:space="preserve">In dit hoofdstuk is geprobeerd een antwoord te geven op de deelvraag: </w:t>
      </w:r>
      <w:r w:rsidRPr="00B238A5">
        <w:rPr>
          <w:i/>
        </w:rPr>
        <w:t xml:space="preserve">Wat is de regelgeving met betrekking tot maatschappelijke verslaggeving en </w:t>
      </w:r>
      <w:r>
        <w:rPr>
          <w:i/>
        </w:rPr>
        <w:t>integrated reporting</w:t>
      </w:r>
      <w:r w:rsidRPr="00B238A5">
        <w:rPr>
          <w:i/>
        </w:rPr>
        <w:t>?</w:t>
      </w:r>
      <w:r w:rsidRPr="00B238A5">
        <w:t xml:space="preserve"> In dit hoofdstuk is dan ook een overzicht gegeven van de wetgeving en regelgeving omtrekt deze begrippen. </w:t>
      </w:r>
    </w:p>
    <w:p w:rsidR="007473CE" w:rsidRPr="00B238A5" w:rsidRDefault="007473CE" w:rsidP="007473CE">
      <w:r w:rsidRPr="00B238A5">
        <w:t xml:space="preserve">De eerste conclusies die getrokken kan worden is dat er geen daadwerkelijke verplichting bestaat voor maatschappelijke verslaggeving en </w:t>
      </w:r>
      <w:r>
        <w:t>IR</w:t>
      </w:r>
      <w:r w:rsidRPr="00B238A5">
        <w:t xml:space="preserve">. In de wet wordt gesproken over maatschappelijke aspecten in het jaarverslag indien dat noodzakelijk is voor het begrip van de gebruikers. Dit laat veel vrijheid over aan de ondernemingen. Om toch invulling te geven aan maatschappelijke verslaggeving zijn er verschillende richtlijnen. </w:t>
      </w:r>
    </w:p>
    <w:p w:rsidR="007473CE" w:rsidRPr="00B238A5" w:rsidRDefault="007473CE" w:rsidP="007473CE">
      <w:r w:rsidRPr="00B238A5">
        <w:t>In Nederland wordt maatschappelijke verslaggeving in twee Richtlijnen besproken. Ten eerste  in Richtlijn 40</w:t>
      </w:r>
      <w:r w:rsidR="00B3123C">
        <w:t xml:space="preserve">0 van de RJ, die aanbevelingen doet </w:t>
      </w:r>
      <w:r w:rsidRPr="00B238A5">
        <w:t xml:space="preserve">omtrent maatschappelijke verslaggeving in het jaarverslag. Deze Richtlijn bevat geen stellige uitspraken wat maakt dat ondernemingen niet verplicht zijn dit toe te passen. </w:t>
      </w:r>
      <w:r w:rsidR="00B3123C">
        <w:lastRenderedPageBreak/>
        <w:t>Ten tweede</w:t>
      </w:r>
      <w:r w:rsidRPr="00B238A5">
        <w:t xml:space="preserve"> de Handreiking voor Maatschappelijke Verslaggeving, die vrijwillig kan worden toegepast voor het opstellen van een afzonderlijk maatschappelijk verslag. </w:t>
      </w:r>
    </w:p>
    <w:p w:rsidR="007473CE" w:rsidRPr="00B238A5" w:rsidRDefault="007473CE" w:rsidP="007473CE">
      <w:r w:rsidRPr="00B238A5">
        <w:t xml:space="preserve">Internationaal zijn ook verschillende richtlijnen voor maatschappelijke verslaggeving, </w:t>
      </w:r>
      <w:r w:rsidR="00840AE9">
        <w:t>die allen</w:t>
      </w:r>
      <w:r w:rsidRPr="00B238A5">
        <w:t xml:space="preserve"> op vrijwillige basis kunnen worden toegepast. De eerste, en meest bekende zijn de richtlijnen van het Global Reporting Initiative. Daarnaast zijn er ook de Accountability 1000 principles-based standaarden voor het opstellen van een maatschappelijk verslag en de OESO-richtlijnen. </w:t>
      </w:r>
    </w:p>
    <w:p w:rsidR="007473CE" w:rsidRDefault="007473CE" w:rsidP="007473CE">
      <w:r w:rsidRPr="00B238A5">
        <w:t xml:space="preserve">De huidige ontwikkeling van </w:t>
      </w:r>
      <w:r>
        <w:t>IR</w:t>
      </w:r>
      <w:r w:rsidRPr="00B238A5">
        <w:t xml:space="preserve"> vraagt ook naar een raamwerk voor het opstellen voor een dergelijk rapport. Aan deze vraag wordt gehoor gegeven door het IIRC die in december van het jaar 2013 het eerste framework voor </w:t>
      </w:r>
      <w:r w:rsidR="00ED5591" w:rsidRPr="00B238A5">
        <w:t>integrated</w:t>
      </w:r>
      <w:r w:rsidRPr="00B238A5">
        <w:t xml:space="preserve"> </w:t>
      </w:r>
      <w:r>
        <w:t xml:space="preserve">reporting hebben gepubliceerd. </w:t>
      </w:r>
    </w:p>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Default="00840AE9" w:rsidP="007473CE"/>
    <w:p w:rsidR="00840AE9" w:rsidRPr="00B238A5" w:rsidRDefault="00840AE9" w:rsidP="007473CE"/>
    <w:p w:rsidR="007473CE" w:rsidRPr="00840AE9" w:rsidRDefault="007473CE" w:rsidP="00840AE9">
      <w:pPr>
        <w:pStyle w:val="Heading1"/>
        <w:numPr>
          <w:ilvl w:val="0"/>
          <w:numId w:val="17"/>
        </w:numPr>
        <w:rPr>
          <w:color w:val="2E74B5" w:themeColor="accent1" w:themeShade="BF"/>
          <w:sz w:val="32"/>
        </w:rPr>
      </w:pPr>
      <w:bookmarkStart w:id="82" w:name="_Toc388963008"/>
      <w:bookmarkStart w:id="83" w:name="_Toc388963070"/>
      <w:bookmarkStart w:id="84" w:name="_Toc388967064"/>
      <w:bookmarkStart w:id="85" w:name="_Toc391563949"/>
      <w:r w:rsidRPr="00B238A5">
        <w:lastRenderedPageBreak/>
        <w:t>Maatschappelijke Verslaggeving en de Accountant</w:t>
      </w:r>
      <w:bookmarkEnd w:id="82"/>
      <w:bookmarkEnd w:id="83"/>
      <w:bookmarkEnd w:id="84"/>
      <w:bookmarkEnd w:id="85"/>
      <w:r w:rsidRPr="00B238A5">
        <w:t xml:space="preserve"> </w:t>
      </w:r>
    </w:p>
    <w:p w:rsidR="007473CE" w:rsidRPr="00B238A5" w:rsidRDefault="007473CE" w:rsidP="007473CE">
      <w:pPr>
        <w:ind w:left="360"/>
        <w:rPr>
          <w:i/>
        </w:rPr>
      </w:pPr>
      <w:r w:rsidRPr="00B238A5">
        <w:rPr>
          <w:i/>
        </w:rPr>
        <w:t xml:space="preserve">In tegenstelling tot bij de traditionele verslaggeving is volgens de regelgeving voor assurance-opdrachten inzake maatschappelijke verslagen nog geen controleplicht met betrekking tot het maatschappelijk verslag. Daarom zal kort worden uiteengezet wat een onderneming drijft om het verslag extern te laten controleren. Daarnaast zal in dit hoofdstuk antwoord worden gegeven op de deelvraag: ‘Wat is de taak van de accountant met betrekking tot de verificatie van niet-financiële informatie?’. Wat moet de accountant doen om niet-financiële informatie te verifiëren, en wat wordt er van de accountant verwacht als het gaat om niet-financiële informatie. Als laatste </w:t>
      </w:r>
      <w:r w:rsidR="000B46C9">
        <w:rPr>
          <w:i/>
        </w:rPr>
        <w:t>zullen de verschillen tussen de controle van maatschappelijke verslaggeving en de traditionele verslaggeving worden benoemd</w:t>
      </w:r>
    </w:p>
    <w:p w:rsidR="007473CE" w:rsidRPr="00B238A5" w:rsidRDefault="007473CE" w:rsidP="007473CE">
      <w:pPr>
        <w:pStyle w:val="Heading2"/>
      </w:pPr>
      <w:bookmarkStart w:id="86" w:name="_Toc391563950"/>
      <w:r w:rsidRPr="00B238A5">
        <w:t>9.1 Motivatie om maatschappelijke verslagen extern te controleren</w:t>
      </w:r>
      <w:bookmarkEnd w:id="86"/>
    </w:p>
    <w:p w:rsidR="007473CE" w:rsidRPr="00B238A5" w:rsidRDefault="007473CE" w:rsidP="007473CE">
      <w:r w:rsidRPr="00B238A5">
        <w:t>Op grond van art. 2:393 BW zijn ondernemingen, die niet onder de uitzonderi</w:t>
      </w:r>
      <w:r w:rsidR="000B46C9">
        <w:t>ngsbepalingen vallen, verplicht</w:t>
      </w:r>
      <w:r>
        <w:t xml:space="preserve"> </w:t>
      </w:r>
      <w:r w:rsidRPr="00B238A5">
        <w:t>de jaarrekening te laten controleren door een accountant</w:t>
      </w:r>
      <w:r w:rsidR="001B421F">
        <w:t xml:space="preserve"> (Böhmer et al., 2013)</w:t>
      </w:r>
      <w:r w:rsidRPr="00B238A5">
        <w:t>. Met betrekking tot het maatschappelijke verslag is er echter nog geen controleplicht. De Transparantiebenchmark, eerder aangehaald in dit onderzoek, heeft zich gebogen over het aantal geverifieerde maatschappelijke verslagen. Zowel in 2012 als in 2013 heeft 28% van de ondernemingen hun vorm van maatschappelijke verslaggeving laten verifiëren.</w:t>
      </w:r>
      <w:r w:rsidR="000B46C9">
        <w:t xml:space="preserve"> De onderneming die als eerste 70 geëindigd zijn bevatten allen een verificatie van een externe accountant</w:t>
      </w:r>
      <w:r w:rsidR="0077638B">
        <w:t xml:space="preserve"> (Stam &amp; Admiraal, 2013)</w:t>
      </w:r>
      <w:r w:rsidR="000B46C9">
        <w:t>.</w:t>
      </w:r>
      <w:r w:rsidRPr="00B238A5">
        <w:t xml:space="preserve"> Er moet dus een verklaring zijn voor de vraag waarom ondernemingen kiezen voor externe verificatie van maatschappelijke verslagen.</w:t>
      </w:r>
    </w:p>
    <w:p w:rsidR="007473CE" w:rsidRPr="00B238A5" w:rsidRDefault="007473CE" w:rsidP="007473CE">
      <w:r w:rsidRPr="00B238A5">
        <w:t>Een mogelijke verklaring kan eerder in dit onderzoek worden gevonden. Een maatschappelijke verslag publiceren is één van de redenen voor ondernemingen om te komen tot maatschappelijke legitimiteit</w:t>
      </w:r>
      <w:r w:rsidRPr="00B238A5">
        <w:rPr>
          <w:rStyle w:val="FootnoteReference"/>
        </w:rPr>
        <w:footnoteReference w:id="20"/>
      </w:r>
      <w:r w:rsidRPr="00B238A5">
        <w:t>. Door verslag te doen over h</w:t>
      </w:r>
      <w:r w:rsidR="00BB20CE">
        <w:t>et maatschappelijk ondernemen kunne</w:t>
      </w:r>
      <w:r w:rsidRPr="00B238A5">
        <w:t xml:space="preserve">n de percepties van de onderneming worden beïnvloed, en kan een stakeholderdialoog worden gestart. In hoofdstuk 8 is echter gebleken dat er sprake kan zijn van informatie asymmetrie en belangentegenstellingen tussen het management en de belanghebbenden. Hierdoor kan het vertrouwen in het management en de vrijgegeven informatie verslechteren. </w:t>
      </w:r>
      <w:r w:rsidR="00420CF5">
        <w:t>Dit zorgt er voor dat belanghebbenden meer zekerheid willen over de betrouwbaarheid van de vrijgegeven informatie. Dit geldt voor zowel financiële verslaggeving als voor maatschappelijke verslaggeving</w:t>
      </w:r>
      <w:r w:rsidR="0077638B">
        <w:t xml:space="preserve"> (Koolman, 2003)</w:t>
      </w:r>
      <w:r w:rsidR="005E335C">
        <w:t xml:space="preserve">. </w:t>
      </w:r>
      <w:r w:rsidRPr="00B238A5">
        <w:t>Er moet dus enige vorm van controle zijn om de betrouwbaarheid te waarborgen en de informatie asymmetrie en belangentegenstellingen te neu</w:t>
      </w:r>
      <w:r w:rsidR="00C20BBB">
        <w:t xml:space="preserve">traliseren, zoals in hoofdstuk  vier </w:t>
      </w:r>
      <w:r w:rsidRPr="00B238A5">
        <w:t xml:space="preserve">te lezen was behoort de accountant tot één van de mogelijkheden. </w:t>
      </w:r>
      <w:r>
        <w:t xml:space="preserve">De motivatie voor de externe controle van maatschappelijke verslagen is dus dezelfde als voor de traditionele </w:t>
      </w:r>
      <w:r w:rsidR="00776CF7">
        <w:t>verslaggeving</w:t>
      </w:r>
      <w:r w:rsidR="0077638B">
        <w:t xml:space="preserve"> (NBA, 2013)</w:t>
      </w:r>
      <w:r>
        <w:t>.</w:t>
      </w:r>
    </w:p>
    <w:p w:rsidR="007473CE" w:rsidRPr="00B238A5" w:rsidRDefault="007473CE" w:rsidP="007473CE">
      <w:pPr>
        <w:pStyle w:val="Heading2"/>
      </w:pPr>
      <w:bookmarkStart w:id="87" w:name="_Toc391563951"/>
      <w:r w:rsidRPr="00B238A5">
        <w:lastRenderedPageBreak/>
        <w:t xml:space="preserve">9.2 Verificatie van </w:t>
      </w:r>
      <w:r w:rsidR="005E335C">
        <w:t>maatschappelijke verslagen en integrated reports</w:t>
      </w:r>
      <w:bookmarkEnd w:id="87"/>
    </w:p>
    <w:p w:rsidR="005E335C" w:rsidRDefault="00C3187A" w:rsidP="007473CE">
      <w:r w:rsidRPr="00C3187A">
        <w:rPr>
          <w:noProof/>
          <w:lang w:eastAsia="nl-NL"/>
        </w:rPr>
        <w:pict>
          <v:shape id="Tekstvak 11" o:spid="_x0000_s1027" type="#_x0000_t202" style="position:absolute;margin-left:232.6pt;margin-top:238.65pt;width:228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" stroked="f">
            <v:textbox style="mso-fit-shape-to-text:t" inset="0,0,0,0">
              <w:txbxContent>
                <w:p w:rsidR="00EC3944" w:rsidRPr="00FF1578" w:rsidRDefault="00EC3944" w:rsidP="007473CE">
                  <w:pPr>
                    <w:pStyle w:val="Caption"/>
                    <w:rPr>
                      <w:noProof/>
                      <w:lang w:val="en-GB"/>
                    </w:rPr>
                  </w:pPr>
                  <w:r w:rsidRPr="00FF1578">
                    <w:rPr>
                      <w:lang w:val="en-GB"/>
                    </w:rPr>
                    <w:t xml:space="preserve">Figuur </w:t>
                  </w:r>
                  <w:r w:rsidR="00C3187A">
                    <w:fldChar w:fldCharType="begin"/>
                  </w:r>
                  <w:r w:rsidRPr="00FF1578">
                    <w:rPr>
                      <w:lang w:val="en-GB"/>
                    </w:rPr>
                    <w:instrText xml:space="preserve"> SEQ Figuur \* ARABIC </w:instrText>
                  </w:r>
                  <w:r w:rsidR="00C3187A">
                    <w:fldChar w:fldCharType="separate"/>
                  </w:r>
                  <w:r>
                    <w:rPr>
                      <w:noProof/>
                      <w:lang w:val="en-GB"/>
                    </w:rPr>
                    <w:t>5</w:t>
                  </w:r>
                  <w:r w:rsidR="00C3187A">
                    <w:rPr>
                      <w:noProof/>
                    </w:rPr>
                    <w:fldChar w:fldCharType="end"/>
                  </w:r>
                  <w:r w:rsidRPr="00FF1578">
                    <w:rPr>
                      <w:lang w:val="en-GB"/>
                    </w:rPr>
                    <w:t xml:space="preserve"> bron: GRI the external assurance of sustainability reporting</w:t>
                  </w:r>
                </w:p>
              </w:txbxContent>
            </v:textbox>
            <w10:wrap type="square"/>
          </v:shape>
        </w:pict>
      </w:r>
      <w:r w:rsidR="005E335C" w:rsidRPr="00B238A5">
        <w:rPr>
          <w:noProof/>
          <w:lang w:val="en-US"/>
        </w:rPr>
        <w:drawing>
          <wp:anchor distT="0" distB="0" distL="114300" distR="114300" simplePos="0" relativeHeight="251662336" behindDoc="0" locked="0" layoutInCell="1" allowOverlap="1">
            <wp:simplePos x="0" y="0"/>
            <wp:positionH relativeFrom="margin">
              <wp:posOffset>2906063</wp:posOffset>
            </wp:positionH>
            <wp:positionV relativeFrom="paragraph">
              <wp:posOffset>591393</wp:posOffset>
            </wp:positionV>
            <wp:extent cx="2895600" cy="2428875"/>
            <wp:effectExtent l="0" t="0" r="0" b="9525"/>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5600" cy="2428875"/>
                    </a:xfrm>
                    <a:prstGeom prst="rect">
                      <a:avLst/>
                    </a:prstGeom>
                    <a:noFill/>
                    <a:ln>
                      <a:noFill/>
                    </a:ln>
                  </pic:spPr>
                </pic:pic>
              </a:graphicData>
            </a:graphic>
          </wp:anchor>
        </w:drawing>
      </w:r>
      <w:r w:rsidR="007473CE">
        <w:t xml:space="preserve">De controle van maatschappelijke verslagen valt onder de auditdiensten van de accountant. Hierbij wordt ook wel gesproken over het begrip ‘assurance’. Assurance betreft het verschaffen van zekerheid door een onafhankelijke partij, om het vertrouwen bij de gebruikers te versterken </w:t>
      </w:r>
      <w:r w:rsidR="0077638B">
        <w:t>(NIVRA, 2009c)</w:t>
      </w:r>
      <w:r w:rsidR="007473CE" w:rsidRPr="00B238A5">
        <w:t>. Het doel van een assurance-opdracht inzake een maatschappelijk verslag is dat een accountant onderzoekt of de informatie in het verslag voldoet aan de van toepassing zijnde verslaggevingscriteria</w:t>
      </w:r>
      <w:r w:rsidR="00C20BBB">
        <w:t xml:space="preserve"> (NBA, z.d.)</w:t>
      </w:r>
      <w:r w:rsidR="007473CE" w:rsidRPr="00B238A5">
        <w:rPr>
          <w:color w:val="538135" w:themeColor="accent6" w:themeShade="BF"/>
        </w:rPr>
        <w:t xml:space="preserve">. </w:t>
      </w:r>
      <w:r w:rsidR="007473CE" w:rsidRPr="00B238A5">
        <w:t>De auditdiensten van de accountant kunnen, zoals beschreven in hoofdstuk 8, worden onderverdeeld in controle en beoordelingsopdrachten. Controle opdrachten komen tot een redelijke mate van betrouwbaarheid, terwijl beoordelingsopdrachten resulteren in een beperkte mate van betrouwbaarheid</w:t>
      </w:r>
      <w:r w:rsidR="001B421F">
        <w:t xml:space="preserve"> (Mazars, z.d.)</w:t>
      </w:r>
      <w:r w:rsidR="007473CE" w:rsidRPr="00B238A5">
        <w:t>. F</w:t>
      </w:r>
      <w:r w:rsidR="005E335C">
        <w:t xml:space="preserve">iguur 6 weergeeft </w:t>
      </w:r>
      <w:r w:rsidR="007473CE" w:rsidRPr="00B238A5">
        <w:t>welke mate van</w:t>
      </w:r>
      <w:r w:rsidR="005E335C">
        <w:t xml:space="preserve"> betrouwbaarheid wordt toegekend aan de maatschappelijke verslagen</w:t>
      </w:r>
      <w:r w:rsidR="007473CE" w:rsidRPr="00B238A5">
        <w:t>.</w:t>
      </w:r>
      <w:r w:rsidR="005E335C">
        <w:t xml:space="preserve"> Bij het grootste gedeelte van de verslagen wordt een beperkte mate van betrouwbaarheid afgegeven. Dit wil zeggen dat inzake de assurance van maatschappelijke verslaggeving over het algemeen wordt gekozen voor een beoordelingsopdracht en in mindere mate voor controleopdrachten</w:t>
      </w:r>
      <w:r w:rsidR="0077638B">
        <w:t xml:space="preserve"> (Blesener &amp; Hohnen, 2013)</w:t>
      </w:r>
      <w:r w:rsidR="005E335C">
        <w:t xml:space="preserve">. </w:t>
      </w:r>
    </w:p>
    <w:p w:rsidR="00FF1578" w:rsidRDefault="00FF1578" w:rsidP="007473CE">
      <w:r>
        <w:t>Het maatschappelijke verslag zorgt voor een toenemende hoeveelheid informatie, ook het integrated report gaat gepaard met meer informatie dan alleen de jaarrekening. De controle van deze twee verslaggevingsvormen zullen dan ook de hoeveelheid werk van de accountant doen toenemen</w:t>
      </w:r>
      <w:r w:rsidR="0077638B">
        <w:t xml:space="preserve"> (Koolman, 2003)</w:t>
      </w:r>
      <w:r>
        <w:t xml:space="preserve">. </w:t>
      </w:r>
    </w:p>
    <w:p w:rsidR="007473CE" w:rsidRPr="00B238A5" w:rsidRDefault="008E340A" w:rsidP="007473CE">
      <w:pPr>
        <w:pStyle w:val="Heading3"/>
      </w:pPr>
      <w:bookmarkStart w:id="88" w:name="_Toc391563952"/>
      <w:r>
        <w:t>9.2.1 S</w:t>
      </w:r>
      <w:r w:rsidR="007473CE" w:rsidRPr="00B238A5">
        <w:t>tandaarden en richtlijnen</w:t>
      </w:r>
      <w:bookmarkEnd w:id="88"/>
    </w:p>
    <w:p w:rsidR="007473CE" w:rsidRPr="00B238A5" w:rsidRDefault="007473CE" w:rsidP="007473CE">
      <w:r w:rsidRPr="00B238A5">
        <w:t xml:space="preserve">Voor de assurance van maatschappelijke verslagen zijn een aantal standaarden uitgebracht die de accountants of andere onafhankelijke partijen kunnen gebruiken bij de controle van maatschappelijke verslagen. In Nederland heeft NIVRA de standaard ‘Assurance-opdrachten inzake maatschappelijke verslagen’ uitgebracht. Ook internationaal zijn er standaarden gepubliceerd voor de assurance van maatschappelijke verslagen, waaronder de </w:t>
      </w:r>
      <w:r w:rsidR="00776CF7">
        <w:t>assurance standaard van AccountA</w:t>
      </w:r>
      <w:r w:rsidRPr="00B238A5">
        <w:t xml:space="preserve">bility, AA1000 en de veel gebruikte ISEA 3000, opgesteld door de International Audit and Assurance Standards Board. Deze standaarden kunnen </w:t>
      </w:r>
      <w:r w:rsidR="00554FE9" w:rsidRPr="00B238A5">
        <w:t xml:space="preserve">worden </w:t>
      </w:r>
      <w:r w:rsidRPr="00B238A5">
        <w:t xml:space="preserve">gebruikt </w:t>
      </w:r>
      <w:r w:rsidR="00554FE9">
        <w:t>om</w:t>
      </w:r>
      <w:r w:rsidRPr="00B238A5">
        <w:t xml:space="preserve"> vast te stellen of de informatie op de waarheid berust, ze gaan niet in detail in op de benodigde inhoud</w:t>
      </w:r>
      <w:r w:rsidR="00D77DAA">
        <w:t xml:space="preserve"> (Motta, 2001)</w:t>
      </w:r>
      <w:r w:rsidRPr="00B238A5">
        <w:t xml:space="preserve">. </w:t>
      </w:r>
    </w:p>
    <w:p w:rsidR="007473CE" w:rsidRPr="00B238A5" w:rsidRDefault="007473CE" w:rsidP="007473CE">
      <w:pPr>
        <w:pStyle w:val="Heading3"/>
      </w:pPr>
      <w:bookmarkStart w:id="89" w:name="_Toc391563953"/>
      <w:r w:rsidRPr="00B238A5">
        <w:t xml:space="preserve">9.2.2 Controle bij </w:t>
      </w:r>
      <w:r>
        <w:t>IR</w:t>
      </w:r>
      <w:bookmarkEnd w:id="89"/>
    </w:p>
    <w:p w:rsidR="00DF230B" w:rsidRDefault="007473CE" w:rsidP="007473CE">
      <w:r>
        <w:t xml:space="preserve">Ook de controle van IR </w:t>
      </w:r>
      <w:r w:rsidR="00554FE9">
        <w:t>verschilt</w:t>
      </w:r>
      <w:r>
        <w:t xml:space="preserve"> ten opzicht van de controle van de traditionele jaarverslaggeving. </w:t>
      </w:r>
      <w:r w:rsidRPr="00B238A5">
        <w:t xml:space="preserve">Zoals aan het begin van deze paragraaf gezegd, verschilt het onder andere door de toevoeging van zowel </w:t>
      </w:r>
      <w:r w:rsidRPr="00B238A5">
        <w:lastRenderedPageBreak/>
        <w:t>maatschappelijke als toekomstgericht informatie. In hoofdstuk 6 is te lezen dat het bij integrated reports gaat om een combinatie van de maatschappelijke, grotendeels niet-financiële, en de financiële informatie, waarbij de nadruk ligt op waarde creatie op korte, middellange en lange termijn. In Nederland worden al steeds vaker geïntegreerde jaarverslagen gepubliceerd en gecontroleerd. In tegenstelling tot de bovengenoemde assurance standaarden voor maatschappelijke verslaggeving, is er momenteel nog geen assurance standaard voor geïntegreerde verslagen. Wel wordt er gewerkt aan een geïntegreerd assurance-rapport, die gebaseerd zal worden op ISAE 3000</w:t>
      </w:r>
      <w:r w:rsidR="00D77DAA">
        <w:t xml:space="preserve"> (NBA, 2013)</w:t>
      </w:r>
      <w:r w:rsidRPr="00B238A5">
        <w:t xml:space="preserve">. </w:t>
      </w:r>
    </w:p>
    <w:p w:rsidR="007473CE" w:rsidRPr="00B238A5" w:rsidRDefault="007473CE" w:rsidP="007473CE">
      <w:r w:rsidRPr="00B238A5">
        <w:t xml:space="preserve">Op dit moment wordt vaak gekozen voor een </w:t>
      </w:r>
      <w:r>
        <w:t>splitsing van de assurance bij</w:t>
      </w:r>
      <w:r w:rsidRPr="00B238A5">
        <w:t xml:space="preserve"> de jaarrekening en het verslag. Dit is bijvoorbeeld zichtbaar in de controleverklaring van het geïntegreerde verslag van het Havenbedrijf over het jaar 2010. De assurance over jaarrekening betrof een controle opdracht, met een redelijke mate van zekerheid tot gevolg en het verslag betrof een beoordelingsopdracht met een beperkte mate van zekerheid tot gevolg. Over de toekomst informatie is zelfs geen enkele vorm van assurance verricht</w:t>
      </w:r>
      <w:r w:rsidR="00D77DAA">
        <w:t xml:space="preserve"> (Erasmus School of Accounting and Assurance, 2011)</w:t>
      </w:r>
      <w:r w:rsidR="008E340A">
        <w:t>. Exact hetzelfde gebeurde in</w:t>
      </w:r>
      <w:r w:rsidRPr="00B238A5">
        <w:t xml:space="preserve"> het geïntegreerde verslag </w:t>
      </w:r>
      <w:r w:rsidR="008E340A">
        <w:t xml:space="preserve"> van KPN en Philips </w:t>
      </w:r>
      <w:r w:rsidRPr="00B238A5">
        <w:t>over het boekjaar 2013</w:t>
      </w:r>
      <w:r w:rsidR="001B421F">
        <w:t xml:space="preserve"> (van Everdingen, 2014)(de Ridder, 2014)</w:t>
      </w:r>
      <w:r w:rsidRPr="00B238A5">
        <w:t>. Er werd een apart auditor report met respect naar de financiële overzichten en een assurance report met respect naar het maatschappelijke deel van het verslag gepubliceerd. Hierbij werd gekozen om de emissies van CO</w:t>
      </w:r>
      <w:r w:rsidRPr="00B238A5">
        <w:rPr>
          <w:vertAlign w:val="subscript"/>
        </w:rPr>
        <w:t>2</w:t>
      </w:r>
      <w:r w:rsidRPr="00B238A5">
        <w:t xml:space="preserve"> te controleren (makkelijk uit te drukken in cijfers) en andere aspecten van het maatschappelijk verslag te beoordelen.  </w:t>
      </w:r>
    </w:p>
    <w:p w:rsidR="007473CE" w:rsidRPr="00B238A5" w:rsidRDefault="007473CE" w:rsidP="007473CE">
      <w:pPr>
        <w:pStyle w:val="Heading2"/>
      </w:pPr>
      <w:bookmarkStart w:id="90" w:name="_Toc391563954"/>
      <w:r w:rsidRPr="00B238A5">
        <w:t xml:space="preserve">9.3 </w:t>
      </w:r>
      <w:r>
        <w:t>Verschillen controle traditioneel verslag en maatschappelijk verslag</w:t>
      </w:r>
      <w:bookmarkEnd w:id="90"/>
    </w:p>
    <w:p w:rsidR="007473CE" w:rsidRDefault="007473CE" w:rsidP="007473CE">
      <w:r w:rsidRPr="00B238A5">
        <w:t xml:space="preserve">De accountant heeft in de afgelopen jaren bewezen onmisbaar te zijn bij het controleren van de jaarrekening van ondernemingen. </w:t>
      </w:r>
      <w:r>
        <w:t>Met de toenemende behoefte aan andere dan financiële informatie in de jaarrekening</w:t>
      </w:r>
      <w:r>
        <w:rPr>
          <w:rStyle w:val="FootnoteReference"/>
        </w:rPr>
        <w:footnoteReference w:id="21"/>
      </w:r>
      <w:r>
        <w:t>, neemt ook de behoefte aan de controle van deze informatie toe. Een ieder kan zich daarom afvr</w:t>
      </w:r>
      <w:r w:rsidR="005E335C">
        <w:t>agen wat voor invloed dit zal hebbe</w:t>
      </w:r>
      <w:r>
        <w:t xml:space="preserve">n op het accountantsberoep. Om dit goed te kunnen bepalen, zullen de verschillen tussen de controle van het traditionele verslag en het maatschappelijke verslag uit een worden gezet. </w:t>
      </w:r>
    </w:p>
    <w:p w:rsidR="007473CE" w:rsidRDefault="007473CE" w:rsidP="007473CE">
      <w:pPr>
        <w:pStyle w:val="Heading3"/>
      </w:pPr>
      <w:bookmarkStart w:id="91" w:name="_Toc391563955"/>
      <w:r w:rsidRPr="00422AC3">
        <w:t>9.3</w:t>
      </w:r>
      <w:r>
        <w:t>.1 Concurrentie</w:t>
      </w:r>
      <w:bookmarkEnd w:id="91"/>
    </w:p>
    <w:p w:rsidR="007473CE" w:rsidRPr="00B238A5" w:rsidRDefault="00C3187A" w:rsidP="007473CE">
      <w:r w:rsidRPr="00C3187A">
        <w:rPr>
          <w:noProof/>
          <w:lang w:eastAsia="nl-NL"/>
        </w:rPr>
        <w:pict>
          <v:shape id="Tekstvak 10" o:spid="_x0000_s1028" type="#_x0000_t202" style="position:absolute;margin-left:0;margin-top:263.45pt;width:306.75pt;height:.05pt;z-index:-251652096;visibility:visible;mso-wrap-style:square;mso-wrap-distance-left:9pt;mso-wrap-distance-top:0;mso-wrap-distance-right:9pt;mso-wrap-distance-bottom:0;mso-position-horizontal:absolute;mso-position-horizontal-relative:margin;mso-position-vertical:absolute;mso-position-vertical-relative:text;v-text-anchor:top" wrapcoords="-53 0 -53 20800 21600 20800 21600 0 -5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" stroked="f">
            <v:textbox style="mso-fit-shape-to-text:t" inset="0,0,0,0">
              <w:txbxContent>
                <w:p w:rsidR="00EC3944" w:rsidRPr="00FF1578" w:rsidRDefault="00EC3944" w:rsidP="007473CE">
                  <w:pPr>
                    <w:pStyle w:val="Caption"/>
                    <w:rPr>
                      <w:noProof/>
                      <w:lang w:val="en-GB"/>
                    </w:rPr>
                  </w:pPr>
                  <w:r w:rsidRPr="00FF1578">
                    <w:rPr>
                      <w:lang w:val="en-GB"/>
                    </w:rPr>
                    <w:t xml:space="preserve">Figuur </w:t>
                  </w:r>
                  <w:r w:rsidR="00C3187A">
                    <w:fldChar w:fldCharType="begin"/>
                  </w:r>
                  <w:r w:rsidRPr="00FF1578">
                    <w:rPr>
                      <w:lang w:val="en-GB"/>
                    </w:rPr>
                    <w:instrText xml:space="preserve"> SEQ Figuur \* ARABIC </w:instrText>
                  </w:r>
                  <w:r w:rsidR="00C3187A">
                    <w:fldChar w:fldCharType="separate"/>
                  </w:r>
                  <w:r>
                    <w:rPr>
                      <w:noProof/>
                      <w:lang w:val="en-GB"/>
                    </w:rPr>
                    <w:t>6</w:t>
                  </w:r>
                  <w:r w:rsidR="00C3187A">
                    <w:rPr>
                      <w:noProof/>
                    </w:rPr>
                    <w:fldChar w:fldCharType="end"/>
                  </w:r>
                  <w:r w:rsidRPr="00FF1578">
                    <w:rPr>
                      <w:lang w:val="en-GB"/>
                    </w:rPr>
                    <w:t xml:space="preserve"> bron: GRI </w:t>
                  </w:r>
                  <w:r w:rsidRPr="00FF1578">
                    <w:rPr>
                      <w:noProof/>
                      <w:lang w:val="en-GB"/>
                    </w:rPr>
                    <w:t>the external assurance of sustainability reporting</w:t>
                  </w:r>
                </w:p>
              </w:txbxContent>
            </v:textbox>
            <w10:wrap type="tight" anchorx="margin"/>
          </v:shape>
        </w:pict>
      </w:r>
      <w:r w:rsidR="007473CE" w:rsidRPr="00B238A5">
        <w:rPr>
          <w:noProof/>
          <w:lang w:val="en-US"/>
        </w:rPr>
        <w:drawing>
          <wp:anchor distT="0" distB="0" distL="114300" distR="114300" simplePos="0" relativeHeight="251663360" behindDoc="1" locked="0" layoutInCell="1" allowOverlap="1">
            <wp:simplePos x="0" y="0"/>
            <wp:positionH relativeFrom="margin">
              <wp:align>left</wp:align>
            </wp:positionH>
            <wp:positionV relativeFrom="paragraph">
              <wp:posOffset>781050</wp:posOffset>
            </wp:positionV>
            <wp:extent cx="3895725" cy="2457450"/>
            <wp:effectExtent l="0" t="0" r="9525" b="0"/>
            <wp:wrapTight wrapText="bothSides">
              <wp:wrapPolygon edited="0">
                <wp:start x="0" y="0"/>
                <wp:lineTo x="0" y="21433"/>
                <wp:lineTo x="21547" y="21433"/>
                <wp:lineTo x="21547" y="0"/>
                <wp:lineTo x="0" y="0"/>
              </wp:wrapPolygon>
            </wp:wrapTight>
            <wp:docPr id="9"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7473CE">
        <w:t xml:space="preserve">Al eerder in het onderzoek is beschreven dat de accountantscontrole van de jaarrekening bij de wet verplicht is. Bij de controle van financiële informatie in de jaarrekening is het daarom vanzelfsprekend dat deze wordt uitgevoerd door een accountant. De toevoeging van maatschappelijke informatie brengt hierin verandering. Omdat er geen verplichting is tot externe controle door een accountant, zijn ook andere deskundigen in staat zekerheid te verschaffen over deze informatie. Hierbij </w:t>
      </w:r>
      <w:r w:rsidR="007473CE">
        <w:lastRenderedPageBreak/>
        <w:t>kan worden gedacht aan gespecialiseerde adviesbureaus op het gebied van duurzaamheid en milieu of technische</w:t>
      </w:r>
      <w:r w:rsidR="00776CF7">
        <w:t xml:space="preserve"> deskundigen</w:t>
      </w:r>
      <w:r w:rsidR="007473CE">
        <w:t>. In figuur 5 is de uitkomst van een onderzoek van het GRI zichtbaar. Ondanks dat het grootste gedeelte van de controles worden uitgevoerd door accountantskantoren, wordt duidelijk dat in tegenstelling tot bij de jaarrekening hier geen monopolie is voor de accountants. Er kan dus gesproken worden van enige vorm van concurrentie</w:t>
      </w:r>
      <w:r w:rsidR="00D77DAA">
        <w:t xml:space="preserve"> (Blesener &amp; Hohnen, 2013)</w:t>
      </w:r>
      <w:r w:rsidR="007473CE" w:rsidRPr="00B238A5">
        <w:t xml:space="preserve">. </w:t>
      </w:r>
    </w:p>
    <w:p w:rsidR="007473CE" w:rsidRDefault="007473CE" w:rsidP="007473CE">
      <w:pPr>
        <w:pStyle w:val="Heading3"/>
      </w:pPr>
      <w:bookmarkStart w:id="92" w:name="_Toc391563956"/>
      <w:r>
        <w:t>9.3.2 Multidisciplinaire teams</w:t>
      </w:r>
      <w:bookmarkEnd w:id="92"/>
    </w:p>
    <w:p w:rsidR="007473CE" w:rsidRDefault="007473CE" w:rsidP="007473CE">
      <w:r>
        <w:t>Buiten het feit dat accountants in tegenstelling tot bij de jaarrekening, niet de enige zijn die zekerheid verschaffen met betrekking tot het maatschappelijk verslag, zal er ook binnen de accountantskantoren een aantal dingen moeten veranderen. Vaak wordt namelijk gesteld dat enkel een accountant niet kan voldoen in het geven van zekerheid over maatschappelijke verslaggeving simpelweg omdat de accountant niet over de juiste kwaliteiten beschikt.</w:t>
      </w:r>
      <w:r w:rsidR="00142C81">
        <w:t xml:space="preserve"> Om als accountantskantoor toch de controle te kunnen verrichten moeten er aanpassingen worden gedaan.</w:t>
      </w:r>
      <w:r>
        <w:t xml:space="preserve"> Zo kan voor elke opdracht een multidisciplinair team worden aangesteld, aangepast aan de inhoud van de opdracht</w:t>
      </w:r>
      <w:r w:rsidR="00D77DAA">
        <w:t xml:space="preserve"> (NIVRA, 2009b)</w:t>
      </w:r>
      <w:r>
        <w:t xml:space="preserve">. </w:t>
      </w:r>
    </w:p>
    <w:p w:rsidR="007473CE" w:rsidRPr="00D65171" w:rsidRDefault="007473CE" w:rsidP="007473CE">
      <w:r>
        <w:t>De samenwerking van de accountants en specialisten op het gebied van milieu- en sociale aangelegenheden kan er voor zorgen dat de controle van maatschappelijke verslagen beter verloopt. Naast deze samenwerking is ook steeds meer sprake van CSR-accountants, oftewel accountants gespecialiseerd in MVO. Er kan bijvoorbeeld aan de Erasmus School of Accounting &amp; Assurance worden gekozen voor het CSR executive program, wat meer inzicht geeft in de vormen van MVO en alle wet- en regelgeving</w:t>
      </w:r>
      <w:r w:rsidR="00D77DAA">
        <w:t xml:space="preserve"> (Erasmus School of Auditing and Assurance, z.d.)</w:t>
      </w:r>
      <w:r>
        <w:t xml:space="preserve">. </w:t>
      </w:r>
    </w:p>
    <w:p w:rsidR="007473CE" w:rsidRPr="00B238A5" w:rsidRDefault="007473CE" w:rsidP="007473CE">
      <w:pPr>
        <w:pStyle w:val="Heading3"/>
      </w:pPr>
      <w:bookmarkStart w:id="93" w:name="_Toc391563957"/>
      <w:r w:rsidRPr="00B238A5">
        <w:t>9.3.</w:t>
      </w:r>
      <w:r>
        <w:t xml:space="preserve">3 </w:t>
      </w:r>
      <w:r w:rsidR="0095198D">
        <w:t>Andere</w:t>
      </w:r>
      <w:r>
        <w:t xml:space="preserve"> soorten informatie</w:t>
      </w:r>
      <w:bookmarkEnd w:id="93"/>
      <w:r>
        <w:t xml:space="preserve"> </w:t>
      </w:r>
    </w:p>
    <w:p w:rsidR="0095198D" w:rsidRPr="00BC6584" w:rsidRDefault="007473CE" w:rsidP="007473CE">
      <w:r>
        <w:t>De toevoeging van nieuwe soorten informatie is al eerder aangekaart als een van de verschillen tussen traditionele verslaggeving en maatschappelijke en geïntegreerde verslaggeving. In hoofdstuk 4 is al te lezen dat een kenmerk van deze niet-financiële informatie is dat er geen registratiesysteem is, en geen wettelijk kader, wat de controle van deze gegevens lastiger maakt. Met name sociale aangelegenheden blijken lastig te controleren. Zo is bijvoorbeeld de uitstoot van CO</w:t>
      </w:r>
      <w:r>
        <w:rPr>
          <w:vertAlign w:val="subscript"/>
        </w:rPr>
        <w:t xml:space="preserve">2 </w:t>
      </w:r>
      <w:r>
        <w:t xml:space="preserve"> onderhevig aan de mogelijkheid dit te meten en dus te controleren. Als daarentegen gekeken wordt naar het handhaven van mensenrechten en andere sociale aangelegenheden wordt dit een stuk lastiger. Waar de financiële informatie makkelijk van controle kon worden voorzien, is het bij dit soort informatie een stuk lastiger</w:t>
      </w:r>
      <w:r w:rsidR="00D77DAA">
        <w:t xml:space="preserve"> (Kamp-Roelands, 2011).</w:t>
      </w:r>
    </w:p>
    <w:p w:rsidR="007473CE" w:rsidRPr="00D65171" w:rsidRDefault="00B33DEE" w:rsidP="007473CE">
      <w:r>
        <w:t>N</w:t>
      </w:r>
      <w:r w:rsidR="007473CE">
        <w:t>aast de toevoeging van niet-financiële informatie is ook de toevoeging van toekomstgericht informatie kenmerkend voor maatschappelijke en geïntegreerde verslaggeving</w:t>
      </w:r>
      <w:r w:rsidR="005A342F">
        <w:t xml:space="preserve"> (Cheng et al.,2014). </w:t>
      </w:r>
      <w:r w:rsidR="007473CE">
        <w:t xml:space="preserve"> Waar het bij de jaarrekening ging om de controle van historische informatie, zou de accountant hier een oordeel moeten </w:t>
      </w:r>
      <w:bookmarkStart w:id="94" w:name="_GoBack"/>
      <w:bookmarkEnd w:id="94"/>
      <w:r w:rsidR="007473CE">
        <w:t>geven over toekomstgerichte informatie. Deze toekomstgerichte informatie kan bestaan uit kwantitatieve en kwalitatieve informatie. Kwantitatieve informatie, kan uitgedrukt worden in getallen, dit maakt dat hierbij enige mate van controle mogelijk is. De onderliggende veronderstellingen van deze informatie kunnen worden getoetst op hun betrouwbaarheid. Kwalitatieve toekomstgericht informatie, is veelal beschrijvende informatie, hierbij is de controle haast onmogelijk</w:t>
      </w:r>
      <w:r w:rsidR="00500504">
        <w:t>, dit omdat de informatie vaak aan veel subjectiviteit onderhevig is</w:t>
      </w:r>
      <w:r w:rsidR="00D77DAA">
        <w:t xml:space="preserve"> (ICAEW, 2008)</w:t>
      </w:r>
      <w:r w:rsidR="007473CE">
        <w:t xml:space="preserve">. </w:t>
      </w:r>
    </w:p>
    <w:p w:rsidR="007473CE" w:rsidRPr="00031821" w:rsidRDefault="00CC3991" w:rsidP="007473CE">
      <w:pPr>
        <w:pStyle w:val="Heading3"/>
      </w:pPr>
      <w:bookmarkStart w:id="95" w:name="_Toc391563958"/>
      <w:r>
        <w:lastRenderedPageBreak/>
        <w:t>9.3.3 R</w:t>
      </w:r>
      <w:r w:rsidR="007473CE" w:rsidRPr="00B238A5">
        <w:t>elevantie vs. Volledigheid</w:t>
      </w:r>
      <w:bookmarkEnd w:id="95"/>
    </w:p>
    <w:p w:rsidR="007473CE" w:rsidRDefault="007473CE" w:rsidP="007473CE">
      <w:r w:rsidRPr="00031821">
        <w:t xml:space="preserve">Zoals in hoofdstuk 7 van deze scriptie is te lezen, </w:t>
      </w:r>
      <w:r w:rsidR="008E340A">
        <w:t>bestaat er</w:t>
      </w:r>
      <w:r w:rsidRPr="00031821">
        <w:t xml:space="preserve"> met betrekking tot de inhoud weinig wet- en regelgeving. </w:t>
      </w:r>
      <w:r w:rsidR="00D87C27">
        <w:t>De wet benadrukt enkel</w:t>
      </w:r>
      <w:r>
        <w:t xml:space="preserve"> dat indien het noodzakelijk is voor het begrip van de onderneming de relevante niet-financiële prestatie-indicatoren in het verslag moeten worden gepubliceerd. Het is aan de onderneming te bepalen welke informatie dusdanig relevant is, dat deze moet worden gepubliceerd in het maatschappelijk verslag of integrated report. De uitdaging voor de accountant hierbij is het beoordelen of alle relevante informatie is opgenomen in het verslag. </w:t>
      </w:r>
      <w:r w:rsidR="00D87C27">
        <w:t>De inhoud van het verslag valt onder de verantwoordelijkheid van het management. De accountant stelt enkel vast of dit in overeenstemming is met de gehanteerde verslaggevingscriteria</w:t>
      </w:r>
      <w:r w:rsidRPr="00B238A5">
        <w:t>. De accountant moet hierbij uitkijken dat hij niet zelf gaat oordelen, want dit is niet aan hem</w:t>
      </w:r>
      <w:r w:rsidR="00D77DAA">
        <w:t xml:space="preserve"> (Kamp-Roelands, 2011)</w:t>
      </w:r>
      <w:r w:rsidRPr="00B238A5">
        <w:t xml:space="preserve">. </w:t>
      </w:r>
    </w:p>
    <w:p w:rsidR="007473CE" w:rsidRDefault="007473CE" w:rsidP="007473CE">
      <w:pPr>
        <w:pStyle w:val="Heading2"/>
      </w:pPr>
      <w:bookmarkStart w:id="96" w:name="_Toc391563959"/>
      <w:r>
        <w:t>9.4</w:t>
      </w:r>
      <w:r w:rsidR="008E340A">
        <w:t xml:space="preserve"> V</w:t>
      </w:r>
      <w:r w:rsidRPr="00B238A5">
        <w:t>erwachtingskloof</w:t>
      </w:r>
      <w:bookmarkEnd w:id="96"/>
      <w:r>
        <w:tab/>
      </w:r>
    </w:p>
    <w:p w:rsidR="007473CE" w:rsidRDefault="007473CE" w:rsidP="007473CE">
      <w:r>
        <w:t xml:space="preserve">De hierboven uitgewerkte verschillen zijn niet </w:t>
      </w:r>
      <w:r w:rsidR="000B46C9">
        <w:t xml:space="preserve">per </w:t>
      </w:r>
      <w:r w:rsidR="001B5EB6">
        <w:t>definitie</w:t>
      </w:r>
      <w:r w:rsidR="000B46C9">
        <w:t xml:space="preserve"> </w:t>
      </w:r>
      <w:r>
        <w:t>negatieve aspecten van de controle van maat</w:t>
      </w:r>
      <w:r w:rsidR="000B46C9">
        <w:t>schappelijke verslaggeving. Wel</w:t>
      </w:r>
      <w:r>
        <w:t xml:space="preserve"> zijn er een aantal verschillen die een verwachtingskloof</w:t>
      </w:r>
      <w:r w:rsidR="001B5EB6">
        <w:rPr>
          <w:rStyle w:val="FootnoteReference"/>
        </w:rPr>
        <w:footnoteReference w:id="22"/>
      </w:r>
      <w:r>
        <w:t xml:space="preserve"> met zich mee kunnen brengen</w:t>
      </w:r>
      <w:r w:rsidR="000B46C9">
        <w:t>, wat nadelig is voor zowel de belanghebbenden als de accountant</w:t>
      </w:r>
      <w:r>
        <w:t xml:space="preserve">. </w:t>
      </w:r>
    </w:p>
    <w:p w:rsidR="007473CE" w:rsidRDefault="007473CE" w:rsidP="007473CE">
      <w:r>
        <w:t xml:space="preserve">De eerste verwachtingskloof kan optreden bij de toevoeging van toekomstgerichte informatie. Zoals in bovenstaande paragraaf duidelijk is geworden kan de kwantitatieve toekomstgerichte informatie enkel op de onderliggende veronderstellingen worden getoetst. Een risico hierbij is dat geacht wordt dat een goedkeurende verklaring instemt met de toekomstverwachtingen van de onderneming. </w:t>
      </w:r>
      <w:r w:rsidR="008C685C">
        <w:t>Dit is echter niet het geval</w:t>
      </w:r>
      <w:r>
        <w:t>, daar er enkel een oordeel wordt gegeven over de betrouwbaarheid van de onderliggende informatie</w:t>
      </w:r>
      <w:r w:rsidR="00D77DAA">
        <w:t xml:space="preserve"> (Kamp-Roelands, 2011)</w:t>
      </w:r>
      <w:r>
        <w:t xml:space="preserve">. </w:t>
      </w:r>
    </w:p>
    <w:p w:rsidR="007473CE" w:rsidRDefault="007473CE" w:rsidP="007473CE">
      <w:r>
        <w:t xml:space="preserve">Aansluitend hierop is het verschil in verwachtingen dat kan ontstaan door de goedkeurende verklaring op zich zelf. Belanghebbenden zien MVO vaak als een goede daad van de onderneming. Wanneer het verslag, met daarin informatie over MVO, wordt goedgekeurd gaan deze stakeholders er mogelijkerwijs vanuit dat het MVO-beleid en de bijbehorende prestaties worden goedgekeurd. Dit is echter niet de doelstelling van de controle van de accountant, </w:t>
      </w:r>
      <w:r w:rsidR="008D451A">
        <w:t>deze wil</w:t>
      </w:r>
      <w:r>
        <w:t xml:space="preserve"> enkel aantonen dat het maatschappelijk verslag een betrouwbare en toereikende weergave vormt van het beleid van </w:t>
      </w:r>
      <w:r w:rsidR="009F7B76">
        <w:t xml:space="preserve">de </w:t>
      </w:r>
      <w:r w:rsidR="00FB2EC1">
        <w:t>onderneming</w:t>
      </w:r>
      <w:r w:rsidR="00D77DAA">
        <w:t xml:space="preserve"> (Kamp-Roelands, 2011)</w:t>
      </w:r>
      <w:r>
        <w:t xml:space="preserve">. </w:t>
      </w:r>
    </w:p>
    <w:p w:rsidR="007473CE" w:rsidRDefault="007473CE" w:rsidP="007473CE">
      <w:r>
        <w:t>Het laatste aspect wat kan zorgen voor een verwachtingskloof is de assurance verklaring. Eerder in dit hoofdstuk is te lezen dat in de meeste gevallen een beperkte mate van betrouwbaarheid wordt afgegeven door de accountant. Voor veel belanghebbenden is dit onderscheid niet duidelijk,</w:t>
      </w:r>
      <w:r w:rsidR="008D451A">
        <w:t xml:space="preserve"> zo</w:t>
      </w:r>
      <w:r>
        <w:t xml:space="preserve"> blijkt uit een onderzoek uitgevoerd in opdracht van BDO. 40% van de belanghebbenden kent een zelfde mate van zekerheid toe aan beoordelingsopdrachten als aan controleopdrachten</w:t>
      </w:r>
      <w:r w:rsidR="00D77DAA">
        <w:t xml:space="preserve"> (Vergoossen &amp; Litjens, 2011)</w:t>
      </w:r>
      <w:r>
        <w:t xml:space="preserve">. Als dit onderscheid niet duidelijk is, kunnen de verwachtingen inzake de betrouwbaarheid van het maatschappelijk verslag te hoog zijn. </w:t>
      </w:r>
    </w:p>
    <w:p w:rsidR="007473CE" w:rsidRPr="00B238A5" w:rsidRDefault="007473CE" w:rsidP="007473CE">
      <w:pPr>
        <w:pStyle w:val="Heading2"/>
      </w:pPr>
      <w:bookmarkStart w:id="97" w:name="_Toc391563960"/>
      <w:r>
        <w:lastRenderedPageBreak/>
        <w:t xml:space="preserve">9.5 </w:t>
      </w:r>
      <w:r w:rsidR="005A342F">
        <w:t>S</w:t>
      </w:r>
      <w:r w:rsidRPr="00B238A5">
        <w:t>amenvatting &amp; beantwoording deelvragen</w:t>
      </w:r>
      <w:bookmarkEnd w:id="97"/>
      <w:r w:rsidRPr="00B238A5">
        <w:t xml:space="preserve"> </w:t>
      </w:r>
    </w:p>
    <w:p w:rsidR="007473CE" w:rsidRPr="00B238A5" w:rsidRDefault="007473CE" w:rsidP="007473CE">
      <w:pPr>
        <w:rPr>
          <w:i/>
        </w:rPr>
      </w:pPr>
      <w:r w:rsidRPr="00B238A5">
        <w:t>In dit ho</w:t>
      </w:r>
      <w:r w:rsidR="005A342F">
        <w:t xml:space="preserve">ofdstuk is getracht de volgende </w:t>
      </w:r>
      <w:r w:rsidRPr="00B238A5">
        <w:t>deelvragen te beantwoorden: “</w:t>
      </w:r>
      <w:r w:rsidRPr="00B238A5">
        <w:rPr>
          <w:i/>
        </w:rPr>
        <w:t>Welke redenen hebben ondernemingen om hun maatschappelijke verslage</w:t>
      </w:r>
      <w:r w:rsidR="00500504">
        <w:rPr>
          <w:i/>
        </w:rPr>
        <w:t xml:space="preserve">n extern te laten controleren?” en </w:t>
      </w:r>
      <w:r w:rsidRPr="00B238A5">
        <w:rPr>
          <w:i/>
        </w:rPr>
        <w:t xml:space="preserve"> “Wat is de taak van de accountant met betrekking tot de verificatie van niet-financiële informatie</w:t>
      </w:r>
      <w:r w:rsidR="00500504">
        <w:rPr>
          <w:i/>
        </w:rPr>
        <w:t>”</w:t>
      </w:r>
      <w:r w:rsidRPr="00B238A5">
        <w:rPr>
          <w:i/>
        </w:rPr>
        <w:t xml:space="preserve"> </w:t>
      </w:r>
    </w:p>
    <w:p w:rsidR="00500504" w:rsidRDefault="00500504" w:rsidP="007473CE">
      <w:r>
        <w:t xml:space="preserve">De redenen om over te gaan tot externe controle van maatschappelijke verslaggeving is gelijk aan de reden voor externe controle van traditionele verslaggeving. Door zekerheid te geven over het verslag wordt het vertrouwen van de stakeholders </w:t>
      </w:r>
      <w:r w:rsidR="008D451A">
        <w:t>vergroot,</w:t>
      </w:r>
      <w:r>
        <w:t xml:space="preserve"> wat kan worden verklaard door de agency theorie. </w:t>
      </w:r>
    </w:p>
    <w:p w:rsidR="00500504" w:rsidRDefault="00500504" w:rsidP="007473CE">
      <w:r>
        <w:t>De verificatie van maatschappelijke verslagen en integrated reports behoren tot de auditdiensten van de accountant. Opvallend hierbij is dat in de meeste gevallen een beoordelingsopdracht wordt uitgevoerd in plaats van een controleopdracht. Hierbij is de gestelde zekerheid van een lager niveau. Omdat bij IR het financiële verslag met het maatschappelijke verslag wordt gecombineerd, wordt hierbij gekozen v</w:t>
      </w:r>
      <w:r w:rsidR="005A342F">
        <w:t>oor</w:t>
      </w:r>
      <w:r>
        <w:t xml:space="preserve"> een gecombineerde controle. Het financiële verslag is </w:t>
      </w:r>
      <w:r w:rsidR="005A342F">
        <w:t xml:space="preserve">dan vaak </w:t>
      </w:r>
      <w:r>
        <w:t xml:space="preserve">onderhevig aan een controleopdracht, het maatschappelijke verslag aan een beoordelingsopdracht. Toekomstgerichte informatie worden in de gevallen van het Havenbedrijf, Philips en KPN geheel niet geverifieerd. </w:t>
      </w:r>
    </w:p>
    <w:p w:rsidR="00500504" w:rsidRDefault="00500504" w:rsidP="007473CE">
      <w:r>
        <w:t>De verificatie van maatschappelijke verslaggeving verschilt in een aantal opzichten van de traditionele accountantscontrole. Zo is er meer sprake van concurrentie, wordt vaak gewerkt in multidisciplinaire teams, moet er een oordeel worden gegeven over niet-financiële en subjectie</w:t>
      </w:r>
      <w:r w:rsidR="00857788">
        <w:t>ve toekomstgerichte informatie en is het lastig te oordelen of alle relevante niet-financiële informatie in het verslag is opgenomen.</w:t>
      </w:r>
    </w:p>
    <w:p w:rsidR="007473CE" w:rsidRPr="00B238A5" w:rsidRDefault="00500504" w:rsidP="007473CE">
      <w:r>
        <w:t>De verschillen met de controle van traditionele verslaggeving zijn niet per definitie negatief. Wel kan er op sommige vlakken een verwachtingskloof ontstaan. Deze ontstaat wanneer de gebruikers van accountantsverklaring andere verwachtingen hebben dan wat de accountant waar kan maken. Dit is bijvoorbeeld het geval bij toekomstgerichte informatie, de beoordeling van het ve</w:t>
      </w:r>
      <w:r w:rsidR="00B33DEE">
        <w:t>rslag en de mate van zekerheid.</w:t>
      </w:r>
    </w:p>
    <w:p w:rsidR="007473CE" w:rsidRPr="00B238A5" w:rsidRDefault="007473CE" w:rsidP="007473CE">
      <w:pPr>
        <w:pStyle w:val="Heading1"/>
        <w:numPr>
          <w:ilvl w:val="0"/>
          <w:numId w:val="17"/>
        </w:numPr>
      </w:pPr>
      <w:bookmarkStart w:id="98" w:name="_Toc391563961"/>
      <w:r w:rsidRPr="00B238A5">
        <w:t>Conclusie</w:t>
      </w:r>
      <w:bookmarkEnd w:id="98"/>
    </w:p>
    <w:p w:rsidR="009A7402" w:rsidRDefault="007473CE" w:rsidP="009C61D9">
      <w:pPr>
        <w:ind w:left="360"/>
        <w:rPr>
          <w:i/>
        </w:rPr>
      </w:pPr>
      <w:r w:rsidRPr="00B238A5">
        <w:rPr>
          <w:i/>
        </w:rPr>
        <w:t xml:space="preserve">In dit laatste hoofdstuk </w:t>
      </w:r>
      <w:r w:rsidR="005E335C">
        <w:rPr>
          <w:i/>
        </w:rPr>
        <w:t xml:space="preserve">zal eerst een samenvatting worden gegeven van de behandelde onderwerpen, en uiteindelijk zal getracht worden een antwoord te geven op de hoofdvraag: </w:t>
      </w:r>
      <w:r w:rsidRPr="00B238A5">
        <w:rPr>
          <w:i/>
        </w:rPr>
        <w:t xml:space="preserve"> “Welke invloed heeft de toenemende mate van maatschappelijke verslaggeving en </w:t>
      </w:r>
      <w:r>
        <w:rPr>
          <w:i/>
        </w:rPr>
        <w:t>IR</w:t>
      </w:r>
      <w:r w:rsidRPr="00B238A5">
        <w:rPr>
          <w:i/>
        </w:rPr>
        <w:t xml:space="preserve"> op de rol van de accountant?”</w:t>
      </w:r>
      <w:r w:rsidR="005E335C">
        <w:rPr>
          <w:i/>
        </w:rPr>
        <w:t xml:space="preserve"> </w:t>
      </w:r>
      <w:r w:rsidR="00857788">
        <w:rPr>
          <w:i/>
        </w:rPr>
        <w:t xml:space="preserve"> </w:t>
      </w:r>
      <w:bookmarkEnd w:id="0"/>
    </w:p>
    <w:p w:rsidR="005A342F" w:rsidRPr="009C61D9" w:rsidRDefault="005A342F" w:rsidP="005A342F">
      <w:pPr>
        <w:pStyle w:val="Heading2"/>
      </w:pPr>
      <w:bookmarkStart w:id="99" w:name="_Toc391563962"/>
      <w:r>
        <w:t>10.1 Samenvatting</w:t>
      </w:r>
      <w:bookmarkEnd w:id="99"/>
    </w:p>
    <w:p w:rsidR="00A658F8" w:rsidRDefault="008D451A" w:rsidP="009C61D9">
      <w:r>
        <w:t>Al meer dan honderd</w:t>
      </w:r>
      <w:r w:rsidR="009C61D9">
        <w:t xml:space="preserve"> jaar speelt de accountant een belangrijke rol in de maatschappij. Vaak wordt de accountant gezien als de vertrouwensman van de maatschappij, en de controle van de jaarrekening behoort al geruime tijd tot het takenpakket. De agency theorie biedt een goede verklaring voo</w:t>
      </w:r>
      <w:r w:rsidR="00A658F8">
        <w:t xml:space="preserve">r de vraag naar de accountant. </w:t>
      </w:r>
      <w:r w:rsidR="009C61D9">
        <w:t xml:space="preserve">Tegenwoordig is echter de jaarrekening niet de enige informatie die de onderneming </w:t>
      </w:r>
      <w:r w:rsidR="009C61D9">
        <w:lastRenderedPageBreak/>
        <w:t xml:space="preserve">presenteert aan belanghebbenden. Een toenemende vraag </w:t>
      </w:r>
      <w:r w:rsidR="007E61C3">
        <w:t>naar</w:t>
      </w:r>
      <w:r w:rsidR="009C61D9">
        <w:t xml:space="preserve"> niet-financiële en maatschappelijke informatie zorgt er voor dat ondernemingen niet meer kunnen voldoen met het publiceren van het traditionele, grotendeels financiële jaarverslag. Er is een verschuiving zichtbaar in de richting van maatschappelijke verslaggeving en </w:t>
      </w:r>
      <w:r>
        <w:t>IR</w:t>
      </w:r>
      <w:r w:rsidR="00A658F8">
        <w:t>, waarbij niet-financiële informatie een grote rol speelt</w:t>
      </w:r>
      <w:r w:rsidR="009C61D9">
        <w:t xml:space="preserve">. </w:t>
      </w:r>
    </w:p>
    <w:p w:rsidR="009C61D9" w:rsidRDefault="00A27EF3" w:rsidP="009C61D9">
      <w:r>
        <w:t>Zoals in hoofdstuk zes</w:t>
      </w:r>
      <w:r w:rsidR="00A658F8">
        <w:t xml:space="preserve"> beschreven, is </w:t>
      </w:r>
      <w:r w:rsidR="008D451A">
        <w:t>MVO</w:t>
      </w:r>
      <w:r w:rsidR="009C61D9">
        <w:t xml:space="preserve"> niet in een eenduidige definitie </w:t>
      </w:r>
      <w:r w:rsidR="00A658F8">
        <w:t>te</w:t>
      </w:r>
      <w:r w:rsidR="009C61D9">
        <w:t xml:space="preserve"> omvat</w:t>
      </w:r>
      <w:r w:rsidR="00A658F8">
        <w:t xml:space="preserve">ten. </w:t>
      </w:r>
      <w:r w:rsidR="009C61D9">
        <w:t>In het onderzoek is gebleken dat MVO een vorm van ondernemen is waarbij naast de financiële aspecten ook rekening wordt gehouden met de sociale en milieu aspecten. Naast het toepassen van dit beleid door ondernemingen is tra</w:t>
      </w:r>
      <w:r w:rsidR="00A658F8">
        <w:t xml:space="preserve">nsparantie een centraal aspect, </w:t>
      </w:r>
      <w:r w:rsidR="009C61D9">
        <w:t xml:space="preserve">wat aansluit bij de in dit onderzoek besproken stakeholder en legitimiteitstheorie. MVO zal niet automatisch leiden tot maatschappelijke verslaggeving. Wel behoren een opzichzelfstaand maatschappelijk verslag of het toevoegen van maatschappelijke informatie aan het huidige jaarverslag tot de mogelijkheden om de transparantie over het MVO-beleid te waarborgen. </w:t>
      </w:r>
      <w:r w:rsidR="00A658F8">
        <w:t xml:space="preserve">Hiernaast zijn er ook andere motieven voor het overgaan tot maatschappelijke verslaggeving of integrated reporting. </w:t>
      </w:r>
      <w:r w:rsidR="009C61D9">
        <w:t>Zo zijn er interne motieven, zoals verbeterde informatie en het te</w:t>
      </w:r>
      <w:r w:rsidR="00A658F8">
        <w:t xml:space="preserve">vreden houden van de werknemers, maar </w:t>
      </w:r>
      <w:r w:rsidR="009C61D9">
        <w:t>ook ext</w:t>
      </w:r>
      <w:r w:rsidR="00A658F8">
        <w:t xml:space="preserve">erne motieven </w:t>
      </w:r>
      <w:r w:rsidR="009C61D9">
        <w:t xml:space="preserve">die </w:t>
      </w:r>
      <w:r w:rsidR="00A658F8">
        <w:t xml:space="preserve">grotendeels verband houden met de legitimiteitstheorie. </w:t>
      </w:r>
    </w:p>
    <w:p w:rsidR="009C61D9" w:rsidRDefault="009C61D9" w:rsidP="009C61D9">
      <w:r>
        <w:t xml:space="preserve">De meest recente ontwikkeling met betrekking tot het jaarverslag </w:t>
      </w:r>
      <w:r w:rsidR="008D451A">
        <w:t>is IR</w:t>
      </w:r>
      <w:r>
        <w:t>. Hierbij wordt een verband gelegd tussen financiële en niet-financiële informatie, zowel op korte,</w:t>
      </w:r>
      <w:r w:rsidR="002E437F">
        <w:t xml:space="preserve"> middellange als lange termijn, v</w:t>
      </w:r>
      <w:r>
        <w:t xml:space="preserve">aak </w:t>
      </w:r>
      <w:r w:rsidR="002E437F">
        <w:t>aangeduid</w:t>
      </w:r>
      <w:r>
        <w:t xml:space="preserve"> als toekomstige vorm voor de verslaggeving. </w:t>
      </w:r>
    </w:p>
    <w:p w:rsidR="009C61D9" w:rsidRDefault="009C61D9" w:rsidP="009C61D9">
      <w:r>
        <w:t>Voor zowel maatschappelijke verslaggeving als Integrated reporting bestaat geen wettelijke verplichting. Wel zijn er verschillende richtlijnen voor he</w:t>
      </w:r>
      <w:r w:rsidR="002E437F">
        <w:t xml:space="preserve">t opstellen van deze verslagen zoals de </w:t>
      </w:r>
      <w:r>
        <w:t>Nederland</w:t>
      </w:r>
      <w:r w:rsidR="002E437F">
        <w:t>se</w:t>
      </w:r>
      <w:r>
        <w:t xml:space="preserve"> Richtlijn 400</w:t>
      </w:r>
      <w:r w:rsidR="002E437F">
        <w:t xml:space="preserve"> en</w:t>
      </w:r>
      <w:r>
        <w:t xml:space="preserve"> de Handreiking voor</w:t>
      </w:r>
      <w:r w:rsidR="002E437F">
        <w:t xml:space="preserve"> maatschappelijke verslaggeving.</w:t>
      </w:r>
      <w:r>
        <w:t xml:space="preserve"> Internation</w:t>
      </w:r>
      <w:r w:rsidR="00B50B10">
        <w:t>a</w:t>
      </w:r>
      <w:r>
        <w:t xml:space="preserve">al zijn er </w:t>
      </w:r>
      <w:r w:rsidR="002E437F">
        <w:t xml:space="preserve">bijvoorbeeld </w:t>
      </w:r>
      <w:r>
        <w:t>de richtlijnen voor duurzaa</w:t>
      </w:r>
      <w:r w:rsidR="002E437F">
        <w:t xml:space="preserve">mheidsverslaggeving van het GRI en het framework voor integrated reporting van het IIRC. </w:t>
      </w:r>
      <w:r>
        <w:t xml:space="preserve"> </w:t>
      </w:r>
    </w:p>
    <w:p w:rsidR="002E437F" w:rsidRDefault="009C61D9" w:rsidP="009C61D9">
      <w:r>
        <w:t>De nieuwe ontwikkeling van maatschappelijke verslaggeving en integrated reporting gaat gepaard met de toenemende vraag naar controle over deze verslagen. De verificatie van maatschappelijke verslaggeving behoort tot de auditdiensten van de accountant</w:t>
      </w:r>
      <w:r w:rsidR="002E437F">
        <w:t>.</w:t>
      </w:r>
      <w:r>
        <w:t xml:space="preserve"> In het onderzoek is geschreven over de scheiding tussen controle en beoordelingsopdrachten en werd zichtbaar dat bij de controle van maatschappelijke ve</w:t>
      </w:r>
      <w:r w:rsidR="00B50B10">
        <w:t>rslaggeving meestal gekozen wordt</w:t>
      </w:r>
      <w:r>
        <w:t xml:space="preserve"> voor beoordelingsopdrachten wat leidt tot een beperkte mate van betrouwbaarheid. </w:t>
      </w:r>
    </w:p>
    <w:p w:rsidR="005A342F" w:rsidRDefault="005A342F" w:rsidP="005A342F">
      <w:pPr>
        <w:pStyle w:val="Heading2"/>
      </w:pPr>
      <w:bookmarkStart w:id="100" w:name="_Toc391563963"/>
      <w:r>
        <w:t>10.2 Beantwoording hoofdvraag</w:t>
      </w:r>
      <w:bookmarkEnd w:id="100"/>
    </w:p>
    <w:p w:rsidR="009C61D9" w:rsidRPr="004D445F" w:rsidRDefault="009C61D9" w:rsidP="009C61D9">
      <w:pPr>
        <w:rPr>
          <w:i/>
        </w:rPr>
      </w:pPr>
      <w:r>
        <w:rPr>
          <w:i/>
        </w:rPr>
        <w:t xml:space="preserve">Welke invloed heeft de toenemende mate van maatschappelijke verslaggeving en integrated reporting op de rol van de accountant? </w:t>
      </w:r>
    </w:p>
    <w:p w:rsidR="005C706D" w:rsidRDefault="009C61D9" w:rsidP="009C61D9">
      <w:r>
        <w:t>De controle van maatschappelijke verslaggeving en integrated reporting verschilt op een aantal punten van de controle op de jaarrekening die tot het traditionele takenpa</w:t>
      </w:r>
      <w:r w:rsidR="00BB736D">
        <w:t xml:space="preserve">kket van de accountant behoort. Deze nader te noemen verschillen kunnen de rol van de accountant beïnvloeden of wijzingen. </w:t>
      </w:r>
    </w:p>
    <w:p w:rsidR="005C706D" w:rsidRDefault="005C706D" w:rsidP="009C61D9">
      <w:r>
        <w:lastRenderedPageBreak/>
        <w:t>Allereerst zal de accountant niet meer de enige aanbieder van zekerheid zijn. Waar de controle van financiële verslaggeving vanzelfsprekend wordt uitgevoerd door de accountant, zijn er bij maatschappelijke verslaggeving ook andere deskundigen die in staat zijn zekerheid ove</w:t>
      </w:r>
      <w:r w:rsidR="008D451A">
        <w:t>r deze verslagen te verschaffen. D</w:t>
      </w:r>
      <w:r>
        <w:t xml:space="preserve">it zorgt voor </w:t>
      </w:r>
      <w:r w:rsidR="00BB736D">
        <w:t>een</w:t>
      </w:r>
      <w:r>
        <w:t xml:space="preserve"> vorm van concurrentie op de</w:t>
      </w:r>
      <w:r w:rsidR="00BB736D">
        <w:t>ze</w:t>
      </w:r>
      <w:r>
        <w:t xml:space="preserve"> markt. </w:t>
      </w:r>
    </w:p>
    <w:p w:rsidR="005C706D" w:rsidRDefault="005C706D" w:rsidP="009C61D9">
      <w:r>
        <w:t>Om als accountant toch de controle van maatschappelijke verslagen te kunnen aanbieden zullen multidisciplinaire teams moe</w:t>
      </w:r>
      <w:r w:rsidR="00B50B10">
        <w:t>ten worden opgericht. Binnen deze</w:t>
      </w:r>
      <w:r>
        <w:t xml:space="preserve"> team</w:t>
      </w:r>
      <w:r w:rsidR="00B50B10">
        <w:t>s</w:t>
      </w:r>
      <w:r>
        <w:t xml:space="preserve"> zullen naast de accountants specialisten werkzaam zijn, op het gebied van milieu- of sociale aangelegenheden</w:t>
      </w:r>
      <w:r w:rsidR="00BB736D">
        <w:t xml:space="preserve"> die beter in staat zullen zijn een oordeel te geven</w:t>
      </w:r>
      <w:r>
        <w:t xml:space="preserve">. De toenemende mate aan maatschappelijke verslaggeving maakt ook dat opleidingsinstituten hierop in moeten spelen. Zo </w:t>
      </w:r>
      <w:r w:rsidR="00BB736D">
        <w:t>zullen</w:t>
      </w:r>
      <w:r>
        <w:t xml:space="preserve"> er CSR-accountants worden opgeleid die beter in staat zullen zijn maatschappelijke informatie te verifiëren. </w:t>
      </w:r>
    </w:p>
    <w:p w:rsidR="005C706D" w:rsidRDefault="005C706D" w:rsidP="009C61D9">
      <w:r>
        <w:t xml:space="preserve">De andere soorten informatie die in het maatschappelijke verslag zijn opgenomen, zoals niet-financiële en toekomstgerichte informatie </w:t>
      </w:r>
      <w:r w:rsidR="00BB736D">
        <w:t>zullen</w:t>
      </w:r>
      <w:r>
        <w:t xml:space="preserve"> ook van invloed </w:t>
      </w:r>
      <w:r w:rsidR="00BB736D">
        <w:t xml:space="preserve">zijn </w:t>
      </w:r>
      <w:r>
        <w:t xml:space="preserve">op de taak van de accountant. Deze informatie is lastig, soms zelfs geheel niet, controleerbaar wat zorgt dat accountants enkel een beperkte mate van betrouwbaarheid kunnen afgeven en soms zelfs geheel niet in staat zullen zijn delen van het maatschappelijk verslag te controleren. </w:t>
      </w:r>
    </w:p>
    <w:p w:rsidR="009C61D9" w:rsidRDefault="009C61D9" w:rsidP="009C61D9">
      <w:r>
        <w:t>De wet benadrukt dat indien het noodzakelijk is voo</w:t>
      </w:r>
      <w:r w:rsidR="00BB736D">
        <w:t xml:space="preserve">r het begrip van de onderneming </w:t>
      </w:r>
      <w:r>
        <w:t xml:space="preserve">de relevante niet-financiële prestatie-indicatoren in het verslag tot uitdrukking worden gebracht. Het is aan de onderneming te bepalen welke informatie dusdanig relevant is om te publiceren. De uitdaging voor de accountant hierbij is het beoordelen of alle relevante informatie is opgenomen in het verslag, wat lastig is omdat er geen uniforme richtlijnen zijn over de verplichte inhoud van het  verslag en de onderneming veel vrijheid heeft te bepalen welke informatie wordt gekozen. </w:t>
      </w:r>
      <w:r w:rsidR="005C392D">
        <w:t>Dit maakt dat de komst van één universele regelgeving met betrekking tot de inhoud, de accountantscontrole</w:t>
      </w:r>
      <w:r w:rsidR="00CC3991">
        <w:t xml:space="preserve"> hoogstwaarschijnlijk</w:t>
      </w:r>
      <w:r w:rsidR="005C392D">
        <w:t xml:space="preserve"> zal vergemakkelijken.</w:t>
      </w:r>
      <w:r w:rsidR="00BD717F">
        <w:t xml:space="preserve"> </w:t>
      </w:r>
      <w:r w:rsidR="005C392D">
        <w:t xml:space="preserve"> Met name op het gebied van integrated report</w:t>
      </w:r>
      <w:r w:rsidR="00CC3991">
        <w:t>ing moet er nog gewerkt worden aan</w:t>
      </w:r>
      <w:r w:rsidR="005C392D">
        <w:t xml:space="preserve"> een assurance standaard. </w:t>
      </w:r>
      <w:r w:rsidR="00CC3991">
        <w:t xml:space="preserve">Zolang van zowel universele regelgeving als de assurance standaard nog geen sprake is, is het lastig een relevant oordeel te geven </w:t>
      </w:r>
      <w:r w:rsidR="005F15F4">
        <w:t xml:space="preserve">over de verstrekte informatie en is een beperkte mate van zekerheid onvermijdelijk. </w:t>
      </w:r>
    </w:p>
    <w:p w:rsidR="005C706D" w:rsidRDefault="005C706D" w:rsidP="009C61D9">
      <w:r>
        <w:t>Alle bovenstaande zaken zullen van invloed zijn op het beroep v</w:t>
      </w:r>
      <w:r w:rsidR="00CC3991">
        <w:t xml:space="preserve">an de accountant. Deze gevolgen, die de controle van maatschappelijke verslagen en integrated reports met zich meebrengen, </w:t>
      </w:r>
      <w:r>
        <w:t xml:space="preserve">zijn daarentegen niet direct </w:t>
      </w:r>
      <w:r w:rsidR="00BB736D">
        <w:t>onoverkoombaar</w:t>
      </w:r>
      <w:r>
        <w:t>. Bij</w:t>
      </w:r>
      <w:r w:rsidR="009F638F">
        <w:t xml:space="preserve"> alle punten is het</w:t>
      </w:r>
      <w:r>
        <w:t xml:space="preserve"> </w:t>
      </w:r>
      <w:r w:rsidR="00101DFA">
        <w:t xml:space="preserve">echter </w:t>
      </w:r>
      <w:r>
        <w:t xml:space="preserve">van groot belang dat er openheid is over de werkzaamheden van de accountant. Dit om te voorkomen dat er een verwachtingskloof zal ontstaan, waarvan de gevolgen niet alleen nadelig zijn voor de gebruikers maar ook voor de accountant. Er moet openheid zijn over de werkzaamheden die zijn verricht </w:t>
      </w:r>
      <w:r w:rsidR="00931CDB">
        <w:t>voorafgaande aan de verklaring, wat deze verklaring inhoudt en welke mate van zekerheid deze verklaring geeft aan de gebruiker. Hierdoor zal de accountant zijn werkzaamheden met betrekking tot het maatschapp</w:t>
      </w:r>
      <w:r w:rsidR="00B26CAB">
        <w:t>elijk verslag uit kunnen voeren</w:t>
      </w:r>
      <w:r w:rsidR="00931CDB">
        <w:t xml:space="preserve"> zonder te hoge verwachtingen van de gebruikers wat het vertrouwen in de accountant zal waarborgen. </w:t>
      </w:r>
    </w:p>
    <w:p w:rsidR="005A342F" w:rsidRDefault="005A342F" w:rsidP="005A342F">
      <w:pPr>
        <w:pStyle w:val="Heading2"/>
      </w:pPr>
      <w:bookmarkStart w:id="101" w:name="_Toc391563964"/>
      <w:r>
        <w:lastRenderedPageBreak/>
        <w:t>10.3 Vervolgonderzoek</w:t>
      </w:r>
      <w:bookmarkEnd w:id="101"/>
    </w:p>
    <w:p w:rsidR="002E437F" w:rsidRDefault="009B3C05" w:rsidP="00BE7102">
      <w:r>
        <w:t>Eventueel vervolgonderzoek zou</w:t>
      </w:r>
      <w:r w:rsidR="00BD717F">
        <w:t xml:space="preserve"> </w:t>
      </w:r>
      <w:r w:rsidR="00CC3991">
        <w:t xml:space="preserve">gericht </w:t>
      </w:r>
      <w:r w:rsidR="00BD717F">
        <w:t xml:space="preserve">kunnen worden op de accountant in de praktijk </w:t>
      </w:r>
      <w:r w:rsidR="00CC3991">
        <w:t>. Hierbij kan worden onderzocht hoe de accountant denkt over de controle van maatschappelijke verslagen en hoe de accountant met niet-financiële informatie om gaat</w:t>
      </w:r>
      <w:r w:rsidR="00BD717F">
        <w:t xml:space="preserve"> in de praktijk</w:t>
      </w:r>
      <w:r w:rsidR="00CC3991">
        <w:t>.</w:t>
      </w:r>
      <w:r w:rsidR="00BD717F">
        <w:t xml:space="preserve"> Afgevraagd zou kunnen worden of er in de praktijk vaak gebruik wordt gemaakt van de multidisciplinaire teams en in welke mate er accountants gespecialiseerd in MVO werkzaam zijn.</w:t>
      </w:r>
      <w:r w:rsidR="00CC3991">
        <w:t xml:space="preserve"> Daarnaast zou kunnen worden gekeken hoe de verwachtingskloof zou kunnen worden tegengegaan. Eén stap in die richting zou bijvoorbeeld de nieuwe accountantsverklaring kunnen zijn, die een uitgebreidere weergave en beargumentering geeft van het controleproces. </w:t>
      </w:r>
      <w:r w:rsidR="00BD717F">
        <w:t xml:space="preserve">Onderzocht zou kunnen worden of er op dit moment een daadwerkelijke verwachtingskloof bestaat en of deze zal afnemen door de komst van een uitgebreidere accountantsverklaring. Als laatste zou onderzocht kunnen worden of één uniforme richtlijn de controle van maatschappelijke verslagen zou vergemakkelijken, en of dit realiseerbaar zou zijn in de praktijk.  </w:t>
      </w:r>
    </w:p>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Default="00522406" w:rsidP="00BE7102"/>
    <w:p w:rsidR="00522406" w:rsidRPr="00B238A5" w:rsidRDefault="00522406" w:rsidP="00BE7102"/>
    <w:p w:rsidR="00FA76C9" w:rsidRDefault="00FA76C9" w:rsidP="00FA76C9">
      <w:pPr>
        <w:pStyle w:val="Heading1"/>
        <w:rPr>
          <w:lang w:val="en-GB"/>
        </w:rPr>
      </w:pPr>
      <w:bookmarkStart w:id="102" w:name="_Toc391563965"/>
      <w:r>
        <w:rPr>
          <w:lang w:val="en-GB"/>
        </w:rPr>
        <w:t>Bibliografie</w:t>
      </w:r>
      <w:bookmarkEnd w:id="102"/>
    </w:p>
    <w:p w:rsidR="00FA76C9" w:rsidRPr="00BD717F" w:rsidRDefault="00FA76C9" w:rsidP="00BD717F">
      <w:pPr>
        <w:spacing w:line="240" w:lineRule="auto"/>
        <w:rPr>
          <w:i/>
          <w:sz w:val="18"/>
          <w:szCs w:val="18"/>
          <w:lang w:val="en-GB"/>
        </w:rPr>
      </w:pPr>
      <w:r w:rsidRPr="00BD717F">
        <w:rPr>
          <w:sz w:val="18"/>
          <w:szCs w:val="18"/>
          <w:lang w:val="en-GB"/>
        </w:rPr>
        <w:t xml:space="preserve">Abrahamson, E. Park, C. (1994) Concealment of negative organizational outcomes: An agency theory perspective. </w:t>
      </w:r>
      <w:r w:rsidRPr="00BD717F">
        <w:rPr>
          <w:i/>
          <w:sz w:val="18"/>
          <w:szCs w:val="18"/>
          <w:lang w:val="en-GB"/>
        </w:rPr>
        <w:t>Academy of Management Journal Vol. 37, No.5, 1302-1334</w:t>
      </w:r>
    </w:p>
    <w:p w:rsidR="00FA76C9" w:rsidRPr="00BD717F" w:rsidRDefault="00FA76C9" w:rsidP="00BD717F">
      <w:pPr>
        <w:spacing w:line="240" w:lineRule="auto"/>
        <w:rPr>
          <w:sz w:val="18"/>
          <w:szCs w:val="18"/>
          <w:lang w:val="en-GB"/>
        </w:rPr>
      </w:pPr>
      <w:r w:rsidRPr="00BD717F">
        <w:rPr>
          <w:sz w:val="18"/>
          <w:szCs w:val="18"/>
          <w:lang w:val="en-GB"/>
        </w:rPr>
        <w:t xml:space="preserve">ACCA. (2013). </w:t>
      </w:r>
      <w:r w:rsidRPr="00BD717F">
        <w:rPr>
          <w:i/>
          <w:sz w:val="18"/>
          <w:szCs w:val="18"/>
          <w:lang w:val="en-GB"/>
        </w:rPr>
        <w:t xml:space="preserve">What do investors expect from non-financial reporting? </w:t>
      </w:r>
      <w:r w:rsidRPr="00BD717F">
        <w:rPr>
          <w:sz w:val="18"/>
          <w:szCs w:val="18"/>
          <w:lang w:val="en-GB"/>
        </w:rPr>
        <w:t xml:space="preserve">(Rapport). Londen, Verenigd Koninkrijk: The association of chartered certified accountants. </w:t>
      </w:r>
    </w:p>
    <w:p w:rsidR="00FA76C9" w:rsidRPr="00BD717F" w:rsidRDefault="00FA76C9" w:rsidP="00BD717F">
      <w:pPr>
        <w:spacing w:line="240" w:lineRule="auto"/>
        <w:rPr>
          <w:sz w:val="18"/>
          <w:szCs w:val="18"/>
        </w:rPr>
      </w:pPr>
      <w:r w:rsidRPr="00BD717F">
        <w:rPr>
          <w:sz w:val="18"/>
          <w:szCs w:val="18"/>
          <w:lang w:val="en-GB"/>
        </w:rPr>
        <w:t xml:space="preserve">AccountAbility. (z.d.). </w:t>
      </w:r>
      <w:r w:rsidRPr="00BD717F">
        <w:rPr>
          <w:i/>
          <w:sz w:val="18"/>
          <w:szCs w:val="18"/>
          <w:lang w:val="en-GB"/>
        </w:rPr>
        <w:t xml:space="preserve">The AA1000 Standards. </w:t>
      </w:r>
      <w:r w:rsidRPr="00BD717F">
        <w:rPr>
          <w:sz w:val="18"/>
          <w:szCs w:val="18"/>
        </w:rPr>
        <w:t xml:space="preserve">Geraadpleegd op 2 juni 2014, van accountability.org: </w:t>
      </w:r>
      <w:hyperlink r:id="rId15" w:history="1">
        <w:r w:rsidRPr="00BD717F">
          <w:rPr>
            <w:rStyle w:val="Hyperlink"/>
            <w:sz w:val="18"/>
            <w:szCs w:val="18"/>
          </w:rPr>
          <w:t>http://www.accountability.org/standards/index.html</w:t>
        </w:r>
      </w:hyperlink>
    </w:p>
    <w:p w:rsidR="00FA76C9" w:rsidRPr="00BD717F" w:rsidRDefault="00FA76C9" w:rsidP="00BD717F">
      <w:pPr>
        <w:spacing w:line="240" w:lineRule="auto"/>
        <w:rPr>
          <w:sz w:val="18"/>
          <w:szCs w:val="18"/>
        </w:rPr>
      </w:pPr>
      <w:r w:rsidRPr="00BD717F">
        <w:rPr>
          <w:sz w:val="18"/>
          <w:szCs w:val="18"/>
        </w:rPr>
        <w:lastRenderedPageBreak/>
        <w:t xml:space="preserve">Accountant.nl. (2010). </w:t>
      </w:r>
      <w:r w:rsidRPr="00BD717F">
        <w:rPr>
          <w:i/>
          <w:sz w:val="18"/>
          <w:szCs w:val="18"/>
        </w:rPr>
        <w:t xml:space="preserve">Belegger wil steeds meer niet-financiële informatie. </w:t>
      </w:r>
      <w:r w:rsidRPr="00BD717F">
        <w:rPr>
          <w:sz w:val="18"/>
          <w:szCs w:val="18"/>
        </w:rPr>
        <w:t xml:space="preserve">Geraadpleegd op 23 mei 2014, van accountant.nl: </w:t>
      </w:r>
      <w:hyperlink r:id="rId16" w:history="1">
        <w:r w:rsidRPr="00BD717F">
          <w:rPr>
            <w:rStyle w:val="Hyperlink"/>
            <w:sz w:val="18"/>
            <w:szCs w:val="18"/>
          </w:rPr>
          <w:t>http://www.accountant.nl/Accountant/Nieuws/Belegger+wil+steeds+meer+nietfinanciele+informati.aspx</w:t>
        </w:r>
      </w:hyperlink>
    </w:p>
    <w:p w:rsidR="00FA76C9" w:rsidRPr="00BD717F" w:rsidRDefault="00FA76C9" w:rsidP="00BD717F">
      <w:pPr>
        <w:spacing w:line="240" w:lineRule="auto"/>
        <w:rPr>
          <w:sz w:val="18"/>
          <w:szCs w:val="18"/>
        </w:rPr>
      </w:pPr>
      <w:r w:rsidRPr="00BD717F">
        <w:rPr>
          <w:sz w:val="18"/>
          <w:szCs w:val="18"/>
          <w:lang w:val="en-GB"/>
        </w:rPr>
        <w:t xml:space="preserve">Blesener, S. Hohnen, P. (2013). </w:t>
      </w:r>
      <w:r w:rsidRPr="00BD717F">
        <w:rPr>
          <w:i/>
          <w:sz w:val="18"/>
          <w:szCs w:val="18"/>
          <w:lang w:val="en-GB"/>
        </w:rPr>
        <w:t xml:space="preserve">The external assurance of sustainability reporting </w:t>
      </w:r>
      <w:r w:rsidRPr="00BD717F">
        <w:rPr>
          <w:sz w:val="18"/>
          <w:szCs w:val="18"/>
          <w:lang w:val="en-GB"/>
        </w:rPr>
        <w:t xml:space="preserve">(rapport). </w:t>
      </w:r>
      <w:r w:rsidRPr="00BD717F">
        <w:rPr>
          <w:sz w:val="18"/>
          <w:szCs w:val="18"/>
        </w:rPr>
        <w:t xml:space="preserve">Amsterdam: Global Reporting Initiative. </w:t>
      </w:r>
    </w:p>
    <w:p w:rsidR="00FA76C9" w:rsidRPr="00BD717F" w:rsidRDefault="00FA76C9" w:rsidP="00BD717F">
      <w:pPr>
        <w:spacing w:line="240" w:lineRule="auto"/>
        <w:rPr>
          <w:sz w:val="18"/>
          <w:szCs w:val="18"/>
        </w:rPr>
      </w:pPr>
      <w:r w:rsidRPr="00BD717F">
        <w:rPr>
          <w:sz w:val="18"/>
          <w:szCs w:val="18"/>
        </w:rPr>
        <w:t xml:space="preserve">Böhmer, S. Hoogendoorn, M.N. Kruit, R. (2013). </w:t>
      </w:r>
      <w:r w:rsidRPr="00BD717F">
        <w:rPr>
          <w:i/>
          <w:sz w:val="18"/>
          <w:szCs w:val="18"/>
        </w:rPr>
        <w:t xml:space="preserve">Ernst &amp; Young Handboek Jaarrekening 2013. </w:t>
      </w:r>
      <w:r w:rsidRPr="00BD717F">
        <w:rPr>
          <w:sz w:val="18"/>
          <w:szCs w:val="18"/>
        </w:rPr>
        <w:t xml:space="preserve">Deventer: Kluwer. </w:t>
      </w:r>
    </w:p>
    <w:p w:rsidR="00FA76C9" w:rsidRPr="00BD717F" w:rsidRDefault="00FA76C9" w:rsidP="00BD717F">
      <w:pPr>
        <w:spacing w:line="240" w:lineRule="auto"/>
        <w:rPr>
          <w:i/>
          <w:sz w:val="18"/>
          <w:szCs w:val="18"/>
        </w:rPr>
      </w:pPr>
      <w:r w:rsidRPr="00BD717F">
        <w:rPr>
          <w:sz w:val="18"/>
          <w:szCs w:val="18"/>
        </w:rPr>
        <w:t xml:space="preserve">Boot, A.W.A. Soeting, R. (2004) De onderneming in spagaat. </w:t>
      </w:r>
      <w:r w:rsidRPr="00BD717F">
        <w:rPr>
          <w:i/>
          <w:sz w:val="18"/>
          <w:szCs w:val="18"/>
        </w:rPr>
        <w:t>Maandblad voor Accountancy en Bedrijfseconomie, 178-184</w:t>
      </w:r>
    </w:p>
    <w:p w:rsidR="00FA76C9" w:rsidRPr="00BD717F" w:rsidRDefault="00FA76C9" w:rsidP="00BD717F">
      <w:pPr>
        <w:spacing w:line="240" w:lineRule="auto"/>
        <w:rPr>
          <w:i/>
          <w:sz w:val="18"/>
          <w:szCs w:val="18"/>
        </w:rPr>
      </w:pPr>
      <w:r w:rsidRPr="00BD717F">
        <w:rPr>
          <w:sz w:val="18"/>
          <w:szCs w:val="18"/>
        </w:rPr>
        <w:t xml:space="preserve">Broekhuizen, E. (2014, maart 27) ExxonMobil zet de toon. </w:t>
      </w:r>
      <w:r w:rsidRPr="00BD717F">
        <w:rPr>
          <w:i/>
          <w:sz w:val="18"/>
          <w:szCs w:val="18"/>
        </w:rPr>
        <w:t xml:space="preserve">Financieel dagblad. </w:t>
      </w:r>
    </w:p>
    <w:p w:rsidR="00FA76C9" w:rsidRPr="00BD717F" w:rsidRDefault="00FA76C9" w:rsidP="00BD717F">
      <w:pPr>
        <w:spacing w:line="240" w:lineRule="auto"/>
        <w:rPr>
          <w:i/>
          <w:sz w:val="18"/>
          <w:szCs w:val="18"/>
          <w:lang w:val="en-GB"/>
        </w:rPr>
      </w:pPr>
      <w:r w:rsidRPr="00BD717F">
        <w:rPr>
          <w:sz w:val="18"/>
          <w:szCs w:val="18"/>
        </w:rPr>
        <w:t xml:space="preserve">Cheng, M. Green, W. Conradie, P. Konishi, N. Romi, A. (2014). </w:t>
      </w:r>
      <w:r w:rsidRPr="00BD717F">
        <w:rPr>
          <w:sz w:val="18"/>
          <w:szCs w:val="18"/>
          <w:lang w:val="en-GB"/>
        </w:rPr>
        <w:t xml:space="preserve">The international integrated reporting framework: Key issues and future research opportunities. </w:t>
      </w:r>
      <w:r w:rsidRPr="00BD717F">
        <w:rPr>
          <w:i/>
          <w:sz w:val="18"/>
          <w:szCs w:val="18"/>
          <w:lang w:val="en-GB"/>
        </w:rPr>
        <w:t>Journal of International Financial Management&amp; Accountant 25:1, 90-119</w:t>
      </w:r>
    </w:p>
    <w:p w:rsidR="001B421F" w:rsidRPr="00BD717F" w:rsidRDefault="001B421F" w:rsidP="00BD717F">
      <w:pPr>
        <w:spacing w:line="240" w:lineRule="auto"/>
        <w:rPr>
          <w:sz w:val="18"/>
          <w:szCs w:val="18"/>
        </w:rPr>
      </w:pPr>
      <w:r w:rsidRPr="00BD717F">
        <w:rPr>
          <w:sz w:val="18"/>
          <w:szCs w:val="18"/>
          <w:lang w:val="en-GB"/>
        </w:rPr>
        <w:t xml:space="preserve">De Ridder, M. (2014) </w:t>
      </w:r>
      <w:r w:rsidRPr="00BD717F">
        <w:rPr>
          <w:i/>
          <w:sz w:val="18"/>
          <w:szCs w:val="18"/>
          <w:lang w:val="en-GB"/>
        </w:rPr>
        <w:t xml:space="preserve">Assurance Report: report on the sustainability information (KPN). </w:t>
      </w:r>
      <w:r w:rsidRPr="00BD717F">
        <w:rPr>
          <w:sz w:val="18"/>
          <w:szCs w:val="18"/>
        </w:rPr>
        <w:t xml:space="preserve">Den Haag: PricewaterhouseCoopers Accountants.  </w:t>
      </w:r>
    </w:p>
    <w:p w:rsidR="00FA76C9" w:rsidRPr="00BD717F" w:rsidRDefault="00FA76C9" w:rsidP="00BD717F">
      <w:pPr>
        <w:spacing w:line="240" w:lineRule="auto"/>
        <w:rPr>
          <w:sz w:val="18"/>
          <w:szCs w:val="18"/>
          <w:lang w:val="en-GB"/>
        </w:rPr>
      </w:pPr>
      <w:r w:rsidRPr="00BD717F">
        <w:rPr>
          <w:sz w:val="18"/>
          <w:szCs w:val="18"/>
        </w:rPr>
        <w:t xml:space="preserve">De Waard, D. (2008) </w:t>
      </w:r>
      <w:r w:rsidRPr="00BD717F">
        <w:rPr>
          <w:i/>
          <w:sz w:val="18"/>
          <w:szCs w:val="18"/>
        </w:rPr>
        <w:t xml:space="preserve">Toezicht op maatschappelijk verantwoord ondernemen. </w:t>
      </w:r>
      <w:r w:rsidRPr="00BD717F">
        <w:rPr>
          <w:sz w:val="18"/>
          <w:szCs w:val="18"/>
          <w:lang w:val="en-GB"/>
        </w:rPr>
        <w:t>Asssen: van Gorcum.</w:t>
      </w:r>
    </w:p>
    <w:p w:rsidR="00FA76C9" w:rsidRPr="00BD717F" w:rsidRDefault="00FA76C9" w:rsidP="00BD717F">
      <w:pPr>
        <w:spacing w:line="240" w:lineRule="auto"/>
        <w:rPr>
          <w:sz w:val="18"/>
          <w:szCs w:val="18"/>
          <w:lang w:val="en-GB"/>
        </w:rPr>
      </w:pPr>
      <w:r w:rsidRPr="00BD717F">
        <w:rPr>
          <w:sz w:val="18"/>
          <w:szCs w:val="18"/>
          <w:lang w:val="en-GB"/>
        </w:rPr>
        <w:t xml:space="preserve">De Wit, R. (2011). </w:t>
      </w:r>
      <w:r w:rsidRPr="00BD717F">
        <w:rPr>
          <w:i/>
          <w:sz w:val="18"/>
          <w:szCs w:val="18"/>
          <w:lang w:val="en-GB"/>
        </w:rPr>
        <w:t xml:space="preserve">Corporate Social Responsibility: a study to the comparability of the Transparantiebenchmark with the GRI guidelines </w:t>
      </w:r>
      <w:r w:rsidRPr="00BD717F">
        <w:rPr>
          <w:sz w:val="18"/>
          <w:szCs w:val="18"/>
          <w:lang w:val="en-GB"/>
        </w:rPr>
        <w:t xml:space="preserve">(Master thesis). Rotterdam: Erasmus Universiteit Rotterdam, Erasmus School of Economics. </w:t>
      </w:r>
    </w:p>
    <w:p w:rsidR="00FA76C9" w:rsidRPr="00BD717F" w:rsidRDefault="00FA76C9" w:rsidP="00BD717F">
      <w:pPr>
        <w:spacing w:line="240" w:lineRule="auto"/>
        <w:rPr>
          <w:i/>
          <w:sz w:val="18"/>
          <w:szCs w:val="18"/>
          <w:lang w:val="en-GB"/>
        </w:rPr>
      </w:pPr>
      <w:r w:rsidRPr="00BD717F">
        <w:rPr>
          <w:sz w:val="18"/>
          <w:szCs w:val="18"/>
          <w:lang w:val="en-GB"/>
        </w:rPr>
        <w:t xml:space="preserve">Donaldson, T. Preston, L. (1995) The stakeholder theory of the corporation: concepts, evidence and implications. </w:t>
      </w:r>
      <w:r w:rsidRPr="00BD717F">
        <w:rPr>
          <w:i/>
          <w:sz w:val="18"/>
          <w:szCs w:val="18"/>
          <w:lang w:val="en-GB"/>
        </w:rPr>
        <w:t>Academy of management review, 65-91</w:t>
      </w:r>
    </w:p>
    <w:p w:rsidR="00FA76C9" w:rsidRPr="00BD717F" w:rsidRDefault="00FA76C9" w:rsidP="00BD717F">
      <w:pPr>
        <w:spacing w:line="240" w:lineRule="auto"/>
        <w:rPr>
          <w:sz w:val="18"/>
          <w:szCs w:val="18"/>
        </w:rPr>
      </w:pPr>
      <w:r w:rsidRPr="00BD717F">
        <w:rPr>
          <w:sz w:val="18"/>
          <w:szCs w:val="18"/>
          <w:lang w:val="en-GB"/>
        </w:rPr>
        <w:t xml:space="preserve">Eccles, R.G. Ioannou, I. Serafeim, G. (2012). </w:t>
      </w:r>
      <w:r w:rsidRPr="00BD717F">
        <w:rPr>
          <w:i/>
          <w:sz w:val="18"/>
          <w:szCs w:val="18"/>
          <w:lang w:val="en-GB"/>
        </w:rPr>
        <w:t xml:space="preserve">The impact of a corporate culture of sustainability on corporate behaviour and performance </w:t>
      </w:r>
      <w:r w:rsidRPr="00BD717F">
        <w:rPr>
          <w:sz w:val="18"/>
          <w:szCs w:val="18"/>
          <w:lang w:val="en-GB"/>
        </w:rPr>
        <w:t xml:space="preserve">(Working paper). </w:t>
      </w:r>
      <w:r w:rsidRPr="00BD717F">
        <w:rPr>
          <w:sz w:val="18"/>
          <w:szCs w:val="18"/>
        </w:rPr>
        <w:t xml:space="preserve">Boston: Harvard Business School. </w:t>
      </w:r>
    </w:p>
    <w:p w:rsidR="00FA76C9" w:rsidRPr="00BD717F" w:rsidRDefault="00FA76C9" w:rsidP="00BD717F">
      <w:pPr>
        <w:spacing w:line="240" w:lineRule="auto"/>
        <w:rPr>
          <w:sz w:val="18"/>
          <w:szCs w:val="18"/>
        </w:rPr>
      </w:pPr>
      <w:r w:rsidRPr="00BD717F">
        <w:rPr>
          <w:sz w:val="18"/>
          <w:szCs w:val="18"/>
        </w:rPr>
        <w:t xml:space="preserve">Eimers, P.W.A. (2008) </w:t>
      </w:r>
      <w:r w:rsidRPr="00BD717F">
        <w:rPr>
          <w:i/>
          <w:sz w:val="18"/>
          <w:szCs w:val="18"/>
        </w:rPr>
        <w:t>De betekenis van de accountant in een dynamische wereld: Wat hetzelfde blijft en wat verandert</w:t>
      </w:r>
      <w:r w:rsidRPr="00BD717F">
        <w:rPr>
          <w:sz w:val="18"/>
          <w:szCs w:val="18"/>
        </w:rPr>
        <w:t xml:space="preserve"> (Rede hoogleraar). Faculteit der economische wetenschappen en bedrijfskunde, Vrije Universiteit Amsterdam. </w:t>
      </w:r>
    </w:p>
    <w:p w:rsidR="00FA76C9" w:rsidRPr="00BD717F" w:rsidRDefault="00FA76C9" w:rsidP="00BD717F">
      <w:pPr>
        <w:spacing w:line="240" w:lineRule="auto"/>
        <w:rPr>
          <w:sz w:val="18"/>
          <w:szCs w:val="18"/>
        </w:rPr>
      </w:pPr>
      <w:r w:rsidRPr="00BD717F">
        <w:rPr>
          <w:sz w:val="18"/>
          <w:szCs w:val="18"/>
        </w:rPr>
        <w:t xml:space="preserve">Erasmus School of Auditing and Assurance. (2011) </w:t>
      </w:r>
      <w:r w:rsidRPr="00BD717F">
        <w:rPr>
          <w:i/>
          <w:sz w:val="18"/>
          <w:szCs w:val="18"/>
        </w:rPr>
        <w:t xml:space="preserve">Vraagstuk havenbedrijf Rotterdam (Theoretisch tentamen Financial Auditing). </w:t>
      </w:r>
      <w:r w:rsidRPr="00BD717F">
        <w:rPr>
          <w:sz w:val="18"/>
          <w:szCs w:val="18"/>
        </w:rPr>
        <w:t xml:space="preserve">Rotterdam: Erasmus Universiteit. </w:t>
      </w:r>
    </w:p>
    <w:p w:rsidR="00FA76C9" w:rsidRPr="00BD717F" w:rsidRDefault="00FA76C9" w:rsidP="00BD717F">
      <w:pPr>
        <w:spacing w:line="240" w:lineRule="auto"/>
        <w:rPr>
          <w:sz w:val="18"/>
          <w:szCs w:val="18"/>
        </w:rPr>
      </w:pPr>
      <w:r w:rsidRPr="00BD717F">
        <w:rPr>
          <w:sz w:val="18"/>
          <w:szCs w:val="18"/>
        </w:rPr>
        <w:t xml:space="preserve">Erasmus School of Accounting and Assurance. (z.d.). </w:t>
      </w:r>
      <w:r w:rsidRPr="00BD717F">
        <w:rPr>
          <w:i/>
          <w:sz w:val="18"/>
          <w:szCs w:val="18"/>
        </w:rPr>
        <w:t xml:space="preserve">Corporate Social Respinsibility (Maatschappelijk verantwoord ondernemen). </w:t>
      </w:r>
      <w:r w:rsidRPr="00BD717F">
        <w:rPr>
          <w:sz w:val="18"/>
          <w:szCs w:val="18"/>
        </w:rPr>
        <w:t xml:space="preserve">Geraadpleegd op 10 juni 2014, van eur.nl: </w:t>
      </w:r>
      <w:hyperlink r:id="rId17" w:history="1">
        <w:r w:rsidRPr="00BD717F">
          <w:rPr>
            <w:rStyle w:val="Hyperlink"/>
            <w:sz w:val="18"/>
            <w:szCs w:val="18"/>
          </w:rPr>
          <w:t>http://www.eur.nl/esaa/executive_programs/corporate_social_responsibility/?gclid=CMT17Jzs9L4CFSvjwgodE6EAHQ</w:t>
        </w:r>
      </w:hyperlink>
    </w:p>
    <w:p w:rsidR="00FA76C9" w:rsidRPr="00BD717F" w:rsidRDefault="00FA76C9" w:rsidP="00BD717F">
      <w:pPr>
        <w:spacing w:line="240" w:lineRule="auto"/>
        <w:rPr>
          <w:sz w:val="18"/>
          <w:szCs w:val="18"/>
        </w:rPr>
      </w:pPr>
      <w:r w:rsidRPr="00BD717F">
        <w:rPr>
          <w:sz w:val="18"/>
          <w:szCs w:val="18"/>
          <w:lang w:val="en-GB"/>
        </w:rPr>
        <w:t xml:space="preserve">Eumedion. (z.d.). </w:t>
      </w:r>
      <w:r w:rsidRPr="00BD717F">
        <w:rPr>
          <w:i/>
          <w:sz w:val="18"/>
          <w:szCs w:val="18"/>
          <w:lang w:val="en-GB"/>
        </w:rPr>
        <w:t xml:space="preserve">Over Eumedion. </w:t>
      </w:r>
      <w:r w:rsidRPr="00BD717F">
        <w:rPr>
          <w:sz w:val="18"/>
          <w:szCs w:val="18"/>
        </w:rPr>
        <w:t xml:space="preserve">Geraadpleegd op 12 juni 2012, van eumedion.nl: </w:t>
      </w:r>
      <w:hyperlink r:id="rId18" w:anchor="missie" w:history="1">
        <w:r w:rsidRPr="00BD717F">
          <w:rPr>
            <w:rStyle w:val="Hyperlink"/>
            <w:sz w:val="18"/>
            <w:szCs w:val="18"/>
          </w:rPr>
          <w:t>http://www.eumedion.nl/nl/overeumedion#missie</w:t>
        </w:r>
      </w:hyperlink>
    </w:p>
    <w:p w:rsidR="00FA76C9" w:rsidRPr="00BD717F" w:rsidRDefault="00FA76C9" w:rsidP="00BD717F">
      <w:pPr>
        <w:spacing w:line="240" w:lineRule="auto"/>
        <w:rPr>
          <w:sz w:val="18"/>
          <w:szCs w:val="18"/>
        </w:rPr>
      </w:pPr>
      <w:r w:rsidRPr="00BD717F">
        <w:rPr>
          <w:sz w:val="18"/>
          <w:szCs w:val="18"/>
          <w:lang w:val="en-GB"/>
        </w:rPr>
        <w:t xml:space="preserve">Freeman, E. (2010) </w:t>
      </w:r>
      <w:r w:rsidRPr="00BD717F">
        <w:rPr>
          <w:i/>
          <w:sz w:val="18"/>
          <w:szCs w:val="18"/>
          <w:lang w:val="en-GB"/>
        </w:rPr>
        <w:t xml:space="preserve">Strategic Management: A stakeholder approach. </w:t>
      </w:r>
      <w:r w:rsidRPr="00BD717F">
        <w:rPr>
          <w:sz w:val="18"/>
          <w:szCs w:val="18"/>
        </w:rPr>
        <w:t xml:space="preserve">Cambridge: Cambridge University Press. </w:t>
      </w:r>
    </w:p>
    <w:p w:rsidR="00FA76C9" w:rsidRPr="00BD717F" w:rsidRDefault="00FA76C9" w:rsidP="00BD717F">
      <w:pPr>
        <w:spacing w:line="240" w:lineRule="auto"/>
        <w:rPr>
          <w:sz w:val="18"/>
          <w:szCs w:val="18"/>
        </w:rPr>
      </w:pPr>
      <w:r w:rsidRPr="00BD717F">
        <w:rPr>
          <w:sz w:val="18"/>
          <w:szCs w:val="18"/>
        </w:rPr>
        <w:t xml:space="preserve">Goei, M. (2012) </w:t>
      </w:r>
      <w:r w:rsidRPr="00BD717F">
        <w:rPr>
          <w:i/>
          <w:sz w:val="18"/>
          <w:szCs w:val="18"/>
        </w:rPr>
        <w:t xml:space="preserve">Niet-audit diensten en de onafhankelijkheid van de controlerend accountant </w:t>
      </w:r>
      <w:r w:rsidRPr="00BD717F">
        <w:rPr>
          <w:sz w:val="18"/>
          <w:szCs w:val="18"/>
        </w:rPr>
        <w:t>(Scriptie). Amsterdam: Universiteit van Amsterdam.</w:t>
      </w:r>
    </w:p>
    <w:p w:rsidR="00FA76C9" w:rsidRPr="00BD717F" w:rsidRDefault="00FA76C9" w:rsidP="00BD717F">
      <w:pPr>
        <w:spacing w:line="240" w:lineRule="auto"/>
        <w:rPr>
          <w:sz w:val="18"/>
          <w:szCs w:val="18"/>
        </w:rPr>
      </w:pPr>
      <w:r w:rsidRPr="00BD717F">
        <w:rPr>
          <w:sz w:val="18"/>
          <w:szCs w:val="18"/>
        </w:rPr>
        <w:t xml:space="preserve">GRI. (2006) </w:t>
      </w:r>
      <w:r w:rsidRPr="00BD717F">
        <w:rPr>
          <w:i/>
          <w:sz w:val="18"/>
          <w:szCs w:val="18"/>
        </w:rPr>
        <w:t xml:space="preserve">Richtlijnen voor duurzaamheidsverslaggeving. </w:t>
      </w:r>
      <w:r w:rsidRPr="00BD717F">
        <w:rPr>
          <w:sz w:val="18"/>
          <w:szCs w:val="18"/>
        </w:rPr>
        <w:t>Amsterdam: Global Reporting Initiative.</w:t>
      </w:r>
    </w:p>
    <w:p w:rsidR="00FA76C9" w:rsidRPr="00BD717F" w:rsidRDefault="00FA76C9" w:rsidP="00BD717F">
      <w:pPr>
        <w:spacing w:line="240" w:lineRule="auto"/>
        <w:rPr>
          <w:sz w:val="18"/>
          <w:szCs w:val="18"/>
        </w:rPr>
      </w:pPr>
      <w:r w:rsidRPr="00BD717F">
        <w:rPr>
          <w:sz w:val="18"/>
          <w:szCs w:val="18"/>
        </w:rPr>
        <w:t xml:space="preserve">Habets, L. (2009). </w:t>
      </w:r>
      <w:r w:rsidRPr="00BD717F">
        <w:rPr>
          <w:i/>
          <w:sz w:val="18"/>
          <w:szCs w:val="18"/>
        </w:rPr>
        <w:t xml:space="preserve">Maatschappelijk Verantwoord Ondernemen </w:t>
      </w:r>
      <w:r w:rsidRPr="00BD717F">
        <w:rPr>
          <w:sz w:val="18"/>
          <w:szCs w:val="18"/>
        </w:rPr>
        <w:t xml:space="preserve">(Master thesis). Amsterdam: Universiteit van Amsterdam, faculteit Economie en Bedrijfskunde. </w:t>
      </w:r>
    </w:p>
    <w:p w:rsidR="00FA76C9" w:rsidRPr="00BD717F" w:rsidRDefault="00FA76C9" w:rsidP="00BD717F">
      <w:pPr>
        <w:spacing w:line="240" w:lineRule="auto"/>
        <w:rPr>
          <w:sz w:val="18"/>
          <w:szCs w:val="18"/>
          <w:lang w:val="en-GB"/>
        </w:rPr>
      </w:pPr>
      <w:r w:rsidRPr="00BD717F">
        <w:rPr>
          <w:sz w:val="18"/>
          <w:szCs w:val="18"/>
        </w:rPr>
        <w:t xml:space="preserve">Hay, B.L. Stavins, R.N. Vietor, R.H.K. (2010). </w:t>
      </w:r>
      <w:r w:rsidRPr="00BD717F">
        <w:rPr>
          <w:i/>
          <w:sz w:val="18"/>
          <w:szCs w:val="18"/>
          <w:lang w:val="en-GB"/>
        </w:rPr>
        <w:t xml:space="preserve">Environmental protection and the social responsibility of the firms. </w:t>
      </w:r>
      <w:r w:rsidRPr="00BD717F">
        <w:rPr>
          <w:sz w:val="18"/>
          <w:szCs w:val="18"/>
          <w:lang w:val="en-GB"/>
        </w:rPr>
        <w:t>Washington: Resources for the Future.</w:t>
      </w:r>
    </w:p>
    <w:p w:rsidR="00FA76C9" w:rsidRPr="00BD717F" w:rsidRDefault="00FA76C9" w:rsidP="00BD717F">
      <w:pPr>
        <w:spacing w:line="240" w:lineRule="auto"/>
        <w:rPr>
          <w:i/>
          <w:sz w:val="18"/>
          <w:szCs w:val="18"/>
        </w:rPr>
      </w:pPr>
      <w:r w:rsidRPr="00BD717F">
        <w:rPr>
          <w:sz w:val="18"/>
          <w:szCs w:val="18"/>
          <w:lang w:val="en-GB"/>
        </w:rPr>
        <w:t xml:space="preserve">Hill, C.W.L, Jones, T.M. (1992) Stakeholder-Agency Theory. </w:t>
      </w:r>
      <w:r w:rsidRPr="00BD717F">
        <w:rPr>
          <w:i/>
          <w:sz w:val="18"/>
          <w:szCs w:val="18"/>
        </w:rPr>
        <w:t>Journal of Management Studies 29:2, 131-154</w:t>
      </w:r>
    </w:p>
    <w:p w:rsidR="00FA76C9" w:rsidRPr="00BD717F" w:rsidRDefault="00FA76C9" w:rsidP="00BD717F">
      <w:pPr>
        <w:spacing w:line="240" w:lineRule="auto"/>
        <w:rPr>
          <w:i/>
          <w:sz w:val="18"/>
          <w:szCs w:val="18"/>
        </w:rPr>
      </w:pPr>
      <w:r w:rsidRPr="00BD717F">
        <w:rPr>
          <w:sz w:val="18"/>
          <w:szCs w:val="18"/>
        </w:rPr>
        <w:t xml:space="preserve">Hoogendoorn, M. (2008). Uit balans. </w:t>
      </w:r>
      <w:r w:rsidRPr="00BD717F">
        <w:rPr>
          <w:i/>
          <w:sz w:val="18"/>
          <w:szCs w:val="18"/>
        </w:rPr>
        <w:t>Maandblad voor Accountancy en Bedrijfseconomie, 360-362.</w:t>
      </w:r>
    </w:p>
    <w:p w:rsidR="00FA76C9" w:rsidRPr="00BD717F" w:rsidRDefault="00FA76C9" w:rsidP="00BD717F">
      <w:pPr>
        <w:spacing w:line="240" w:lineRule="auto"/>
        <w:rPr>
          <w:sz w:val="18"/>
          <w:szCs w:val="18"/>
        </w:rPr>
      </w:pPr>
      <w:r w:rsidRPr="00BD717F">
        <w:rPr>
          <w:sz w:val="18"/>
          <w:szCs w:val="18"/>
          <w:lang w:val="en-GB"/>
        </w:rPr>
        <w:t xml:space="preserve">Hughes, C. Augier, A. Dunne, C. (2014) </w:t>
      </w:r>
      <w:r w:rsidRPr="00BD717F">
        <w:rPr>
          <w:i/>
          <w:sz w:val="18"/>
          <w:szCs w:val="18"/>
          <w:lang w:val="en-GB"/>
        </w:rPr>
        <w:t xml:space="preserve">Disclosure of non-financial information by certain large companies: European Parliament and Council reach agreement on Commission proposal to improve transparency </w:t>
      </w:r>
      <w:r w:rsidRPr="00BD717F">
        <w:rPr>
          <w:sz w:val="18"/>
          <w:szCs w:val="18"/>
          <w:lang w:val="en-GB"/>
        </w:rPr>
        <w:t xml:space="preserve">(Statement). </w:t>
      </w:r>
      <w:r w:rsidRPr="00BD717F">
        <w:rPr>
          <w:sz w:val="18"/>
          <w:szCs w:val="18"/>
        </w:rPr>
        <w:t xml:space="preserve">Geraadpleegd op 3 juni 2014, van press releases database: </w:t>
      </w:r>
      <w:hyperlink r:id="rId19" w:history="1">
        <w:r w:rsidRPr="00BD717F">
          <w:rPr>
            <w:rStyle w:val="Hyperlink"/>
            <w:sz w:val="18"/>
            <w:szCs w:val="18"/>
          </w:rPr>
          <w:t>http://europa.eu/rapid/press-release_STATEMENT-14-29_en.htm</w:t>
        </w:r>
      </w:hyperlink>
    </w:p>
    <w:p w:rsidR="00FA76C9" w:rsidRPr="00BD717F" w:rsidRDefault="00FA76C9" w:rsidP="00BD717F">
      <w:pPr>
        <w:spacing w:line="240" w:lineRule="auto"/>
        <w:rPr>
          <w:sz w:val="18"/>
          <w:szCs w:val="18"/>
          <w:lang w:val="en-GB"/>
        </w:rPr>
      </w:pPr>
      <w:r w:rsidRPr="00BD717F">
        <w:rPr>
          <w:sz w:val="18"/>
          <w:szCs w:val="18"/>
          <w:lang w:val="en-GB"/>
        </w:rPr>
        <w:t xml:space="preserve">ICAEW. (2008). </w:t>
      </w:r>
      <w:r w:rsidRPr="00BD717F">
        <w:rPr>
          <w:i/>
          <w:sz w:val="18"/>
          <w:szCs w:val="18"/>
          <w:lang w:val="en-GB"/>
        </w:rPr>
        <w:t xml:space="preserve">Assurance on non-financial information: existing practices and issues. </w:t>
      </w:r>
      <w:r w:rsidRPr="00BD717F">
        <w:rPr>
          <w:sz w:val="18"/>
          <w:szCs w:val="18"/>
          <w:lang w:val="en-GB"/>
        </w:rPr>
        <w:t xml:space="preserve">Londen: Institute of Chartered Accountants in England and Wales. </w:t>
      </w:r>
    </w:p>
    <w:p w:rsidR="00FA76C9" w:rsidRPr="00BD717F" w:rsidRDefault="00FA76C9" w:rsidP="00BD717F">
      <w:pPr>
        <w:spacing w:line="240" w:lineRule="auto"/>
        <w:rPr>
          <w:sz w:val="18"/>
          <w:szCs w:val="18"/>
        </w:rPr>
      </w:pPr>
      <w:r w:rsidRPr="00BD717F">
        <w:rPr>
          <w:sz w:val="18"/>
          <w:szCs w:val="18"/>
          <w:lang w:val="en-GB"/>
        </w:rPr>
        <w:lastRenderedPageBreak/>
        <w:t xml:space="preserve">IEX. (z.d.). </w:t>
      </w:r>
      <w:r w:rsidRPr="00BD717F">
        <w:rPr>
          <w:i/>
          <w:sz w:val="18"/>
          <w:szCs w:val="18"/>
        </w:rPr>
        <w:t xml:space="preserve">S&amp;P 500 definitie. </w:t>
      </w:r>
      <w:r w:rsidRPr="00BD717F">
        <w:rPr>
          <w:sz w:val="18"/>
          <w:szCs w:val="18"/>
        </w:rPr>
        <w:t>Geraadpleegd op 12 juni 2014, van iex.nl: http://www.iex.nl/Woordenboek/Definitie/358/SP-500.aspx</w:t>
      </w:r>
    </w:p>
    <w:p w:rsidR="00FA76C9" w:rsidRPr="00BD717F" w:rsidRDefault="00FA76C9" w:rsidP="00BD717F">
      <w:pPr>
        <w:spacing w:line="240" w:lineRule="auto"/>
        <w:rPr>
          <w:sz w:val="18"/>
          <w:szCs w:val="18"/>
          <w:lang w:val="en-GB"/>
        </w:rPr>
      </w:pPr>
      <w:r w:rsidRPr="00BD717F">
        <w:rPr>
          <w:sz w:val="18"/>
          <w:szCs w:val="18"/>
          <w:lang w:val="en-GB"/>
        </w:rPr>
        <w:t xml:space="preserve">IIRC. (2013). </w:t>
      </w:r>
      <w:r w:rsidRPr="00BD717F">
        <w:rPr>
          <w:i/>
          <w:sz w:val="18"/>
          <w:szCs w:val="18"/>
          <w:lang w:val="en-GB"/>
        </w:rPr>
        <w:t xml:space="preserve">The international &lt;IR&gt; Framework. </w:t>
      </w:r>
      <w:r w:rsidRPr="00BD717F">
        <w:rPr>
          <w:sz w:val="18"/>
          <w:szCs w:val="18"/>
          <w:lang w:val="en-GB"/>
        </w:rPr>
        <w:t xml:space="preserve">Verenigd koninkrijk: International Integrated Reporting Council. </w:t>
      </w:r>
    </w:p>
    <w:p w:rsidR="00FA76C9" w:rsidRPr="00BD717F" w:rsidRDefault="00FA76C9" w:rsidP="00BD717F">
      <w:pPr>
        <w:spacing w:line="240" w:lineRule="auto"/>
        <w:rPr>
          <w:i/>
          <w:sz w:val="18"/>
          <w:szCs w:val="18"/>
          <w:lang w:val="en-GB"/>
        </w:rPr>
      </w:pPr>
      <w:r w:rsidRPr="00BD717F">
        <w:rPr>
          <w:sz w:val="18"/>
          <w:szCs w:val="18"/>
          <w:lang w:val="en-GB"/>
        </w:rPr>
        <w:t xml:space="preserve">Jensen, M.C., Meckling, W.H. (1976) Theory of the firm: Managerial Behavior, Agency Costs and Ownership Structure. </w:t>
      </w:r>
      <w:r w:rsidRPr="00BD717F">
        <w:rPr>
          <w:i/>
          <w:sz w:val="18"/>
          <w:szCs w:val="18"/>
          <w:lang w:val="en-GB"/>
        </w:rPr>
        <w:t>Journal of Financial Economics, 305-360</w:t>
      </w:r>
    </w:p>
    <w:p w:rsidR="00FA76C9" w:rsidRPr="00BD717F" w:rsidRDefault="00FA76C9" w:rsidP="00BD717F">
      <w:pPr>
        <w:spacing w:line="240" w:lineRule="auto"/>
        <w:rPr>
          <w:i/>
          <w:sz w:val="18"/>
          <w:szCs w:val="18"/>
          <w:lang w:val="en-GB"/>
        </w:rPr>
      </w:pPr>
      <w:r w:rsidRPr="00BD717F">
        <w:rPr>
          <w:sz w:val="18"/>
          <w:szCs w:val="18"/>
          <w:lang w:val="en-GB"/>
        </w:rPr>
        <w:t xml:space="preserve">Kamakura, W.A. Russel, G.J. (1992). Measuring brand value with scanner data. </w:t>
      </w:r>
      <w:r w:rsidRPr="00BD717F">
        <w:rPr>
          <w:i/>
          <w:sz w:val="18"/>
          <w:szCs w:val="18"/>
          <w:lang w:val="en-GB"/>
        </w:rPr>
        <w:t xml:space="preserve">International Journal of Research in Marketing, 9-22. </w:t>
      </w:r>
    </w:p>
    <w:p w:rsidR="00FA76C9" w:rsidRPr="00BD717F" w:rsidRDefault="00FA76C9" w:rsidP="00BD717F">
      <w:pPr>
        <w:spacing w:line="240" w:lineRule="auto"/>
        <w:rPr>
          <w:i/>
          <w:sz w:val="18"/>
          <w:szCs w:val="18"/>
        </w:rPr>
      </w:pPr>
      <w:r w:rsidRPr="00BD717F">
        <w:rPr>
          <w:sz w:val="18"/>
          <w:szCs w:val="18"/>
          <w:lang w:val="en-GB"/>
        </w:rPr>
        <w:t xml:space="preserve">Kamp-Roelands, N. (2011) Integrated reporting en assurance. </w:t>
      </w:r>
      <w:r w:rsidRPr="00BD717F">
        <w:rPr>
          <w:i/>
          <w:sz w:val="18"/>
          <w:szCs w:val="18"/>
        </w:rPr>
        <w:t>Maandblad voor Accountancy en Bedrijfseconomie jaargang 85, 552-562</w:t>
      </w:r>
    </w:p>
    <w:p w:rsidR="00FA76C9" w:rsidRPr="00BD717F" w:rsidRDefault="00FA76C9" w:rsidP="00BD717F">
      <w:pPr>
        <w:spacing w:line="240" w:lineRule="auto"/>
        <w:rPr>
          <w:i/>
          <w:sz w:val="18"/>
          <w:szCs w:val="18"/>
          <w:lang w:val="en-GB"/>
        </w:rPr>
      </w:pPr>
      <w:r w:rsidRPr="00BD717F">
        <w:rPr>
          <w:sz w:val="18"/>
          <w:szCs w:val="18"/>
        </w:rPr>
        <w:t xml:space="preserve">Kamp-Roelands, N. de Waard, D. (2008). De kwaliteit van maatschappelijke verslagen in Nederland. </w:t>
      </w:r>
      <w:r w:rsidRPr="00BD717F">
        <w:rPr>
          <w:i/>
          <w:sz w:val="18"/>
          <w:szCs w:val="18"/>
          <w:lang w:val="en-GB"/>
        </w:rPr>
        <w:t>Maandblad voor Accountancy en Bedrijfseconomie jaargang 82, 531-540</w:t>
      </w:r>
    </w:p>
    <w:p w:rsidR="00FA76C9" w:rsidRPr="00BD717F" w:rsidRDefault="00FA76C9" w:rsidP="00BD717F">
      <w:pPr>
        <w:spacing w:line="240" w:lineRule="auto"/>
        <w:rPr>
          <w:i/>
          <w:sz w:val="18"/>
          <w:szCs w:val="18"/>
        </w:rPr>
      </w:pPr>
      <w:r w:rsidRPr="00BD717F">
        <w:rPr>
          <w:sz w:val="18"/>
          <w:szCs w:val="18"/>
          <w:lang w:val="en-GB"/>
        </w:rPr>
        <w:t xml:space="preserve">King, M.E. (2011). Integrated Reporting – a concept whose time has come. </w:t>
      </w:r>
      <w:r w:rsidRPr="00BD717F">
        <w:rPr>
          <w:i/>
          <w:sz w:val="18"/>
          <w:szCs w:val="18"/>
        </w:rPr>
        <w:t>Maandblad Accountantcy en Bedrijfseconomie, jaargang 85, 535-536.</w:t>
      </w:r>
    </w:p>
    <w:p w:rsidR="00FA76C9" w:rsidRPr="00BD717F" w:rsidRDefault="00FA76C9" w:rsidP="00BD717F">
      <w:pPr>
        <w:spacing w:line="240" w:lineRule="auto"/>
        <w:rPr>
          <w:sz w:val="18"/>
          <w:szCs w:val="18"/>
        </w:rPr>
      </w:pPr>
      <w:r w:rsidRPr="00BD717F">
        <w:rPr>
          <w:sz w:val="18"/>
          <w:szCs w:val="18"/>
        </w:rPr>
        <w:t xml:space="preserve">Koolman, J.M. (2003). </w:t>
      </w:r>
      <w:r w:rsidRPr="00BD717F">
        <w:rPr>
          <w:i/>
          <w:sz w:val="18"/>
          <w:szCs w:val="18"/>
        </w:rPr>
        <w:t xml:space="preserve">Een onderzoek naar het Maatschappelijk Jaarverslag in Nederland </w:t>
      </w:r>
      <w:r w:rsidRPr="00BD717F">
        <w:rPr>
          <w:sz w:val="18"/>
          <w:szCs w:val="18"/>
        </w:rPr>
        <w:t xml:space="preserve">(Master thesis). Tilburg: Universiteit van Tilburg, Faculteit de Economische Wetenschappen. </w:t>
      </w:r>
    </w:p>
    <w:p w:rsidR="00FA76C9" w:rsidRPr="00BD717F" w:rsidRDefault="00FA76C9" w:rsidP="00BD717F">
      <w:pPr>
        <w:spacing w:line="240" w:lineRule="auto"/>
        <w:rPr>
          <w:sz w:val="18"/>
          <w:szCs w:val="18"/>
        </w:rPr>
      </w:pPr>
      <w:r w:rsidRPr="00BD717F">
        <w:rPr>
          <w:sz w:val="18"/>
          <w:szCs w:val="18"/>
        </w:rPr>
        <w:t xml:space="preserve">Lageweg, W. Vlaming, L. Tol, F. Klomp, M. (2012). </w:t>
      </w:r>
      <w:r w:rsidRPr="00BD717F">
        <w:rPr>
          <w:i/>
          <w:sz w:val="18"/>
          <w:szCs w:val="18"/>
        </w:rPr>
        <w:t xml:space="preserve">10 MVO-trends in het Nederlandse bedrijfsleven. </w:t>
      </w:r>
      <w:r w:rsidRPr="00BD717F">
        <w:rPr>
          <w:sz w:val="18"/>
          <w:szCs w:val="18"/>
        </w:rPr>
        <w:t xml:space="preserve">Geraadpleegd op 28 mei 2014, van mvonederland.nl : </w:t>
      </w:r>
      <w:hyperlink r:id="rId20" w:history="1">
        <w:r w:rsidRPr="00BD717F">
          <w:rPr>
            <w:rStyle w:val="Hyperlink"/>
            <w:sz w:val="18"/>
            <w:szCs w:val="18"/>
          </w:rPr>
          <w:t>http://www.fairpolitics.nl/doc/blikopmvo.final_printversie.pdf</w:t>
        </w:r>
      </w:hyperlink>
    </w:p>
    <w:p w:rsidR="00FA76C9" w:rsidRPr="00BD717F" w:rsidRDefault="00FA76C9" w:rsidP="00BD717F">
      <w:pPr>
        <w:spacing w:line="240" w:lineRule="auto"/>
        <w:rPr>
          <w:sz w:val="18"/>
          <w:szCs w:val="18"/>
          <w:lang w:val="en-GB"/>
        </w:rPr>
      </w:pPr>
      <w:r w:rsidRPr="00BD717F">
        <w:rPr>
          <w:sz w:val="18"/>
          <w:szCs w:val="18"/>
        </w:rPr>
        <w:t xml:space="preserve">Lambooy, T. Brandt, M. (2013). </w:t>
      </w:r>
      <w:r w:rsidRPr="00BD717F">
        <w:rPr>
          <w:i/>
          <w:sz w:val="18"/>
          <w:szCs w:val="18"/>
        </w:rPr>
        <w:t xml:space="preserve">Nieuw wetsvoorstel gelanceerd door Europese Commissie </w:t>
      </w:r>
      <w:r w:rsidRPr="00BD717F">
        <w:rPr>
          <w:sz w:val="18"/>
          <w:szCs w:val="18"/>
        </w:rPr>
        <w:t xml:space="preserve">(Nieuwsbrief). </w:t>
      </w:r>
      <w:r w:rsidRPr="00BD717F">
        <w:rPr>
          <w:sz w:val="18"/>
          <w:szCs w:val="18"/>
          <w:lang w:val="en-GB"/>
        </w:rPr>
        <w:t xml:space="preserve">Breukelen: Nyenrode Corporate Governance Instituut. </w:t>
      </w:r>
    </w:p>
    <w:p w:rsidR="00FA76C9" w:rsidRPr="00BD717F" w:rsidRDefault="00FA76C9" w:rsidP="00BD717F">
      <w:pPr>
        <w:spacing w:line="240" w:lineRule="auto"/>
        <w:rPr>
          <w:sz w:val="18"/>
          <w:szCs w:val="18"/>
          <w:lang w:val="en-GB"/>
        </w:rPr>
      </w:pPr>
      <w:r w:rsidRPr="00BD717F">
        <w:rPr>
          <w:sz w:val="18"/>
          <w:szCs w:val="18"/>
          <w:lang w:val="en-GB"/>
        </w:rPr>
        <w:t xml:space="preserve">Limperg, T. (1932) </w:t>
      </w:r>
      <w:r w:rsidRPr="00BD717F">
        <w:rPr>
          <w:i/>
          <w:sz w:val="18"/>
          <w:szCs w:val="18"/>
          <w:lang w:val="en-GB"/>
        </w:rPr>
        <w:t xml:space="preserve">The function of the accountant and the theory of inspired confidence. </w:t>
      </w:r>
      <w:r w:rsidRPr="00BD717F">
        <w:rPr>
          <w:sz w:val="18"/>
          <w:szCs w:val="18"/>
          <w:lang w:val="en-GB"/>
        </w:rPr>
        <w:t xml:space="preserve">Nederland: Limperg Institute. </w:t>
      </w:r>
    </w:p>
    <w:p w:rsidR="00FA76C9" w:rsidRPr="00BD717F" w:rsidRDefault="00FA76C9" w:rsidP="00BD717F">
      <w:pPr>
        <w:spacing w:line="240" w:lineRule="auto"/>
        <w:rPr>
          <w:i/>
          <w:sz w:val="18"/>
          <w:szCs w:val="18"/>
        </w:rPr>
      </w:pPr>
      <w:r w:rsidRPr="00BD717F">
        <w:rPr>
          <w:sz w:val="18"/>
          <w:szCs w:val="18"/>
          <w:lang w:val="en-GB"/>
        </w:rPr>
        <w:t xml:space="preserve">Maignan, I. Ferrel, O.C. (2004). Corporate social responsibility and marketing: an integrative framework. </w:t>
      </w:r>
      <w:r w:rsidRPr="00BD717F">
        <w:rPr>
          <w:i/>
          <w:sz w:val="18"/>
          <w:szCs w:val="18"/>
        </w:rPr>
        <w:t>Journal of the Academy of Marketing Science, vol 32, 3-19</w:t>
      </w:r>
    </w:p>
    <w:p w:rsidR="00FA76C9" w:rsidRDefault="00FA76C9" w:rsidP="00BD717F">
      <w:pPr>
        <w:spacing w:line="240" w:lineRule="auto"/>
        <w:rPr>
          <w:rStyle w:val="Hyperlink"/>
          <w:sz w:val="18"/>
          <w:szCs w:val="18"/>
        </w:rPr>
      </w:pPr>
      <w:r w:rsidRPr="00BD717F">
        <w:rPr>
          <w:sz w:val="18"/>
          <w:szCs w:val="18"/>
        </w:rPr>
        <w:t xml:space="preserve">Mazars. (z.d.). </w:t>
      </w:r>
      <w:r w:rsidRPr="00BD717F">
        <w:rPr>
          <w:i/>
          <w:sz w:val="18"/>
          <w:szCs w:val="18"/>
        </w:rPr>
        <w:t xml:space="preserve">Controle en beoordeling jaarrekeningen. </w:t>
      </w:r>
      <w:r w:rsidRPr="00BD717F">
        <w:rPr>
          <w:sz w:val="18"/>
          <w:szCs w:val="18"/>
        </w:rPr>
        <w:t xml:space="preserve">Geraadpleegd op 8 juni 2014, van mazars.nl: </w:t>
      </w:r>
      <w:hyperlink r:id="rId21" w:history="1">
        <w:r w:rsidRPr="00BD717F">
          <w:rPr>
            <w:rStyle w:val="Hyperlink"/>
            <w:sz w:val="18"/>
            <w:szCs w:val="18"/>
          </w:rPr>
          <w:t>http://www.mazars.nl/Startpagina/Onze-expertise/Accountancy/Controle-en-beoordeling-jaarrekeningen</w:t>
        </w:r>
      </w:hyperlink>
    </w:p>
    <w:p w:rsidR="00EC3944" w:rsidRPr="00EC3944" w:rsidRDefault="00EC3944" w:rsidP="00BD717F">
      <w:pPr>
        <w:spacing w:line="240" w:lineRule="auto"/>
        <w:rPr>
          <w:rStyle w:val="Hyperlink"/>
          <w:color w:val="auto"/>
          <w:sz w:val="18"/>
          <w:szCs w:val="18"/>
          <w:u w:val="none"/>
        </w:rPr>
      </w:pPr>
      <w:r>
        <w:rPr>
          <w:rStyle w:val="Hyperlink"/>
          <w:color w:val="auto"/>
          <w:sz w:val="18"/>
          <w:szCs w:val="18"/>
          <w:u w:val="none"/>
        </w:rPr>
        <w:t xml:space="preserve">Melis, D.A.M. (2013) </w:t>
      </w:r>
      <w:r>
        <w:rPr>
          <w:rStyle w:val="Hyperlink"/>
          <w:i/>
          <w:color w:val="auto"/>
          <w:sz w:val="18"/>
          <w:szCs w:val="18"/>
          <w:u w:val="none"/>
        </w:rPr>
        <w:t xml:space="preserve">Heroverweging van de rol van de aandeelhouder in corporate governance: juridisch versus economisch perspectief </w:t>
      </w:r>
      <w:r>
        <w:rPr>
          <w:rStyle w:val="Hyperlink"/>
          <w:color w:val="auto"/>
          <w:sz w:val="18"/>
          <w:szCs w:val="18"/>
          <w:u w:val="none"/>
        </w:rPr>
        <w:t xml:space="preserve">(Nieuwsbrief). Breukelen: Nyenrode Corporate Governance Instituut. </w:t>
      </w:r>
    </w:p>
    <w:p w:rsidR="00FA76C9" w:rsidRPr="00BD717F" w:rsidRDefault="00FA76C9" w:rsidP="00BD717F">
      <w:pPr>
        <w:spacing w:line="240" w:lineRule="auto"/>
        <w:rPr>
          <w:sz w:val="18"/>
          <w:szCs w:val="18"/>
        </w:rPr>
      </w:pPr>
      <w:r w:rsidRPr="00BD717F">
        <w:rPr>
          <w:sz w:val="18"/>
          <w:szCs w:val="18"/>
        </w:rPr>
        <w:t xml:space="preserve">Ministerie van Buitenlandse Zaken. (z.d.) </w:t>
      </w:r>
      <w:r w:rsidRPr="00BD717F">
        <w:rPr>
          <w:i/>
          <w:sz w:val="18"/>
          <w:szCs w:val="18"/>
        </w:rPr>
        <w:t xml:space="preserve">informatieverstrekking. </w:t>
      </w:r>
      <w:r w:rsidRPr="00BD717F">
        <w:rPr>
          <w:sz w:val="18"/>
          <w:szCs w:val="18"/>
        </w:rPr>
        <w:t xml:space="preserve">Geraadpleegd op 2 juni 2014, van oesorichtlijnen.nl: </w:t>
      </w:r>
      <w:hyperlink r:id="rId22" w:history="1">
        <w:r w:rsidRPr="00BD717F">
          <w:rPr>
            <w:rStyle w:val="Hyperlink"/>
            <w:sz w:val="18"/>
            <w:szCs w:val="18"/>
          </w:rPr>
          <w:t>http://www.oesorichtlijnen.nl/oeso-richtlijnen/informatieverstrekking</w:t>
        </w:r>
      </w:hyperlink>
    </w:p>
    <w:p w:rsidR="00FA76C9" w:rsidRPr="00BD717F" w:rsidRDefault="00FA76C9" w:rsidP="00BD717F">
      <w:pPr>
        <w:spacing w:line="240" w:lineRule="auto"/>
        <w:rPr>
          <w:sz w:val="18"/>
          <w:szCs w:val="18"/>
        </w:rPr>
      </w:pPr>
      <w:r w:rsidRPr="00BD717F">
        <w:rPr>
          <w:sz w:val="18"/>
          <w:szCs w:val="18"/>
        </w:rPr>
        <w:t xml:space="preserve">Ministerie van Economische Zaken. (z.d.). </w:t>
      </w:r>
      <w:r w:rsidRPr="00BD717F">
        <w:rPr>
          <w:i/>
          <w:sz w:val="18"/>
          <w:szCs w:val="18"/>
        </w:rPr>
        <w:t xml:space="preserve">Over de Transparantiebenchmark. </w:t>
      </w:r>
      <w:r w:rsidRPr="00BD717F">
        <w:rPr>
          <w:sz w:val="18"/>
          <w:szCs w:val="18"/>
        </w:rPr>
        <w:t xml:space="preserve">Geraadpleegd op 28 mei 2014, van transparantiebenckmark.nl: </w:t>
      </w:r>
      <w:hyperlink r:id="rId23" w:history="1">
        <w:r w:rsidRPr="00BD717F">
          <w:rPr>
            <w:rStyle w:val="Hyperlink"/>
            <w:sz w:val="18"/>
            <w:szCs w:val="18"/>
          </w:rPr>
          <w:t>http://www.transparantiebenchmark.nl/Over%20Transparantiebenchmark</w:t>
        </w:r>
      </w:hyperlink>
    </w:p>
    <w:p w:rsidR="00FA76C9" w:rsidRPr="00BD717F" w:rsidRDefault="00FA76C9" w:rsidP="00BD717F">
      <w:pPr>
        <w:spacing w:line="240" w:lineRule="auto"/>
        <w:rPr>
          <w:sz w:val="18"/>
          <w:szCs w:val="18"/>
        </w:rPr>
      </w:pPr>
      <w:r w:rsidRPr="00BD717F">
        <w:rPr>
          <w:sz w:val="18"/>
          <w:szCs w:val="18"/>
        </w:rPr>
        <w:t xml:space="preserve">Moratis, L. van der Veen, M. (2010) </w:t>
      </w:r>
      <w:r w:rsidRPr="00BD717F">
        <w:rPr>
          <w:i/>
          <w:sz w:val="18"/>
          <w:szCs w:val="18"/>
        </w:rPr>
        <w:t xml:space="preserve">Basisboek MVO. </w:t>
      </w:r>
      <w:r w:rsidRPr="00BD717F">
        <w:rPr>
          <w:sz w:val="18"/>
          <w:szCs w:val="18"/>
        </w:rPr>
        <w:t xml:space="preserve">Assen: van Gorcum. </w:t>
      </w:r>
    </w:p>
    <w:p w:rsidR="00FA76C9" w:rsidRPr="00BD717F" w:rsidRDefault="00FA76C9" w:rsidP="00BD717F">
      <w:pPr>
        <w:spacing w:line="240" w:lineRule="auto"/>
        <w:rPr>
          <w:sz w:val="18"/>
          <w:szCs w:val="18"/>
        </w:rPr>
      </w:pPr>
      <w:r w:rsidRPr="00BD717F">
        <w:rPr>
          <w:sz w:val="18"/>
          <w:szCs w:val="18"/>
        </w:rPr>
        <w:t xml:space="preserve">Motta, R.A. (2001). </w:t>
      </w:r>
      <w:r w:rsidRPr="00BD717F">
        <w:rPr>
          <w:i/>
          <w:sz w:val="18"/>
          <w:szCs w:val="18"/>
        </w:rPr>
        <w:t xml:space="preserve">Maatschappelijke Verslaggeving: Een werkterrein voor accountants? </w:t>
      </w:r>
      <w:r w:rsidRPr="00BD717F">
        <w:rPr>
          <w:sz w:val="18"/>
          <w:szCs w:val="18"/>
        </w:rPr>
        <w:t xml:space="preserve">(scriptie doctoraal). Tilburg: Katholieke Universiteit Brabant, department accounting. </w:t>
      </w:r>
    </w:p>
    <w:p w:rsidR="00FA76C9" w:rsidRPr="00BD717F" w:rsidRDefault="00FA76C9" w:rsidP="00BD717F">
      <w:pPr>
        <w:spacing w:line="240" w:lineRule="auto"/>
        <w:rPr>
          <w:sz w:val="18"/>
          <w:szCs w:val="18"/>
        </w:rPr>
      </w:pPr>
      <w:r w:rsidRPr="00BD717F">
        <w:rPr>
          <w:sz w:val="18"/>
          <w:szCs w:val="18"/>
        </w:rPr>
        <w:t>MVO Nederland. (z.d.).</w:t>
      </w:r>
      <w:r w:rsidRPr="00BD717F">
        <w:rPr>
          <w:i/>
          <w:sz w:val="18"/>
          <w:szCs w:val="18"/>
        </w:rPr>
        <w:t xml:space="preserve"> Wat is MVO? </w:t>
      </w:r>
      <w:r w:rsidRPr="00BD717F">
        <w:rPr>
          <w:sz w:val="18"/>
          <w:szCs w:val="18"/>
        </w:rPr>
        <w:t xml:space="preserve">Geraadpleegd op 27 mei 2014, van mvonederland.nl: </w:t>
      </w:r>
      <w:hyperlink r:id="rId24" w:history="1">
        <w:r w:rsidRPr="00BD717F">
          <w:rPr>
            <w:rStyle w:val="Hyperlink"/>
            <w:sz w:val="18"/>
            <w:szCs w:val="18"/>
          </w:rPr>
          <w:t>http://www.mvonederland.nl/wat-mvo/wat-is-mvo</w:t>
        </w:r>
      </w:hyperlink>
      <w:r w:rsidRPr="00BD717F">
        <w:rPr>
          <w:sz w:val="18"/>
          <w:szCs w:val="18"/>
        </w:rPr>
        <w:t xml:space="preserve"> </w:t>
      </w:r>
    </w:p>
    <w:p w:rsidR="00FA76C9" w:rsidRDefault="00FA76C9" w:rsidP="00BD717F">
      <w:pPr>
        <w:spacing w:line="240" w:lineRule="auto"/>
        <w:rPr>
          <w:rStyle w:val="Hyperlink"/>
          <w:sz w:val="18"/>
          <w:szCs w:val="18"/>
        </w:rPr>
      </w:pPr>
      <w:r w:rsidRPr="00BD717F">
        <w:rPr>
          <w:sz w:val="18"/>
          <w:szCs w:val="18"/>
        </w:rPr>
        <w:t xml:space="preserve">MVO platform. (z.d.). </w:t>
      </w:r>
      <w:r w:rsidRPr="00BD717F">
        <w:rPr>
          <w:i/>
          <w:sz w:val="18"/>
          <w:szCs w:val="18"/>
        </w:rPr>
        <w:t xml:space="preserve">Wat is MVO? </w:t>
      </w:r>
      <w:r w:rsidRPr="00BD717F">
        <w:rPr>
          <w:sz w:val="18"/>
          <w:szCs w:val="18"/>
        </w:rPr>
        <w:t xml:space="preserve">Geraadpleegd op 27 mei 2014, van mvoplatform.nl: </w:t>
      </w:r>
      <w:hyperlink r:id="rId25" w:history="1">
        <w:r w:rsidRPr="00BD717F">
          <w:rPr>
            <w:rStyle w:val="Hyperlink"/>
            <w:sz w:val="18"/>
            <w:szCs w:val="18"/>
          </w:rPr>
          <w:t>http://mvoplatform.nl/wat-is-mvo/wat-is-mvo</w:t>
        </w:r>
      </w:hyperlink>
    </w:p>
    <w:p w:rsidR="00C20BBB" w:rsidRPr="00C20BBB" w:rsidRDefault="00C20BBB" w:rsidP="00BD717F">
      <w:pPr>
        <w:spacing w:line="240" w:lineRule="auto"/>
        <w:rPr>
          <w:sz w:val="18"/>
          <w:szCs w:val="18"/>
        </w:rPr>
      </w:pPr>
      <w:r>
        <w:rPr>
          <w:rStyle w:val="Hyperlink"/>
          <w:color w:val="auto"/>
          <w:sz w:val="18"/>
          <w:szCs w:val="18"/>
          <w:u w:val="none"/>
        </w:rPr>
        <w:t xml:space="preserve">NBA. (z.d.). </w:t>
      </w:r>
      <w:r>
        <w:rPr>
          <w:rStyle w:val="Hyperlink"/>
          <w:i/>
          <w:color w:val="auto"/>
          <w:sz w:val="18"/>
          <w:szCs w:val="18"/>
          <w:u w:val="none"/>
        </w:rPr>
        <w:t xml:space="preserve">3810N Assurance-opdrachten inzake maatschappelijke verslagen </w:t>
      </w:r>
      <w:r>
        <w:rPr>
          <w:rStyle w:val="Hyperlink"/>
          <w:color w:val="auto"/>
          <w:sz w:val="18"/>
          <w:szCs w:val="18"/>
          <w:u w:val="none"/>
        </w:rPr>
        <w:t xml:space="preserve">(HRA).  Amsterdam: Nederlandse Beroepsorganisatie van Accountants. </w:t>
      </w:r>
    </w:p>
    <w:p w:rsidR="00C20BBB" w:rsidRPr="00BD717F" w:rsidRDefault="00FA76C9" w:rsidP="00BD717F">
      <w:pPr>
        <w:spacing w:line="240" w:lineRule="auto"/>
        <w:rPr>
          <w:sz w:val="18"/>
          <w:szCs w:val="18"/>
        </w:rPr>
      </w:pPr>
      <w:r w:rsidRPr="00BD717F">
        <w:rPr>
          <w:sz w:val="18"/>
          <w:szCs w:val="18"/>
        </w:rPr>
        <w:t xml:space="preserve">NBA. (2013). </w:t>
      </w:r>
      <w:r w:rsidRPr="00BD717F">
        <w:rPr>
          <w:i/>
          <w:sz w:val="18"/>
          <w:szCs w:val="18"/>
        </w:rPr>
        <w:t xml:space="preserve">Integrated reporting: het rapportagemodel van de toekomst! </w:t>
      </w:r>
      <w:r w:rsidRPr="00BD717F">
        <w:rPr>
          <w:sz w:val="18"/>
          <w:szCs w:val="18"/>
        </w:rPr>
        <w:t xml:space="preserve">(visiedocument). Amsterdam: Nederlandse Beroepsorganisatie van Accountants. </w:t>
      </w:r>
    </w:p>
    <w:p w:rsidR="00FA76C9" w:rsidRPr="00BD717F" w:rsidRDefault="00FA76C9" w:rsidP="00BD717F">
      <w:pPr>
        <w:spacing w:line="240" w:lineRule="auto"/>
        <w:rPr>
          <w:sz w:val="18"/>
          <w:szCs w:val="18"/>
          <w:lang w:val="en-GB"/>
        </w:rPr>
      </w:pPr>
      <w:r w:rsidRPr="00BD717F">
        <w:rPr>
          <w:sz w:val="18"/>
          <w:szCs w:val="18"/>
        </w:rPr>
        <w:t xml:space="preserve">NEMACC. (2013). </w:t>
      </w:r>
      <w:r w:rsidRPr="00BD717F">
        <w:rPr>
          <w:i/>
          <w:sz w:val="18"/>
          <w:szCs w:val="18"/>
        </w:rPr>
        <w:t xml:space="preserve">De netto-voordelen van integrated reporting voor het MKB </w:t>
      </w:r>
      <w:r w:rsidRPr="00BD717F">
        <w:rPr>
          <w:sz w:val="18"/>
          <w:szCs w:val="18"/>
        </w:rPr>
        <w:t xml:space="preserve">(onderzoeksrapport). </w:t>
      </w:r>
      <w:r w:rsidRPr="00BD717F">
        <w:rPr>
          <w:sz w:val="18"/>
          <w:szCs w:val="18"/>
          <w:lang w:val="en-GB"/>
        </w:rPr>
        <w:t xml:space="preserve">Rotterdam: NEMACC. </w:t>
      </w:r>
    </w:p>
    <w:p w:rsidR="00FA76C9" w:rsidRPr="00BD717F" w:rsidRDefault="00FA76C9" w:rsidP="00BD717F">
      <w:pPr>
        <w:spacing w:line="240" w:lineRule="auto"/>
        <w:rPr>
          <w:sz w:val="18"/>
          <w:szCs w:val="18"/>
        </w:rPr>
      </w:pPr>
      <w:r w:rsidRPr="00BD717F">
        <w:rPr>
          <w:sz w:val="18"/>
          <w:szCs w:val="18"/>
          <w:lang w:val="en-GB"/>
        </w:rPr>
        <w:t xml:space="preserve">Niemenmaa, V. Turtiainen M. (2013). </w:t>
      </w:r>
      <w:r w:rsidRPr="00BD717F">
        <w:rPr>
          <w:i/>
          <w:sz w:val="18"/>
          <w:szCs w:val="18"/>
          <w:lang w:val="en-GB"/>
        </w:rPr>
        <w:t xml:space="preserve">Sustainability Reporting: Concepts, Frameworks and the Role of Supreme Audit Institutions </w:t>
      </w:r>
      <w:r w:rsidRPr="00BD717F">
        <w:rPr>
          <w:sz w:val="18"/>
          <w:szCs w:val="18"/>
          <w:lang w:val="en-GB"/>
        </w:rPr>
        <w:t xml:space="preserve">(Rapport). </w:t>
      </w:r>
      <w:r w:rsidRPr="00BD717F">
        <w:rPr>
          <w:sz w:val="18"/>
          <w:szCs w:val="18"/>
        </w:rPr>
        <w:t xml:space="preserve">Wenen, Oostenrijk: International Organization of Supreme Audit Institutions. </w:t>
      </w:r>
    </w:p>
    <w:p w:rsidR="00FA76C9" w:rsidRPr="00BD717F" w:rsidRDefault="00FA76C9" w:rsidP="00BD717F">
      <w:pPr>
        <w:spacing w:line="240" w:lineRule="auto"/>
        <w:rPr>
          <w:sz w:val="18"/>
          <w:szCs w:val="18"/>
        </w:rPr>
      </w:pPr>
      <w:r w:rsidRPr="00BD717F">
        <w:rPr>
          <w:sz w:val="18"/>
          <w:szCs w:val="18"/>
        </w:rPr>
        <w:lastRenderedPageBreak/>
        <w:t xml:space="preserve">NIVRA. (2008). </w:t>
      </w:r>
      <w:r w:rsidRPr="00BD717F">
        <w:rPr>
          <w:i/>
          <w:sz w:val="18"/>
          <w:szCs w:val="18"/>
        </w:rPr>
        <w:t xml:space="preserve">Niet-financiële informatie in beweging </w:t>
      </w:r>
      <w:r w:rsidRPr="00BD717F">
        <w:rPr>
          <w:sz w:val="18"/>
          <w:szCs w:val="18"/>
        </w:rPr>
        <w:t>(Rapport). Amsterdam: Nederlands Instituut van Registeraccountants.</w:t>
      </w:r>
    </w:p>
    <w:p w:rsidR="00FA76C9" w:rsidRPr="00BD717F" w:rsidRDefault="00FA76C9" w:rsidP="00BD717F">
      <w:pPr>
        <w:spacing w:line="240" w:lineRule="auto"/>
        <w:rPr>
          <w:sz w:val="18"/>
          <w:szCs w:val="18"/>
        </w:rPr>
      </w:pPr>
      <w:r w:rsidRPr="00BD717F">
        <w:rPr>
          <w:sz w:val="18"/>
          <w:szCs w:val="18"/>
        </w:rPr>
        <w:t xml:space="preserve">NIVRA. (2009a), Handleiding Regelgeving Accountancy. NBA.nl, geraadpleegd op 8 juni 2014,  van nba.nl: </w:t>
      </w:r>
      <w:hyperlink r:id="rId26" w:history="1">
        <w:r w:rsidRPr="00BD717F">
          <w:rPr>
            <w:rStyle w:val="Hyperlink"/>
            <w:sz w:val="18"/>
            <w:szCs w:val="18"/>
          </w:rPr>
          <w:t>https://www.nba.nl/HRAweb/HRA1/200901/html/32947.htm</w:t>
        </w:r>
      </w:hyperlink>
    </w:p>
    <w:p w:rsidR="00FA76C9" w:rsidRPr="00BD717F" w:rsidRDefault="00FA76C9" w:rsidP="00BD717F">
      <w:pPr>
        <w:spacing w:line="240" w:lineRule="auto"/>
        <w:rPr>
          <w:sz w:val="18"/>
          <w:szCs w:val="18"/>
        </w:rPr>
      </w:pPr>
      <w:r w:rsidRPr="00BD717F">
        <w:rPr>
          <w:sz w:val="18"/>
          <w:szCs w:val="18"/>
        </w:rPr>
        <w:t xml:space="preserve">NIVRA. (2009b). </w:t>
      </w:r>
      <w:r w:rsidRPr="00BD717F">
        <w:rPr>
          <w:i/>
          <w:sz w:val="18"/>
          <w:szCs w:val="18"/>
        </w:rPr>
        <w:t xml:space="preserve">Meer dan euro’s alleen </w:t>
      </w:r>
      <w:r w:rsidRPr="00BD717F">
        <w:rPr>
          <w:sz w:val="18"/>
          <w:szCs w:val="18"/>
        </w:rPr>
        <w:t xml:space="preserve">(Rapport). Amsterdam: Nederlands Instituut van Registeraccountants. </w:t>
      </w:r>
    </w:p>
    <w:p w:rsidR="00FA76C9" w:rsidRPr="00BD717F" w:rsidRDefault="00FA76C9" w:rsidP="00BD717F">
      <w:pPr>
        <w:spacing w:line="240" w:lineRule="auto"/>
        <w:rPr>
          <w:sz w:val="18"/>
          <w:szCs w:val="18"/>
        </w:rPr>
      </w:pPr>
      <w:r w:rsidRPr="00BD717F">
        <w:rPr>
          <w:sz w:val="18"/>
          <w:szCs w:val="18"/>
        </w:rPr>
        <w:t xml:space="preserve">NIVRA. (2009c). </w:t>
      </w:r>
      <w:r w:rsidRPr="00BD717F">
        <w:rPr>
          <w:i/>
          <w:sz w:val="18"/>
          <w:szCs w:val="18"/>
        </w:rPr>
        <w:t xml:space="preserve">Het assurance-raamwerk: De accountant en het verstrekken van zekerheid </w:t>
      </w:r>
      <w:r w:rsidRPr="00BD717F">
        <w:rPr>
          <w:sz w:val="18"/>
          <w:szCs w:val="18"/>
        </w:rPr>
        <w:t xml:space="preserve">(Rapport). Amsterdam: Nederlands Instituut van Registeraccountants. </w:t>
      </w:r>
    </w:p>
    <w:p w:rsidR="00FA76C9" w:rsidRPr="00BD717F" w:rsidRDefault="00FA76C9" w:rsidP="00BD717F">
      <w:pPr>
        <w:spacing w:line="240" w:lineRule="auto"/>
        <w:rPr>
          <w:sz w:val="18"/>
          <w:szCs w:val="18"/>
        </w:rPr>
      </w:pPr>
      <w:r w:rsidRPr="00BD717F">
        <w:rPr>
          <w:sz w:val="18"/>
          <w:szCs w:val="18"/>
        </w:rPr>
        <w:t xml:space="preserve">Ocean Tomo. (2010). </w:t>
      </w:r>
      <w:r w:rsidRPr="00BD717F">
        <w:rPr>
          <w:i/>
          <w:sz w:val="18"/>
          <w:szCs w:val="18"/>
        </w:rPr>
        <w:t xml:space="preserve">Intellectual Capital Equity. </w:t>
      </w:r>
      <w:r w:rsidRPr="00BD717F">
        <w:rPr>
          <w:sz w:val="18"/>
          <w:szCs w:val="18"/>
        </w:rPr>
        <w:t xml:space="preserve">Geraadpleegd op 22 mei 2014, van oceantomo.com: </w:t>
      </w:r>
      <w:hyperlink r:id="rId27" w:history="1">
        <w:r w:rsidRPr="00BD717F">
          <w:rPr>
            <w:rStyle w:val="Hyperlink"/>
            <w:sz w:val="18"/>
            <w:szCs w:val="18"/>
          </w:rPr>
          <w:t>http://www.oceantomo.com/about/intellectualcapitalequity</w:t>
        </w:r>
      </w:hyperlink>
    </w:p>
    <w:p w:rsidR="001B421F" w:rsidRPr="00BD717F" w:rsidRDefault="00FA76C9" w:rsidP="00BD717F">
      <w:pPr>
        <w:spacing w:line="240" w:lineRule="auto"/>
        <w:rPr>
          <w:sz w:val="18"/>
          <w:szCs w:val="18"/>
        </w:rPr>
      </w:pPr>
      <w:r w:rsidRPr="00BD717F">
        <w:rPr>
          <w:sz w:val="18"/>
          <w:szCs w:val="18"/>
          <w:lang w:val="en-GB"/>
        </w:rPr>
        <w:t xml:space="preserve">Palepu, K.G. Peek, E. Healy, P. (2013) </w:t>
      </w:r>
      <w:r w:rsidRPr="00BD717F">
        <w:rPr>
          <w:i/>
          <w:sz w:val="18"/>
          <w:szCs w:val="18"/>
          <w:lang w:val="en-GB"/>
        </w:rPr>
        <w:t xml:space="preserve">Business Analysis and Valuation. </w:t>
      </w:r>
      <w:r w:rsidRPr="00BD717F">
        <w:rPr>
          <w:sz w:val="18"/>
          <w:szCs w:val="18"/>
        </w:rPr>
        <w:t xml:space="preserve">Hampshire: Cangaga learning. </w:t>
      </w:r>
      <w:r w:rsidR="001B421F" w:rsidRPr="00BD717F">
        <w:rPr>
          <w:sz w:val="18"/>
          <w:szCs w:val="18"/>
        </w:rPr>
        <w:t xml:space="preserve"> </w:t>
      </w:r>
    </w:p>
    <w:p w:rsidR="00FA76C9" w:rsidRPr="00BD717F" w:rsidRDefault="00FA76C9" w:rsidP="00BD717F">
      <w:pPr>
        <w:spacing w:line="240" w:lineRule="auto"/>
        <w:rPr>
          <w:i/>
          <w:sz w:val="18"/>
          <w:szCs w:val="18"/>
        </w:rPr>
      </w:pPr>
      <w:r w:rsidRPr="00BD717F">
        <w:rPr>
          <w:sz w:val="18"/>
          <w:szCs w:val="18"/>
        </w:rPr>
        <w:t xml:space="preserve">Pouw, A. van der Laan, R. (2012). Lessons learned: het geïntegreerde jaarverslag. </w:t>
      </w:r>
      <w:r w:rsidRPr="00BD717F">
        <w:rPr>
          <w:i/>
          <w:sz w:val="18"/>
          <w:szCs w:val="18"/>
        </w:rPr>
        <w:t>Spotlight, jaargang 19, 34-36.</w:t>
      </w:r>
    </w:p>
    <w:p w:rsidR="00FA76C9" w:rsidRPr="00BD717F" w:rsidRDefault="00FA76C9" w:rsidP="00BD717F">
      <w:pPr>
        <w:spacing w:line="240" w:lineRule="auto"/>
        <w:rPr>
          <w:sz w:val="18"/>
          <w:szCs w:val="18"/>
        </w:rPr>
      </w:pPr>
      <w:r w:rsidRPr="00BD717F">
        <w:rPr>
          <w:sz w:val="18"/>
          <w:szCs w:val="18"/>
        </w:rPr>
        <w:t xml:space="preserve">Raad voor de Jaarverslaggeving. (2009). </w:t>
      </w:r>
      <w:r w:rsidRPr="00BD717F">
        <w:rPr>
          <w:i/>
          <w:sz w:val="18"/>
          <w:szCs w:val="18"/>
        </w:rPr>
        <w:t xml:space="preserve">Herziene Richtlijn 400 Jaarverslag en Handreiking voor Maatschappelijke verslaggeving </w:t>
      </w:r>
      <w:r w:rsidRPr="00BD717F">
        <w:rPr>
          <w:sz w:val="18"/>
          <w:szCs w:val="18"/>
        </w:rPr>
        <w:t>(RJ-uiting)</w:t>
      </w:r>
      <w:r w:rsidRPr="00BD717F">
        <w:rPr>
          <w:i/>
          <w:sz w:val="18"/>
          <w:szCs w:val="18"/>
        </w:rPr>
        <w:t xml:space="preserve">. </w:t>
      </w:r>
      <w:r w:rsidRPr="00BD717F">
        <w:rPr>
          <w:sz w:val="18"/>
          <w:szCs w:val="18"/>
        </w:rPr>
        <w:t xml:space="preserve">Amsterdam: Raad voor de Jaarverslaggeving. </w:t>
      </w:r>
    </w:p>
    <w:p w:rsidR="00FA76C9" w:rsidRPr="00BD717F" w:rsidRDefault="00FA76C9" w:rsidP="00BD717F">
      <w:pPr>
        <w:spacing w:line="240" w:lineRule="auto"/>
        <w:rPr>
          <w:sz w:val="18"/>
          <w:szCs w:val="18"/>
        </w:rPr>
      </w:pPr>
      <w:r w:rsidRPr="00BD717F">
        <w:rPr>
          <w:sz w:val="18"/>
          <w:szCs w:val="18"/>
        </w:rPr>
        <w:t xml:space="preserve">SER. (2000). </w:t>
      </w:r>
      <w:r w:rsidRPr="00BD717F">
        <w:rPr>
          <w:i/>
          <w:sz w:val="18"/>
          <w:szCs w:val="18"/>
        </w:rPr>
        <w:t xml:space="preserve">De winst van waarden </w:t>
      </w:r>
      <w:r w:rsidRPr="00BD717F">
        <w:rPr>
          <w:sz w:val="18"/>
          <w:szCs w:val="18"/>
        </w:rPr>
        <w:t xml:space="preserve">(Rapport). Den haag: Sociaal Economische Raad. </w:t>
      </w:r>
    </w:p>
    <w:p w:rsidR="00FA76C9" w:rsidRPr="00BD717F" w:rsidRDefault="00FA76C9" w:rsidP="00BD717F">
      <w:pPr>
        <w:spacing w:line="240" w:lineRule="auto"/>
        <w:rPr>
          <w:sz w:val="18"/>
          <w:szCs w:val="18"/>
        </w:rPr>
      </w:pPr>
      <w:r w:rsidRPr="00BD717F">
        <w:rPr>
          <w:sz w:val="18"/>
          <w:szCs w:val="18"/>
        </w:rPr>
        <w:t xml:space="preserve">Stam, M. Admiraal, M. (2013). </w:t>
      </w:r>
      <w:r w:rsidRPr="00BD717F">
        <w:rPr>
          <w:i/>
          <w:sz w:val="18"/>
          <w:szCs w:val="18"/>
        </w:rPr>
        <w:t xml:space="preserve">Transparantiebenchmark 2013, de Kristal 2013 </w:t>
      </w:r>
      <w:r w:rsidRPr="00BD717F">
        <w:rPr>
          <w:sz w:val="18"/>
          <w:szCs w:val="18"/>
        </w:rPr>
        <w:t xml:space="preserve">(Rapport). Den Haag: Ministerie van Economische Zaken. </w:t>
      </w:r>
    </w:p>
    <w:p w:rsidR="00FA76C9" w:rsidRPr="00BD717F" w:rsidRDefault="00FA76C9" w:rsidP="00BD717F">
      <w:pPr>
        <w:spacing w:line="240" w:lineRule="auto"/>
        <w:rPr>
          <w:sz w:val="18"/>
          <w:szCs w:val="18"/>
        </w:rPr>
      </w:pPr>
      <w:r w:rsidRPr="00BD717F">
        <w:rPr>
          <w:sz w:val="18"/>
          <w:szCs w:val="18"/>
        </w:rPr>
        <w:t xml:space="preserve">Schweppe, M. Abma, R. de Ruiter, H. (2010). </w:t>
      </w:r>
      <w:r w:rsidRPr="00BD717F">
        <w:rPr>
          <w:i/>
          <w:sz w:val="18"/>
          <w:szCs w:val="18"/>
        </w:rPr>
        <w:t xml:space="preserve">Niet-financiële informatie steeds belangrijker voor beleggers </w:t>
      </w:r>
      <w:r w:rsidRPr="00BD717F">
        <w:rPr>
          <w:sz w:val="18"/>
          <w:szCs w:val="18"/>
        </w:rPr>
        <w:t xml:space="preserve">(Persbericht). Den Haag: Eumedion. </w:t>
      </w:r>
    </w:p>
    <w:p w:rsidR="00FA76C9" w:rsidRPr="00BD717F" w:rsidRDefault="00FA76C9" w:rsidP="00BD717F">
      <w:pPr>
        <w:spacing w:line="240" w:lineRule="auto"/>
        <w:rPr>
          <w:i/>
          <w:sz w:val="18"/>
          <w:szCs w:val="18"/>
          <w:lang w:val="en-GB"/>
        </w:rPr>
      </w:pPr>
      <w:r w:rsidRPr="00BD717F">
        <w:rPr>
          <w:sz w:val="18"/>
          <w:szCs w:val="18"/>
        </w:rPr>
        <w:t xml:space="preserve">Van Bergen, A. (2011). Accountant en duurzaamheid: jeugdig fenomeen heeft tijd nodig. </w:t>
      </w:r>
      <w:r w:rsidRPr="00BD717F">
        <w:rPr>
          <w:i/>
          <w:sz w:val="18"/>
          <w:szCs w:val="18"/>
          <w:lang w:val="en-GB"/>
        </w:rPr>
        <w:t>Accountant, 18-22</w:t>
      </w:r>
    </w:p>
    <w:p w:rsidR="00FA76C9" w:rsidRPr="00BD717F" w:rsidRDefault="00FA76C9" w:rsidP="00BD717F">
      <w:pPr>
        <w:spacing w:line="240" w:lineRule="auto"/>
        <w:rPr>
          <w:i/>
          <w:sz w:val="18"/>
          <w:szCs w:val="18"/>
          <w:lang w:val="en-GB"/>
        </w:rPr>
      </w:pPr>
      <w:r w:rsidRPr="00BD717F">
        <w:rPr>
          <w:sz w:val="18"/>
          <w:szCs w:val="18"/>
          <w:lang w:val="en-GB"/>
        </w:rPr>
        <w:t xml:space="preserve">Van der Laan, S. (2009) The role of theory in explaining motivation for corporate social disclosures: voluntary  disclosures vs 'solicited' disclosure. </w:t>
      </w:r>
      <w:r w:rsidRPr="00BD717F">
        <w:rPr>
          <w:i/>
          <w:sz w:val="18"/>
          <w:szCs w:val="18"/>
          <w:lang w:val="en-GB"/>
        </w:rPr>
        <w:t>Australian Accounting, Business and Finance Journal, 15-29</w:t>
      </w:r>
    </w:p>
    <w:p w:rsidR="00FA76C9" w:rsidRPr="00BD717F" w:rsidRDefault="00FA76C9" w:rsidP="00BD717F">
      <w:pPr>
        <w:spacing w:line="240" w:lineRule="auto"/>
        <w:rPr>
          <w:sz w:val="18"/>
          <w:szCs w:val="18"/>
        </w:rPr>
      </w:pPr>
      <w:r w:rsidRPr="00BD717F">
        <w:rPr>
          <w:sz w:val="18"/>
          <w:szCs w:val="18"/>
          <w:lang w:val="en-GB"/>
        </w:rPr>
        <w:t xml:space="preserve">Van der Veer, J.S. (2013) </w:t>
      </w:r>
      <w:r w:rsidRPr="00BD717F">
        <w:rPr>
          <w:i/>
          <w:sz w:val="18"/>
          <w:szCs w:val="18"/>
          <w:lang w:val="en-GB"/>
        </w:rPr>
        <w:t xml:space="preserve">De waarde van Integrated reporting voor het MKB </w:t>
      </w:r>
      <w:r w:rsidRPr="00BD717F">
        <w:rPr>
          <w:sz w:val="18"/>
          <w:szCs w:val="18"/>
          <w:lang w:val="en-GB"/>
        </w:rPr>
        <w:t xml:space="preserve">(Bachelor thesis). </w:t>
      </w:r>
      <w:r w:rsidRPr="00BD717F">
        <w:rPr>
          <w:sz w:val="18"/>
          <w:szCs w:val="18"/>
        </w:rPr>
        <w:t xml:space="preserve">Rotterdam: Erasmus Universiteit Rotterdam, Erasmus School of Economics. </w:t>
      </w:r>
    </w:p>
    <w:p w:rsidR="00FA76C9" w:rsidRPr="00BD717F" w:rsidRDefault="00FA76C9" w:rsidP="00BD717F">
      <w:pPr>
        <w:spacing w:line="240" w:lineRule="auto"/>
        <w:rPr>
          <w:i/>
          <w:sz w:val="18"/>
          <w:szCs w:val="18"/>
        </w:rPr>
      </w:pPr>
      <w:r w:rsidRPr="00BD717F">
        <w:rPr>
          <w:sz w:val="18"/>
          <w:szCs w:val="18"/>
        </w:rPr>
        <w:t xml:space="preserve">Van Eijk, D. Hooghiemstra, R. (2007). Media-aandacht en maatschappelijke verslaggeving: de bouwfraude. </w:t>
      </w:r>
      <w:r w:rsidRPr="00BD717F">
        <w:rPr>
          <w:i/>
          <w:sz w:val="18"/>
          <w:szCs w:val="18"/>
        </w:rPr>
        <w:t>Maandblad voor Accountancy en Bedrijfseconomie, 250-258.</w:t>
      </w:r>
    </w:p>
    <w:p w:rsidR="001B421F" w:rsidRPr="00BD717F" w:rsidRDefault="001B421F" w:rsidP="00BD717F">
      <w:pPr>
        <w:spacing w:line="240" w:lineRule="auto"/>
        <w:rPr>
          <w:sz w:val="18"/>
          <w:szCs w:val="18"/>
          <w:lang w:val="en-GB"/>
        </w:rPr>
      </w:pPr>
      <w:r w:rsidRPr="00BD717F">
        <w:rPr>
          <w:sz w:val="18"/>
          <w:szCs w:val="18"/>
        </w:rPr>
        <w:t xml:space="preserve">Van Everdingen, J.F.C. (2014). </w:t>
      </w:r>
      <w:r w:rsidRPr="00BD717F">
        <w:rPr>
          <w:i/>
          <w:sz w:val="18"/>
          <w:szCs w:val="18"/>
          <w:lang w:val="en-GB"/>
        </w:rPr>
        <w:t xml:space="preserve">Independent auditor’s report; philips. </w:t>
      </w:r>
      <w:r w:rsidRPr="00BD717F">
        <w:rPr>
          <w:sz w:val="18"/>
          <w:szCs w:val="18"/>
          <w:lang w:val="en-GB"/>
        </w:rPr>
        <w:t>Amsterdam: KPMG Acccountants.</w:t>
      </w:r>
    </w:p>
    <w:p w:rsidR="00FA76C9" w:rsidRPr="00BD717F" w:rsidRDefault="00FA76C9" w:rsidP="00BD717F">
      <w:pPr>
        <w:spacing w:line="240" w:lineRule="auto"/>
        <w:rPr>
          <w:i/>
          <w:sz w:val="18"/>
          <w:szCs w:val="18"/>
          <w:lang w:val="en-GB"/>
        </w:rPr>
      </w:pPr>
      <w:r w:rsidRPr="00BD717F">
        <w:rPr>
          <w:sz w:val="18"/>
          <w:szCs w:val="18"/>
        </w:rPr>
        <w:t xml:space="preserve">Van Kuijck, F., Leus, D. (2010). De accountant en niet-financiële informatie. </w:t>
      </w:r>
      <w:r w:rsidRPr="00BD717F">
        <w:rPr>
          <w:i/>
          <w:sz w:val="18"/>
          <w:szCs w:val="18"/>
          <w:lang w:val="en-GB"/>
        </w:rPr>
        <w:t>Update, 47-57</w:t>
      </w:r>
    </w:p>
    <w:p w:rsidR="00FA76C9" w:rsidRPr="00BD717F" w:rsidRDefault="00FA76C9" w:rsidP="00BD717F">
      <w:pPr>
        <w:spacing w:line="240" w:lineRule="auto"/>
        <w:rPr>
          <w:i/>
          <w:sz w:val="18"/>
          <w:szCs w:val="18"/>
        </w:rPr>
      </w:pPr>
      <w:r w:rsidRPr="00BD717F">
        <w:rPr>
          <w:sz w:val="18"/>
          <w:szCs w:val="18"/>
          <w:lang w:val="en-GB"/>
        </w:rPr>
        <w:t xml:space="preserve">Van Marrewijk, M. (2003). Concepts and Definitions of CSR and Corporate Sustainability: Between agency and communion. </w:t>
      </w:r>
      <w:r w:rsidRPr="00BD717F">
        <w:rPr>
          <w:i/>
          <w:sz w:val="18"/>
          <w:szCs w:val="18"/>
        </w:rPr>
        <w:t>Journal of Business Ethics 44, 95-105</w:t>
      </w:r>
    </w:p>
    <w:p w:rsidR="00FA76C9" w:rsidRPr="00BD717F" w:rsidRDefault="00FA76C9" w:rsidP="00BD717F">
      <w:pPr>
        <w:spacing w:line="240" w:lineRule="auto"/>
        <w:rPr>
          <w:sz w:val="18"/>
          <w:szCs w:val="18"/>
        </w:rPr>
      </w:pPr>
      <w:r w:rsidRPr="00BD717F">
        <w:rPr>
          <w:sz w:val="18"/>
          <w:szCs w:val="18"/>
        </w:rPr>
        <w:t xml:space="preserve">Van Onzenoort, D. (2009) Assurance: verwachtingskloof ten aanzien van accountants groter dan ooit. AccountantcyNieuws, geraadpleegd op 12 juni 2014, van accountancynieuws.nl: </w:t>
      </w:r>
      <w:hyperlink r:id="rId28" w:anchor=".U6u3M_l_uAU" w:history="1">
        <w:r w:rsidRPr="00BD717F">
          <w:rPr>
            <w:rStyle w:val="Hyperlink"/>
            <w:sz w:val="18"/>
            <w:szCs w:val="18"/>
          </w:rPr>
          <w:t>http://www.accountancynieuws.nl/actueel/vaktechniek/assurance-verwachtingskloof-ten-aanzien-van.89180.lynkx#.U6u3M_l_uAU</w:t>
        </w:r>
      </w:hyperlink>
    </w:p>
    <w:p w:rsidR="00FA76C9" w:rsidRPr="00BD717F" w:rsidRDefault="00FA76C9" w:rsidP="00BD717F">
      <w:pPr>
        <w:spacing w:line="240" w:lineRule="auto"/>
        <w:rPr>
          <w:sz w:val="18"/>
          <w:szCs w:val="18"/>
        </w:rPr>
      </w:pPr>
      <w:r w:rsidRPr="00BD717F">
        <w:rPr>
          <w:sz w:val="18"/>
          <w:szCs w:val="18"/>
        </w:rPr>
        <w:t xml:space="preserve">Vergoossen, R.G.A. (2010). </w:t>
      </w:r>
      <w:r w:rsidRPr="00BD717F">
        <w:rPr>
          <w:i/>
          <w:sz w:val="18"/>
          <w:szCs w:val="18"/>
        </w:rPr>
        <w:t xml:space="preserve">De nieuwe jaarverslaggeving. </w:t>
      </w:r>
      <w:r w:rsidRPr="00BD717F">
        <w:rPr>
          <w:sz w:val="18"/>
          <w:szCs w:val="18"/>
        </w:rPr>
        <w:t xml:space="preserve">Deventer: Kluwer. </w:t>
      </w:r>
    </w:p>
    <w:p w:rsidR="00FA76C9" w:rsidRPr="00BD717F" w:rsidRDefault="00FA76C9" w:rsidP="00BD717F">
      <w:pPr>
        <w:spacing w:line="240" w:lineRule="auto"/>
        <w:rPr>
          <w:sz w:val="18"/>
          <w:szCs w:val="18"/>
        </w:rPr>
      </w:pPr>
      <w:r w:rsidRPr="00BD717F">
        <w:rPr>
          <w:sz w:val="18"/>
          <w:szCs w:val="18"/>
        </w:rPr>
        <w:t xml:space="preserve">Vergoossen, R.G.A. Litjens, H.J.R. (2011). </w:t>
      </w:r>
      <w:r w:rsidRPr="00BD717F">
        <w:rPr>
          <w:i/>
          <w:sz w:val="18"/>
          <w:szCs w:val="18"/>
        </w:rPr>
        <w:t xml:space="preserve">Wat is de waarde van de controle verklaring? </w:t>
      </w:r>
      <w:r w:rsidRPr="00BD717F">
        <w:rPr>
          <w:sz w:val="18"/>
          <w:szCs w:val="18"/>
        </w:rPr>
        <w:t xml:space="preserve">(onderzoek). Eindhoven: BDO accountants &amp; adviseurs. </w:t>
      </w:r>
    </w:p>
    <w:p w:rsidR="00FA76C9" w:rsidRPr="00BD717F" w:rsidRDefault="00FA76C9" w:rsidP="00BD717F">
      <w:pPr>
        <w:spacing w:line="240" w:lineRule="auto"/>
        <w:rPr>
          <w:i/>
          <w:sz w:val="18"/>
          <w:szCs w:val="18"/>
        </w:rPr>
      </w:pPr>
      <w:r w:rsidRPr="00BD717F">
        <w:rPr>
          <w:sz w:val="18"/>
          <w:szCs w:val="18"/>
        </w:rPr>
        <w:t>Wallage, P. (2000). Verifcatie van integrale ondernemingsverslaggeving.</w:t>
      </w:r>
      <w:r w:rsidRPr="00BD717F">
        <w:rPr>
          <w:i/>
          <w:sz w:val="18"/>
          <w:szCs w:val="18"/>
        </w:rPr>
        <w:t xml:space="preserve"> Maandblad voor Accountancy en Bedrijfseconomie, 384-391</w:t>
      </w:r>
    </w:p>
    <w:p w:rsidR="00FA76C9" w:rsidRPr="00BD717F" w:rsidRDefault="00FA76C9" w:rsidP="00BD717F">
      <w:pPr>
        <w:spacing w:line="240" w:lineRule="auto"/>
        <w:rPr>
          <w:i/>
          <w:sz w:val="18"/>
          <w:szCs w:val="18"/>
        </w:rPr>
      </w:pPr>
      <w:r w:rsidRPr="00BD717F">
        <w:rPr>
          <w:sz w:val="18"/>
          <w:szCs w:val="18"/>
        </w:rPr>
        <w:t xml:space="preserve">Wallage, P. (2005). De actuele waarde van limpergiaans vertrouwen. </w:t>
      </w:r>
      <w:r w:rsidRPr="00BD717F">
        <w:rPr>
          <w:i/>
          <w:sz w:val="18"/>
          <w:szCs w:val="18"/>
        </w:rPr>
        <w:t>Maandblad voor Accountancy en Bedrijfseconomie, 125-131</w:t>
      </w:r>
    </w:p>
    <w:p w:rsidR="00FA76C9" w:rsidRPr="00BD717F" w:rsidRDefault="00FA76C9" w:rsidP="00BD717F">
      <w:pPr>
        <w:spacing w:line="240" w:lineRule="auto"/>
        <w:rPr>
          <w:sz w:val="18"/>
          <w:szCs w:val="18"/>
        </w:rPr>
      </w:pPr>
      <w:r w:rsidRPr="00BD717F">
        <w:rPr>
          <w:sz w:val="18"/>
          <w:szCs w:val="18"/>
        </w:rPr>
        <w:t xml:space="preserve">Wielaard, N. (2010). </w:t>
      </w:r>
      <w:r w:rsidRPr="00BD717F">
        <w:rPr>
          <w:i/>
          <w:sz w:val="18"/>
          <w:szCs w:val="18"/>
        </w:rPr>
        <w:t>Nieuwe organisatie: NBA: veel fusiesteun op ledenvergadering</w:t>
      </w:r>
      <w:r w:rsidRPr="00BD717F">
        <w:rPr>
          <w:sz w:val="18"/>
          <w:szCs w:val="18"/>
        </w:rPr>
        <w:t xml:space="preserve">. Geraadpleegd op 12 juni 2014, van accountant.nl: </w:t>
      </w:r>
      <w:hyperlink r:id="rId29" w:history="1">
        <w:r w:rsidRPr="00BD717F">
          <w:rPr>
            <w:rStyle w:val="Hyperlink"/>
            <w:sz w:val="18"/>
            <w:szCs w:val="18"/>
          </w:rPr>
          <w:t>http://www.accountant.nl/Accountant/Archief/Archief+'de+Accountant'/2010/Nieuwe+organisatie+NBA+Veel+fusiesteun+op+ledenvergadering.aspx</w:t>
        </w:r>
      </w:hyperlink>
      <w:r w:rsidRPr="00BD717F">
        <w:rPr>
          <w:sz w:val="18"/>
          <w:szCs w:val="18"/>
        </w:rPr>
        <w:t xml:space="preserve"> </w:t>
      </w:r>
    </w:p>
    <w:p w:rsidR="00FA76C9" w:rsidRPr="00BD717F" w:rsidRDefault="00FA76C9" w:rsidP="00BD717F">
      <w:pPr>
        <w:spacing w:line="240" w:lineRule="auto"/>
        <w:rPr>
          <w:sz w:val="18"/>
          <w:szCs w:val="18"/>
          <w:lang w:val="en-GB"/>
        </w:rPr>
      </w:pPr>
      <w:r w:rsidRPr="00BD717F">
        <w:rPr>
          <w:sz w:val="18"/>
          <w:szCs w:val="18"/>
        </w:rPr>
        <w:lastRenderedPageBreak/>
        <w:t xml:space="preserve">Zegers, C. van Kalleveen, P. Bontes, W. (2010). </w:t>
      </w:r>
      <w:r w:rsidRPr="00BD717F">
        <w:rPr>
          <w:i/>
          <w:sz w:val="18"/>
          <w:szCs w:val="18"/>
        </w:rPr>
        <w:t xml:space="preserve">Deloitte Commissarissen Survey: een duurzame toekomst </w:t>
      </w:r>
      <w:r w:rsidRPr="00BD717F">
        <w:rPr>
          <w:sz w:val="18"/>
          <w:szCs w:val="18"/>
        </w:rPr>
        <w:t xml:space="preserve">(Rapport). </w:t>
      </w:r>
      <w:r w:rsidRPr="00BD717F">
        <w:rPr>
          <w:sz w:val="18"/>
          <w:szCs w:val="18"/>
          <w:lang w:val="en-GB"/>
        </w:rPr>
        <w:t>Rotterdam: MCBD at Deloitte.</w:t>
      </w:r>
    </w:p>
    <w:p w:rsidR="00FA76C9" w:rsidRDefault="00FA76C9" w:rsidP="00FA76C9"/>
    <w:p w:rsidR="00AE4587" w:rsidRPr="00B238A5" w:rsidRDefault="00AE4587" w:rsidP="009A7402">
      <w:pPr>
        <w:spacing w:line="240" w:lineRule="auto"/>
        <w:rPr>
          <w:szCs w:val="20"/>
        </w:rPr>
      </w:pPr>
    </w:p>
    <w:sectPr w:rsidR="00AE4587" w:rsidRPr="00B238A5" w:rsidSect="0004046D">
      <w:headerReference w:type="default" r:id="rId30"/>
      <w:footerReference w:type="default" r:id="rId31"/>
      <w:pgSz w:w="11906" w:h="16838"/>
      <w:pgMar w:top="0"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30AE" w:rsidRDefault="003630AE" w:rsidP="00904C52">
      <w:pPr>
        <w:spacing w:after="0" w:line="240" w:lineRule="auto"/>
      </w:pPr>
      <w:r>
        <w:separator/>
      </w:r>
    </w:p>
  </w:endnote>
  <w:endnote w:type="continuationSeparator" w:id="0">
    <w:p w:rsidR="003630AE" w:rsidRDefault="003630AE" w:rsidP="00904C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TriniteNo2RomCon-Regular">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046270"/>
      <w:docPartObj>
        <w:docPartGallery w:val="Page Numbers (Bottom of Page)"/>
        <w:docPartUnique/>
      </w:docPartObj>
    </w:sdtPr>
    <w:sdtContent>
      <w:p w:rsidR="00EC3944" w:rsidRDefault="00C3187A">
        <w:pPr>
          <w:pStyle w:val="Footer"/>
          <w:jc w:val="right"/>
        </w:pPr>
        <w:r>
          <w:fldChar w:fldCharType="begin"/>
        </w:r>
        <w:r w:rsidR="00EC3944">
          <w:instrText>PAGE   \* MERGEFORMAT</w:instrText>
        </w:r>
        <w:r>
          <w:fldChar w:fldCharType="separate"/>
        </w:r>
        <w:r w:rsidR="009109AC">
          <w:rPr>
            <w:noProof/>
          </w:rPr>
          <w:t>51</w:t>
        </w:r>
        <w:r>
          <w:fldChar w:fldCharType="end"/>
        </w:r>
      </w:p>
    </w:sdtContent>
  </w:sdt>
  <w:p w:rsidR="00EC3944" w:rsidRDefault="00EC394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30AE" w:rsidRDefault="003630AE" w:rsidP="00904C52">
      <w:pPr>
        <w:spacing w:after="0" w:line="240" w:lineRule="auto"/>
      </w:pPr>
      <w:r>
        <w:separator/>
      </w:r>
    </w:p>
  </w:footnote>
  <w:footnote w:type="continuationSeparator" w:id="0">
    <w:p w:rsidR="003630AE" w:rsidRDefault="003630AE" w:rsidP="00904C52">
      <w:pPr>
        <w:spacing w:after="0" w:line="240" w:lineRule="auto"/>
      </w:pPr>
      <w:r>
        <w:continuationSeparator/>
      </w:r>
    </w:p>
  </w:footnote>
  <w:footnote w:id="1">
    <w:p w:rsidR="00EC3944" w:rsidRDefault="00EC3944" w:rsidP="007473CE">
      <w:pPr>
        <w:pStyle w:val="FootnoteText"/>
      </w:pPr>
      <w:r>
        <w:rPr>
          <w:rStyle w:val="FootnoteReference"/>
        </w:rPr>
        <w:footnoteRef/>
      </w:r>
      <w:r>
        <w:t xml:space="preserve"> De gebruikte zoektermen staan aangegeven in het Nederlands, maar ook de Engelse vertaling is gebruikt om bronnen te bemachtigen. </w:t>
      </w:r>
    </w:p>
  </w:footnote>
  <w:footnote w:id="2">
    <w:p w:rsidR="00EC3944" w:rsidRDefault="00EC3944" w:rsidP="007473CE">
      <w:pPr>
        <w:pStyle w:val="FootnoteText"/>
      </w:pPr>
      <w:r>
        <w:rPr>
          <w:rStyle w:val="FootnoteReference"/>
        </w:rPr>
        <w:footnoteRef/>
      </w:r>
      <w:r>
        <w:t xml:space="preserve"> Zie hoofdstuk 4: De accountant</w:t>
      </w:r>
    </w:p>
    <w:p w:rsidR="00EC3944" w:rsidRDefault="00EC3944" w:rsidP="007473CE">
      <w:pPr>
        <w:pStyle w:val="FootnoteText"/>
      </w:pPr>
    </w:p>
  </w:footnote>
  <w:footnote w:id="3">
    <w:p w:rsidR="00EC3944" w:rsidRDefault="00EC3944" w:rsidP="007473CE">
      <w:pPr>
        <w:pStyle w:val="FootnoteText"/>
      </w:pPr>
      <w:r>
        <w:rPr>
          <w:rStyle w:val="FootnoteReference"/>
        </w:rPr>
        <w:footnoteRef/>
      </w:r>
      <w:r>
        <w:t xml:space="preserve"> Zie hoofdstuk 3:Theoretisch kader voor nadere uitleg over agency theorie. </w:t>
      </w:r>
    </w:p>
  </w:footnote>
  <w:footnote w:id="4">
    <w:p w:rsidR="00EC3944" w:rsidRDefault="00EC3944" w:rsidP="007473CE">
      <w:pPr>
        <w:pStyle w:val="FootnoteText"/>
      </w:pPr>
      <w:r>
        <w:rPr>
          <w:rStyle w:val="FootnoteReference"/>
        </w:rPr>
        <w:footnoteRef/>
      </w:r>
      <w:r>
        <w:t xml:space="preserve"> Zie hoofdstuk 3: Theoretisch kader</w:t>
      </w:r>
    </w:p>
  </w:footnote>
  <w:footnote w:id="5">
    <w:p w:rsidR="00EC3944" w:rsidRDefault="00EC3944" w:rsidP="007473CE">
      <w:pPr>
        <w:pStyle w:val="FootnoteText"/>
      </w:pPr>
      <w:r>
        <w:rPr>
          <w:rStyle w:val="FootnoteReference"/>
        </w:rPr>
        <w:footnoteRef/>
      </w:r>
      <w:r>
        <w:t xml:space="preserve"> De 500 grootste Amerikaanse bedrijven, gebaseerd op marktkapitalisatie. Er wordt vaak gezegd dat S&amp;P 500 het betrouwbaarste beeld geeft van de ontwikkelingen op de aandelenmarkt in Amerika (IEX, 2014).  </w:t>
      </w:r>
    </w:p>
  </w:footnote>
  <w:footnote w:id="6">
    <w:p w:rsidR="00EC3944" w:rsidRDefault="00EC3944" w:rsidP="007473CE">
      <w:pPr>
        <w:pStyle w:val="FootnoteText"/>
      </w:pPr>
      <w:r>
        <w:rPr>
          <w:rStyle w:val="FootnoteReference"/>
        </w:rPr>
        <w:footnoteRef/>
      </w:r>
      <w:r>
        <w:t xml:space="preserve"> Met immateriële factoren worden zaken bedoeld als merk, reputatie en duurzaamheid. </w:t>
      </w:r>
    </w:p>
  </w:footnote>
  <w:footnote w:id="7">
    <w:p w:rsidR="00EC3944" w:rsidRDefault="00EC3944" w:rsidP="007473CE">
      <w:pPr>
        <w:pStyle w:val="FootnoteText"/>
      </w:pPr>
      <w:r>
        <w:rPr>
          <w:rStyle w:val="FootnoteReference"/>
        </w:rPr>
        <w:footnoteRef/>
      </w:r>
      <w:r>
        <w:t xml:space="preserve"> Gedacht kan worden aan banken, die op basis van liquiditeit en solvabiliteit bepalen of zij een lening verstrekken. </w:t>
      </w:r>
    </w:p>
  </w:footnote>
  <w:footnote w:id="8">
    <w:p w:rsidR="00EC3944" w:rsidRDefault="00EC3944" w:rsidP="007473CE">
      <w:pPr>
        <w:pStyle w:val="FootnoteText"/>
      </w:pPr>
      <w:r>
        <w:rPr>
          <w:rStyle w:val="FootnoteReference"/>
        </w:rPr>
        <w:footnoteRef/>
      </w:r>
      <w:r>
        <w:t xml:space="preserve"> NIVRA: Nederlands Instituut van Registeraccountants, reeds opgegaan in de NBA (Nederlandse Beroepsorganisatie van Accountants (Wielaard, 2010).</w:t>
      </w:r>
    </w:p>
  </w:footnote>
  <w:footnote w:id="9">
    <w:p w:rsidR="00EC3944" w:rsidRDefault="00EC3944" w:rsidP="007473CE">
      <w:pPr>
        <w:pStyle w:val="FootnoteText"/>
      </w:pPr>
      <w:r>
        <w:rPr>
          <w:rStyle w:val="FootnoteReference"/>
        </w:rPr>
        <w:footnoteRef/>
      </w:r>
      <w:r>
        <w:t xml:space="preserve"> VBA: Beroepsvereniging van beleggingsprofessionals, behartigt belangen van professionele beleggers (Schweppe, Abma &amp; de Ruiter, 2010).</w:t>
      </w:r>
    </w:p>
  </w:footnote>
  <w:footnote w:id="10">
    <w:p w:rsidR="00EC3944" w:rsidRDefault="00EC3944" w:rsidP="007473CE">
      <w:pPr>
        <w:pStyle w:val="FootnoteText"/>
        <w:tabs>
          <w:tab w:val="left" w:pos="1470"/>
        </w:tabs>
      </w:pPr>
      <w:r>
        <w:rPr>
          <w:rStyle w:val="FootnoteReference"/>
        </w:rPr>
        <w:footnoteRef/>
      </w:r>
      <w:r>
        <w:t xml:space="preserve"> Eumedion: belangen behartiger van institutionele beleggers op het gebied van corporate governance en duurzaamheid (Eumedion, 2014)</w:t>
      </w:r>
      <w:sdt>
        <w:sdtPr>
          <w:id w:val="-603424525"/>
          <w:citation/>
        </w:sdtPr>
        <w:sdtContent>
          <w:r w:rsidR="00C3187A">
            <w:fldChar w:fldCharType="begin"/>
          </w:r>
          <w:r>
            <w:instrText xml:space="preserve"> CITATION Eum14 \l 1043 </w:instrText>
          </w:r>
          <w:r w:rsidR="00C3187A">
            <w:fldChar w:fldCharType="separate"/>
          </w:r>
          <w:r>
            <w:rPr>
              <w:noProof/>
            </w:rPr>
            <w:t xml:space="preserve"> (Eumedion, 2014)</w:t>
          </w:r>
          <w:r w:rsidR="00C3187A">
            <w:fldChar w:fldCharType="end"/>
          </w:r>
        </w:sdtContent>
      </w:sdt>
      <w:r>
        <w:t xml:space="preserve">. </w:t>
      </w:r>
    </w:p>
    <w:p w:rsidR="00EC3944" w:rsidRDefault="00EC3944" w:rsidP="007473CE">
      <w:pPr>
        <w:pStyle w:val="FootnoteText"/>
        <w:tabs>
          <w:tab w:val="left" w:pos="1470"/>
        </w:tabs>
      </w:pPr>
    </w:p>
  </w:footnote>
  <w:footnote w:id="11">
    <w:p w:rsidR="00EC3944" w:rsidRDefault="00EC3944" w:rsidP="007473CE">
      <w:pPr>
        <w:pStyle w:val="FootnoteText"/>
      </w:pPr>
      <w:r>
        <w:rPr>
          <w:rStyle w:val="FootnoteReference"/>
        </w:rPr>
        <w:footnoteRef/>
      </w:r>
      <w:r>
        <w:t xml:space="preserve"> De invulling verschilt door factoren als; sector, bedrijfsgrootte, bedrijfsstrategie en cultuur van de onderneming (MVO platform, z.d.). </w:t>
      </w:r>
    </w:p>
  </w:footnote>
  <w:footnote w:id="12">
    <w:p w:rsidR="00EC3944" w:rsidRDefault="00EC3944" w:rsidP="007473CE">
      <w:pPr>
        <w:pStyle w:val="FootnoteText"/>
      </w:pPr>
      <w:r>
        <w:rPr>
          <w:rStyle w:val="FootnoteReference"/>
        </w:rPr>
        <w:footnoteRef/>
      </w:r>
      <w:r>
        <w:t xml:space="preserve"> Met filantropische verplichtingen wordt het zorgen voor de mens bedoeld. </w:t>
      </w:r>
    </w:p>
  </w:footnote>
  <w:footnote w:id="13">
    <w:p w:rsidR="00EC3944" w:rsidRDefault="00EC3944" w:rsidP="007473CE">
      <w:pPr>
        <w:pStyle w:val="FootnoteText"/>
      </w:pPr>
      <w:r>
        <w:rPr>
          <w:rStyle w:val="FootnoteReference"/>
        </w:rPr>
        <w:footnoteRef/>
      </w:r>
      <w:r>
        <w:t xml:space="preserve"> Zie hoofdstuk 3: Theoretisch kader, voor nadere uitleg over stakeholdertheorie. </w:t>
      </w:r>
    </w:p>
  </w:footnote>
  <w:footnote w:id="14">
    <w:p w:rsidR="00EC3944" w:rsidRDefault="00EC3944" w:rsidP="007473CE">
      <w:pPr>
        <w:pStyle w:val="FootnoteText"/>
      </w:pPr>
      <w:r>
        <w:rPr>
          <w:rStyle w:val="FootnoteReference"/>
        </w:rPr>
        <w:footnoteRef/>
      </w:r>
      <w:r>
        <w:t xml:space="preserve"> MVO Nederland: een onafhankelijke kennis- en netwerkorganisatie opgericht door het Ministerie van Economische Zaken in 2004.</w:t>
      </w:r>
    </w:p>
  </w:footnote>
  <w:footnote w:id="15">
    <w:p w:rsidR="00EC3944" w:rsidRDefault="00EC3944" w:rsidP="007473CE">
      <w:pPr>
        <w:pStyle w:val="FootnoteText"/>
      </w:pPr>
      <w:r>
        <w:rPr>
          <w:rStyle w:val="FootnoteReference"/>
        </w:rPr>
        <w:footnoteRef/>
      </w:r>
      <w:r>
        <w:t xml:space="preserve"> Zie hoofdstuk 3: Theoretisch kader, voor nadere uitleg over legitimiteitstheorie. </w:t>
      </w:r>
    </w:p>
  </w:footnote>
  <w:footnote w:id="16">
    <w:p w:rsidR="00EC3944" w:rsidRDefault="00EC3944" w:rsidP="007473CE">
      <w:pPr>
        <w:pStyle w:val="FootnoteText"/>
      </w:pPr>
      <w:r>
        <w:rPr>
          <w:rStyle w:val="FootnoteReference"/>
        </w:rPr>
        <w:footnoteRef/>
      </w:r>
      <w:r>
        <w:t xml:space="preserve"> In het onderzoek van Deloitte wordt de term “Duurzaam Verantwoord Ondernemen gebruikt”. Maatschappelijk en Duurzaam worden vaak gebruikt als synoniem, daarom is gekozen deze bron toch te gebruiken. </w:t>
      </w:r>
    </w:p>
  </w:footnote>
  <w:footnote w:id="17">
    <w:p w:rsidR="00EC3944" w:rsidRDefault="00EC3944" w:rsidP="007473CE">
      <w:pPr>
        <w:pStyle w:val="FootnoteText"/>
      </w:pPr>
      <w:r>
        <w:rPr>
          <w:rStyle w:val="FootnoteReference"/>
        </w:rPr>
        <w:footnoteRef/>
      </w:r>
      <w:r>
        <w:t xml:space="preserve"> Een jaarlijks terugkerend onderzoek naar de inhoud en kwaliteit van maatschappelijke verslaggeving bij Nederlandse onderneming. Door de transparantiebenchmark biedt het ministerie van Economische Zaken inzicht in de wijze waarop de grootste Nederlandse ondernemingen verslag doen van hun MVO-activiteiten (Ministerie van Economische Zaken, z.d.).</w:t>
      </w:r>
    </w:p>
  </w:footnote>
  <w:footnote w:id="18">
    <w:p w:rsidR="00EC3944" w:rsidRDefault="00EC3944" w:rsidP="007473CE">
      <w:pPr>
        <w:pStyle w:val="FootnoteText"/>
      </w:pPr>
      <w:r>
        <w:rPr>
          <w:rStyle w:val="FootnoteReference"/>
        </w:rPr>
        <w:footnoteRef/>
      </w:r>
      <w:r>
        <w:t xml:space="preserve"> Hoofdstuk 8 ‘Regelgeving omtrent maatschappelijke verslaggeving en integrated reporting’ zal hier verder op ingaan.</w:t>
      </w:r>
    </w:p>
  </w:footnote>
  <w:footnote w:id="19">
    <w:p w:rsidR="00EC3944" w:rsidRDefault="00EC3944" w:rsidP="007473CE">
      <w:pPr>
        <w:pStyle w:val="FootnoteText"/>
      </w:pPr>
      <w:r>
        <w:rPr>
          <w:rStyle w:val="FootnoteReference"/>
        </w:rPr>
        <w:footnoteRef/>
      </w:r>
      <w:r>
        <w:t xml:space="preserve"> Zie hoofdstuk 3: Theoretisch kader</w:t>
      </w:r>
    </w:p>
  </w:footnote>
  <w:footnote w:id="20">
    <w:p w:rsidR="00EC3944" w:rsidRDefault="00EC3944" w:rsidP="007473CE">
      <w:pPr>
        <w:pStyle w:val="FootnoteText"/>
      </w:pPr>
      <w:r>
        <w:rPr>
          <w:rStyle w:val="FootnoteReference"/>
        </w:rPr>
        <w:footnoteRef/>
      </w:r>
      <w:r>
        <w:t xml:space="preserve"> Zie hoofdstuk 7: Maatschappelijke verslaggeving en IR; en zie hoofdstuk 3: Theoretisch kader</w:t>
      </w:r>
    </w:p>
  </w:footnote>
  <w:footnote w:id="21">
    <w:p w:rsidR="00EC3944" w:rsidRDefault="00EC3944" w:rsidP="007473CE">
      <w:pPr>
        <w:pStyle w:val="FootnoteText"/>
      </w:pPr>
      <w:r>
        <w:rPr>
          <w:rStyle w:val="FootnoteReference"/>
        </w:rPr>
        <w:footnoteRef/>
      </w:r>
      <w:r>
        <w:t xml:space="preserve"> Zie hoofdstuk 5: Verschuiving informatiebehoefte</w:t>
      </w:r>
    </w:p>
  </w:footnote>
  <w:footnote w:id="22">
    <w:p w:rsidR="00EC3944" w:rsidRDefault="00EC3944">
      <w:pPr>
        <w:pStyle w:val="FootnoteText"/>
      </w:pPr>
      <w:r>
        <w:rPr>
          <w:rStyle w:val="FootnoteReference"/>
        </w:rPr>
        <w:footnoteRef/>
      </w:r>
      <w:r>
        <w:t xml:space="preserve"> Zie hoofdstuk 3: Theoretisch kader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F7F7F" w:themeColor="text1" w:themeTint="80"/>
      </w:rPr>
      <w:alias w:val="Titel"/>
      <w:tag w:val=""/>
      <w:id w:val="1116400235"/>
      <w:placeholder>
        <w:docPart w:val="7965550825924A74A38E7FC706C3F9CB"/>
      </w:placeholder>
      <w:dataBinding w:prefixMappings="xmlns:ns0='http://purl.org/dc/elements/1.1/' xmlns:ns1='http://schemas.openxmlformats.org/package/2006/metadata/core-properties' " w:xpath="/ns1:coreProperties[1]/ns0:title[1]" w:storeItemID="{6C3C8BC8-F283-45AE-878A-BAB7291924A1}"/>
      <w:text/>
    </w:sdtPr>
    <w:sdtContent>
      <w:p w:rsidR="000F7ED2" w:rsidRDefault="000F7ED2">
        <w:pPr>
          <w:pStyle w:val="Header"/>
          <w:jc w:val="right"/>
          <w:rPr>
            <w:color w:val="7F7F7F" w:themeColor="text1" w:themeTint="80"/>
          </w:rPr>
        </w:pPr>
        <w:r>
          <w:rPr>
            <w:color w:val="7F7F7F" w:themeColor="text1" w:themeTint="80"/>
          </w:rPr>
          <w:t>Maatschappelijke verslaggeving &amp; de accountant</w:t>
        </w:r>
      </w:p>
    </w:sdtContent>
  </w:sdt>
  <w:p w:rsidR="00EC3944" w:rsidRDefault="00EC394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D3004"/>
    <w:multiLevelType w:val="hybridMultilevel"/>
    <w:tmpl w:val="7CA404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2C24820"/>
    <w:multiLevelType w:val="hybridMultilevel"/>
    <w:tmpl w:val="4E30DB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31C5936"/>
    <w:multiLevelType w:val="hybridMultilevel"/>
    <w:tmpl w:val="4E30ED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3AE2730"/>
    <w:multiLevelType w:val="multilevel"/>
    <w:tmpl w:val="27786FD6"/>
    <w:lvl w:ilvl="0">
      <w:start w:val="6"/>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58549D1"/>
    <w:multiLevelType w:val="hybridMultilevel"/>
    <w:tmpl w:val="250829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5F6307D"/>
    <w:multiLevelType w:val="hybridMultilevel"/>
    <w:tmpl w:val="CF56D3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AB674EE"/>
    <w:multiLevelType w:val="hybridMultilevel"/>
    <w:tmpl w:val="4498D19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E7528D6"/>
    <w:multiLevelType w:val="hybridMultilevel"/>
    <w:tmpl w:val="C648451A"/>
    <w:lvl w:ilvl="0" w:tplc="1902D8DE">
      <w:start w:val="1"/>
      <w:numFmt w:val="decimal"/>
      <w:lvlText w:val="%1"/>
      <w:lvlJc w:val="left"/>
      <w:pPr>
        <w:ind w:left="720" w:hanging="360"/>
      </w:pPr>
      <w:rPr>
        <w:rFonts w:hint="default"/>
        <w:color w:val="70AD47" w:themeColor="accent6"/>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F677B4B"/>
    <w:multiLevelType w:val="hybridMultilevel"/>
    <w:tmpl w:val="668CA7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24620DC"/>
    <w:multiLevelType w:val="hybridMultilevel"/>
    <w:tmpl w:val="B57E5228"/>
    <w:lvl w:ilvl="0" w:tplc="1902D8DE">
      <w:start w:val="1"/>
      <w:numFmt w:val="decimal"/>
      <w:lvlText w:val="%1"/>
      <w:lvlJc w:val="left"/>
      <w:pPr>
        <w:ind w:left="720" w:hanging="360"/>
      </w:pPr>
      <w:rPr>
        <w:rFonts w:hint="default"/>
        <w:color w:val="70AD47" w:themeColor="accent6"/>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9D92EE0"/>
    <w:multiLevelType w:val="multilevel"/>
    <w:tmpl w:val="EE34F256"/>
    <w:lvl w:ilvl="0">
      <w:start w:val="9"/>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nsid w:val="2B842BE1"/>
    <w:multiLevelType w:val="multilevel"/>
    <w:tmpl w:val="56E05824"/>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pStyle w:val="Stijl1"/>
      <w:lvlText w:val="%1.%2.%3"/>
      <w:lvlJc w:val="left"/>
      <w:pPr>
        <w:ind w:left="720" w:hanging="720"/>
      </w:pPr>
      <w:rPr>
        <w:rFonts w:hint="default"/>
        <w:color w:val="92D05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nsid w:val="337E29F0"/>
    <w:multiLevelType w:val="hybridMultilevel"/>
    <w:tmpl w:val="12CA19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4527B56"/>
    <w:multiLevelType w:val="hybridMultilevel"/>
    <w:tmpl w:val="EBDE6BC0"/>
    <w:lvl w:ilvl="0" w:tplc="D6589AD6">
      <w:start w:val="1"/>
      <w:numFmt w:val="decimal"/>
      <w:lvlText w:val="%1"/>
      <w:lvlJc w:val="left"/>
      <w:pPr>
        <w:ind w:left="720" w:hanging="360"/>
      </w:pPr>
      <w:rPr>
        <w:rFonts w:hint="default"/>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48048A2"/>
    <w:multiLevelType w:val="hybridMultilevel"/>
    <w:tmpl w:val="797E59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5344EAA"/>
    <w:multiLevelType w:val="hybridMultilevel"/>
    <w:tmpl w:val="2828FE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7642A53"/>
    <w:multiLevelType w:val="hybridMultilevel"/>
    <w:tmpl w:val="E154E3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B5B3F87"/>
    <w:multiLevelType w:val="hybridMultilevel"/>
    <w:tmpl w:val="CD6657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1F464AF"/>
    <w:multiLevelType w:val="hybridMultilevel"/>
    <w:tmpl w:val="9F227B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2C95ADB"/>
    <w:multiLevelType w:val="multilevel"/>
    <w:tmpl w:val="C0447414"/>
    <w:lvl w:ilvl="0">
      <w:start w:val="9"/>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nsid w:val="46BD711B"/>
    <w:multiLevelType w:val="multilevel"/>
    <w:tmpl w:val="ABF2D8CC"/>
    <w:lvl w:ilvl="0">
      <w:start w:val="1"/>
      <w:numFmt w:val="decimal"/>
      <w:lvlText w:val="%1"/>
      <w:lvlJc w:val="left"/>
      <w:pPr>
        <w:ind w:left="720" w:hanging="360"/>
      </w:pPr>
      <w:rPr>
        <w:rFonts w:ascii="Cambria" w:hAnsi="Cambria" w:hint="default"/>
        <w:color w:val="70AD47" w:themeColor="accent6"/>
        <w:sz w:val="96"/>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1">
    <w:nsid w:val="48BD3525"/>
    <w:multiLevelType w:val="hybridMultilevel"/>
    <w:tmpl w:val="213C482A"/>
    <w:lvl w:ilvl="0" w:tplc="1902D8DE">
      <w:start w:val="1"/>
      <w:numFmt w:val="decimal"/>
      <w:lvlText w:val="%1"/>
      <w:lvlJc w:val="left"/>
      <w:pPr>
        <w:ind w:left="720" w:hanging="360"/>
      </w:pPr>
      <w:rPr>
        <w:rFonts w:hint="default"/>
        <w:color w:val="70AD47" w:themeColor="accent6"/>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49A20DD1"/>
    <w:multiLevelType w:val="multilevel"/>
    <w:tmpl w:val="734C86EE"/>
    <w:lvl w:ilvl="0">
      <w:start w:val="1"/>
      <w:numFmt w:val="decimal"/>
      <w:lvlText w:val="%1"/>
      <w:lvlJc w:val="left"/>
      <w:pPr>
        <w:ind w:left="570" w:hanging="570"/>
      </w:pPr>
      <w:rPr>
        <w:rFonts w:hint="default"/>
        <w:color w:val="70AD47" w:themeColor="accent6"/>
        <w:sz w:val="96"/>
        <w:szCs w:val="96"/>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513F24BE"/>
    <w:multiLevelType w:val="hybridMultilevel"/>
    <w:tmpl w:val="AB7A19D8"/>
    <w:lvl w:ilvl="0" w:tplc="D6589AD6">
      <w:start w:val="1"/>
      <w:numFmt w:val="decimal"/>
      <w:lvlText w:val="%1"/>
      <w:lvlJc w:val="left"/>
      <w:pPr>
        <w:ind w:left="720" w:hanging="360"/>
      </w:pPr>
      <w:rPr>
        <w:rFonts w:hint="default"/>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51EC19C7"/>
    <w:multiLevelType w:val="hybridMultilevel"/>
    <w:tmpl w:val="296C86D8"/>
    <w:lvl w:ilvl="0" w:tplc="0413000F">
      <w:start w:val="1"/>
      <w:numFmt w:val="decimal"/>
      <w:lvlText w:val="%1."/>
      <w:lvlJc w:val="left"/>
      <w:pPr>
        <w:ind w:left="1428" w:hanging="360"/>
      </w:pPr>
      <w:rPr>
        <w:rFonts w:hint="default"/>
      </w:rPr>
    </w:lvl>
    <w:lvl w:ilvl="1" w:tplc="04130019" w:tentative="1">
      <w:start w:val="1"/>
      <w:numFmt w:val="lowerLetter"/>
      <w:lvlText w:val="%2."/>
      <w:lvlJc w:val="left"/>
      <w:pPr>
        <w:ind w:left="2148" w:hanging="360"/>
      </w:pPr>
    </w:lvl>
    <w:lvl w:ilvl="2" w:tplc="0413001B" w:tentative="1">
      <w:start w:val="1"/>
      <w:numFmt w:val="lowerRoman"/>
      <w:lvlText w:val="%3."/>
      <w:lvlJc w:val="right"/>
      <w:pPr>
        <w:ind w:left="2868" w:hanging="180"/>
      </w:pPr>
    </w:lvl>
    <w:lvl w:ilvl="3" w:tplc="0413000F" w:tentative="1">
      <w:start w:val="1"/>
      <w:numFmt w:val="decimal"/>
      <w:lvlText w:val="%4."/>
      <w:lvlJc w:val="left"/>
      <w:pPr>
        <w:ind w:left="3588" w:hanging="360"/>
      </w:pPr>
    </w:lvl>
    <w:lvl w:ilvl="4" w:tplc="04130019" w:tentative="1">
      <w:start w:val="1"/>
      <w:numFmt w:val="lowerLetter"/>
      <w:lvlText w:val="%5."/>
      <w:lvlJc w:val="left"/>
      <w:pPr>
        <w:ind w:left="4308" w:hanging="360"/>
      </w:pPr>
    </w:lvl>
    <w:lvl w:ilvl="5" w:tplc="0413001B" w:tentative="1">
      <w:start w:val="1"/>
      <w:numFmt w:val="lowerRoman"/>
      <w:lvlText w:val="%6."/>
      <w:lvlJc w:val="right"/>
      <w:pPr>
        <w:ind w:left="5028" w:hanging="180"/>
      </w:pPr>
    </w:lvl>
    <w:lvl w:ilvl="6" w:tplc="0413000F" w:tentative="1">
      <w:start w:val="1"/>
      <w:numFmt w:val="decimal"/>
      <w:lvlText w:val="%7."/>
      <w:lvlJc w:val="left"/>
      <w:pPr>
        <w:ind w:left="5748" w:hanging="360"/>
      </w:pPr>
    </w:lvl>
    <w:lvl w:ilvl="7" w:tplc="04130019" w:tentative="1">
      <w:start w:val="1"/>
      <w:numFmt w:val="lowerLetter"/>
      <w:lvlText w:val="%8."/>
      <w:lvlJc w:val="left"/>
      <w:pPr>
        <w:ind w:left="6468" w:hanging="360"/>
      </w:pPr>
    </w:lvl>
    <w:lvl w:ilvl="8" w:tplc="0413001B" w:tentative="1">
      <w:start w:val="1"/>
      <w:numFmt w:val="lowerRoman"/>
      <w:lvlText w:val="%9."/>
      <w:lvlJc w:val="right"/>
      <w:pPr>
        <w:ind w:left="7188" w:hanging="180"/>
      </w:pPr>
    </w:lvl>
  </w:abstractNum>
  <w:abstractNum w:abstractNumId="25">
    <w:nsid w:val="534842E2"/>
    <w:multiLevelType w:val="multilevel"/>
    <w:tmpl w:val="1876C888"/>
    <w:lvl w:ilvl="0">
      <w:start w:val="6"/>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nsid w:val="55E167EF"/>
    <w:multiLevelType w:val="hybridMultilevel"/>
    <w:tmpl w:val="011A7C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5CDA5992"/>
    <w:multiLevelType w:val="hybridMultilevel"/>
    <w:tmpl w:val="F588E6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6447C43"/>
    <w:multiLevelType w:val="multilevel"/>
    <w:tmpl w:val="734C86EE"/>
    <w:lvl w:ilvl="0">
      <w:start w:val="1"/>
      <w:numFmt w:val="decimal"/>
      <w:lvlText w:val="%1"/>
      <w:lvlJc w:val="left"/>
      <w:pPr>
        <w:ind w:left="570" w:hanging="570"/>
      </w:pPr>
      <w:rPr>
        <w:rFonts w:hint="default"/>
        <w:color w:val="70AD47" w:themeColor="accent6"/>
        <w:sz w:val="96"/>
        <w:szCs w:val="96"/>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6A366E4A"/>
    <w:multiLevelType w:val="hybridMultilevel"/>
    <w:tmpl w:val="D3342E5A"/>
    <w:lvl w:ilvl="0" w:tplc="1902D8DE">
      <w:start w:val="1"/>
      <w:numFmt w:val="decimal"/>
      <w:lvlText w:val="%1"/>
      <w:lvlJc w:val="left"/>
      <w:pPr>
        <w:ind w:left="720" w:hanging="360"/>
      </w:pPr>
      <w:rPr>
        <w:rFonts w:hint="default"/>
        <w:color w:val="70AD47" w:themeColor="accent6"/>
        <w:sz w:val="9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6BF56145"/>
    <w:multiLevelType w:val="hybridMultilevel"/>
    <w:tmpl w:val="9CBC77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F513D3A"/>
    <w:multiLevelType w:val="hybridMultilevel"/>
    <w:tmpl w:val="4CF492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4453C70"/>
    <w:multiLevelType w:val="multilevel"/>
    <w:tmpl w:val="B47EF3A4"/>
    <w:lvl w:ilvl="0">
      <w:start w:val="9"/>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B194C7F"/>
    <w:multiLevelType w:val="multilevel"/>
    <w:tmpl w:val="019C1BC0"/>
    <w:lvl w:ilvl="0">
      <w:start w:val="1"/>
      <w:numFmt w:val="decimal"/>
      <w:lvlText w:val="%1"/>
      <w:lvlJc w:val="left"/>
      <w:pPr>
        <w:ind w:left="720" w:hanging="360"/>
      </w:pPr>
      <w:rPr>
        <w:rFonts w:hint="default"/>
        <w:color w:val="70AD47" w:themeColor="accent6"/>
        <w:sz w:val="96"/>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4">
    <w:nsid w:val="7B6823A9"/>
    <w:multiLevelType w:val="multilevel"/>
    <w:tmpl w:val="019C1BC0"/>
    <w:lvl w:ilvl="0">
      <w:start w:val="1"/>
      <w:numFmt w:val="decimal"/>
      <w:lvlText w:val="%1"/>
      <w:lvlJc w:val="left"/>
      <w:pPr>
        <w:ind w:left="720" w:hanging="360"/>
      </w:pPr>
      <w:rPr>
        <w:rFonts w:hint="default"/>
        <w:color w:val="70AD47" w:themeColor="accent6"/>
        <w:sz w:val="96"/>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5">
    <w:nsid w:val="7D614B77"/>
    <w:multiLevelType w:val="hybridMultilevel"/>
    <w:tmpl w:val="9482B24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F17667C"/>
    <w:multiLevelType w:val="hybridMultilevel"/>
    <w:tmpl w:val="C3C4D1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6"/>
  </w:num>
  <w:num w:numId="3">
    <w:abstractNumId w:val="31"/>
  </w:num>
  <w:num w:numId="4">
    <w:abstractNumId w:val="0"/>
  </w:num>
  <w:num w:numId="5">
    <w:abstractNumId w:val="2"/>
  </w:num>
  <w:num w:numId="6">
    <w:abstractNumId w:val="35"/>
  </w:num>
  <w:num w:numId="7">
    <w:abstractNumId w:val="14"/>
  </w:num>
  <w:num w:numId="8">
    <w:abstractNumId w:val="16"/>
  </w:num>
  <w:num w:numId="9">
    <w:abstractNumId w:val="11"/>
  </w:num>
  <w:num w:numId="10">
    <w:abstractNumId w:val="33"/>
  </w:num>
  <w:num w:numId="11">
    <w:abstractNumId w:val="30"/>
  </w:num>
  <w:num w:numId="12">
    <w:abstractNumId w:val="17"/>
  </w:num>
  <w:num w:numId="13">
    <w:abstractNumId w:val="24"/>
  </w:num>
  <w:num w:numId="14">
    <w:abstractNumId w:val="32"/>
  </w:num>
  <w:num w:numId="15">
    <w:abstractNumId w:val="7"/>
  </w:num>
  <w:num w:numId="16">
    <w:abstractNumId w:val="34"/>
  </w:num>
  <w:num w:numId="17">
    <w:abstractNumId w:val="20"/>
  </w:num>
  <w:num w:numId="18">
    <w:abstractNumId w:val="27"/>
  </w:num>
  <w:num w:numId="19">
    <w:abstractNumId w:val="36"/>
  </w:num>
  <w:num w:numId="20">
    <w:abstractNumId w:val="4"/>
  </w:num>
  <w:num w:numId="21">
    <w:abstractNumId w:val="6"/>
  </w:num>
  <w:num w:numId="22">
    <w:abstractNumId w:val="18"/>
  </w:num>
  <w:num w:numId="23">
    <w:abstractNumId w:val="5"/>
  </w:num>
  <w:num w:numId="24">
    <w:abstractNumId w:val="15"/>
  </w:num>
  <w:num w:numId="25">
    <w:abstractNumId w:val="22"/>
  </w:num>
  <w:num w:numId="26">
    <w:abstractNumId w:val="28"/>
  </w:num>
  <w:num w:numId="27">
    <w:abstractNumId w:val="9"/>
  </w:num>
  <w:num w:numId="28">
    <w:abstractNumId w:val="8"/>
  </w:num>
  <w:num w:numId="29">
    <w:abstractNumId w:val="12"/>
  </w:num>
  <w:num w:numId="30">
    <w:abstractNumId w:val="25"/>
  </w:num>
  <w:num w:numId="31">
    <w:abstractNumId w:val="3"/>
  </w:num>
  <w:num w:numId="32">
    <w:abstractNumId w:val="23"/>
  </w:num>
  <w:num w:numId="33">
    <w:abstractNumId w:val="29"/>
  </w:num>
  <w:num w:numId="34">
    <w:abstractNumId w:val="13"/>
  </w:num>
  <w:num w:numId="35">
    <w:abstractNumId w:val="19"/>
  </w:num>
  <w:num w:numId="36">
    <w:abstractNumId w:val="10"/>
  </w:num>
  <w:num w:numId="37">
    <w:abstractNumId w:val="2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5E0948"/>
    <w:rsid w:val="000028C5"/>
    <w:rsid w:val="00003C20"/>
    <w:rsid w:val="00005BEF"/>
    <w:rsid w:val="0002489A"/>
    <w:rsid w:val="00031821"/>
    <w:rsid w:val="00033ED8"/>
    <w:rsid w:val="00034316"/>
    <w:rsid w:val="0004046D"/>
    <w:rsid w:val="000425AD"/>
    <w:rsid w:val="000453AC"/>
    <w:rsid w:val="00046413"/>
    <w:rsid w:val="00054C52"/>
    <w:rsid w:val="00055862"/>
    <w:rsid w:val="00057CE1"/>
    <w:rsid w:val="0006541C"/>
    <w:rsid w:val="00072B83"/>
    <w:rsid w:val="0007309C"/>
    <w:rsid w:val="000745F8"/>
    <w:rsid w:val="00076A76"/>
    <w:rsid w:val="000903A5"/>
    <w:rsid w:val="000A02D2"/>
    <w:rsid w:val="000A0A90"/>
    <w:rsid w:val="000B033A"/>
    <w:rsid w:val="000B0901"/>
    <w:rsid w:val="000B46C9"/>
    <w:rsid w:val="000B623B"/>
    <w:rsid w:val="000C218D"/>
    <w:rsid w:val="000C2E61"/>
    <w:rsid w:val="000E698A"/>
    <w:rsid w:val="000F4473"/>
    <w:rsid w:val="000F6CA8"/>
    <w:rsid w:val="000F7ED2"/>
    <w:rsid w:val="00101DFA"/>
    <w:rsid w:val="001117D2"/>
    <w:rsid w:val="0011241D"/>
    <w:rsid w:val="00124229"/>
    <w:rsid w:val="00130264"/>
    <w:rsid w:val="00130D65"/>
    <w:rsid w:val="00134E92"/>
    <w:rsid w:val="00142C81"/>
    <w:rsid w:val="00144650"/>
    <w:rsid w:val="001475AA"/>
    <w:rsid w:val="00163CB8"/>
    <w:rsid w:val="0016405C"/>
    <w:rsid w:val="0016542E"/>
    <w:rsid w:val="001656F0"/>
    <w:rsid w:val="0016692D"/>
    <w:rsid w:val="001707E6"/>
    <w:rsid w:val="0017122A"/>
    <w:rsid w:val="0017252C"/>
    <w:rsid w:val="00175D56"/>
    <w:rsid w:val="0017737A"/>
    <w:rsid w:val="00177A0C"/>
    <w:rsid w:val="001803FC"/>
    <w:rsid w:val="001867AD"/>
    <w:rsid w:val="001919DB"/>
    <w:rsid w:val="001921F7"/>
    <w:rsid w:val="001927F3"/>
    <w:rsid w:val="001B421F"/>
    <w:rsid w:val="001B5EB6"/>
    <w:rsid w:val="001B692D"/>
    <w:rsid w:val="001C150D"/>
    <w:rsid w:val="001D05EA"/>
    <w:rsid w:val="001D2FD3"/>
    <w:rsid w:val="001D2FF3"/>
    <w:rsid w:val="001D3A6E"/>
    <w:rsid w:val="001D4DD2"/>
    <w:rsid w:val="001D6419"/>
    <w:rsid w:val="001E0094"/>
    <w:rsid w:val="001E4C58"/>
    <w:rsid w:val="001F4A1E"/>
    <w:rsid w:val="00200671"/>
    <w:rsid w:val="00201372"/>
    <w:rsid w:val="00201C20"/>
    <w:rsid w:val="00201DEF"/>
    <w:rsid w:val="00203B02"/>
    <w:rsid w:val="0020637B"/>
    <w:rsid w:val="00223732"/>
    <w:rsid w:val="00225CB2"/>
    <w:rsid w:val="00227F8E"/>
    <w:rsid w:val="00232B81"/>
    <w:rsid w:val="002379E6"/>
    <w:rsid w:val="00241D5B"/>
    <w:rsid w:val="00244408"/>
    <w:rsid w:val="00244680"/>
    <w:rsid w:val="00263A1F"/>
    <w:rsid w:val="00270C60"/>
    <w:rsid w:val="00272542"/>
    <w:rsid w:val="0027598F"/>
    <w:rsid w:val="00280AF8"/>
    <w:rsid w:val="00282169"/>
    <w:rsid w:val="00286B3B"/>
    <w:rsid w:val="002925D1"/>
    <w:rsid w:val="00295E29"/>
    <w:rsid w:val="00297A84"/>
    <w:rsid w:val="00297EA9"/>
    <w:rsid w:val="002A3617"/>
    <w:rsid w:val="002A503C"/>
    <w:rsid w:val="002A589E"/>
    <w:rsid w:val="002A77E6"/>
    <w:rsid w:val="002C57DD"/>
    <w:rsid w:val="002D2145"/>
    <w:rsid w:val="002E0A7D"/>
    <w:rsid w:val="002E0F4A"/>
    <w:rsid w:val="002E437F"/>
    <w:rsid w:val="002E494B"/>
    <w:rsid w:val="002E58E7"/>
    <w:rsid w:val="002F67BF"/>
    <w:rsid w:val="00313C90"/>
    <w:rsid w:val="003204EA"/>
    <w:rsid w:val="00320715"/>
    <w:rsid w:val="003237C1"/>
    <w:rsid w:val="00330766"/>
    <w:rsid w:val="00333726"/>
    <w:rsid w:val="003363AA"/>
    <w:rsid w:val="003612F9"/>
    <w:rsid w:val="00361A05"/>
    <w:rsid w:val="00362B67"/>
    <w:rsid w:val="003630AE"/>
    <w:rsid w:val="003745E6"/>
    <w:rsid w:val="00375480"/>
    <w:rsid w:val="00380155"/>
    <w:rsid w:val="003935BF"/>
    <w:rsid w:val="00394C72"/>
    <w:rsid w:val="00396B28"/>
    <w:rsid w:val="003B6812"/>
    <w:rsid w:val="003B6AF2"/>
    <w:rsid w:val="003C354B"/>
    <w:rsid w:val="003C457C"/>
    <w:rsid w:val="003C743A"/>
    <w:rsid w:val="003C7C94"/>
    <w:rsid w:val="003D3727"/>
    <w:rsid w:val="003D6862"/>
    <w:rsid w:val="003E0AAD"/>
    <w:rsid w:val="003E5206"/>
    <w:rsid w:val="003E5CB3"/>
    <w:rsid w:val="003E72C0"/>
    <w:rsid w:val="003E751F"/>
    <w:rsid w:val="003F690B"/>
    <w:rsid w:val="00402F23"/>
    <w:rsid w:val="004044EF"/>
    <w:rsid w:val="00420CF5"/>
    <w:rsid w:val="0042207D"/>
    <w:rsid w:val="00422AC3"/>
    <w:rsid w:val="00426707"/>
    <w:rsid w:val="00431D17"/>
    <w:rsid w:val="00433849"/>
    <w:rsid w:val="00441533"/>
    <w:rsid w:val="004603F8"/>
    <w:rsid w:val="00466C54"/>
    <w:rsid w:val="00474824"/>
    <w:rsid w:val="00483866"/>
    <w:rsid w:val="00497F07"/>
    <w:rsid w:val="004A4EBE"/>
    <w:rsid w:val="004B51F6"/>
    <w:rsid w:val="004C1E06"/>
    <w:rsid w:val="004D2196"/>
    <w:rsid w:val="004D54A6"/>
    <w:rsid w:val="004D6257"/>
    <w:rsid w:val="004E31C0"/>
    <w:rsid w:val="004E7338"/>
    <w:rsid w:val="004F0A49"/>
    <w:rsid w:val="004F5098"/>
    <w:rsid w:val="004F6335"/>
    <w:rsid w:val="004F79D1"/>
    <w:rsid w:val="00500504"/>
    <w:rsid w:val="0050430C"/>
    <w:rsid w:val="005070F3"/>
    <w:rsid w:val="00522406"/>
    <w:rsid w:val="0052286E"/>
    <w:rsid w:val="00525F39"/>
    <w:rsid w:val="00530B56"/>
    <w:rsid w:val="005371C4"/>
    <w:rsid w:val="005445DB"/>
    <w:rsid w:val="005463D7"/>
    <w:rsid w:val="00554FE9"/>
    <w:rsid w:val="00563954"/>
    <w:rsid w:val="005671CE"/>
    <w:rsid w:val="005674E2"/>
    <w:rsid w:val="00571DAB"/>
    <w:rsid w:val="005731D6"/>
    <w:rsid w:val="00573D77"/>
    <w:rsid w:val="00576A06"/>
    <w:rsid w:val="00581151"/>
    <w:rsid w:val="0058199E"/>
    <w:rsid w:val="005924A3"/>
    <w:rsid w:val="005A342F"/>
    <w:rsid w:val="005A6A53"/>
    <w:rsid w:val="005B4E27"/>
    <w:rsid w:val="005B6A50"/>
    <w:rsid w:val="005C0F6C"/>
    <w:rsid w:val="005C392D"/>
    <w:rsid w:val="005C4227"/>
    <w:rsid w:val="005C66D9"/>
    <w:rsid w:val="005C706D"/>
    <w:rsid w:val="005D07A6"/>
    <w:rsid w:val="005E0948"/>
    <w:rsid w:val="005E10D1"/>
    <w:rsid w:val="005E335C"/>
    <w:rsid w:val="005E62C9"/>
    <w:rsid w:val="005E66BE"/>
    <w:rsid w:val="005F15F4"/>
    <w:rsid w:val="006025CC"/>
    <w:rsid w:val="00607FEA"/>
    <w:rsid w:val="00612C0B"/>
    <w:rsid w:val="00621C23"/>
    <w:rsid w:val="00623DBD"/>
    <w:rsid w:val="006415BE"/>
    <w:rsid w:val="00642D9A"/>
    <w:rsid w:val="006508F2"/>
    <w:rsid w:val="006533B0"/>
    <w:rsid w:val="00664B07"/>
    <w:rsid w:val="00665885"/>
    <w:rsid w:val="00666F60"/>
    <w:rsid w:val="006747D0"/>
    <w:rsid w:val="00685F10"/>
    <w:rsid w:val="006877AB"/>
    <w:rsid w:val="0069270B"/>
    <w:rsid w:val="00697037"/>
    <w:rsid w:val="006979F7"/>
    <w:rsid w:val="006A6D24"/>
    <w:rsid w:val="006A70E2"/>
    <w:rsid w:val="006B3510"/>
    <w:rsid w:val="006B795B"/>
    <w:rsid w:val="006C2708"/>
    <w:rsid w:val="006C30F1"/>
    <w:rsid w:val="006C7FD4"/>
    <w:rsid w:val="006D0902"/>
    <w:rsid w:val="006D0BBD"/>
    <w:rsid w:val="006E010E"/>
    <w:rsid w:val="006E3541"/>
    <w:rsid w:val="006F0EB8"/>
    <w:rsid w:val="006F1B00"/>
    <w:rsid w:val="007043A8"/>
    <w:rsid w:val="0070455C"/>
    <w:rsid w:val="00713548"/>
    <w:rsid w:val="0072394C"/>
    <w:rsid w:val="0072456E"/>
    <w:rsid w:val="007473CE"/>
    <w:rsid w:val="007550AA"/>
    <w:rsid w:val="007557BD"/>
    <w:rsid w:val="00762256"/>
    <w:rsid w:val="007627D2"/>
    <w:rsid w:val="00763B67"/>
    <w:rsid w:val="0077638B"/>
    <w:rsid w:val="00776B92"/>
    <w:rsid w:val="00776CF7"/>
    <w:rsid w:val="00787634"/>
    <w:rsid w:val="007A08FF"/>
    <w:rsid w:val="007A0E64"/>
    <w:rsid w:val="007A3E72"/>
    <w:rsid w:val="007A4488"/>
    <w:rsid w:val="007B01D0"/>
    <w:rsid w:val="007B0C1C"/>
    <w:rsid w:val="007B2320"/>
    <w:rsid w:val="007B57B9"/>
    <w:rsid w:val="007B5D4C"/>
    <w:rsid w:val="007B6CE0"/>
    <w:rsid w:val="007C2901"/>
    <w:rsid w:val="007C64D9"/>
    <w:rsid w:val="007D4C4C"/>
    <w:rsid w:val="007D6552"/>
    <w:rsid w:val="007E01A3"/>
    <w:rsid w:val="007E61C3"/>
    <w:rsid w:val="008041F8"/>
    <w:rsid w:val="00806CC7"/>
    <w:rsid w:val="00811117"/>
    <w:rsid w:val="008122B8"/>
    <w:rsid w:val="0082419E"/>
    <w:rsid w:val="0083433A"/>
    <w:rsid w:val="008353B8"/>
    <w:rsid w:val="0083573E"/>
    <w:rsid w:val="00840AE9"/>
    <w:rsid w:val="00842274"/>
    <w:rsid w:val="0084428C"/>
    <w:rsid w:val="0085749F"/>
    <w:rsid w:val="00857788"/>
    <w:rsid w:val="00864AFE"/>
    <w:rsid w:val="00865BAF"/>
    <w:rsid w:val="00872733"/>
    <w:rsid w:val="0088038A"/>
    <w:rsid w:val="00890036"/>
    <w:rsid w:val="00891FC3"/>
    <w:rsid w:val="00894599"/>
    <w:rsid w:val="008A516B"/>
    <w:rsid w:val="008A7AC8"/>
    <w:rsid w:val="008B55FA"/>
    <w:rsid w:val="008B6734"/>
    <w:rsid w:val="008C1129"/>
    <w:rsid w:val="008C1C80"/>
    <w:rsid w:val="008C31C8"/>
    <w:rsid w:val="008C685C"/>
    <w:rsid w:val="008D0338"/>
    <w:rsid w:val="008D451A"/>
    <w:rsid w:val="008D4D20"/>
    <w:rsid w:val="008E00FA"/>
    <w:rsid w:val="008E340A"/>
    <w:rsid w:val="008E36CA"/>
    <w:rsid w:val="008E74AD"/>
    <w:rsid w:val="008E77AD"/>
    <w:rsid w:val="008F49EF"/>
    <w:rsid w:val="00904C52"/>
    <w:rsid w:val="009109AC"/>
    <w:rsid w:val="009278DC"/>
    <w:rsid w:val="00930A90"/>
    <w:rsid w:val="00931CDB"/>
    <w:rsid w:val="009326BC"/>
    <w:rsid w:val="00933D71"/>
    <w:rsid w:val="0094228A"/>
    <w:rsid w:val="009425BF"/>
    <w:rsid w:val="00945393"/>
    <w:rsid w:val="00945600"/>
    <w:rsid w:val="0095198D"/>
    <w:rsid w:val="00954497"/>
    <w:rsid w:val="00956DE8"/>
    <w:rsid w:val="00957345"/>
    <w:rsid w:val="0097562F"/>
    <w:rsid w:val="0098301C"/>
    <w:rsid w:val="009834C9"/>
    <w:rsid w:val="00986A17"/>
    <w:rsid w:val="0099024E"/>
    <w:rsid w:val="009925D1"/>
    <w:rsid w:val="0099618B"/>
    <w:rsid w:val="009A3CE6"/>
    <w:rsid w:val="009A7402"/>
    <w:rsid w:val="009B004D"/>
    <w:rsid w:val="009B01B8"/>
    <w:rsid w:val="009B09E9"/>
    <w:rsid w:val="009B0A96"/>
    <w:rsid w:val="009B376B"/>
    <w:rsid w:val="009B3B42"/>
    <w:rsid w:val="009B3C05"/>
    <w:rsid w:val="009C3AB1"/>
    <w:rsid w:val="009C61D9"/>
    <w:rsid w:val="009C6EFA"/>
    <w:rsid w:val="009D2552"/>
    <w:rsid w:val="009E6BD8"/>
    <w:rsid w:val="009F1B0A"/>
    <w:rsid w:val="009F3EFE"/>
    <w:rsid w:val="009F4DD6"/>
    <w:rsid w:val="009F638F"/>
    <w:rsid w:val="009F79D6"/>
    <w:rsid w:val="009F7B76"/>
    <w:rsid w:val="00A1339B"/>
    <w:rsid w:val="00A2170F"/>
    <w:rsid w:val="00A27EF3"/>
    <w:rsid w:val="00A32A42"/>
    <w:rsid w:val="00A35C12"/>
    <w:rsid w:val="00A42FD0"/>
    <w:rsid w:val="00A43AF6"/>
    <w:rsid w:val="00A44C8E"/>
    <w:rsid w:val="00A4644C"/>
    <w:rsid w:val="00A47196"/>
    <w:rsid w:val="00A6009F"/>
    <w:rsid w:val="00A6016B"/>
    <w:rsid w:val="00A6241B"/>
    <w:rsid w:val="00A658F8"/>
    <w:rsid w:val="00A7021D"/>
    <w:rsid w:val="00A75EE7"/>
    <w:rsid w:val="00A82B34"/>
    <w:rsid w:val="00A868E0"/>
    <w:rsid w:val="00A91763"/>
    <w:rsid w:val="00A924E1"/>
    <w:rsid w:val="00A93FC2"/>
    <w:rsid w:val="00A94542"/>
    <w:rsid w:val="00AB3D03"/>
    <w:rsid w:val="00AC4C96"/>
    <w:rsid w:val="00AC5219"/>
    <w:rsid w:val="00AC6B79"/>
    <w:rsid w:val="00AD338D"/>
    <w:rsid w:val="00AE0FD6"/>
    <w:rsid w:val="00AE4587"/>
    <w:rsid w:val="00AE4C77"/>
    <w:rsid w:val="00AF0A8B"/>
    <w:rsid w:val="00B12785"/>
    <w:rsid w:val="00B12F17"/>
    <w:rsid w:val="00B139E3"/>
    <w:rsid w:val="00B238A5"/>
    <w:rsid w:val="00B26050"/>
    <w:rsid w:val="00B26CAB"/>
    <w:rsid w:val="00B305AC"/>
    <w:rsid w:val="00B3123C"/>
    <w:rsid w:val="00B33DEE"/>
    <w:rsid w:val="00B46832"/>
    <w:rsid w:val="00B47EE5"/>
    <w:rsid w:val="00B50B10"/>
    <w:rsid w:val="00B50E5D"/>
    <w:rsid w:val="00B55DCD"/>
    <w:rsid w:val="00B62623"/>
    <w:rsid w:val="00B775C1"/>
    <w:rsid w:val="00B77970"/>
    <w:rsid w:val="00B9542E"/>
    <w:rsid w:val="00BA0E6C"/>
    <w:rsid w:val="00BA5985"/>
    <w:rsid w:val="00BA6ECC"/>
    <w:rsid w:val="00BB20CE"/>
    <w:rsid w:val="00BB5F96"/>
    <w:rsid w:val="00BB736D"/>
    <w:rsid w:val="00BC0E07"/>
    <w:rsid w:val="00BC6584"/>
    <w:rsid w:val="00BD3729"/>
    <w:rsid w:val="00BD717F"/>
    <w:rsid w:val="00BE7102"/>
    <w:rsid w:val="00BF6D25"/>
    <w:rsid w:val="00BF7DD1"/>
    <w:rsid w:val="00C00083"/>
    <w:rsid w:val="00C01219"/>
    <w:rsid w:val="00C0194C"/>
    <w:rsid w:val="00C024C7"/>
    <w:rsid w:val="00C0754C"/>
    <w:rsid w:val="00C11094"/>
    <w:rsid w:val="00C13F9F"/>
    <w:rsid w:val="00C20BBB"/>
    <w:rsid w:val="00C20E08"/>
    <w:rsid w:val="00C2369B"/>
    <w:rsid w:val="00C3187A"/>
    <w:rsid w:val="00C37D87"/>
    <w:rsid w:val="00C406BA"/>
    <w:rsid w:val="00C413B1"/>
    <w:rsid w:val="00C42694"/>
    <w:rsid w:val="00C4368E"/>
    <w:rsid w:val="00C44537"/>
    <w:rsid w:val="00C4592E"/>
    <w:rsid w:val="00C63D8A"/>
    <w:rsid w:val="00C723D4"/>
    <w:rsid w:val="00C754B8"/>
    <w:rsid w:val="00C81CF6"/>
    <w:rsid w:val="00C83DDA"/>
    <w:rsid w:val="00C8738F"/>
    <w:rsid w:val="00C92176"/>
    <w:rsid w:val="00C943A9"/>
    <w:rsid w:val="00C97A4E"/>
    <w:rsid w:val="00CB01FF"/>
    <w:rsid w:val="00CB18DC"/>
    <w:rsid w:val="00CC3991"/>
    <w:rsid w:val="00CD31A9"/>
    <w:rsid w:val="00CD6CDD"/>
    <w:rsid w:val="00CD7136"/>
    <w:rsid w:val="00CE5074"/>
    <w:rsid w:val="00CF13CC"/>
    <w:rsid w:val="00CF16E0"/>
    <w:rsid w:val="00CF31EA"/>
    <w:rsid w:val="00D14742"/>
    <w:rsid w:val="00D325A1"/>
    <w:rsid w:val="00D40C65"/>
    <w:rsid w:val="00D42F7B"/>
    <w:rsid w:val="00D44317"/>
    <w:rsid w:val="00D45CC1"/>
    <w:rsid w:val="00D4725B"/>
    <w:rsid w:val="00D57131"/>
    <w:rsid w:val="00D649DC"/>
    <w:rsid w:val="00D65171"/>
    <w:rsid w:val="00D70D1B"/>
    <w:rsid w:val="00D75D6C"/>
    <w:rsid w:val="00D77DAA"/>
    <w:rsid w:val="00D81F5A"/>
    <w:rsid w:val="00D87C27"/>
    <w:rsid w:val="00D91581"/>
    <w:rsid w:val="00D923DF"/>
    <w:rsid w:val="00DA0953"/>
    <w:rsid w:val="00DA2C7C"/>
    <w:rsid w:val="00DA301E"/>
    <w:rsid w:val="00DA320D"/>
    <w:rsid w:val="00DA45DD"/>
    <w:rsid w:val="00DB2D93"/>
    <w:rsid w:val="00DB3568"/>
    <w:rsid w:val="00DB4743"/>
    <w:rsid w:val="00DC0444"/>
    <w:rsid w:val="00DC16AE"/>
    <w:rsid w:val="00DD36F8"/>
    <w:rsid w:val="00DE0035"/>
    <w:rsid w:val="00DE0B09"/>
    <w:rsid w:val="00DE73B6"/>
    <w:rsid w:val="00DF230B"/>
    <w:rsid w:val="00DF554D"/>
    <w:rsid w:val="00DF5C3B"/>
    <w:rsid w:val="00DF798B"/>
    <w:rsid w:val="00E00193"/>
    <w:rsid w:val="00E005A2"/>
    <w:rsid w:val="00E01A03"/>
    <w:rsid w:val="00E05139"/>
    <w:rsid w:val="00E13742"/>
    <w:rsid w:val="00E1419C"/>
    <w:rsid w:val="00E255B8"/>
    <w:rsid w:val="00E27DA0"/>
    <w:rsid w:val="00E302AE"/>
    <w:rsid w:val="00E34FB1"/>
    <w:rsid w:val="00E359D6"/>
    <w:rsid w:val="00E45A5A"/>
    <w:rsid w:val="00E478B1"/>
    <w:rsid w:val="00E523C9"/>
    <w:rsid w:val="00E528E8"/>
    <w:rsid w:val="00E52F7C"/>
    <w:rsid w:val="00E60CB5"/>
    <w:rsid w:val="00E63FAE"/>
    <w:rsid w:val="00E75204"/>
    <w:rsid w:val="00E76762"/>
    <w:rsid w:val="00EA297D"/>
    <w:rsid w:val="00EA2CCA"/>
    <w:rsid w:val="00EB1678"/>
    <w:rsid w:val="00EB2D09"/>
    <w:rsid w:val="00EB4B94"/>
    <w:rsid w:val="00EC13FB"/>
    <w:rsid w:val="00EC3944"/>
    <w:rsid w:val="00EC70DA"/>
    <w:rsid w:val="00ED5591"/>
    <w:rsid w:val="00EE2357"/>
    <w:rsid w:val="00EE33B1"/>
    <w:rsid w:val="00EE7DCB"/>
    <w:rsid w:val="00EF3068"/>
    <w:rsid w:val="00EF5394"/>
    <w:rsid w:val="00F0049D"/>
    <w:rsid w:val="00F01EC1"/>
    <w:rsid w:val="00F03C48"/>
    <w:rsid w:val="00F04850"/>
    <w:rsid w:val="00F12AF0"/>
    <w:rsid w:val="00F13E65"/>
    <w:rsid w:val="00F22BA8"/>
    <w:rsid w:val="00F41BD8"/>
    <w:rsid w:val="00F44C15"/>
    <w:rsid w:val="00F45032"/>
    <w:rsid w:val="00F46135"/>
    <w:rsid w:val="00F52C9E"/>
    <w:rsid w:val="00F60E08"/>
    <w:rsid w:val="00F66B0B"/>
    <w:rsid w:val="00F739AF"/>
    <w:rsid w:val="00F86637"/>
    <w:rsid w:val="00F92DA5"/>
    <w:rsid w:val="00F93177"/>
    <w:rsid w:val="00FA04F6"/>
    <w:rsid w:val="00FA5A35"/>
    <w:rsid w:val="00FA76C9"/>
    <w:rsid w:val="00FB10EC"/>
    <w:rsid w:val="00FB1828"/>
    <w:rsid w:val="00FB2EC1"/>
    <w:rsid w:val="00FB75BE"/>
    <w:rsid w:val="00FC21B8"/>
    <w:rsid w:val="00FC59E1"/>
    <w:rsid w:val="00FD0794"/>
    <w:rsid w:val="00FF157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6BA"/>
    <w:rPr>
      <w:rFonts w:ascii="Cambria" w:hAnsi="Cambria"/>
      <w:sz w:val="20"/>
    </w:rPr>
  </w:style>
  <w:style w:type="paragraph" w:styleId="Heading1">
    <w:name w:val="heading 1"/>
    <w:basedOn w:val="Normal"/>
    <w:next w:val="Normal"/>
    <w:link w:val="Heading1Char"/>
    <w:uiPriority w:val="9"/>
    <w:qFormat/>
    <w:rsid w:val="00203B02"/>
    <w:pPr>
      <w:keepNext/>
      <w:keepLines/>
      <w:spacing w:before="240" w:after="0"/>
      <w:outlineLvl w:val="0"/>
    </w:pPr>
    <w:rPr>
      <w:rFonts w:eastAsiaTheme="majorEastAsia" w:cstheme="majorBidi"/>
      <w:b/>
      <w:color w:val="000000" w:themeColor="text1"/>
      <w:sz w:val="48"/>
      <w:szCs w:val="32"/>
    </w:rPr>
  </w:style>
  <w:style w:type="paragraph" w:styleId="Heading2">
    <w:name w:val="heading 2"/>
    <w:basedOn w:val="Normal"/>
    <w:next w:val="Normal"/>
    <w:link w:val="Heading2Char"/>
    <w:uiPriority w:val="9"/>
    <w:unhideWhenUsed/>
    <w:qFormat/>
    <w:rsid w:val="00203B02"/>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203B02"/>
    <w:pPr>
      <w:keepNext/>
      <w:keepLines/>
      <w:spacing w:before="40" w:after="0"/>
      <w:outlineLvl w:val="2"/>
    </w:pPr>
    <w:rPr>
      <w:rFonts w:eastAsiaTheme="majorEastAsia" w:cstheme="majorBidi"/>
      <w:b/>
      <w:sz w:val="24"/>
      <w:szCs w:val="24"/>
    </w:rPr>
  </w:style>
  <w:style w:type="paragraph" w:styleId="Heading4">
    <w:name w:val="heading 4"/>
    <w:basedOn w:val="Normal"/>
    <w:next w:val="Normal"/>
    <w:link w:val="Heading4Char"/>
    <w:uiPriority w:val="9"/>
    <w:unhideWhenUsed/>
    <w:qFormat/>
    <w:rsid w:val="006877AB"/>
    <w:pPr>
      <w:keepNext/>
      <w:keepLines/>
      <w:spacing w:before="40" w:after="0"/>
      <w:outlineLvl w:val="3"/>
    </w:pPr>
    <w:rPr>
      <w:rFonts w:eastAsiaTheme="majorEastAsia" w:cstheme="majorBidi"/>
      <w:b/>
      <w:iCs/>
    </w:rPr>
  </w:style>
  <w:style w:type="paragraph" w:styleId="Heading5">
    <w:name w:val="heading 5"/>
    <w:basedOn w:val="Normal"/>
    <w:next w:val="Normal"/>
    <w:link w:val="Heading5Char"/>
    <w:uiPriority w:val="9"/>
    <w:unhideWhenUsed/>
    <w:qFormat/>
    <w:rsid w:val="00F52C9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B02"/>
    <w:rPr>
      <w:rFonts w:ascii="Cambria" w:eastAsiaTheme="majorEastAsia" w:hAnsi="Cambria" w:cstheme="majorBidi"/>
      <w:b/>
      <w:color w:val="000000" w:themeColor="text1"/>
      <w:sz w:val="48"/>
      <w:szCs w:val="32"/>
    </w:rPr>
  </w:style>
  <w:style w:type="paragraph" w:styleId="ListParagraph">
    <w:name w:val="List Paragraph"/>
    <w:basedOn w:val="Normal"/>
    <w:uiPriority w:val="34"/>
    <w:qFormat/>
    <w:rsid w:val="005E0948"/>
    <w:pPr>
      <w:ind w:left="720"/>
      <w:contextualSpacing/>
    </w:pPr>
  </w:style>
  <w:style w:type="paragraph" w:styleId="Title">
    <w:name w:val="Title"/>
    <w:basedOn w:val="Normal"/>
    <w:next w:val="Normal"/>
    <w:link w:val="TitleChar"/>
    <w:uiPriority w:val="10"/>
    <w:qFormat/>
    <w:rsid w:val="00203B02"/>
    <w:pPr>
      <w:spacing w:after="0" w:line="240" w:lineRule="auto"/>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203B02"/>
    <w:rPr>
      <w:rFonts w:ascii="Cambria" w:eastAsiaTheme="majorEastAsia" w:hAnsi="Cambria" w:cstheme="majorBidi"/>
      <w:b/>
      <w:spacing w:val="-10"/>
      <w:kern w:val="28"/>
      <w:sz w:val="48"/>
      <w:szCs w:val="56"/>
    </w:rPr>
  </w:style>
  <w:style w:type="paragraph" w:styleId="Subtitle">
    <w:name w:val="Subtitle"/>
    <w:basedOn w:val="Normal"/>
    <w:next w:val="Normal"/>
    <w:link w:val="SubtitleChar"/>
    <w:uiPriority w:val="11"/>
    <w:qFormat/>
    <w:rsid w:val="005E0948"/>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E0948"/>
    <w:rPr>
      <w:rFonts w:ascii="Cambria" w:eastAsiaTheme="minorEastAsia" w:hAnsi="Cambria"/>
      <w:color w:val="5A5A5A" w:themeColor="text1" w:themeTint="A5"/>
      <w:spacing w:val="15"/>
    </w:rPr>
  </w:style>
  <w:style w:type="character" w:customStyle="1" w:styleId="Heading2Char">
    <w:name w:val="Heading 2 Char"/>
    <w:basedOn w:val="DefaultParagraphFont"/>
    <w:link w:val="Heading2"/>
    <w:uiPriority w:val="9"/>
    <w:rsid w:val="00203B02"/>
    <w:rPr>
      <w:rFonts w:ascii="Cambria" w:eastAsiaTheme="majorEastAsia" w:hAnsi="Cambria" w:cstheme="majorBidi"/>
      <w:b/>
      <w:sz w:val="28"/>
      <w:szCs w:val="26"/>
    </w:rPr>
  </w:style>
  <w:style w:type="character" w:customStyle="1" w:styleId="Heading3Char">
    <w:name w:val="Heading 3 Char"/>
    <w:basedOn w:val="DefaultParagraphFont"/>
    <w:link w:val="Heading3"/>
    <w:uiPriority w:val="9"/>
    <w:rsid w:val="00203B02"/>
    <w:rPr>
      <w:rFonts w:ascii="Cambria" w:eastAsiaTheme="majorEastAsia" w:hAnsi="Cambria" w:cstheme="majorBidi"/>
      <w:b/>
      <w:sz w:val="24"/>
      <w:szCs w:val="24"/>
    </w:rPr>
  </w:style>
  <w:style w:type="table" w:styleId="TableGrid">
    <w:name w:val="Table Grid"/>
    <w:basedOn w:val="TableNormal"/>
    <w:uiPriority w:val="39"/>
    <w:rsid w:val="008945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8945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C97A4E"/>
    <w:pPr>
      <w:spacing w:line="259" w:lineRule="auto"/>
      <w:outlineLvl w:val="9"/>
    </w:pPr>
    <w:rPr>
      <w:lang w:eastAsia="nl-NL"/>
    </w:rPr>
  </w:style>
  <w:style w:type="paragraph" w:styleId="TOC1">
    <w:name w:val="toc 1"/>
    <w:basedOn w:val="Normal"/>
    <w:next w:val="Normal"/>
    <w:autoRedefine/>
    <w:uiPriority w:val="39"/>
    <w:unhideWhenUsed/>
    <w:rsid w:val="00BE7102"/>
    <w:pPr>
      <w:tabs>
        <w:tab w:val="left" w:pos="440"/>
        <w:tab w:val="right" w:leader="dot" w:pos="9062"/>
      </w:tabs>
      <w:spacing w:after="100"/>
    </w:pPr>
    <w:rPr>
      <w:b/>
      <w:noProof/>
      <w:color w:val="70AD47" w:themeColor="accent6"/>
    </w:rPr>
  </w:style>
  <w:style w:type="paragraph" w:styleId="TOC2">
    <w:name w:val="toc 2"/>
    <w:basedOn w:val="Normal"/>
    <w:next w:val="Normal"/>
    <w:autoRedefine/>
    <w:uiPriority w:val="39"/>
    <w:unhideWhenUsed/>
    <w:rsid w:val="00203B02"/>
    <w:pPr>
      <w:tabs>
        <w:tab w:val="right" w:leader="dot" w:pos="9062"/>
      </w:tabs>
      <w:spacing w:after="100"/>
      <w:ind w:left="220"/>
    </w:pPr>
  </w:style>
  <w:style w:type="paragraph" w:styleId="TOC3">
    <w:name w:val="toc 3"/>
    <w:basedOn w:val="Normal"/>
    <w:next w:val="Normal"/>
    <w:autoRedefine/>
    <w:uiPriority w:val="39"/>
    <w:unhideWhenUsed/>
    <w:rsid w:val="00C97A4E"/>
    <w:pPr>
      <w:spacing w:after="100"/>
      <w:ind w:left="440"/>
    </w:pPr>
  </w:style>
  <w:style w:type="character" w:styleId="Hyperlink">
    <w:name w:val="Hyperlink"/>
    <w:basedOn w:val="DefaultParagraphFont"/>
    <w:uiPriority w:val="99"/>
    <w:unhideWhenUsed/>
    <w:rsid w:val="00C97A4E"/>
    <w:rPr>
      <w:color w:val="0563C1" w:themeColor="hyperlink"/>
      <w:u w:val="single"/>
    </w:rPr>
  </w:style>
  <w:style w:type="character" w:customStyle="1" w:styleId="Heading4Char">
    <w:name w:val="Heading 4 Char"/>
    <w:basedOn w:val="DefaultParagraphFont"/>
    <w:link w:val="Heading4"/>
    <w:uiPriority w:val="9"/>
    <w:rsid w:val="006877AB"/>
    <w:rPr>
      <w:rFonts w:ascii="Cambria" w:eastAsiaTheme="majorEastAsia" w:hAnsi="Cambria" w:cstheme="majorBidi"/>
      <w:b/>
      <w:iCs/>
    </w:rPr>
  </w:style>
  <w:style w:type="paragraph" w:styleId="FootnoteText">
    <w:name w:val="footnote text"/>
    <w:basedOn w:val="Normal"/>
    <w:link w:val="FootnoteTextChar"/>
    <w:uiPriority w:val="99"/>
    <w:unhideWhenUsed/>
    <w:rsid w:val="00904C52"/>
    <w:pPr>
      <w:spacing w:after="0" w:line="240" w:lineRule="auto"/>
    </w:pPr>
    <w:rPr>
      <w:rFonts w:asciiTheme="minorHAnsi" w:hAnsiTheme="minorHAnsi"/>
      <w:szCs w:val="20"/>
    </w:rPr>
  </w:style>
  <w:style w:type="character" w:customStyle="1" w:styleId="FootnoteTextChar">
    <w:name w:val="Footnote Text Char"/>
    <w:basedOn w:val="DefaultParagraphFont"/>
    <w:link w:val="FootnoteText"/>
    <w:uiPriority w:val="99"/>
    <w:rsid w:val="00904C52"/>
    <w:rPr>
      <w:sz w:val="20"/>
      <w:szCs w:val="20"/>
    </w:rPr>
  </w:style>
  <w:style w:type="character" w:styleId="FootnoteReference">
    <w:name w:val="footnote reference"/>
    <w:basedOn w:val="DefaultParagraphFont"/>
    <w:uiPriority w:val="99"/>
    <w:semiHidden/>
    <w:unhideWhenUsed/>
    <w:rsid w:val="00904C52"/>
    <w:rPr>
      <w:vertAlign w:val="superscript"/>
    </w:rPr>
  </w:style>
  <w:style w:type="paragraph" w:styleId="Bibliography">
    <w:name w:val="Bibliography"/>
    <w:basedOn w:val="Normal"/>
    <w:next w:val="Normal"/>
    <w:uiPriority w:val="37"/>
    <w:unhideWhenUsed/>
    <w:rsid w:val="00C0194C"/>
  </w:style>
  <w:style w:type="paragraph" w:styleId="Header">
    <w:name w:val="header"/>
    <w:basedOn w:val="Normal"/>
    <w:link w:val="HeaderChar"/>
    <w:uiPriority w:val="99"/>
    <w:unhideWhenUsed/>
    <w:rsid w:val="003E72C0"/>
    <w:pPr>
      <w:tabs>
        <w:tab w:val="center" w:pos="4536"/>
        <w:tab w:val="right" w:pos="9072"/>
      </w:tabs>
      <w:spacing w:after="0" w:line="240" w:lineRule="auto"/>
    </w:pPr>
  </w:style>
  <w:style w:type="character" w:customStyle="1" w:styleId="HeaderChar">
    <w:name w:val="Header Char"/>
    <w:basedOn w:val="DefaultParagraphFont"/>
    <w:link w:val="Header"/>
    <w:uiPriority w:val="99"/>
    <w:rsid w:val="003E72C0"/>
    <w:rPr>
      <w:rFonts w:ascii="Cambria" w:hAnsi="Cambria"/>
    </w:rPr>
  </w:style>
  <w:style w:type="paragraph" w:styleId="Footer">
    <w:name w:val="footer"/>
    <w:basedOn w:val="Normal"/>
    <w:link w:val="FooterChar"/>
    <w:uiPriority w:val="99"/>
    <w:unhideWhenUsed/>
    <w:rsid w:val="003E72C0"/>
    <w:pPr>
      <w:tabs>
        <w:tab w:val="center" w:pos="4536"/>
        <w:tab w:val="right" w:pos="9072"/>
      </w:tabs>
      <w:spacing w:after="0" w:line="240" w:lineRule="auto"/>
    </w:pPr>
  </w:style>
  <w:style w:type="character" w:customStyle="1" w:styleId="FooterChar">
    <w:name w:val="Footer Char"/>
    <w:basedOn w:val="DefaultParagraphFont"/>
    <w:link w:val="Footer"/>
    <w:uiPriority w:val="99"/>
    <w:rsid w:val="003E72C0"/>
    <w:rPr>
      <w:rFonts w:ascii="Cambria" w:hAnsi="Cambria"/>
    </w:rPr>
  </w:style>
  <w:style w:type="paragraph" w:styleId="Caption">
    <w:name w:val="caption"/>
    <w:basedOn w:val="Normal"/>
    <w:next w:val="Normal"/>
    <w:uiPriority w:val="35"/>
    <w:unhideWhenUsed/>
    <w:qFormat/>
    <w:rsid w:val="00DF554D"/>
    <w:pPr>
      <w:spacing w:line="240" w:lineRule="auto"/>
    </w:pPr>
    <w:rPr>
      <w:i/>
      <w:iCs/>
      <w:color w:val="44546A" w:themeColor="text2"/>
      <w:sz w:val="18"/>
      <w:szCs w:val="18"/>
    </w:rPr>
  </w:style>
  <w:style w:type="character" w:customStyle="1" w:styleId="Heading5Char">
    <w:name w:val="Heading 5 Char"/>
    <w:basedOn w:val="DefaultParagraphFont"/>
    <w:link w:val="Heading5"/>
    <w:uiPriority w:val="9"/>
    <w:rsid w:val="00F52C9E"/>
    <w:rPr>
      <w:rFonts w:asciiTheme="majorHAnsi" w:eastAsiaTheme="majorEastAsia" w:hAnsiTheme="majorHAnsi" w:cstheme="majorBidi"/>
      <w:color w:val="2E74B5" w:themeColor="accent1" w:themeShade="BF"/>
    </w:rPr>
  </w:style>
  <w:style w:type="paragraph" w:styleId="NoSpacing">
    <w:name w:val="No Spacing"/>
    <w:uiPriority w:val="1"/>
    <w:qFormat/>
    <w:rsid w:val="000B0901"/>
    <w:pPr>
      <w:spacing w:after="0" w:line="240" w:lineRule="auto"/>
    </w:pPr>
    <w:rPr>
      <w:rFonts w:ascii="Cambria" w:hAnsi="Cambria"/>
    </w:rPr>
  </w:style>
  <w:style w:type="paragraph" w:customStyle="1" w:styleId="Stijl1">
    <w:name w:val="Stijl1"/>
    <w:basedOn w:val="Heading3"/>
    <w:link w:val="Stijl1Char"/>
    <w:qFormat/>
    <w:rsid w:val="00F86637"/>
    <w:pPr>
      <w:numPr>
        <w:ilvl w:val="2"/>
        <w:numId w:val="9"/>
      </w:numPr>
    </w:pPr>
    <w:rPr>
      <w:rFonts w:cs="Tahoma"/>
    </w:rPr>
  </w:style>
  <w:style w:type="character" w:customStyle="1" w:styleId="Stijl1Char">
    <w:name w:val="Stijl1 Char"/>
    <w:basedOn w:val="Heading3Char"/>
    <w:link w:val="Stijl1"/>
    <w:rsid w:val="00F86637"/>
    <w:rPr>
      <w:rFonts w:ascii="Cambria" w:eastAsiaTheme="majorEastAsia" w:hAnsi="Cambria" w:cs="Tahoma"/>
      <w:b/>
      <w:sz w:val="24"/>
      <w:szCs w:val="24"/>
    </w:rPr>
  </w:style>
  <w:style w:type="character" w:customStyle="1" w:styleId="apple-converted-space">
    <w:name w:val="apple-converted-space"/>
    <w:basedOn w:val="DefaultParagraphFont"/>
    <w:rsid w:val="00227F8E"/>
  </w:style>
  <w:style w:type="table" w:customStyle="1" w:styleId="GridTable4Accent6">
    <w:name w:val="Grid Table 4 Accent 6"/>
    <w:basedOn w:val="TableNormal"/>
    <w:uiPriority w:val="49"/>
    <w:rsid w:val="007B0C1C"/>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FollowedHyperlink">
    <w:name w:val="FollowedHyperlink"/>
    <w:basedOn w:val="DefaultParagraphFont"/>
    <w:uiPriority w:val="99"/>
    <w:semiHidden/>
    <w:unhideWhenUsed/>
    <w:rsid w:val="00C20BBB"/>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359709">
      <w:bodyDiv w:val="1"/>
      <w:marLeft w:val="0"/>
      <w:marRight w:val="0"/>
      <w:marTop w:val="0"/>
      <w:marBottom w:val="0"/>
      <w:divBdr>
        <w:top w:val="none" w:sz="0" w:space="0" w:color="auto"/>
        <w:left w:val="none" w:sz="0" w:space="0" w:color="auto"/>
        <w:bottom w:val="none" w:sz="0" w:space="0" w:color="auto"/>
        <w:right w:val="none" w:sz="0" w:space="0" w:color="auto"/>
      </w:divBdr>
    </w:div>
    <w:div w:id="789265">
      <w:bodyDiv w:val="1"/>
      <w:marLeft w:val="0"/>
      <w:marRight w:val="0"/>
      <w:marTop w:val="0"/>
      <w:marBottom w:val="0"/>
      <w:divBdr>
        <w:top w:val="none" w:sz="0" w:space="0" w:color="auto"/>
        <w:left w:val="none" w:sz="0" w:space="0" w:color="auto"/>
        <w:bottom w:val="none" w:sz="0" w:space="0" w:color="auto"/>
        <w:right w:val="none" w:sz="0" w:space="0" w:color="auto"/>
      </w:divBdr>
    </w:div>
    <w:div w:id="2320919">
      <w:bodyDiv w:val="1"/>
      <w:marLeft w:val="0"/>
      <w:marRight w:val="0"/>
      <w:marTop w:val="0"/>
      <w:marBottom w:val="0"/>
      <w:divBdr>
        <w:top w:val="none" w:sz="0" w:space="0" w:color="auto"/>
        <w:left w:val="none" w:sz="0" w:space="0" w:color="auto"/>
        <w:bottom w:val="none" w:sz="0" w:space="0" w:color="auto"/>
        <w:right w:val="none" w:sz="0" w:space="0" w:color="auto"/>
      </w:divBdr>
    </w:div>
    <w:div w:id="4946330">
      <w:bodyDiv w:val="1"/>
      <w:marLeft w:val="0"/>
      <w:marRight w:val="0"/>
      <w:marTop w:val="0"/>
      <w:marBottom w:val="0"/>
      <w:divBdr>
        <w:top w:val="none" w:sz="0" w:space="0" w:color="auto"/>
        <w:left w:val="none" w:sz="0" w:space="0" w:color="auto"/>
        <w:bottom w:val="none" w:sz="0" w:space="0" w:color="auto"/>
        <w:right w:val="none" w:sz="0" w:space="0" w:color="auto"/>
      </w:divBdr>
    </w:div>
    <w:div w:id="10113542">
      <w:bodyDiv w:val="1"/>
      <w:marLeft w:val="0"/>
      <w:marRight w:val="0"/>
      <w:marTop w:val="0"/>
      <w:marBottom w:val="0"/>
      <w:divBdr>
        <w:top w:val="none" w:sz="0" w:space="0" w:color="auto"/>
        <w:left w:val="none" w:sz="0" w:space="0" w:color="auto"/>
        <w:bottom w:val="none" w:sz="0" w:space="0" w:color="auto"/>
        <w:right w:val="none" w:sz="0" w:space="0" w:color="auto"/>
      </w:divBdr>
    </w:div>
    <w:div w:id="11301278">
      <w:bodyDiv w:val="1"/>
      <w:marLeft w:val="0"/>
      <w:marRight w:val="0"/>
      <w:marTop w:val="0"/>
      <w:marBottom w:val="0"/>
      <w:divBdr>
        <w:top w:val="none" w:sz="0" w:space="0" w:color="auto"/>
        <w:left w:val="none" w:sz="0" w:space="0" w:color="auto"/>
        <w:bottom w:val="none" w:sz="0" w:space="0" w:color="auto"/>
        <w:right w:val="none" w:sz="0" w:space="0" w:color="auto"/>
      </w:divBdr>
    </w:div>
    <w:div w:id="17590878">
      <w:bodyDiv w:val="1"/>
      <w:marLeft w:val="0"/>
      <w:marRight w:val="0"/>
      <w:marTop w:val="0"/>
      <w:marBottom w:val="0"/>
      <w:divBdr>
        <w:top w:val="none" w:sz="0" w:space="0" w:color="auto"/>
        <w:left w:val="none" w:sz="0" w:space="0" w:color="auto"/>
        <w:bottom w:val="none" w:sz="0" w:space="0" w:color="auto"/>
        <w:right w:val="none" w:sz="0" w:space="0" w:color="auto"/>
      </w:divBdr>
    </w:div>
    <w:div w:id="18090264">
      <w:bodyDiv w:val="1"/>
      <w:marLeft w:val="0"/>
      <w:marRight w:val="0"/>
      <w:marTop w:val="0"/>
      <w:marBottom w:val="0"/>
      <w:divBdr>
        <w:top w:val="none" w:sz="0" w:space="0" w:color="auto"/>
        <w:left w:val="none" w:sz="0" w:space="0" w:color="auto"/>
        <w:bottom w:val="none" w:sz="0" w:space="0" w:color="auto"/>
        <w:right w:val="none" w:sz="0" w:space="0" w:color="auto"/>
      </w:divBdr>
    </w:div>
    <w:div w:id="26562908">
      <w:bodyDiv w:val="1"/>
      <w:marLeft w:val="0"/>
      <w:marRight w:val="0"/>
      <w:marTop w:val="0"/>
      <w:marBottom w:val="0"/>
      <w:divBdr>
        <w:top w:val="none" w:sz="0" w:space="0" w:color="auto"/>
        <w:left w:val="none" w:sz="0" w:space="0" w:color="auto"/>
        <w:bottom w:val="none" w:sz="0" w:space="0" w:color="auto"/>
        <w:right w:val="none" w:sz="0" w:space="0" w:color="auto"/>
      </w:divBdr>
    </w:div>
    <w:div w:id="26805340">
      <w:bodyDiv w:val="1"/>
      <w:marLeft w:val="0"/>
      <w:marRight w:val="0"/>
      <w:marTop w:val="0"/>
      <w:marBottom w:val="0"/>
      <w:divBdr>
        <w:top w:val="none" w:sz="0" w:space="0" w:color="auto"/>
        <w:left w:val="none" w:sz="0" w:space="0" w:color="auto"/>
        <w:bottom w:val="none" w:sz="0" w:space="0" w:color="auto"/>
        <w:right w:val="none" w:sz="0" w:space="0" w:color="auto"/>
      </w:divBdr>
    </w:div>
    <w:div w:id="28267417">
      <w:bodyDiv w:val="1"/>
      <w:marLeft w:val="0"/>
      <w:marRight w:val="0"/>
      <w:marTop w:val="0"/>
      <w:marBottom w:val="0"/>
      <w:divBdr>
        <w:top w:val="none" w:sz="0" w:space="0" w:color="auto"/>
        <w:left w:val="none" w:sz="0" w:space="0" w:color="auto"/>
        <w:bottom w:val="none" w:sz="0" w:space="0" w:color="auto"/>
        <w:right w:val="none" w:sz="0" w:space="0" w:color="auto"/>
      </w:divBdr>
    </w:div>
    <w:div w:id="30768293">
      <w:bodyDiv w:val="1"/>
      <w:marLeft w:val="0"/>
      <w:marRight w:val="0"/>
      <w:marTop w:val="0"/>
      <w:marBottom w:val="0"/>
      <w:divBdr>
        <w:top w:val="none" w:sz="0" w:space="0" w:color="auto"/>
        <w:left w:val="none" w:sz="0" w:space="0" w:color="auto"/>
        <w:bottom w:val="none" w:sz="0" w:space="0" w:color="auto"/>
        <w:right w:val="none" w:sz="0" w:space="0" w:color="auto"/>
      </w:divBdr>
    </w:div>
    <w:div w:id="33432280">
      <w:bodyDiv w:val="1"/>
      <w:marLeft w:val="0"/>
      <w:marRight w:val="0"/>
      <w:marTop w:val="0"/>
      <w:marBottom w:val="0"/>
      <w:divBdr>
        <w:top w:val="none" w:sz="0" w:space="0" w:color="auto"/>
        <w:left w:val="none" w:sz="0" w:space="0" w:color="auto"/>
        <w:bottom w:val="none" w:sz="0" w:space="0" w:color="auto"/>
        <w:right w:val="none" w:sz="0" w:space="0" w:color="auto"/>
      </w:divBdr>
    </w:div>
    <w:div w:id="33774586">
      <w:bodyDiv w:val="1"/>
      <w:marLeft w:val="0"/>
      <w:marRight w:val="0"/>
      <w:marTop w:val="0"/>
      <w:marBottom w:val="0"/>
      <w:divBdr>
        <w:top w:val="none" w:sz="0" w:space="0" w:color="auto"/>
        <w:left w:val="none" w:sz="0" w:space="0" w:color="auto"/>
        <w:bottom w:val="none" w:sz="0" w:space="0" w:color="auto"/>
        <w:right w:val="none" w:sz="0" w:space="0" w:color="auto"/>
      </w:divBdr>
    </w:div>
    <w:div w:id="36783681">
      <w:bodyDiv w:val="1"/>
      <w:marLeft w:val="0"/>
      <w:marRight w:val="0"/>
      <w:marTop w:val="0"/>
      <w:marBottom w:val="0"/>
      <w:divBdr>
        <w:top w:val="none" w:sz="0" w:space="0" w:color="auto"/>
        <w:left w:val="none" w:sz="0" w:space="0" w:color="auto"/>
        <w:bottom w:val="none" w:sz="0" w:space="0" w:color="auto"/>
        <w:right w:val="none" w:sz="0" w:space="0" w:color="auto"/>
      </w:divBdr>
    </w:div>
    <w:div w:id="45180670">
      <w:bodyDiv w:val="1"/>
      <w:marLeft w:val="0"/>
      <w:marRight w:val="0"/>
      <w:marTop w:val="0"/>
      <w:marBottom w:val="0"/>
      <w:divBdr>
        <w:top w:val="none" w:sz="0" w:space="0" w:color="auto"/>
        <w:left w:val="none" w:sz="0" w:space="0" w:color="auto"/>
        <w:bottom w:val="none" w:sz="0" w:space="0" w:color="auto"/>
        <w:right w:val="none" w:sz="0" w:space="0" w:color="auto"/>
      </w:divBdr>
    </w:div>
    <w:div w:id="49546219">
      <w:bodyDiv w:val="1"/>
      <w:marLeft w:val="0"/>
      <w:marRight w:val="0"/>
      <w:marTop w:val="0"/>
      <w:marBottom w:val="0"/>
      <w:divBdr>
        <w:top w:val="none" w:sz="0" w:space="0" w:color="auto"/>
        <w:left w:val="none" w:sz="0" w:space="0" w:color="auto"/>
        <w:bottom w:val="none" w:sz="0" w:space="0" w:color="auto"/>
        <w:right w:val="none" w:sz="0" w:space="0" w:color="auto"/>
      </w:divBdr>
    </w:div>
    <w:div w:id="50660294">
      <w:bodyDiv w:val="1"/>
      <w:marLeft w:val="0"/>
      <w:marRight w:val="0"/>
      <w:marTop w:val="0"/>
      <w:marBottom w:val="0"/>
      <w:divBdr>
        <w:top w:val="none" w:sz="0" w:space="0" w:color="auto"/>
        <w:left w:val="none" w:sz="0" w:space="0" w:color="auto"/>
        <w:bottom w:val="none" w:sz="0" w:space="0" w:color="auto"/>
        <w:right w:val="none" w:sz="0" w:space="0" w:color="auto"/>
      </w:divBdr>
    </w:div>
    <w:div w:id="51857085">
      <w:bodyDiv w:val="1"/>
      <w:marLeft w:val="0"/>
      <w:marRight w:val="0"/>
      <w:marTop w:val="0"/>
      <w:marBottom w:val="0"/>
      <w:divBdr>
        <w:top w:val="none" w:sz="0" w:space="0" w:color="auto"/>
        <w:left w:val="none" w:sz="0" w:space="0" w:color="auto"/>
        <w:bottom w:val="none" w:sz="0" w:space="0" w:color="auto"/>
        <w:right w:val="none" w:sz="0" w:space="0" w:color="auto"/>
      </w:divBdr>
    </w:div>
    <w:div w:id="52773242">
      <w:bodyDiv w:val="1"/>
      <w:marLeft w:val="0"/>
      <w:marRight w:val="0"/>
      <w:marTop w:val="0"/>
      <w:marBottom w:val="0"/>
      <w:divBdr>
        <w:top w:val="none" w:sz="0" w:space="0" w:color="auto"/>
        <w:left w:val="none" w:sz="0" w:space="0" w:color="auto"/>
        <w:bottom w:val="none" w:sz="0" w:space="0" w:color="auto"/>
        <w:right w:val="none" w:sz="0" w:space="0" w:color="auto"/>
      </w:divBdr>
    </w:div>
    <w:div w:id="62527047">
      <w:bodyDiv w:val="1"/>
      <w:marLeft w:val="0"/>
      <w:marRight w:val="0"/>
      <w:marTop w:val="0"/>
      <w:marBottom w:val="0"/>
      <w:divBdr>
        <w:top w:val="none" w:sz="0" w:space="0" w:color="auto"/>
        <w:left w:val="none" w:sz="0" w:space="0" w:color="auto"/>
        <w:bottom w:val="none" w:sz="0" w:space="0" w:color="auto"/>
        <w:right w:val="none" w:sz="0" w:space="0" w:color="auto"/>
      </w:divBdr>
    </w:div>
    <w:div w:id="64450472">
      <w:bodyDiv w:val="1"/>
      <w:marLeft w:val="0"/>
      <w:marRight w:val="0"/>
      <w:marTop w:val="0"/>
      <w:marBottom w:val="0"/>
      <w:divBdr>
        <w:top w:val="none" w:sz="0" w:space="0" w:color="auto"/>
        <w:left w:val="none" w:sz="0" w:space="0" w:color="auto"/>
        <w:bottom w:val="none" w:sz="0" w:space="0" w:color="auto"/>
        <w:right w:val="none" w:sz="0" w:space="0" w:color="auto"/>
      </w:divBdr>
    </w:div>
    <w:div w:id="64843721">
      <w:bodyDiv w:val="1"/>
      <w:marLeft w:val="0"/>
      <w:marRight w:val="0"/>
      <w:marTop w:val="0"/>
      <w:marBottom w:val="0"/>
      <w:divBdr>
        <w:top w:val="none" w:sz="0" w:space="0" w:color="auto"/>
        <w:left w:val="none" w:sz="0" w:space="0" w:color="auto"/>
        <w:bottom w:val="none" w:sz="0" w:space="0" w:color="auto"/>
        <w:right w:val="none" w:sz="0" w:space="0" w:color="auto"/>
      </w:divBdr>
    </w:div>
    <w:div w:id="67267215">
      <w:bodyDiv w:val="1"/>
      <w:marLeft w:val="0"/>
      <w:marRight w:val="0"/>
      <w:marTop w:val="0"/>
      <w:marBottom w:val="0"/>
      <w:divBdr>
        <w:top w:val="none" w:sz="0" w:space="0" w:color="auto"/>
        <w:left w:val="none" w:sz="0" w:space="0" w:color="auto"/>
        <w:bottom w:val="none" w:sz="0" w:space="0" w:color="auto"/>
        <w:right w:val="none" w:sz="0" w:space="0" w:color="auto"/>
      </w:divBdr>
    </w:div>
    <w:div w:id="67726878">
      <w:bodyDiv w:val="1"/>
      <w:marLeft w:val="0"/>
      <w:marRight w:val="0"/>
      <w:marTop w:val="0"/>
      <w:marBottom w:val="0"/>
      <w:divBdr>
        <w:top w:val="none" w:sz="0" w:space="0" w:color="auto"/>
        <w:left w:val="none" w:sz="0" w:space="0" w:color="auto"/>
        <w:bottom w:val="none" w:sz="0" w:space="0" w:color="auto"/>
        <w:right w:val="none" w:sz="0" w:space="0" w:color="auto"/>
      </w:divBdr>
    </w:div>
    <w:div w:id="67846238">
      <w:bodyDiv w:val="1"/>
      <w:marLeft w:val="0"/>
      <w:marRight w:val="0"/>
      <w:marTop w:val="0"/>
      <w:marBottom w:val="0"/>
      <w:divBdr>
        <w:top w:val="none" w:sz="0" w:space="0" w:color="auto"/>
        <w:left w:val="none" w:sz="0" w:space="0" w:color="auto"/>
        <w:bottom w:val="none" w:sz="0" w:space="0" w:color="auto"/>
        <w:right w:val="none" w:sz="0" w:space="0" w:color="auto"/>
      </w:divBdr>
    </w:div>
    <w:div w:id="74321151">
      <w:bodyDiv w:val="1"/>
      <w:marLeft w:val="0"/>
      <w:marRight w:val="0"/>
      <w:marTop w:val="0"/>
      <w:marBottom w:val="0"/>
      <w:divBdr>
        <w:top w:val="none" w:sz="0" w:space="0" w:color="auto"/>
        <w:left w:val="none" w:sz="0" w:space="0" w:color="auto"/>
        <w:bottom w:val="none" w:sz="0" w:space="0" w:color="auto"/>
        <w:right w:val="none" w:sz="0" w:space="0" w:color="auto"/>
      </w:divBdr>
    </w:div>
    <w:div w:id="80026892">
      <w:bodyDiv w:val="1"/>
      <w:marLeft w:val="0"/>
      <w:marRight w:val="0"/>
      <w:marTop w:val="0"/>
      <w:marBottom w:val="0"/>
      <w:divBdr>
        <w:top w:val="none" w:sz="0" w:space="0" w:color="auto"/>
        <w:left w:val="none" w:sz="0" w:space="0" w:color="auto"/>
        <w:bottom w:val="none" w:sz="0" w:space="0" w:color="auto"/>
        <w:right w:val="none" w:sz="0" w:space="0" w:color="auto"/>
      </w:divBdr>
    </w:div>
    <w:div w:id="85924399">
      <w:bodyDiv w:val="1"/>
      <w:marLeft w:val="0"/>
      <w:marRight w:val="0"/>
      <w:marTop w:val="0"/>
      <w:marBottom w:val="0"/>
      <w:divBdr>
        <w:top w:val="none" w:sz="0" w:space="0" w:color="auto"/>
        <w:left w:val="none" w:sz="0" w:space="0" w:color="auto"/>
        <w:bottom w:val="none" w:sz="0" w:space="0" w:color="auto"/>
        <w:right w:val="none" w:sz="0" w:space="0" w:color="auto"/>
      </w:divBdr>
    </w:div>
    <w:div w:id="86465136">
      <w:bodyDiv w:val="1"/>
      <w:marLeft w:val="0"/>
      <w:marRight w:val="0"/>
      <w:marTop w:val="0"/>
      <w:marBottom w:val="0"/>
      <w:divBdr>
        <w:top w:val="none" w:sz="0" w:space="0" w:color="auto"/>
        <w:left w:val="none" w:sz="0" w:space="0" w:color="auto"/>
        <w:bottom w:val="none" w:sz="0" w:space="0" w:color="auto"/>
        <w:right w:val="none" w:sz="0" w:space="0" w:color="auto"/>
      </w:divBdr>
    </w:div>
    <w:div w:id="89467845">
      <w:bodyDiv w:val="1"/>
      <w:marLeft w:val="0"/>
      <w:marRight w:val="0"/>
      <w:marTop w:val="0"/>
      <w:marBottom w:val="0"/>
      <w:divBdr>
        <w:top w:val="none" w:sz="0" w:space="0" w:color="auto"/>
        <w:left w:val="none" w:sz="0" w:space="0" w:color="auto"/>
        <w:bottom w:val="none" w:sz="0" w:space="0" w:color="auto"/>
        <w:right w:val="none" w:sz="0" w:space="0" w:color="auto"/>
      </w:divBdr>
    </w:div>
    <w:div w:id="95562733">
      <w:bodyDiv w:val="1"/>
      <w:marLeft w:val="0"/>
      <w:marRight w:val="0"/>
      <w:marTop w:val="0"/>
      <w:marBottom w:val="0"/>
      <w:divBdr>
        <w:top w:val="none" w:sz="0" w:space="0" w:color="auto"/>
        <w:left w:val="none" w:sz="0" w:space="0" w:color="auto"/>
        <w:bottom w:val="none" w:sz="0" w:space="0" w:color="auto"/>
        <w:right w:val="none" w:sz="0" w:space="0" w:color="auto"/>
      </w:divBdr>
    </w:div>
    <w:div w:id="95907222">
      <w:bodyDiv w:val="1"/>
      <w:marLeft w:val="0"/>
      <w:marRight w:val="0"/>
      <w:marTop w:val="0"/>
      <w:marBottom w:val="0"/>
      <w:divBdr>
        <w:top w:val="none" w:sz="0" w:space="0" w:color="auto"/>
        <w:left w:val="none" w:sz="0" w:space="0" w:color="auto"/>
        <w:bottom w:val="none" w:sz="0" w:space="0" w:color="auto"/>
        <w:right w:val="none" w:sz="0" w:space="0" w:color="auto"/>
      </w:divBdr>
    </w:div>
    <w:div w:id="99685149">
      <w:bodyDiv w:val="1"/>
      <w:marLeft w:val="0"/>
      <w:marRight w:val="0"/>
      <w:marTop w:val="0"/>
      <w:marBottom w:val="0"/>
      <w:divBdr>
        <w:top w:val="none" w:sz="0" w:space="0" w:color="auto"/>
        <w:left w:val="none" w:sz="0" w:space="0" w:color="auto"/>
        <w:bottom w:val="none" w:sz="0" w:space="0" w:color="auto"/>
        <w:right w:val="none" w:sz="0" w:space="0" w:color="auto"/>
      </w:divBdr>
    </w:div>
    <w:div w:id="100221884">
      <w:bodyDiv w:val="1"/>
      <w:marLeft w:val="0"/>
      <w:marRight w:val="0"/>
      <w:marTop w:val="0"/>
      <w:marBottom w:val="0"/>
      <w:divBdr>
        <w:top w:val="none" w:sz="0" w:space="0" w:color="auto"/>
        <w:left w:val="none" w:sz="0" w:space="0" w:color="auto"/>
        <w:bottom w:val="none" w:sz="0" w:space="0" w:color="auto"/>
        <w:right w:val="none" w:sz="0" w:space="0" w:color="auto"/>
      </w:divBdr>
    </w:div>
    <w:div w:id="105856770">
      <w:bodyDiv w:val="1"/>
      <w:marLeft w:val="0"/>
      <w:marRight w:val="0"/>
      <w:marTop w:val="0"/>
      <w:marBottom w:val="0"/>
      <w:divBdr>
        <w:top w:val="none" w:sz="0" w:space="0" w:color="auto"/>
        <w:left w:val="none" w:sz="0" w:space="0" w:color="auto"/>
        <w:bottom w:val="none" w:sz="0" w:space="0" w:color="auto"/>
        <w:right w:val="none" w:sz="0" w:space="0" w:color="auto"/>
      </w:divBdr>
    </w:div>
    <w:div w:id="106655700">
      <w:bodyDiv w:val="1"/>
      <w:marLeft w:val="0"/>
      <w:marRight w:val="0"/>
      <w:marTop w:val="0"/>
      <w:marBottom w:val="0"/>
      <w:divBdr>
        <w:top w:val="none" w:sz="0" w:space="0" w:color="auto"/>
        <w:left w:val="none" w:sz="0" w:space="0" w:color="auto"/>
        <w:bottom w:val="none" w:sz="0" w:space="0" w:color="auto"/>
        <w:right w:val="none" w:sz="0" w:space="0" w:color="auto"/>
      </w:divBdr>
    </w:div>
    <w:div w:id="109322946">
      <w:bodyDiv w:val="1"/>
      <w:marLeft w:val="0"/>
      <w:marRight w:val="0"/>
      <w:marTop w:val="0"/>
      <w:marBottom w:val="0"/>
      <w:divBdr>
        <w:top w:val="none" w:sz="0" w:space="0" w:color="auto"/>
        <w:left w:val="none" w:sz="0" w:space="0" w:color="auto"/>
        <w:bottom w:val="none" w:sz="0" w:space="0" w:color="auto"/>
        <w:right w:val="none" w:sz="0" w:space="0" w:color="auto"/>
      </w:divBdr>
    </w:div>
    <w:div w:id="114301625">
      <w:bodyDiv w:val="1"/>
      <w:marLeft w:val="0"/>
      <w:marRight w:val="0"/>
      <w:marTop w:val="0"/>
      <w:marBottom w:val="0"/>
      <w:divBdr>
        <w:top w:val="none" w:sz="0" w:space="0" w:color="auto"/>
        <w:left w:val="none" w:sz="0" w:space="0" w:color="auto"/>
        <w:bottom w:val="none" w:sz="0" w:space="0" w:color="auto"/>
        <w:right w:val="none" w:sz="0" w:space="0" w:color="auto"/>
      </w:divBdr>
    </w:div>
    <w:div w:id="124659993">
      <w:bodyDiv w:val="1"/>
      <w:marLeft w:val="0"/>
      <w:marRight w:val="0"/>
      <w:marTop w:val="0"/>
      <w:marBottom w:val="0"/>
      <w:divBdr>
        <w:top w:val="none" w:sz="0" w:space="0" w:color="auto"/>
        <w:left w:val="none" w:sz="0" w:space="0" w:color="auto"/>
        <w:bottom w:val="none" w:sz="0" w:space="0" w:color="auto"/>
        <w:right w:val="none" w:sz="0" w:space="0" w:color="auto"/>
      </w:divBdr>
    </w:div>
    <w:div w:id="125392754">
      <w:bodyDiv w:val="1"/>
      <w:marLeft w:val="0"/>
      <w:marRight w:val="0"/>
      <w:marTop w:val="0"/>
      <w:marBottom w:val="0"/>
      <w:divBdr>
        <w:top w:val="none" w:sz="0" w:space="0" w:color="auto"/>
        <w:left w:val="none" w:sz="0" w:space="0" w:color="auto"/>
        <w:bottom w:val="none" w:sz="0" w:space="0" w:color="auto"/>
        <w:right w:val="none" w:sz="0" w:space="0" w:color="auto"/>
      </w:divBdr>
    </w:div>
    <w:div w:id="131215171">
      <w:bodyDiv w:val="1"/>
      <w:marLeft w:val="0"/>
      <w:marRight w:val="0"/>
      <w:marTop w:val="0"/>
      <w:marBottom w:val="0"/>
      <w:divBdr>
        <w:top w:val="none" w:sz="0" w:space="0" w:color="auto"/>
        <w:left w:val="none" w:sz="0" w:space="0" w:color="auto"/>
        <w:bottom w:val="none" w:sz="0" w:space="0" w:color="auto"/>
        <w:right w:val="none" w:sz="0" w:space="0" w:color="auto"/>
      </w:divBdr>
    </w:div>
    <w:div w:id="135605506">
      <w:bodyDiv w:val="1"/>
      <w:marLeft w:val="0"/>
      <w:marRight w:val="0"/>
      <w:marTop w:val="0"/>
      <w:marBottom w:val="0"/>
      <w:divBdr>
        <w:top w:val="none" w:sz="0" w:space="0" w:color="auto"/>
        <w:left w:val="none" w:sz="0" w:space="0" w:color="auto"/>
        <w:bottom w:val="none" w:sz="0" w:space="0" w:color="auto"/>
        <w:right w:val="none" w:sz="0" w:space="0" w:color="auto"/>
      </w:divBdr>
    </w:div>
    <w:div w:id="139881416">
      <w:bodyDiv w:val="1"/>
      <w:marLeft w:val="0"/>
      <w:marRight w:val="0"/>
      <w:marTop w:val="0"/>
      <w:marBottom w:val="0"/>
      <w:divBdr>
        <w:top w:val="none" w:sz="0" w:space="0" w:color="auto"/>
        <w:left w:val="none" w:sz="0" w:space="0" w:color="auto"/>
        <w:bottom w:val="none" w:sz="0" w:space="0" w:color="auto"/>
        <w:right w:val="none" w:sz="0" w:space="0" w:color="auto"/>
      </w:divBdr>
    </w:div>
    <w:div w:id="148328931">
      <w:bodyDiv w:val="1"/>
      <w:marLeft w:val="0"/>
      <w:marRight w:val="0"/>
      <w:marTop w:val="0"/>
      <w:marBottom w:val="0"/>
      <w:divBdr>
        <w:top w:val="none" w:sz="0" w:space="0" w:color="auto"/>
        <w:left w:val="none" w:sz="0" w:space="0" w:color="auto"/>
        <w:bottom w:val="none" w:sz="0" w:space="0" w:color="auto"/>
        <w:right w:val="none" w:sz="0" w:space="0" w:color="auto"/>
      </w:divBdr>
    </w:div>
    <w:div w:id="149100239">
      <w:bodyDiv w:val="1"/>
      <w:marLeft w:val="0"/>
      <w:marRight w:val="0"/>
      <w:marTop w:val="0"/>
      <w:marBottom w:val="0"/>
      <w:divBdr>
        <w:top w:val="none" w:sz="0" w:space="0" w:color="auto"/>
        <w:left w:val="none" w:sz="0" w:space="0" w:color="auto"/>
        <w:bottom w:val="none" w:sz="0" w:space="0" w:color="auto"/>
        <w:right w:val="none" w:sz="0" w:space="0" w:color="auto"/>
      </w:divBdr>
    </w:div>
    <w:div w:id="150803969">
      <w:bodyDiv w:val="1"/>
      <w:marLeft w:val="0"/>
      <w:marRight w:val="0"/>
      <w:marTop w:val="0"/>
      <w:marBottom w:val="0"/>
      <w:divBdr>
        <w:top w:val="none" w:sz="0" w:space="0" w:color="auto"/>
        <w:left w:val="none" w:sz="0" w:space="0" w:color="auto"/>
        <w:bottom w:val="none" w:sz="0" w:space="0" w:color="auto"/>
        <w:right w:val="none" w:sz="0" w:space="0" w:color="auto"/>
      </w:divBdr>
    </w:div>
    <w:div w:id="154684124">
      <w:bodyDiv w:val="1"/>
      <w:marLeft w:val="0"/>
      <w:marRight w:val="0"/>
      <w:marTop w:val="0"/>
      <w:marBottom w:val="0"/>
      <w:divBdr>
        <w:top w:val="none" w:sz="0" w:space="0" w:color="auto"/>
        <w:left w:val="none" w:sz="0" w:space="0" w:color="auto"/>
        <w:bottom w:val="none" w:sz="0" w:space="0" w:color="auto"/>
        <w:right w:val="none" w:sz="0" w:space="0" w:color="auto"/>
      </w:divBdr>
    </w:div>
    <w:div w:id="165019687">
      <w:bodyDiv w:val="1"/>
      <w:marLeft w:val="0"/>
      <w:marRight w:val="0"/>
      <w:marTop w:val="0"/>
      <w:marBottom w:val="0"/>
      <w:divBdr>
        <w:top w:val="none" w:sz="0" w:space="0" w:color="auto"/>
        <w:left w:val="none" w:sz="0" w:space="0" w:color="auto"/>
        <w:bottom w:val="none" w:sz="0" w:space="0" w:color="auto"/>
        <w:right w:val="none" w:sz="0" w:space="0" w:color="auto"/>
      </w:divBdr>
    </w:div>
    <w:div w:id="165749410">
      <w:bodyDiv w:val="1"/>
      <w:marLeft w:val="0"/>
      <w:marRight w:val="0"/>
      <w:marTop w:val="0"/>
      <w:marBottom w:val="0"/>
      <w:divBdr>
        <w:top w:val="none" w:sz="0" w:space="0" w:color="auto"/>
        <w:left w:val="none" w:sz="0" w:space="0" w:color="auto"/>
        <w:bottom w:val="none" w:sz="0" w:space="0" w:color="auto"/>
        <w:right w:val="none" w:sz="0" w:space="0" w:color="auto"/>
      </w:divBdr>
    </w:div>
    <w:div w:id="165823789">
      <w:bodyDiv w:val="1"/>
      <w:marLeft w:val="0"/>
      <w:marRight w:val="0"/>
      <w:marTop w:val="0"/>
      <w:marBottom w:val="0"/>
      <w:divBdr>
        <w:top w:val="none" w:sz="0" w:space="0" w:color="auto"/>
        <w:left w:val="none" w:sz="0" w:space="0" w:color="auto"/>
        <w:bottom w:val="none" w:sz="0" w:space="0" w:color="auto"/>
        <w:right w:val="none" w:sz="0" w:space="0" w:color="auto"/>
      </w:divBdr>
    </w:div>
    <w:div w:id="168493182">
      <w:bodyDiv w:val="1"/>
      <w:marLeft w:val="0"/>
      <w:marRight w:val="0"/>
      <w:marTop w:val="0"/>
      <w:marBottom w:val="0"/>
      <w:divBdr>
        <w:top w:val="none" w:sz="0" w:space="0" w:color="auto"/>
        <w:left w:val="none" w:sz="0" w:space="0" w:color="auto"/>
        <w:bottom w:val="none" w:sz="0" w:space="0" w:color="auto"/>
        <w:right w:val="none" w:sz="0" w:space="0" w:color="auto"/>
      </w:divBdr>
    </w:div>
    <w:div w:id="169221025">
      <w:bodyDiv w:val="1"/>
      <w:marLeft w:val="0"/>
      <w:marRight w:val="0"/>
      <w:marTop w:val="0"/>
      <w:marBottom w:val="0"/>
      <w:divBdr>
        <w:top w:val="none" w:sz="0" w:space="0" w:color="auto"/>
        <w:left w:val="none" w:sz="0" w:space="0" w:color="auto"/>
        <w:bottom w:val="none" w:sz="0" w:space="0" w:color="auto"/>
        <w:right w:val="none" w:sz="0" w:space="0" w:color="auto"/>
      </w:divBdr>
    </w:div>
    <w:div w:id="176845540">
      <w:bodyDiv w:val="1"/>
      <w:marLeft w:val="0"/>
      <w:marRight w:val="0"/>
      <w:marTop w:val="0"/>
      <w:marBottom w:val="0"/>
      <w:divBdr>
        <w:top w:val="none" w:sz="0" w:space="0" w:color="auto"/>
        <w:left w:val="none" w:sz="0" w:space="0" w:color="auto"/>
        <w:bottom w:val="none" w:sz="0" w:space="0" w:color="auto"/>
        <w:right w:val="none" w:sz="0" w:space="0" w:color="auto"/>
      </w:divBdr>
    </w:div>
    <w:div w:id="178813911">
      <w:bodyDiv w:val="1"/>
      <w:marLeft w:val="0"/>
      <w:marRight w:val="0"/>
      <w:marTop w:val="0"/>
      <w:marBottom w:val="0"/>
      <w:divBdr>
        <w:top w:val="none" w:sz="0" w:space="0" w:color="auto"/>
        <w:left w:val="none" w:sz="0" w:space="0" w:color="auto"/>
        <w:bottom w:val="none" w:sz="0" w:space="0" w:color="auto"/>
        <w:right w:val="none" w:sz="0" w:space="0" w:color="auto"/>
      </w:divBdr>
    </w:div>
    <w:div w:id="180701565">
      <w:bodyDiv w:val="1"/>
      <w:marLeft w:val="0"/>
      <w:marRight w:val="0"/>
      <w:marTop w:val="0"/>
      <w:marBottom w:val="0"/>
      <w:divBdr>
        <w:top w:val="none" w:sz="0" w:space="0" w:color="auto"/>
        <w:left w:val="none" w:sz="0" w:space="0" w:color="auto"/>
        <w:bottom w:val="none" w:sz="0" w:space="0" w:color="auto"/>
        <w:right w:val="none" w:sz="0" w:space="0" w:color="auto"/>
      </w:divBdr>
    </w:div>
    <w:div w:id="180897464">
      <w:bodyDiv w:val="1"/>
      <w:marLeft w:val="0"/>
      <w:marRight w:val="0"/>
      <w:marTop w:val="0"/>
      <w:marBottom w:val="0"/>
      <w:divBdr>
        <w:top w:val="none" w:sz="0" w:space="0" w:color="auto"/>
        <w:left w:val="none" w:sz="0" w:space="0" w:color="auto"/>
        <w:bottom w:val="none" w:sz="0" w:space="0" w:color="auto"/>
        <w:right w:val="none" w:sz="0" w:space="0" w:color="auto"/>
      </w:divBdr>
    </w:div>
    <w:div w:id="181168614">
      <w:bodyDiv w:val="1"/>
      <w:marLeft w:val="0"/>
      <w:marRight w:val="0"/>
      <w:marTop w:val="0"/>
      <w:marBottom w:val="0"/>
      <w:divBdr>
        <w:top w:val="none" w:sz="0" w:space="0" w:color="auto"/>
        <w:left w:val="none" w:sz="0" w:space="0" w:color="auto"/>
        <w:bottom w:val="none" w:sz="0" w:space="0" w:color="auto"/>
        <w:right w:val="none" w:sz="0" w:space="0" w:color="auto"/>
      </w:divBdr>
    </w:div>
    <w:div w:id="181212929">
      <w:bodyDiv w:val="1"/>
      <w:marLeft w:val="0"/>
      <w:marRight w:val="0"/>
      <w:marTop w:val="0"/>
      <w:marBottom w:val="0"/>
      <w:divBdr>
        <w:top w:val="none" w:sz="0" w:space="0" w:color="auto"/>
        <w:left w:val="none" w:sz="0" w:space="0" w:color="auto"/>
        <w:bottom w:val="none" w:sz="0" w:space="0" w:color="auto"/>
        <w:right w:val="none" w:sz="0" w:space="0" w:color="auto"/>
      </w:divBdr>
    </w:div>
    <w:div w:id="184712275">
      <w:bodyDiv w:val="1"/>
      <w:marLeft w:val="0"/>
      <w:marRight w:val="0"/>
      <w:marTop w:val="0"/>
      <w:marBottom w:val="0"/>
      <w:divBdr>
        <w:top w:val="none" w:sz="0" w:space="0" w:color="auto"/>
        <w:left w:val="none" w:sz="0" w:space="0" w:color="auto"/>
        <w:bottom w:val="none" w:sz="0" w:space="0" w:color="auto"/>
        <w:right w:val="none" w:sz="0" w:space="0" w:color="auto"/>
      </w:divBdr>
    </w:div>
    <w:div w:id="187762496">
      <w:bodyDiv w:val="1"/>
      <w:marLeft w:val="0"/>
      <w:marRight w:val="0"/>
      <w:marTop w:val="0"/>
      <w:marBottom w:val="0"/>
      <w:divBdr>
        <w:top w:val="none" w:sz="0" w:space="0" w:color="auto"/>
        <w:left w:val="none" w:sz="0" w:space="0" w:color="auto"/>
        <w:bottom w:val="none" w:sz="0" w:space="0" w:color="auto"/>
        <w:right w:val="none" w:sz="0" w:space="0" w:color="auto"/>
      </w:divBdr>
    </w:div>
    <w:div w:id="196740563">
      <w:bodyDiv w:val="1"/>
      <w:marLeft w:val="0"/>
      <w:marRight w:val="0"/>
      <w:marTop w:val="0"/>
      <w:marBottom w:val="0"/>
      <w:divBdr>
        <w:top w:val="none" w:sz="0" w:space="0" w:color="auto"/>
        <w:left w:val="none" w:sz="0" w:space="0" w:color="auto"/>
        <w:bottom w:val="none" w:sz="0" w:space="0" w:color="auto"/>
        <w:right w:val="none" w:sz="0" w:space="0" w:color="auto"/>
      </w:divBdr>
    </w:div>
    <w:div w:id="208421933">
      <w:bodyDiv w:val="1"/>
      <w:marLeft w:val="0"/>
      <w:marRight w:val="0"/>
      <w:marTop w:val="0"/>
      <w:marBottom w:val="0"/>
      <w:divBdr>
        <w:top w:val="none" w:sz="0" w:space="0" w:color="auto"/>
        <w:left w:val="none" w:sz="0" w:space="0" w:color="auto"/>
        <w:bottom w:val="none" w:sz="0" w:space="0" w:color="auto"/>
        <w:right w:val="none" w:sz="0" w:space="0" w:color="auto"/>
      </w:divBdr>
    </w:div>
    <w:div w:id="209072488">
      <w:bodyDiv w:val="1"/>
      <w:marLeft w:val="0"/>
      <w:marRight w:val="0"/>
      <w:marTop w:val="0"/>
      <w:marBottom w:val="0"/>
      <w:divBdr>
        <w:top w:val="none" w:sz="0" w:space="0" w:color="auto"/>
        <w:left w:val="none" w:sz="0" w:space="0" w:color="auto"/>
        <w:bottom w:val="none" w:sz="0" w:space="0" w:color="auto"/>
        <w:right w:val="none" w:sz="0" w:space="0" w:color="auto"/>
      </w:divBdr>
    </w:div>
    <w:div w:id="209733952">
      <w:bodyDiv w:val="1"/>
      <w:marLeft w:val="0"/>
      <w:marRight w:val="0"/>
      <w:marTop w:val="0"/>
      <w:marBottom w:val="0"/>
      <w:divBdr>
        <w:top w:val="none" w:sz="0" w:space="0" w:color="auto"/>
        <w:left w:val="none" w:sz="0" w:space="0" w:color="auto"/>
        <w:bottom w:val="none" w:sz="0" w:space="0" w:color="auto"/>
        <w:right w:val="none" w:sz="0" w:space="0" w:color="auto"/>
      </w:divBdr>
    </w:div>
    <w:div w:id="211843538">
      <w:bodyDiv w:val="1"/>
      <w:marLeft w:val="0"/>
      <w:marRight w:val="0"/>
      <w:marTop w:val="0"/>
      <w:marBottom w:val="0"/>
      <w:divBdr>
        <w:top w:val="none" w:sz="0" w:space="0" w:color="auto"/>
        <w:left w:val="none" w:sz="0" w:space="0" w:color="auto"/>
        <w:bottom w:val="none" w:sz="0" w:space="0" w:color="auto"/>
        <w:right w:val="none" w:sz="0" w:space="0" w:color="auto"/>
      </w:divBdr>
    </w:div>
    <w:div w:id="211886431">
      <w:bodyDiv w:val="1"/>
      <w:marLeft w:val="0"/>
      <w:marRight w:val="0"/>
      <w:marTop w:val="0"/>
      <w:marBottom w:val="0"/>
      <w:divBdr>
        <w:top w:val="none" w:sz="0" w:space="0" w:color="auto"/>
        <w:left w:val="none" w:sz="0" w:space="0" w:color="auto"/>
        <w:bottom w:val="none" w:sz="0" w:space="0" w:color="auto"/>
        <w:right w:val="none" w:sz="0" w:space="0" w:color="auto"/>
      </w:divBdr>
    </w:div>
    <w:div w:id="214047820">
      <w:bodyDiv w:val="1"/>
      <w:marLeft w:val="0"/>
      <w:marRight w:val="0"/>
      <w:marTop w:val="0"/>
      <w:marBottom w:val="0"/>
      <w:divBdr>
        <w:top w:val="none" w:sz="0" w:space="0" w:color="auto"/>
        <w:left w:val="none" w:sz="0" w:space="0" w:color="auto"/>
        <w:bottom w:val="none" w:sz="0" w:space="0" w:color="auto"/>
        <w:right w:val="none" w:sz="0" w:space="0" w:color="auto"/>
      </w:divBdr>
    </w:div>
    <w:div w:id="214318117">
      <w:bodyDiv w:val="1"/>
      <w:marLeft w:val="0"/>
      <w:marRight w:val="0"/>
      <w:marTop w:val="0"/>
      <w:marBottom w:val="0"/>
      <w:divBdr>
        <w:top w:val="none" w:sz="0" w:space="0" w:color="auto"/>
        <w:left w:val="none" w:sz="0" w:space="0" w:color="auto"/>
        <w:bottom w:val="none" w:sz="0" w:space="0" w:color="auto"/>
        <w:right w:val="none" w:sz="0" w:space="0" w:color="auto"/>
      </w:divBdr>
    </w:div>
    <w:div w:id="215550512">
      <w:bodyDiv w:val="1"/>
      <w:marLeft w:val="0"/>
      <w:marRight w:val="0"/>
      <w:marTop w:val="0"/>
      <w:marBottom w:val="0"/>
      <w:divBdr>
        <w:top w:val="none" w:sz="0" w:space="0" w:color="auto"/>
        <w:left w:val="none" w:sz="0" w:space="0" w:color="auto"/>
        <w:bottom w:val="none" w:sz="0" w:space="0" w:color="auto"/>
        <w:right w:val="none" w:sz="0" w:space="0" w:color="auto"/>
      </w:divBdr>
    </w:div>
    <w:div w:id="217475217">
      <w:bodyDiv w:val="1"/>
      <w:marLeft w:val="0"/>
      <w:marRight w:val="0"/>
      <w:marTop w:val="0"/>
      <w:marBottom w:val="0"/>
      <w:divBdr>
        <w:top w:val="none" w:sz="0" w:space="0" w:color="auto"/>
        <w:left w:val="none" w:sz="0" w:space="0" w:color="auto"/>
        <w:bottom w:val="none" w:sz="0" w:space="0" w:color="auto"/>
        <w:right w:val="none" w:sz="0" w:space="0" w:color="auto"/>
      </w:divBdr>
    </w:div>
    <w:div w:id="225653829">
      <w:bodyDiv w:val="1"/>
      <w:marLeft w:val="0"/>
      <w:marRight w:val="0"/>
      <w:marTop w:val="0"/>
      <w:marBottom w:val="0"/>
      <w:divBdr>
        <w:top w:val="none" w:sz="0" w:space="0" w:color="auto"/>
        <w:left w:val="none" w:sz="0" w:space="0" w:color="auto"/>
        <w:bottom w:val="none" w:sz="0" w:space="0" w:color="auto"/>
        <w:right w:val="none" w:sz="0" w:space="0" w:color="auto"/>
      </w:divBdr>
    </w:div>
    <w:div w:id="227226640">
      <w:bodyDiv w:val="1"/>
      <w:marLeft w:val="0"/>
      <w:marRight w:val="0"/>
      <w:marTop w:val="0"/>
      <w:marBottom w:val="0"/>
      <w:divBdr>
        <w:top w:val="none" w:sz="0" w:space="0" w:color="auto"/>
        <w:left w:val="none" w:sz="0" w:space="0" w:color="auto"/>
        <w:bottom w:val="none" w:sz="0" w:space="0" w:color="auto"/>
        <w:right w:val="none" w:sz="0" w:space="0" w:color="auto"/>
      </w:divBdr>
    </w:div>
    <w:div w:id="233704294">
      <w:bodyDiv w:val="1"/>
      <w:marLeft w:val="0"/>
      <w:marRight w:val="0"/>
      <w:marTop w:val="0"/>
      <w:marBottom w:val="0"/>
      <w:divBdr>
        <w:top w:val="none" w:sz="0" w:space="0" w:color="auto"/>
        <w:left w:val="none" w:sz="0" w:space="0" w:color="auto"/>
        <w:bottom w:val="none" w:sz="0" w:space="0" w:color="auto"/>
        <w:right w:val="none" w:sz="0" w:space="0" w:color="auto"/>
      </w:divBdr>
    </w:div>
    <w:div w:id="234291632">
      <w:bodyDiv w:val="1"/>
      <w:marLeft w:val="0"/>
      <w:marRight w:val="0"/>
      <w:marTop w:val="0"/>
      <w:marBottom w:val="0"/>
      <w:divBdr>
        <w:top w:val="none" w:sz="0" w:space="0" w:color="auto"/>
        <w:left w:val="none" w:sz="0" w:space="0" w:color="auto"/>
        <w:bottom w:val="none" w:sz="0" w:space="0" w:color="auto"/>
        <w:right w:val="none" w:sz="0" w:space="0" w:color="auto"/>
      </w:divBdr>
    </w:div>
    <w:div w:id="235363209">
      <w:bodyDiv w:val="1"/>
      <w:marLeft w:val="0"/>
      <w:marRight w:val="0"/>
      <w:marTop w:val="0"/>
      <w:marBottom w:val="0"/>
      <w:divBdr>
        <w:top w:val="none" w:sz="0" w:space="0" w:color="auto"/>
        <w:left w:val="none" w:sz="0" w:space="0" w:color="auto"/>
        <w:bottom w:val="none" w:sz="0" w:space="0" w:color="auto"/>
        <w:right w:val="none" w:sz="0" w:space="0" w:color="auto"/>
      </w:divBdr>
    </w:div>
    <w:div w:id="238254897">
      <w:bodyDiv w:val="1"/>
      <w:marLeft w:val="0"/>
      <w:marRight w:val="0"/>
      <w:marTop w:val="0"/>
      <w:marBottom w:val="0"/>
      <w:divBdr>
        <w:top w:val="none" w:sz="0" w:space="0" w:color="auto"/>
        <w:left w:val="none" w:sz="0" w:space="0" w:color="auto"/>
        <w:bottom w:val="none" w:sz="0" w:space="0" w:color="auto"/>
        <w:right w:val="none" w:sz="0" w:space="0" w:color="auto"/>
      </w:divBdr>
    </w:div>
    <w:div w:id="239294631">
      <w:bodyDiv w:val="1"/>
      <w:marLeft w:val="0"/>
      <w:marRight w:val="0"/>
      <w:marTop w:val="0"/>
      <w:marBottom w:val="0"/>
      <w:divBdr>
        <w:top w:val="none" w:sz="0" w:space="0" w:color="auto"/>
        <w:left w:val="none" w:sz="0" w:space="0" w:color="auto"/>
        <w:bottom w:val="none" w:sz="0" w:space="0" w:color="auto"/>
        <w:right w:val="none" w:sz="0" w:space="0" w:color="auto"/>
      </w:divBdr>
    </w:div>
    <w:div w:id="246883022">
      <w:bodyDiv w:val="1"/>
      <w:marLeft w:val="0"/>
      <w:marRight w:val="0"/>
      <w:marTop w:val="0"/>
      <w:marBottom w:val="0"/>
      <w:divBdr>
        <w:top w:val="none" w:sz="0" w:space="0" w:color="auto"/>
        <w:left w:val="none" w:sz="0" w:space="0" w:color="auto"/>
        <w:bottom w:val="none" w:sz="0" w:space="0" w:color="auto"/>
        <w:right w:val="none" w:sz="0" w:space="0" w:color="auto"/>
      </w:divBdr>
    </w:div>
    <w:div w:id="254092322">
      <w:bodyDiv w:val="1"/>
      <w:marLeft w:val="0"/>
      <w:marRight w:val="0"/>
      <w:marTop w:val="0"/>
      <w:marBottom w:val="0"/>
      <w:divBdr>
        <w:top w:val="none" w:sz="0" w:space="0" w:color="auto"/>
        <w:left w:val="none" w:sz="0" w:space="0" w:color="auto"/>
        <w:bottom w:val="none" w:sz="0" w:space="0" w:color="auto"/>
        <w:right w:val="none" w:sz="0" w:space="0" w:color="auto"/>
      </w:divBdr>
    </w:div>
    <w:div w:id="257253901">
      <w:bodyDiv w:val="1"/>
      <w:marLeft w:val="0"/>
      <w:marRight w:val="0"/>
      <w:marTop w:val="0"/>
      <w:marBottom w:val="0"/>
      <w:divBdr>
        <w:top w:val="none" w:sz="0" w:space="0" w:color="auto"/>
        <w:left w:val="none" w:sz="0" w:space="0" w:color="auto"/>
        <w:bottom w:val="none" w:sz="0" w:space="0" w:color="auto"/>
        <w:right w:val="none" w:sz="0" w:space="0" w:color="auto"/>
      </w:divBdr>
    </w:div>
    <w:div w:id="257297840">
      <w:bodyDiv w:val="1"/>
      <w:marLeft w:val="0"/>
      <w:marRight w:val="0"/>
      <w:marTop w:val="0"/>
      <w:marBottom w:val="0"/>
      <w:divBdr>
        <w:top w:val="none" w:sz="0" w:space="0" w:color="auto"/>
        <w:left w:val="none" w:sz="0" w:space="0" w:color="auto"/>
        <w:bottom w:val="none" w:sz="0" w:space="0" w:color="auto"/>
        <w:right w:val="none" w:sz="0" w:space="0" w:color="auto"/>
      </w:divBdr>
    </w:div>
    <w:div w:id="259486440">
      <w:bodyDiv w:val="1"/>
      <w:marLeft w:val="0"/>
      <w:marRight w:val="0"/>
      <w:marTop w:val="0"/>
      <w:marBottom w:val="0"/>
      <w:divBdr>
        <w:top w:val="none" w:sz="0" w:space="0" w:color="auto"/>
        <w:left w:val="none" w:sz="0" w:space="0" w:color="auto"/>
        <w:bottom w:val="none" w:sz="0" w:space="0" w:color="auto"/>
        <w:right w:val="none" w:sz="0" w:space="0" w:color="auto"/>
      </w:divBdr>
    </w:div>
    <w:div w:id="260341389">
      <w:bodyDiv w:val="1"/>
      <w:marLeft w:val="0"/>
      <w:marRight w:val="0"/>
      <w:marTop w:val="0"/>
      <w:marBottom w:val="0"/>
      <w:divBdr>
        <w:top w:val="none" w:sz="0" w:space="0" w:color="auto"/>
        <w:left w:val="none" w:sz="0" w:space="0" w:color="auto"/>
        <w:bottom w:val="none" w:sz="0" w:space="0" w:color="auto"/>
        <w:right w:val="none" w:sz="0" w:space="0" w:color="auto"/>
      </w:divBdr>
    </w:div>
    <w:div w:id="260380261">
      <w:bodyDiv w:val="1"/>
      <w:marLeft w:val="0"/>
      <w:marRight w:val="0"/>
      <w:marTop w:val="0"/>
      <w:marBottom w:val="0"/>
      <w:divBdr>
        <w:top w:val="none" w:sz="0" w:space="0" w:color="auto"/>
        <w:left w:val="none" w:sz="0" w:space="0" w:color="auto"/>
        <w:bottom w:val="none" w:sz="0" w:space="0" w:color="auto"/>
        <w:right w:val="none" w:sz="0" w:space="0" w:color="auto"/>
      </w:divBdr>
    </w:div>
    <w:div w:id="265775775">
      <w:bodyDiv w:val="1"/>
      <w:marLeft w:val="0"/>
      <w:marRight w:val="0"/>
      <w:marTop w:val="0"/>
      <w:marBottom w:val="0"/>
      <w:divBdr>
        <w:top w:val="none" w:sz="0" w:space="0" w:color="auto"/>
        <w:left w:val="none" w:sz="0" w:space="0" w:color="auto"/>
        <w:bottom w:val="none" w:sz="0" w:space="0" w:color="auto"/>
        <w:right w:val="none" w:sz="0" w:space="0" w:color="auto"/>
      </w:divBdr>
    </w:div>
    <w:div w:id="277876452">
      <w:bodyDiv w:val="1"/>
      <w:marLeft w:val="0"/>
      <w:marRight w:val="0"/>
      <w:marTop w:val="0"/>
      <w:marBottom w:val="0"/>
      <w:divBdr>
        <w:top w:val="none" w:sz="0" w:space="0" w:color="auto"/>
        <w:left w:val="none" w:sz="0" w:space="0" w:color="auto"/>
        <w:bottom w:val="none" w:sz="0" w:space="0" w:color="auto"/>
        <w:right w:val="none" w:sz="0" w:space="0" w:color="auto"/>
      </w:divBdr>
    </w:div>
    <w:div w:id="280571265">
      <w:bodyDiv w:val="1"/>
      <w:marLeft w:val="0"/>
      <w:marRight w:val="0"/>
      <w:marTop w:val="0"/>
      <w:marBottom w:val="0"/>
      <w:divBdr>
        <w:top w:val="none" w:sz="0" w:space="0" w:color="auto"/>
        <w:left w:val="none" w:sz="0" w:space="0" w:color="auto"/>
        <w:bottom w:val="none" w:sz="0" w:space="0" w:color="auto"/>
        <w:right w:val="none" w:sz="0" w:space="0" w:color="auto"/>
      </w:divBdr>
    </w:div>
    <w:div w:id="287589202">
      <w:bodyDiv w:val="1"/>
      <w:marLeft w:val="0"/>
      <w:marRight w:val="0"/>
      <w:marTop w:val="0"/>
      <w:marBottom w:val="0"/>
      <w:divBdr>
        <w:top w:val="none" w:sz="0" w:space="0" w:color="auto"/>
        <w:left w:val="none" w:sz="0" w:space="0" w:color="auto"/>
        <w:bottom w:val="none" w:sz="0" w:space="0" w:color="auto"/>
        <w:right w:val="none" w:sz="0" w:space="0" w:color="auto"/>
      </w:divBdr>
    </w:div>
    <w:div w:id="288439135">
      <w:bodyDiv w:val="1"/>
      <w:marLeft w:val="0"/>
      <w:marRight w:val="0"/>
      <w:marTop w:val="0"/>
      <w:marBottom w:val="0"/>
      <w:divBdr>
        <w:top w:val="none" w:sz="0" w:space="0" w:color="auto"/>
        <w:left w:val="none" w:sz="0" w:space="0" w:color="auto"/>
        <w:bottom w:val="none" w:sz="0" w:space="0" w:color="auto"/>
        <w:right w:val="none" w:sz="0" w:space="0" w:color="auto"/>
      </w:divBdr>
    </w:div>
    <w:div w:id="292253126">
      <w:bodyDiv w:val="1"/>
      <w:marLeft w:val="0"/>
      <w:marRight w:val="0"/>
      <w:marTop w:val="0"/>
      <w:marBottom w:val="0"/>
      <w:divBdr>
        <w:top w:val="none" w:sz="0" w:space="0" w:color="auto"/>
        <w:left w:val="none" w:sz="0" w:space="0" w:color="auto"/>
        <w:bottom w:val="none" w:sz="0" w:space="0" w:color="auto"/>
        <w:right w:val="none" w:sz="0" w:space="0" w:color="auto"/>
      </w:divBdr>
    </w:div>
    <w:div w:id="292292246">
      <w:bodyDiv w:val="1"/>
      <w:marLeft w:val="0"/>
      <w:marRight w:val="0"/>
      <w:marTop w:val="0"/>
      <w:marBottom w:val="0"/>
      <w:divBdr>
        <w:top w:val="none" w:sz="0" w:space="0" w:color="auto"/>
        <w:left w:val="none" w:sz="0" w:space="0" w:color="auto"/>
        <w:bottom w:val="none" w:sz="0" w:space="0" w:color="auto"/>
        <w:right w:val="none" w:sz="0" w:space="0" w:color="auto"/>
      </w:divBdr>
    </w:div>
    <w:div w:id="301693291">
      <w:bodyDiv w:val="1"/>
      <w:marLeft w:val="0"/>
      <w:marRight w:val="0"/>
      <w:marTop w:val="0"/>
      <w:marBottom w:val="0"/>
      <w:divBdr>
        <w:top w:val="none" w:sz="0" w:space="0" w:color="auto"/>
        <w:left w:val="none" w:sz="0" w:space="0" w:color="auto"/>
        <w:bottom w:val="none" w:sz="0" w:space="0" w:color="auto"/>
        <w:right w:val="none" w:sz="0" w:space="0" w:color="auto"/>
      </w:divBdr>
    </w:div>
    <w:div w:id="302084592">
      <w:bodyDiv w:val="1"/>
      <w:marLeft w:val="0"/>
      <w:marRight w:val="0"/>
      <w:marTop w:val="0"/>
      <w:marBottom w:val="0"/>
      <w:divBdr>
        <w:top w:val="none" w:sz="0" w:space="0" w:color="auto"/>
        <w:left w:val="none" w:sz="0" w:space="0" w:color="auto"/>
        <w:bottom w:val="none" w:sz="0" w:space="0" w:color="auto"/>
        <w:right w:val="none" w:sz="0" w:space="0" w:color="auto"/>
      </w:divBdr>
    </w:div>
    <w:div w:id="303856646">
      <w:bodyDiv w:val="1"/>
      <w:marLeft w:val="0"/>
      <w:marRight w:val="0"/>
      <w:marTop w:val="0"/>
      <w:marBottom w:val="0"/>
      <w:divBdr>
        <w:top w:val="none" w:sz="0" w:space="0" w:color="auto"/>
        <w:left w:val="none" w:sz="0" w:space="0" w:color="auto"/>
        <w:bottom w:val="none" w:sz="0" w:space="0" w:color="auto"/>
        <w:right w:val="none" w:sz="0" w:space="0" w:color="auto"/>
      </w:divBdr>
    </w:div>
    <w:div w:id="316229053">
      <w:bodyDiv w:val="1"/>
      <w:marLeft w:val="0"/>
      <w:marRight w:val="0"/>
      <w:marTop w:val="0"/>
      <w:marBottom w:val="0"/>
      <w:divBdr>
        <w:top w:val="none" w:sz="0" w:space="0" w:color="auto"/>
        <w:left w:val="none" w:sz="0" w:space="0" w:color="auto"/>
        <w:bottom w:val="none" w:sz="0" w:space="0" w:color="auto"/>
        <w:right w:val="none" w:sz="0" w:space="0" w:color="auto"/>
      </w:divBdr>
    </w:div>
    <w:div w:id="316500355">
      <w:bodyDiv w:val="1"/>
      <w:marLeft w:val="0"/>
      <w:marRight w:val="0"/>
      <w:marTop w:val="0"/>
      <w:marBottom w:val="0"/>
      <w:divBdr>
        <w:top w:val="none" w:sz="0" w:space="0" w:color="auto"/>
        <w:left w:val="none" w:sz="0" w:space="0" w:color="auto"/>
        <w:bottom w:val="none" w:sz="0" w:space="0" w:color="auto"/>
        <w:right w:val="none" w:sz="0" w:space="0" w:color="auto"/>
      </w:divBdr>
    </w:div>
    <w:div w:id="317924511">
      <w:bodyDiv w:val="1"/>
      <w:marLeft w:val="0"/>
      <w:marRight w:val="0"/>
      <w:marTop w:val="0"/>
      <w:marBottom w:val="0"/>
      <w:divBdr>
        <w:top w:val="none" w:sz="0" w:space="0" w:color="auto"/>
        <w:left w:val="none" w:sz="0" w:space="0" w:color="auto"/>
        <w:bottom w:val="none" w:sz="0" w:space="0" w:color="auto"/>
        <w:right w:val="none" w:sz="0" w:space="0" w:color="auto"/>
      </w:divBdr>
    </w:div>
    <w:div w:id="326597851">
      <w:bodyDiv w:val="1"/>
      <w:marLeft w:val="0"/>
      <w:marRight w:val="0"/>
      <w:marTop w:val="0"/>
      <w:marBottom w:val="0"/>
      <w:divBdr>
        <w:top w:val="none" w:sz="0" w:space="0" w:color="auto"/>
        <w:left w:val="none" w:sz="0" w:space="0" w:color="auto"/>
        <w:bottom w:val="none" w:sz="0" w:space="0" w:color="auto"/>
        <w:right w:val="none" w:sz="0" w:space="0" w:color="auto"/>
      </w:divBdr>
    </w:div>
    <w:div w:id="327245672">
      <w:bodyDiv w:val="1"/>
      <w:marLeft w:val="0"/>
      <w:marRight w:val="0"/>
      <w:marTop w:val="0"/>
      <w:marBottom w:val="0"/>
      <w:divBdr>
        <w:top w:val="none" w:sz="0" w:space="0" w:color="auto"/>
        <w:left w:val="none" w:sz="0" w:space="0" w:color="auto"/>
        <w:bottom w:val="none" w:sz="0" w:space="0" w:color="auto"/>
        <w:right w:val="none" w:sz="0" w:space="0" w:color="auto"/>
      </w:divBdr>
    </w:div>
    <w:div w:id="334765085">
      <w:bodyDiv w:val="1"/>
      <w:marLeft w:val="0"/>
      <w:marRight w:val="0"/>
      <w:marTop w:val="0"/>
      <w:marBottom w:val="0"/>
      <w:divBdr>
        <w:top w:val="none" w:sz="0" w:space="0" w:color="auto"/>
        <w:left w:val="none" w:sz="0" w:space="0" w:color="auto"/>
        <w:bottom w:val="none" w:sz="0" w:space="0" w:color="auto"/>
        <w:right w:val="none" w:sz="0" w:space="0" w:color="auto"/>
      </w:divBdr>
    </w:div>
    <w:div w:id="338043706">
      <w:bodyDiv w:val="1"/>
      <w:marLeft w:val="0"/>
      <w:marRight w:val="0"/>
      <w:marTop w:val="0"/>
      <w:marBottom w:val="0"/>
      <w:divBdr>
        <w:top w:val="none" w:sz="0" w:space="0" w:color="auto"/>
        <w:left w:val="none" w:sz="0" w:space="0" w:color="auto"/>
        <w:bottom w:val="none" w:sz="0" w:space="0" w:color="auto"/>
        <w:right w:val="none" w:sz="0" w:space="0" w:color="auto"/>
      </w:divBdr>
    </w:div>
    <w:div w:id="340157538">
      <w:bodyDiv w:val="1"/>
      <w:marLeft w:val="0"/>
      <w:marRight w:val="0"/>
      <w:marTop w:val="0"/>
      <w:marBottom w:val="0"/>
      <w:divBdr>
        <w:top w:val="none" w:sz="0" w:space="0" w:color="auto"/>
        <w:left w:val="none" w:sz="0" w:space="0" w:color="auto"/>
        <w:bottom w:val="none" w:sz="0" w:space="0" w:color="auto"/>
        <w:right w:val="none" w:sz="0" w:space="0" w:color="auto"/>
      </w:divBdr>
    </w:div>
    <w:div w:id="344795556">
      <w:bodyDiv w:val="1"/>
      <w:marLeft w:val="0"/>
      <w:marRight w:val="0"/>
      <w:marTop w:val="0"/>
      <w:marBottom w:val="0"/>
      <w:divBdr>
        <w:top w:val="none" w:sz="0" w:space="0" w:color="auto"/>
        <w:left w:val="none" w:sz="0" w:space="0" w:color="auto"/>
        <w:bottom w:val="none" w:sz="0" w:space="0" w:color="auto"/>
        <w:right w:val="none" w:sz="0" w:space="0" w:color="auto"/>
      </w:divBdr>
    </w:div>
    <w:div w:id="347946328">
      <w:bodyDiv w:val="1"/>
      <w:marLeft w:val="0"/>
      <w:marRight w:val="0"/>
      <w:marTop w:val="0"/>
      <w:marBottom w:val="0"/>
      <w:divBdr>
        <w:top w:val="none" w:sz="0" w:space="0" w:color="auto"/>
        <w:left w:val="none" w:sz="0" w:space="0" w:color="auto"/>
        <w:bottom w:val="none" w:sz="0" w:space="0" w:color="auto"/>
        <w:right w:val="none" w:sz="0" w:space="0" w:color="auto"/>
      </w:divBdr>
    </w:div>
    <w:div w:id="350843896">
      <w:bodyDiv w:val="1"/>
      <w:marLeft w:val="0"/>
      <w:marRight w:val="0"/>
      <w:marTop w:val="0"/>
      <w:marBottom w:val="0"/>
      <w:divBdr>
        <w:top w:val="none" w:sz="0" w:space="0" w:color="auto"/>
        <w:left w:val="none" w:sz="0" w:space="0" w:color="auto"/>
        <w:bottom w:val="none" w:sz="0" w:space="0" w:color="auto"/>
        <w:right w:val="none" w:sz="0" w:space="0" w:color="auto"/>
      </w:divBdr>
    </w:div>
    <w:div w:id="352851597">
      <w:bodyDiv w:val="1"/>
      <w:marLeft w:val="0"/>
      <w:marRight w:val="0"/>
      <w:marTop w:val="0"/>
      <w:marBottom w:val="0"/>
      <w:divBdr>
        <w:top w:val="none" w:sz="0" w:space="0" w:color="auto"/>
        <w:left w:val="none" w:sz="0" w:space="0" w:color="auto"/>
        <w:bottom w:val="none" w:sz="0" w:space="0" w:color="auto"/>
        <w:right w:val="none" w:sz="0" w:space="0" w:color="auto"/>
      </w:divBdr>
    </w:div>
    <w:div w:id="354383653">
      <w:bodyDiv w:val="1"/>
      <w:marLeft w:val="0"/>
      <w:marRight w:val="0"/>
      <w:marTop w:val="0"/>
      <w:marBottom w:val="0"/>
      <w:divBdr>
        <w:top w:val="none" w:sz="0" w:space="0" w:color="auto"/>
        <w:left w:val="none" w:sz="0" w:space="0" w:color="auto"/>
        <w:bottom w:val="none" w:sz="0" w:space="0" w:color="auto"/>
        <w:right w:val="none" w:sz="0" w:space="0" w:color="auto"/>
      </w:divBdr>
    </w:div>
    <w:div w:id="354500145">
      <w:bodyDiv w:val="1"/>
      <w:marLeft w:val="0"/>
      <w:marRight w:val="0"/>
      <w:marTop w:val="0"/>
      <w:marBottom w:val="0"/>
      <w:divBdr>
        <w:top w:val="none" w:sz="0" w:space="0" w:color="auto"/>
        <w:left w:val="none" w:sz="0" w:space="0" w:color="auto"/>
        <w:bottom w:val="none" w:sz="0" w:space="0" w:color="auto"/>
        <w:right w:val="none" w:sz="0" w:space="0" w:color="auto"/>
      </w:divBdr>
    </w:div>
    <w:div w:id="354581295">
      <w:bodyDiv w:val="1"/>
      <w:marLeft w:val="0"/>
      <w:marRight w:val="0"/>
      <w:marTop w:val="0"/>
      <w:marBottom w:val="0"/>
      <w:divBdr>
        <w:top w:val="none" w:sz="0" w:space="0" w:color="auto"/>
        <w:left w:val="none" w:sz="0" w:space="0" w:color="auto"/>
        <w:bottom w:val="none" w:sz="0" w:space="0" w:color="auto"/>
        <w:right w:val="none" w:sz="0" w:space="0" w:color="auto"/>
      </w:divBdr>
    </w:div>
    <w:div w:id="361831054">
      <w:bodyDiv w:val="1"/>
      <w:marLeft w:val="0"/>
      <w:marRight w:val="0"/>
      <w:marTop w:val="0"/>
      <w:marBottom w:val="0"/>
      <w:divBdr>
        <w:top w:val="none" w:sz="0" w:space="0" w:color="auto"/>
        <w:left w:val="none" w:sz="0" w:space="0" w:color="auto"/>
        <w:bottom w:val="none" w:sz="0" w:space="0" w:color="auto"/>
        <w:right w:val="none" w:sz="0" w:space="0" w:color="auto"/>
      </w:divBdr>
    </w:div>
    <w:div w:id="371544332">
      <w:bodyDiv w:val="1"/>
      <w:marLeft w:val="0"/>
      <w:marRight w:val="0"/>
      <w:marTop w:val="0"/>
      <w:marBottom w:val="0"/>
      <w:divBdr>
        <w:top w:val="none" w:sz="0" w:space="0" w:color="auto"/>
        <w:left w:val="none" w:sz="0" w:space="0" w:color="auto"/>
        <w:bottom w:val="none" w:sz="0" w:space="0" w:color="auto"/>
        <w:right w:val="none" w:sz="0" w:space="0" w:color="auto"/>
      </w:divBdr>
    </w:div>
    <w:div w:id="376322384">
      <w:bodyDiv w:val="1"/>
      <w:marLeft w:val="0"/>
      <w:marRight w:val="0"/>
      <w:marTop w:val="0"/>
      <w:marBottom w:val="0"/>
      <w:divBdr>
        <w:top w:val="none" w:sz="0" w:space="0" w:color="auto"/>
        <w:left w:val="none" w:sz="0" w:space="0" w:color="auto"/>
        <w:bottom w:val="none" w:sz="0" w:space="0" w:color="auto"/>
        <w:right w:val="none" w:sz="0" w:space="0" w:color="auto"/>
      </w:divBdr>
    </w:div>
    <w:div w:id="377820011">
      <w:bodyDiv w:val="1"/>
      <w:marLeft w:val="0"/>
      <w:marRight w:val="0"/>
      <w:marTop w:val="0"/>
      <w:marBottom w:val="0"/>
      <w:divBdr>
        <w:top w:val="none" w:sz="0" w:space="0" w:color="auto"/>
        <w:left w:val="none" w:sz="0" w:space="0" w:color="auto"/>
        <w:bottom w:val="none" w:sz="0" w:space="0" w:color="auto"/>
        <w:right w:val="none" w:sz="0" w:space="0" w:color="auto"/>
      </w:divBdr>
    </w:div>
    <w:div w:id="378820904">
      <w:bodyDiv w:val="1"/>
      <w:marLeft w:val="0"/>
      <w:marRight w:val="0"/>
      <w:marTop w:val="0"/>
      <w:marBottom w:val="0"/>
      <w:divBdr>
        <w:top w:val="none" w:sz="0" w:space="0" w:color="auto"/>
        <w:left w:val="none" w:sz="0" w:space="0" w:color="auto"/>
        <w:bottom w:val="none" w:sz="0" w:space="0" w:color="auto"/>
        <w:right w:val="none" w:sz="0" w:space="0" w:color="auto"/>
      </w:divBdr>
    </w:div>
    <w:div w:id="383524563">
      <w:bodyDiv w:val="1"/>
      <w:marLeft w:val="0"/>
      <w:marRight w:val="0"/>
      <w:marTop w:val="0"/>
      <w:marBottom w:val="0"/>
      <w:divBdr>
        <w:top w:val="none" w:sz="0" w:space="0" w:color="auto"/>
        <w:left w:val="none" w:sz="0" w:space="0" w:color="auto"/>
        <w:bottom w:val="none" w:sz="0" w:space="0" w:color="auto"/>
        <w:right w:val="none" w:sz="0" w:space="0" w:color="auto"/>
      </w:divBdr>
    </w:div>
    <w:div w:id="385027663">
      <w:bodyDiv w:val="1"/>
      <w:marLeft w:val="0"/>
      <w:marRight w:val="0"/>
      <w:marTop w:val="0"/>
      <w:marBottom w:val="0"/>
      <w:divBdr>
        <w:top w:val="none" w:sz="0" w:space="0" w:color="auto"/>
        <w:left w:val="none" w:sz="0" w:space="0" w:color="auto"/>
        <w:bottom w:val="none" w:sz="0" w:space="0" w:color="auto"/>
        <w:right w:val="none" w:sz="0" w:space="0" w:color="auto"/>
      </w:divBdr>
    </w:div>
    <w:div w:id="385104602">
      <w:bodyDiv w:val="1"/>
      <w:marLeft w:val="0"/>
      <w:marRight w:val="0"/>
      <w:marTop w:val="0"/>
      <w:marBottom w:val="0"/>
      <w:divBdr>
        <w:top w:val="none" w:sz="0" w:space="0" w:color="auto"/>
        <w:left w:val="none" w:sz="0" w:space="0" w:color="auto"/>
        <w:bottom w:val="none" w:sz="0" w:space="0" w:color="auto"/>
        <w:right w:val="none" w:sz="0" w:space="0" w:color="auto"/>
      </w:divBdr>
    </w:div>
    <w:div w:id="390346425">
      <w:bodyDiv w:val="1"/>
      <w:marLeft w:val="0"/>
      <w:marRight w:val="0"/>
      <w:marTop w:val="0"/>
      <w:marBottom w:val="0"/>
      <w:divBdr>
        <w:top w:val="none" w:sz="0" w:space="0" w:color="auto"/>
        <w:left w:val="none" w:sz="0" w:space="0" w:color="auto"/>
        <w:bottom w:val="none" w:sz="0" w:space="0" w:color="auto"/>
        <w:right w:val="none" w:sz="0" w:space="0" w:color="auto"/>
      </w:divBdr>
    </w:div>
    <w:div w:id="392583681">
      <w:bodyDiv w:val="1"/>
      <w:marLeft w:val="0"/>
      <w:marRight w:val="0"/>
      <w:marTop w:val="0"/>
      <w:marBottom w:val="0"/>
      <w:divBdr>
        <w:top w:val="none" w:sz="0" w:space="0" w:color="auto"/>
        <w:left w:val="none" w:sz="0" w:space="0" w:color="auto"/>
        <w:bottom w:val="none" w:sz="0" w:space="0" w:color="auto"/>
        <w:right w:val="none" w:sz="0" w:space="0" w:color="auto"/>
      </w:divBdr>
    </w:div>
    <w:div w:id="392774838">
      <w:bodyDiv w:val="1"/>
      <w:marLeft w:val="0"/>
      <w:marRight w:val="0"/>
      <w:marTop w:val="0"/>
      <w:marBottom w:val="0"/>
      <w:divBdr>
        <w:top w:val="none" w:sz="0" w:space="0" w:color="auto"/>
        <w:left w:val="none" w:sz="0" w:space="0" w:color="auto"/>
        <w:bottom w:val="none" w:sz="0" w:space="0" w:color="auto"/>
        <w:right w:val="none" w:sz="0" w:space="0" w:color="auto"/>
      </w:divBdr>
    </w:div>
    <w:div w:id="396586343">
      <w:bodyDiv w:val="1"/>
      <w:marLeft w:val="0"/>
      <w:marRight w:val="0"/>
      <w:marTop w:val="0"/>
      <w:marBottom w:val="0"/>
      <w:divBdr>
        <w:top w:val="none" w:sz="0" w:space="0" w:color="auto"/>
        <w:left w:val="none" w:sz="0" w:space="0" w:color="auto"/>
        <w:bottom w:val="none" w:sz="0" w:space="0" w:color="auto"/>
        <w:right w:val="none" w:sz="0" w:space="0" w:color="auto"/>
      </w:divBdr>
    </w:div>
    <w:div w:id="399210261">
      <w:bodyDiv w:val="1"/>
      <w:marLeft w:val="0"/>
      <w:marRight w:val="0"/>
      <w:marTop w:val="0"/>
      <w:marBottom w:val="0"/>
      <w:divBdr>
        <w:top w:val="none" w:sz="0" w:space="0" w:color="auto"/>
        <w:left w:val="none" w:sz="0" w:space="0" w:color="auto"/>
        <w:bottom w:val="none" w:sz="0" w:space="0" w:color="auto"/>
        <w:right w:val="none" w:sz="0" w:space="0" w:color="auto"/>
      </w:divBdr>
    </w:div>
    <w:div w:id="404226724">
      <w:bodyDiv w:val="1"/>
      <w:marLeft w:val="0"/>
      <w:marRight w:val="0"/>
      <w:marTop w:val="0"/>
      <w:marBottom w:val="0"/>
      <w:divBdr>
        <w:top w:val="none" w:sz="0" w:space="0" w:color="auto"/>
        <w:left w:val="none" w:sz="0" w:space="0" w:color="auto"/>
        <w:bottom w:val="none" w:sz="0" w:space="0" w:color="auto"/>
        <w:right w:val="none" w:sz="0" w:space="0" w:color="auto"/>
      </w:divBdr>
    </w:div>
    <w:div w:id="404494437">
      <w:bodyDiv w:val="1"/>
      <w:marLeft w:val="0"/>
      <w:marRight w:val="0"/>
      <w:marTop w:val="0"/>
      <w:marBottom w:val="0"/>
      <w:divBdr>
        <w:top w:val="none" w:sz="0" w:space="0" w:color="auto"/>
        <w:left w:val="none" w:sz="0" w:space="0" w:color="auto"/>
        <w:bottom w:val="none" w:sz="0" w:space="0" w:color="auto"/>
        <w:right w:val="none" w:sz="0" w:space="0" w:color="auto"/>
      </w:divBdr>
    </w:div>
    <w:div w:id="406806212">
      <w:bodyDiv w:val="1"/>
      <w:marLeft w:val="0"/>
      <w:marRight w:val="0"/>
      <w:marTop w:val="0"/>
      <w:marBottom w:val="0"/>
      <w:divBdr>
        <w:top w:val="none" w:sz="0" w:space="0" w:color="auto"/>
        <w:left w:val="none" w:sz="0" w:space="0" w:color="auto"/>
        <w:bottom w:val="none" w:sz="0" w:space="0" w:color="auto"/>
        <w:right w:val="none" w:sz="0" w:space="0" w:color="auto"/>
      </w:divBdr>
    </w:div>
    <w:div w:id="411969116">
      <w:bodyDiv w:val="1"/>
      <w:marLeft w:val="0"/>
      <w:marRight w:val="0"/>
      <w:marTop w:val="0"/>
      <w:marBottom w:val="0"/>
      <w:divBdr>
        <w:top w:val="none" w:sz="0" w:space="0" w:color="auto"/>
        <w:left w:val="none" w:sz="0" w:space="0" w:color="auto"/>
        <w:bottom w:val="none" w:sz="0" w:space="0" w:color="auto"/>
        <w:right w:val="none" w:sz="0" w:space="0" w:color="auto"/>
      </w:divBdr>
    </w:div>
    <w:div w:id="412555509">
      <w:bodyDiv w:val="1"/>
      <w:marLeft w:val="0"/>
      <w:marRight w:val="0"/>
      <w:marTop w:val="0"/>
      <w:marBottom w:val="0"/>
      <w:divBdr>
        <w:top w:val="none" w:sz="0" w:space="0" w:color="auto"/>
        <w:left w:val="none" w:sz="0" w:space="0" w:color="auto"/>
        <w:bottom w:val="none" w:sz="0" w:space="0" w:color="auto"/>
        <w:right w:val="none" w:sz="0" w:space="0" w:color="auto"/>
      </w:divBdr>
    </w:div>
    <w:div w:id="416219316">
      <w:bodyDiv w:val="1"/>
      <w:marLeft w:val="0"/>
      <w:marRight w:val="0"/>
      <w:marTop w:val="0"/>
      <w:marBottom w:val="0"/>
      <w:divBdr>
        <w:top w:val="none" w:sz="0" w:space="0" w:color="auto"/>
        <w:left w:val="none" w:sz="0" w:space="0" w:color="auto"/>
        <w:bottom w:val="none" w:sz="0" w:space="0" w:color="auto"/>
        <w:right w:val="none" w:sz="0" w:space="0" w:color="auto"/>
      </w:divBdr>
    </w:div>
    <w:div w:id="417092320">
      <w:bodyDiv w:val="1"/>
      <w:marLeft w:val="0"/>
      <w:marRight w:val="0"/>
      <w:marTop w:val="0"/>
      <w:marBottom w:val="0"/>
      <w:divBdr>
        <w:top w:val="none" w:sz="0" w:space="0" w:color="auto"/>
        <w:left w:val="none" w:sz="0" w:space="0" w:color="auto"/>
        <w:bottom w:val="none" w:sz="0" w:space="0" w:color="auto"/>
        <w:right w:val="none" w:sz="0" w:space="0" w:color="auto"/>
      </w:divBdr>
    </w:div>
    <w:div w:id="417337281">
      <w:bodyDiv w:val="1"/>
      <w:marLeft w:val="0"/>
      <w:marRight w:val="0"/>
      <w:marTop w:val="0"/>
      <w:marBottom w:val="0"/>
      <w:divBdr>
        <w:top w:val="none" w:sz="0" w:space="0" w:color="auto"/>
        <w:left w:val="none" w:sz="0" w:space="0" w:color="auto"/>
        <w:bottom w:val="none" w:sz="0" w:space="0" w:color="auto"/>
        <w:right w:val="none" w:sz="0" w:space="0" w:color="auto"/>
      </w:divBdr>
    </w:div>
    <w:div w:id="419910878">
      <w:bodyDiv w:val="1"/>
      <w:marLeft w:val="0"/>
      <w:marRight w:val="0"/>
      <w:marTop w:val="0"/>
      <w:marBottom w:val="0"/>
      <w:divBdr>
        <w:top w:val="none" w:sz="0" w:space="0" w:color="auto"/>
        <w:left w:val="none" w:sz="0" w:space="0" w:color="auto"/>
        <w:bottom w:val="none" w:sz="0" w:space="0" w:color="auto"/>
        <w:right w:val="none" w:sz="0" w:space="0" w:color="auto"/>
      </w:divBdr>
    </w:div>
    <w:div w:id="425273742">
      <w:bodyDiv w:val="1"/>
      <w:marLeft w:val="0"/>
      <w:marRight w:val="0"/>
      <w:marTop w:val="0"/>
      <w:marBottom w:val="0"/>
      <w:divBdr>
        <w:top w:val="none" w:sz="0" w:space="0" w:color="auto"/>
        <w:left w:val="none" w:sz="0" w:space="0" w:color="auto"/>
        <w:bottom w:val="none" w:sz="0" w:space="0" w:color="auto"/>
        <w:right w:val="none" w:sz="0" w:space="0" w:color="auto"/>
      </w:divBdr>
    </w:div>
    <w:div w:id="432090050">
      <w:bodyDiv w:val="1"/>
      <w:marLeft w:val="0"/>
      <w:marRight w:val="0"/>
      <w:marTop w:val="0"/>
      <w:marBottom w:val="0"/>
      <w:divBdr>
        <w:top w:val="none" w:sz="0" w:space="0" w:color="auto"/>
        <w:left w:val="none" w:sz="0" w:space="0" w:color="auto"/>
        <w:bottom w:val="none" w:sz="0" w:space="0" w:color="auto"/>
        <w:right w:val="none" w:sz="0" w:space="0" w:color="auto"/>
      </w:divBdr>
    </w:div>
    <w:div w:id="435253832">
      <w:bodyDiv w:val="1"/>
      <w:marLeft w:val="0"/>
      <w:marRight w:val="0"/>
      <w:marTop w:val="0"/>
      <w:marBottom w:val="0"/>
      <w:divBdr>
        <w:top w:val="none" w:sz="0" w:space="0" w:color="auto"/>
        <w:left w:val="none" w:sz="0" w:space="0" w:color="auto"/>
        <w:bottom w:val="none" w:sz="0" w:space="0" w:color="auto"/>
        <w:right w:val="none" w:sz="0" w:space="0" w:color="auto"/>
      </w:divBdr>
    </w:div>
    <w:div w:id="439447072">
      <w:bodyDiv w:val="1"/>
      <w:marLeft w:val="0"/>
      <w:marRight w:val="0"/>
      <w:marTop w:val="0"/>
      <w:marBottom w:val="0"/>
      <w:divBdr>
        <w:top w:val="none" w:sz="0" w:space="0" w:color="auto"/>
        <w:left w:val="none" w:sz="0" w:space="0" w:color="auto"/>
        <w:bottom w:val="none" w:sz="0" w:space="0" w:color="auto"/>
        <w:right w:val="none" w:sz="0" w:space="0" w:color="auto"/>
      </w:divBdr>
    </w:div>
    <w:div w:id="441267580">
      <w:bodyDiv w:val="1"/>
      <w:marLeft w:val="0"/>
      <w:marRight w:val="0"/>
      <w:marTop w:val="0"/>
      <w:marBottom w:val="0"/>
      <w:divBdr>
        <w:top w:val="none" w:sz="0" w:space="0" w:color="auto"/>
        <w:left w:val="none" w:sz="0" w:space="0" w:color="auto"/>
        <w:bottom w:val="none" w:sz="0" w:space="0" w:color="auto"/>
        <w:right w:val="none" w:sz="0" w:space="0" w:color="auto"/>
      </w:divBdr>
    </w:div>
    <w:div w:id="442455558">
      <w:bodyDiv w:val="1"/>
      <w:marLeft w:val="0"/>
      <w:marRight w:val="0"/>
      <w:marTop w:val="0"/>
      <w:marBottom w:val="0"/>
      <w:divBdr>
        <w:top w:val="none" w:sz="0" w:space="0" w:color="auto"/>
        <w:left w:val="none" w:sz="0" w:space="0" w:color="auto"/>
        <w:bottom w:val="none" w:sz="0" w:space="0" w:color="auto"/>
        <w:right w:val="none" w:sz="0" w:space="0" w:color="auto"/>
      </w:divBdr>
    </w:div>
    <w:div w:id="443963065">
      <w:bodyDiv w:val="1"/>
      <w:marLeft w:val="0"/>
      <w:marRight w:val="0"/>
      <w:marTop w:val="0"/>
      <w:marBottom w:val="0"/>
      <w:divBdr>
        <w:top w:val="none" w:sz="0" w:space="0" w:color="auto"/>
        <w:left w:val="none" w:sz="0" w:space="0" w:color="auto"/>
        <w:bottom w:val="none" w:sz="0" w:space="0" w:color="auto"/>
        <w:right w:val="none" w:sz="0" w:space="0" w:color="auto"/>
      </w:divBdr>
    </w:div>
    <w:div w:id="444271754">
      <w:bodyDiv w:val="1"/>
      <w:marLeft w:val="0"/>
      <w:marRight w:val="0"/>
      <w:marTop w:val="0"/>
      <w:marBottom w:val="0"/>
      <w:divBdr>
        <w:top w:val="none" w:sz="0" w:space="0" w:color="auto"/>
        <w:left w:val="none" w:sz="0" w:space="0" w:color="auto"/>
        <w:bottom w:val="none" w:sz="0" w:space="0" w:color="auto"/>
        <w:right w:val="none" w:sz="0" w:space="0" w:color="auto"/>
      </w:divBdr>
    </w:div>
    <w:div w:id="447235565">
      <w:bodyDiv w:val="1"/>
      <w:marLeft w:val="0"/>
      <w:marRight w:val="0"/>
      <w:marTop w:val="0"/>
      <w:marBottom w:val="0"/>
      <w:divBdr>
        <w:top w:val="none" w:sz="0" w:space="0" w:color="auto"/>
        <w:left w:val="none" w:sz="0" w:space="0" w:color="auto"/>
        <w:bottom w:val="none" w:sz="0" w:space="0" w:color="auto"/>
        <w:right w:val="none" w:sz="0" w:space="0" w:color="auto"/>
      </w:divBdr>
    </w:div>
    <w:div w:id="448399248">
      <w:bodyDiv w:val="1"/>
      <w:marLeft w:val="0"/>
      <w:marRight w:val="0"/>
      <w:marTop w:val="0"/>
      <w:marBottom w:val="0"/>
      <w:divBdr>
        <w:top w:val="none" w:sz="0" w:space="0" w:color="auto"/>
        <w:left w:val="none" w:sz="0" w:space="0" w:color="auto"/>
        <w:bottom w:val="none" w:sz="0" w:space="0" w:color="auto"/>
        <w:right w:val="none" w:sz="0" w:space="0" w:color="auto"/>
      </w:divBdr>
    </w:div>
    <w:div w:id="450826676">
      <w:bodyDiv w:val="1"/>
      <w:marLeft w:val="0"/>
      <w:marRight w:val="0"/>
      <w:marTop w:val="0"/>
      <w:marBottom w:val="0"/>
      <w:divBdr>
        <w:top w:val="none" w:sz="0" w:space="0" w:color="auto"/>
        <w:left w:val="none" w:sz="0" w:space="0" w:color="auto"/>
        <w:bottom w:val="none" w:sz="0" w:space="0" w:color="auto"/>
        <w:right w:val="none" w:sz="0" w:space="0" w:color="auto"/>
      </w:divBdr>
    </w:div>
    <w:div w:id="451679872">
      <w:bodyDiv w:val="1"/>
      <w:marLeft w:val="0"/>
      <w:marRight w:val="0"/>
      <w:marTop w:val="0"/>
      <w:marBottom w:val="0"/>
      <w:divBdr>
        <w:top w:val="none" w:sz="0" w:space="0" w:color="auto"/>
        <w:left w:val="none" w:sz="0" w:space="0" w:color="auto"/>
        <w:bottom w:val="none" w:sz="0" w:space="0" w:color="auto"/>
        <w:right w:val="none" w:sz="0" w:space="0" w:color="auto"/>
      </w:divBdr>
    </w:div>
    <w:div w:id="451749756">
      <w:bodyDiv w:val="1"/>
      <w:marLeft w:val="0"/>
      <w:marRight w:val="0"/>
      <w:marTop w:val="0"/>
      <w:marBottom w:val="0"/>
      <w:divBdr>
        <w:top w:val="none" w:sz="0" w:space="0" w:color="auto"/>
        <w:left w:val="none" w:sz="0" w:space="0" w:color="auto"/>
        <w:bottom w:val="none" w:sz="0" w:space="0" w:color="auto"/>
        <w:right w:val="none" w:sz="0" w:space="0" w:color="auto"/>
      </w:divBdr>
    </w:div>
    <w:div w:id="461193519">
      <w:bodyDiv w:val="1"/>
      <w:marLeft w:val="0"/>
      <w:marRight w:val="0"/>
      <w:marTop w:val="0"/>
      <w:marBottom w:val="0"/>
      <w:divBdr>
        <w:top w:val="none" w:sz="0" w:space="0" w:color="auto"/>
        <w:left w:val="none" w:sz="0" w:space="0" w:color="auto"/>
        <w:bottom w:val="none" w:sz="0" w:space="0" w:color="auto"/>
        <w:right w:val="none" w:sz="0" w:space="0" w:color="auto"/>
      </w:divBdr>
    </w:div>
    <w:div w:id="464008772">
      <w:bodyDiv w:val="1"/>
      <w:marLeft w:val="0"/>
      <w:marRight w:val="0"/>
      <w:marTop w:val="0"/>
      <w:marBottom w:val="0"/>
      <w:divBdr>
        <w:top w:val="none" w:sz="0" w:space="0" w:color="auto"/>
        <w:left w:val="none" w:sz="0" w:space="0" w:color="auto"/>
        <w:bottom w:val="none" w:sz="0" w:space="0" w:color="auto"/>
        <w:right w:val="none" w:sz="0" w:space="0" w:color="auto"/>
      </w:divBdr>
    </w:div>
    <w:div w:id="466969988">
      <w:bodyDiv w:val="1"/>
      <w:marLeft w:val="0"/>
      <w:marRight w:val="0"/>
      <w:marTop w:val="0"/>
      <w:marBottom w:val="0"/>
      <w:divBdr>
        <w:top w:val="none" w:sz="0" w:space="0" w:color="auto"/>
        <w:left w:val="none" w:sz="0" w:space="0" w:color="auto"/>
        <w:bottom w:val="none" w:sz="0" w:space="0" w:color="auto"/>
        <w:right w:val="none" w:sz="0" w:space="0" w:color="auto"/>
      </w:divBdr>
    </w:div>
    <w:div w:id="471140366">
      <w:bodyDiv w:val="1"/>
      <w:marLeft w:val="0"/>
      <w:marRight w:val="0"/>
      <w:marTop w:val="0"/>
      <w:marBottom w:val="0"/>
      <w:divBdr>
        <w:top w:val="none" w:sz="0" w:space="0" w:color="auto"/>
        <w:left w:val="none" w:sz="0" w:space="0" w:color="auto"/>
        <w:bottom w:val="none" w:sz="0" w:space="0" w:color="auto"/>
        <w:right w:val="none" w:sz="0" w:space="0" w:color="auto"/>
      </w:divBdr>
    </w:div>
    <w:div w:id="475344692">
      <w:bodyDiv w:val="1"/>
      <w:marLeft w:val="0"/>
      <w:marRight w:val="0"/>
      <w:marTop w:val="0"/>
      <w:marBottom w:val="0"/>
      <w:divBdr>
        <w:top w:val="none" w:sz="0" w:space="0" w:color="auto"/>
        <w:left w:val="none" w:sz="0" w:space="0" w:color="auto"/>
        <w:bottom w:val="none" w:sz="0" w:space="0" w:color="auto"/>
        <w:right w:val="none" w:sz="0" w:space="0" w:color="auto"/>
      </w:divBdr>
    </w:div>
    <w:div w:id="475923427">
      <w:bodyDiv w:val="1"/>
      <w:marLeft w:val="0"/>
      <w:marRight w:val="0"/>
      <w:marTop w:val="0"/>
      <w:marBottom w:val="0"/>
      <w:divBdr>
        <w:top w:val="none" w:sz="0" w:space="0" w:color="auto"/>
        <w:left w:val="none" w:sz="0" w:space="0" w:color="auto"/>
        <w:bottom w:val="none" w:sz="0" w:space="0" w:color="auto"/>
        <w:right w:val="none" w:sz="0" w:space="0" w:color="auto"/>
      </w:divBdr>
    </w:div>
    <w:div w:id="478039290">
      <w:bodyDiv w:val="1"/>
      <w:marLeft w:val="0"/>
      <w:marRight w:val="0"/>
      <w:marTop w:val="0"/>
      <w:marBottom w:val="0"/>
      <w:divBdr>
        <w:top w:val="none" w:sz="0" w:space="0" w:color="auto"/>
        <w:left w:val="none" w:sz="0" w:space="0" w:color="auto"/>
        <w:bottom w:val="none" w:sz="0" w:space="0" w:color="auto"/>
        <w:right w:val="none" w:sz="0" w:space="0" w:color="auto"/>
      </w:divBdr>
    </w:div>
    <w:div w:id="479736266">
      <w:bodyDiv w:val="1"/>
      <w:marLeft w:val="0"/>
      <w:marRight w:val="0"/>
      <w:marTop w:val="0"/>
      <w:marBottom w:val="0"/>
      <w:divBdr>
        <w:top w:val="none" w:sz="0" w:space="0" w:color="auto"/>
        <w:left w:val="none" w:sz="0" w:space="0" w:color="auto"/>
        <w:bottom w:val="none" w:sz="0" w:space="0" w:color="auto"/>
        <w:right w:val="none" w:sz="0" w:space="0" w:color="auto"/>
      </w:divBdr>
    </w:div>
    <w:div w:id="484859801">
      <w:bodyDiv w:val="1"/>
      <w:marLeft w:val="0"/>
      <w:marRight w:val="0"/>
      <w:marTop w:val="0"/>
      <w:marBottom w:val="0"/>
      <w:divBdr>
        <w:top w:val="none" w:sz="0" w:space="0" w:color="auto"/>
        <w:left w:val="none" w:sz="0" w:space="0" w:color="auto"/>
        <w:bottom w:val="none" w:sz="0" w:space="0" w:color="auto"/>
        <w:right w:val="none" w:sz="0" w:space="0" w:color="auto"/>
      </w:divBdr>
    </w:div>
    <w:div w:id="484974687">
      <w:bodyDiv w:val="1"/>
      <w:marLeft w:val="0"/>
      <w:marRight w:val="0"/>
      <w:marTop w:val="0"/>
      <w:marBottom w:val="0"/>
      <w:divBdr>
        <w:top w:val="none" w:sz="0" w:space="0" w:color="auto"/>
        <w:left w:val="none" w:sz="0" w:space="0" w:color="auto"/>
        <w:bottom w:val="none" w:sz="0" w:space="0" w:color="auto"/>
        <w:right w:val="none" w:sz="0" w:space="0" w:color="auto"/>
      </w:divBdr>
    </w:div>
    <w:div w:id="485972926">
      <w:bodyDiv w:val="1"/>
      <w:marLeft w:val="0"/>
      <w:marRight w:val="0"/>
      <w:marTop w:val="0"/>
      <w:marBottom w:val="0"/>
      <w:divBdr>
        <w:top w:val="none" w:sz="0" w:space="0" w:color="auto"/>
        <w:left w:val="none" w:sz="0" w:space="0" w:color="auto"/>
        <w:bottom w:val="none" w:sz="0" w:space="0" w:color="auto"/>
        <w:right w:val="none" w:sz="0" w:space="0" w:color="auto"/>
      </w:divBdr>
    </w:div>
    <w:div w:id="498347709">
      <w:bodyDiv w:val="1"/>
      <w:marLeft w:val="0"/>
      <w:marRight w:val="0"/>
      <w:marTop w:val="0"/>
      <w:marBottom w:val="0"/>
      <w:divBdr>
        <w:top w:val="none" w:sz="0" w:space="0" w:color="auto"/>
        <w:left w:val="none" w:sz="0" w:space="0" w:color="auto"/>
        <w:bottom w:val="none" w:sz="0" w:space="0" w:color="auto"/>
        <w:right w:val="none" w:sz="0" w:space="0" w:color="auto"/>
      </w:divBdr>
    </w:div>
    <w:div w:id="499003514">
      <w:bodyDiv w:val="1"/>
      <w:marLeft w:val="0"/>
      <w:marRight w:val="0"/>
      <w:marTop w:val="0"/>
      <w:marBottom w:val="0"/>
      <w:divBdr>
        <w:top w:val="none" w:sz="0" w:space="0" w:color="auto"/>
        <w:left w:val="none" w:sz="0" w:space="0" w:color="auto"/>
        <w:bottom w:val="none" w:sz="0" w:space="0" w:color="auto"/>
        <w:right w:val="none" w:sz="0" w:space="0" w:color="auto"/>
      </w:divBdr>
    </w:div>
    <w:div w:id="500124994">
      <w:bodyDiv w:val="1"/>
      <w:marLeft w:val="0"/>
      <w:marRight w:val="0"/>
      <w:marTop w:val="0"/>
      <w:marBottom w:val="0"/>
      <w:divBdr>
        <w:top w:val="none" w:sz="0" w:space="0" w:color="auto"/>
        <w:left w:val="none" w:sz="0" w:space="0" w:color="auto"/>
        <w:bottom w:val="none" w:sz="0" w:space="0" w:color="auto"/>
        <w:right w:val="none" w:sz="0" w:space="0" w:color="auto"/>
      </w:divBdr>
    </w:div>
    <w:div w:id="505101064">
      <w:bodyDiv w:val="1"/>
      <w:marLeft w:val="0"/>
      <w:marRight w:val="0"/>
      <w:marTop w:val="0"/>
      <w:marBottom w:val="0"/>
      <w:divBdr>
        <w:top w:val="none" w:sz="0" w:space="0" w:color="auto"/>
        <w:left w:val="none" w:sz="0" w:space="0" w:color="auto"/>
        <w:bottom w:val="none" w:sz="0" w:space="0" w:color="auto"/>
        <w:right w:val="none" w:sz="0" w:space="0" w:color="auto"/>
      </w:divBdr>
    </w:div>
    <w:div w:id="506748158">
      <w:bodyDiv w:val="1"/>
      <w:marLeft w:val="0"/>
      <w:marRight w:val="0"/>
      <w:marTop w:val="0"/>
      <w:marBottom w:val="0"/>
      <w:divBdr>
        <w:top w:val="none" w:sz="0" w:space="0" w:color="auto"/>
        <w:left w:val="none" w:sz="0" w:space="0" w:color="auto"/>
        <w:bottom w:val="none" w:sz="0" w:space="0" w:color="auto"/>
        <w:right w:val="none" w:sz="0" w:space="0" w:color="auto"/>
      </w:divBdr>
    </w:div>
    <w:div w:id="507259415">
      <w:bodyDiv w:val="1"/>
      <w:marLeft w:val="0"/>
      <w:marRight w:val="0"/>
      <w:marTop w:val="0"/>
      <w:marBottom w:val="0"/>
      <w:divBdr>
        <w:top w:val="none" w:sz="0" w:space="0" w:color="auto"/>
        <w:left w:val="none" w:sz="0" w:space="0" w:color="auto"/>
        <w:bottom w:val="none" w:sz="0" w:space="0" w:color="auto"/>
        <w:right w:val="none" w:sz="0" w:space="0" w:color="auto"/>
      </w:divBdr>
    </w:div>
    <w:div w:id="508448765">
      <w:bodyDiv w:val="1"/>
      <w:marLeft w:val="0"/>
      <w:marRight w:val="0"/>
      <w:marTop w:val="0"/>
      <w:marBottom w:val="0"/>
      <w:divBdr>
        <w:top w:val="none" w:sz="0" w:space="0" w:color="auto"/>
        <w:left w:val="none" w:sz="0" w:space="0" w:color="auto"/>
        <w:bottom w:val="none" w:sz="0" w:space="0" w:color="auto"/>
        <w:right w:val="none" w:sz="0" w:space="0" w:color="auto"/>
      </w:divBdr>
    </w:div>
    <w:div w:id="510340157">
      <w:bodyDiv w:val="1"/>
      <w:marLeft w:val="0"/>
      <w:marRight w:val="0"/>
      <w:marTop w:val="0"/>
      <w:marBottom w:val="0"/>
      <w:divBdr>
        <w:top w:val="none" w:sz="0" w:space="0" w:color="auto"/>
        <w:left w:val="none" w:sz="0" w:space="0" w:color="auto"/>
        <w:bottom w:val="none" w:sz="0" w:space="0" w:color="auto"/>
        <w:right w:val="none" w:sz="0" w:space="0" w:color="auto"/>
      </w:divBdr>
    </w:div>
    <w:div w:id="510919846">
      <w:bodyDiv w:val="1"/>
      <w:marLeft w:val="0"/>
      <w:marRight w:val="0"/>
      <w:marTop w:val="0"/>
      <w:marBottom w:val="0"/>
      <w:divBdr>
        <w:top w:val="none" w:sz="0" w:space="0" w:color="auto"/>
        <w:left w:val="none" w:sz="0" w:space="0" w:color="auto"/>
        <w:bottom w:val="none" w:sz="0" w:space="0" w:color="auto"/>
        <w:right w:val="none" w:sz="0" w:space="0" w:color="auto"/>
      </w:divBdr>
    </w:div>
    <w:div w:id="511843313">
      <w:bodyDiv w:val="1"/>
      <w:marLeft w:val="0"/>
      <w:marRight w:val="0"/>
      <w:marTop w:val="0"/>
      <w:marBottom w:val="0"/>
      <w:divBdr>
        <w:top w:val="none" w:sz="0" w:space="0" w:color="auto"/>
        <w:left w:val="none" w:sz="0" w:space="0" w:color="auto"/>
        <w:bottom w:val="none" w:sz="0" w:space="0" w:color="auto"/>
        <w:right w:val="none" w:sz="0" w:space="0" w:color="auto"/>
      </w:divBdr>
    </w:div>
    <w:div w:id="515652672">
      <w:bodyDiv w:val="1"/>
      <w:marLeft w:val="0"/>
      <w:marRight w:val="0"/>
      <w:marTop w:val="0"/>
      <w:marBottom w:val="0"/>
      <w:divBdr>
        <w:top w:val="none" w:sz="0" w:space="0" w:color="auto"/>
        <w:left w:val="none" w:sz="0" w:space="0" w:color="auto"/>
        <w:bottom w:val="none" w:sz="0" w:space="0" w:color="auto"/>
        <w:right w:val="none" w:sz="0" w:space="0" w:color="auto"/>
      </w:divBdr>
    </w:div>
    <w:div w:id="515770727">
      <w:bodyDiv w:val="1"/>
      <w:marLeft w:val="0"/>
      <w:marRight w:val="0"/>
      <w:marTop w:val="0"/>
      <w:marBottom w:val="0"/>
      <w:divBdr>
        <w:top w:val="none" w:sz="0" w:space="0" w:color="auto"/>
        <w:left w:val="none" w:sz="0" w:space="0" w:color="auto"/>
        <w:bottom w:val="none" w:sz="0" w:space="0" w:color="auto"/>
        <w:right w:val="none" w:sz="0" w:space="0" w:color="auto"/>
      </w:divBdr>
    </w:div>
    <w:div w:id="520633936">
      <w:bodyDiv w:val="1"/>
      <w:marLeft w:val="0"/>
      <w:marRight w:val="0"/>
      <w:marTop w:val="0"/>
      <w:marBottom w:val="0"/>
      <w:divBdr>
        <w:top w:val="none" w:sz="0" w:space="0" w:color="auto"/>
        <w:left w:val="none" w:sz="0" w:space="0" w:color="auto"/>
        <w:bottom w:val="none" w:sz="0" w:space="0" w:color="auto"/>
        <w:right w:val="none" w:sz="0" w:space="0" w:color="auto"/>
      </w:divBdr>
    </w:div>
    <w:div w:id="522324569">
      <w:bodyDiv w:val="1"/>
      <w:marLeft w:val="0"/>
      <w:marRight w:val="0"/>
      <w:marTop w:val="0"/>
      <w:marBottom w:val="0"/>
      <w:divBdr>
        <w:top w:val="none" w:sz="0" w:space="0" w:color="auto"/>
        <w:left w:val="none" w:sz="0" w:space="0" w:color="auto"/>
        <w:bottom w:val="none" w:sz="0" w:space="0" w:color="auto"/>
        <w:right w:val="none" w:sz="0" w:space="0" w:color="auto"/>
      </w:divBdr>
    </w:div>
    <w:div w:id="525362538">
      <w:bodyDiv w:val="1"/>
      <w:marLeft w:val="0"/>
      <w:marRight w:val="0"/>
      <w:marTop w:val="0"/>
      <w:marBottom w:val="0"/>
      <w:divBdr>
        <w:top w:val="none" w:sz="0" w:space="0" w:color="auto"/>
        <w:left w:val="none" w:sz="0" w:space="0" w:color="auto"/>
        <w:bottom w:val="none" w:sz="0" w:space="0" w:color="auto"/>
        <w:right w:val="none" w:sz="0" w:space="0" w:color="auto"/>
      </w:divBdr>
    </w:div>
    <w:div w:id="534973873">
      <w:bodyDiv w:val="1"/>
      <w:marLeft w:val="0"/>
      <w:marRight w:val="0"/>
      <w:marTop w:val="0"/>
      <w:marBottom w:val="0"/>
      <w:divBdr>
        <w:top w:val="none" w:sz="0" w:space="0" w:color="auto"/>
        <w:left w:val="none" w:sz="0" w:space="0" w:color="auto"/>
        <w:bottom w:val="none" w:sz="0" w:space="0" w:color="auto"/>
        <w:right w:val="none" w:sz="0" w:space="0" w:color="auto"/>
      </w:divBdr>
    </w:div>
    <w:div w:id="546183749">
      <w:bodyDiv w:val="1"/>
      <w:marLeft w:val="0"/>
      <w:marRight w:val="0"/>
      <w:marTop w:val="0"/>
      <w:marBottom w:val="0"/>
      <w:divBdr>
        <w:top w:val="none" w:sz="0" w:space="0" w:color="auto"/>
        <w:left w:val="none" w:sz="0" w:space="0" w:color="auto"/>
        <w:bottom w:val="none" w:sz="0" w:space="0" w:color="auto"/>
        <w:right w:val="none" w:sz="0" w:space="0" w:color="auto"/>
      </w:divBdr>
    </w:div>
    <w:div w:id="549339192">
      <w:bodyDiv w:val="1"/>
      <w:marLeft w:val="0"/>
      <w:marRight w:val="0"/>
      <w:marTop w:val="0"/>
      <w:marBottom w:val="0"/>
      <w:divBdr>
        <w:top w:val="none" w:sz="0" w:space="0" w:color="auto"/>
        <w:left w:val="none" w:sz="0" w:space="0" w:color="auto"/>
        <w:bottom w:val="none" w:sz="0" w:space="0" w:color="auto"/>
        <w:right w:val="none" w:sz="0" w:space="0" w:color="auto"/>
      </w:divBdr>
    </w:div>
    <w:div w:id="559899827">
      <w:bodyDiv w:val="1"/>
      <w:marLeft w:val="0"/>
      <w:marRight w:val="0"/>
      <w:marTop w:val="0"/>
      <w:marBottom w:val="0"/>
      <w:divBdr>
        <w:top w:val="none" w:sz="0" w:space="0" w:color="auto"/>
        <w:left w:val="none" w:sz="0" w:space="0" w:color="auto"/>
        <w:bottom w:val="none" w:sz="0" w:space="0" w:color="auto"/>
        <w:right w:val="none" w:sz="0" w:space="0" w:color="auto"/>
      </w:divBdr>
    </w:div>
    <w:div w:id="562570868">
      <w:bodyDiv w:val="1"/>
      <w:marLeft w:val="0"/>
      <w:marRight w:val="0"/>
      <w:marTop w:val="0"/>
      <w:marBottom w:val="0"/>
      <w:divBdr>
        <w:top w:val="none" w:sz="0" w:space="0" w:color="auto"/>
        <w:left w:val="none" w:sz="0" w:space="0" w:color="auto"/>
        <w:bottom w:val="none" w:sz="0" w:space="0" w:color="auto"/>
        <w:right w:val="none" w:sz="0" w:space="0" w:color="auto"/>
      </w:divBdr>
    </w:div>
    <w:div w:id="567112563">
      <w:bodyDiv w:val="1"/>
      <w:marLeft w:val="0"/>
      <w:marRight w:val="0"/>
      <w:marTop w:val="0"/>
      <w:marBottom w:val="0"/>
      <w:divBdr>
        <w:top w:val="none" w:sz="0" w:space="0" w:color="auto"/>
        <w:left w:val="none" w:sz="0" w:space="0" w:color="auto"/>
        <w:bottom w:val="none" w:sz="0" w:space="0" w:color="auto"/>
        <w:right w:val="none" w:sz="0" w:space="0" w:color="auto"/>
      </w:divBdr>
    </w:div>
    <w:div w:id="567154265">
      <w:bodyDiv w:val="1"/>
      <w:marLeft w:val="0"/>
      <w:marRight w:val="0"/>
      <w:marTop w:val="0"/>
      <w:marBottom w:val="0"/>
      <w:divBdr>
        <w:top w:val="none" w:sz="0" w:space="0" w:color="auto"/>
        <w:left w:val="none" w:sz="0" w:space="0" w:color="auto"/>
        <w:bottom w:val="none" w:sz="0" w:space="0" w:color="auto"/>
        <w:right w:val="none" w:sz="0" w:space="0" w:color="auto"/>
      </w:divBdr>
    </w:div>
    <w:div w:id="568269349">
      <w:bodyDiv w:val="1"/>
      <w:marLeft w:val="0"/>
      <w:marRight w:val="0"/>
      <w:marTop w:val="0"/>
      <w:marBottom w:val="0"/>
      <w:divBdr>
        <w:top w:val="none" w:sz="0" w:space="0" w:color="auto"/>
        <w:left w:val="none" w:sz="0" w:space="0" w:color="auto"/>
        <w:bottom w:val="none" w:sz="0" w:space="0" w:color="auto"/>
        <w:right w:val="none" w:sz="0" w:space="0" w:color="auto"/>
      </w:divBdr>
    </w:div>
    <w:div w:id="570770670">
      <w:bodyDiv w:val="1"/>
      <w:marLeft w:val="0"/>
      <w:marRight w:val="0"/>
      <w:marTop w:val="0"/>
      <w:marBottom w:val="0"/>
      <w:divBdr>
        <w:top w:val="none" w:sz="0" w:space="0" w:color="auto"/>
        <w:left w:val="none" w:sz="0" w:space="0" w:color="auto"/>
        <w:bottom w:val="none" w:sz="0" w:space="0" w:color="auto"/>
        <w:right w:val="none" w:sz="0" w:space="0" w:color="auto"/>
      </w:divBdr>
    </w:div>
    <w:div w:id="572814694">
      <w:bodyDiv w:val="1"/>
      <w:marLeft w:val="0"/>
      <w:marRight w:val="0"/>
      <w:marTop w:val="0"/>
      <w:marBottom w:val="0"/>
      <w:divBdr>
        <w:top w:val="none" w:sz="0" w:space="0" w:color="auto"/>
        <w:left w:val="none" w:sz="0" w:space="0" w:color="auto"/>
        <w:bottom w:val="none" w:sz="0" w:space="0" w:color="auto"/>
        <w:right w:val="none" w:sz="0" w:space="0" w:color="auto"/>
      </w:divBdr>
    </w:div>
    <w:div w:id="580405121">
      <w:bodyDiv w:val="1"/>
      <w:marLeft w:val="0"/>
      <w:marRight w:val="0"/>
      <w:marTop w:val="0"/>
      <w:marBottom w:val="0"/>
      <w:divBdr>
        <w:top w:val="none" w:sz="0" w:space="0" w:color="auto"/>
        <w:left w:val="none" w:sz="0" w:space="0" w:color="auto"/>
        <w:bottom w:val="none" w:sz="0" w:space="0" w:color="auto"/>
        <w:right w:val="none" w:sz="0" w:space="0" w:color="auto"/>
      </w:divBdr>
    </w:div>
    <w:div w:id="584607353">
      <w:bodyDiv w:val="1"/>
      <w:marLeft w:val="0"/>
      <w:marRight w:val="0"/>
      <w:marTop w:val="0"/>
      <w:marBottom w:val="0"/>
      <w:divBdr>
        <w:top w:val="none" w:sz="0" w:space="0" w:color="auto"/>
        <w:left w:val="none" w:sz="0" w:space="0" w:color="auto"/>
        <w:bottom w:val="none" w:sz="0" w:space="0" w:color="auto"/>
        <w:right w:val="none" w:sz="0" w:space="0" w:color="auto"/>
      </w:divBdr>
    </w:div>
    <w:div w:id="593703615">
      <w:bodyDiv w:val="1"/>
      <w:marLeft w:val="0"/>
      <w:marRight w:val="0"/>
      <w:marTop w:val="0"/>
      <w:marBottom w:val="0"/>
      <w:divBdr>
        <w:top w:val="none" w:sz="0" w:space="0" w:color="auto"/>
        <w:left w:val="none" w:sz="0" w:space="0" w:color="auto"/>
        <w:bottom w:val="none" w:sz="0" w:space="0" w:color="auto"/>
        <w:right w:val="none" w:sz="0" w:space="0" w:color="auto"/>
      </w:divBdr>
    </w:div>
    <w:div w:id="594292633">
      <w:bodyDiv w:val="1"/>
      <w:marLeft w:val="0"/>
      <w:marRight w:val="0"/>
      <w:marTop w:val="0"/>
      <w:marBottom w:val="0"/>
      <w:divBdr>
        <w:top w:val="none" w:sz="0" w:space="0" w:color="auto"/>
        <w:left w:val="none" w:sz="0" w:space="0" w:color="auto"/>
        <w:bottom w:val="none" w:sz="0" w:space="0" w:color="auto"/>
        <w:right w:val="none" w:sz="0" w:space="0" w:color="auto"/>
      </w:divBdr>
    </w:div>
    <w:div w:id="597829445">
      <w:bodyDiv w:val="1"/>
      <w:marLeft w:val="0"/>
      <w:marRight w:val="0"/>
      <w:marTop w:val="0"/>
      <w:marBottom w:val="0"/>
      <w:divBdr>
        <w:top w:val="none" w:sz="0" w:space="0" w:color="auto"/>
        <w:left w:val="none" w:sz="0" w:space="0" w:color="auto"/>
        <w:bottom w:val="none" w:sz="0" w:space="0" w:color="auto"/>
        <w:right w:val="none" w:sz="0" w:space="0" w:color="auto"/>
      </w:divBdr>
    </w:div>
    <w:div w:id="599334285">
      <w:bodyDiv w:val="1"/>
      <w:marLeft w:val="0"/>
      <w:marRight w:val="0"/>
      <w:marTop w:val="0"/>
      <w:marBottom w:val="0"/>
      <w:divBdr>
        <w:top w:val="none" w:sz="0" w:space="0" w:color="auto"/>
        <w:left w:val="none" w:sz="0" w:space="0" w:color="auto"/>
        <w:bottom w:val="none" w:sz="0" w:space="0" w:color="auto"/>
        <w:right w:val="none" w:sz="0" w:space="0" w:color="auto"/>
      </w:divBdr>
    </w:div>
    <w:div w:id="599606343">
      <w:bodyDiv w:val="1"/>
      <w:marLeft w:val="0"/>
      <w:marRight w:val="0"/>
      <w:marTop w:val="0"/>
      <w:marBottom w:val="0"/>
      <w:divBdr>
        <w:top w:val="none" w:sz="0" w:space="0" w:color="auto"/>
        <w:left w:val="none" w:sz="0" w:space="0" w:color="auto"/>
        <w:bottom w:val="none" w:sz="0" w:space="0" w:color="auto"/>
        <w:right w:val="none" w:sz="0" w:space="0" w:color="auto"/>
      </w:divBdr>
    </w:div>
    <w:div w:id="601305019">
      <w:bodyDiv w:val="1"/>
      <w:marLeft w:val="0"/>
      <w:marRight w:val="0"/>
      <w:marTop w:val="0"/>
      <w:marBottom w:val="0"/>
      <w:divBdr>
        <w:top w:val="none" w:sz="0" w:space="0" w:color="auto"/>
        <w:left w:val="none" w:sz="0" w:space="0" w:color="auto"/>
        <w:bottom w:val="none" w:sz="0" w:space="0" w:color="auto"/>
        <w:right w:val="none" w:sz="0" w:space="0" w:color="auto"/>
      </w:divBdr>
    </w:div>
    <w:div w:id="607353416">
      <w:bodyDiv w:val="1"/>
      <w:marLeft w:val="0"/>
      <w:marRight w:val="0"/>
      <w:marTop w:val="0"/>
      <w:marBottom w:val="0"/>
      <w:divBdr>
        <w:top w:val="none" w:sz="0" w:space="0" w:color="auto"/>
        <w:left w:val="none" w:sz="0" w:space="0" w:color="auto"/>
        <w:bottom w:val="none" w:sz="0" w:space="0" w:color="auto"/>
        <w:right w:val="none" w:sz="0" w:space="0" w:color="auto"/>
      </w:divBdr>
    </w:div>
    <w:div w:id="609045430">
      <w:bodyDiv w:val="1"/>
      <w:marLeft w:val="0"/>
      <w:marRight w:val="0"/>
      <w:marTop w:val="0"/>
      <w:marBottom w:val="0"/>
      <w:divBdr>
        <w:top w:val="none" w:sz="0" w:space="0" w:color="auto"/>
        <w:left w:val="none" w:sz="0" w:space="0" w:color="auto"/>
        <w:bottom w:val="none" w:sz="0" w:space="0" w:color="auto"/>
        <w:right w:val="none" w:sz="0" w:space="0" w:color="auto"/>
      </w:divBdr>
    </w:div>
    <w:div w:id="612790614">
      <w:bodyDiv w:val="1"/>
      <w:marLeft w:val="0"/>
      <w:marRight w:val="0"/>
      <w:marTop w:val="0"/>
      <w:marBottom w:val="0"/>
      <w:divBdr>
        <w:top w:val="none" w:sz="0" w:space="0" w:color="auto"/>
        <w:left w:val="none" w:sz="0" w:space="0" w:color="auto"/>
        <w:bottom w:val="none" w:sz="0" w:space="0" w:color="auto"/>
        <w:right w:val="none" w:sz="0" w:space="0" w:color="auto"/>
      </w:divBdr>
    </w:div>
    <w:div w:id="615258816">
      <w:bodyDiv w:val="1"/>
      <w:marLeft w:val="0"/>
      <w:marRight w:val="0"/>
      <w:marTop w:val="0"/>
      <w:marBottom w:val="0"/>
      <w:divBdr>
        <w:top w:val="none" w:sz="0" w:space="0" w:color="auto"/>
        <w:left w:val="none" w:sz="0" w:space="0" w:color="auto"/>
        <w:bottom w:val="none" w:sz="0" w:space="0" w:color="auto"/>
        <w:right w:val="none" w:sz="0" w:space="0" w:color="auto"/>
      </w:divBdr>
    </w:div>
    <w:div w:id="617762471">
      <w:bodyDiv w:val="1"/>
      <w:marLeft w:val="0"/>
      <w:marRight w:val="0"/>
      <w:marTop w:val="0"/>
      <w:marBottom w:val="0"/>
      <w:divBdr>
        <w:top w:val="none" w:sz="0" w:space="0" w:color="auto"/>
        <w:left w:val="none" w:sz="0" w:space="0" w:color="auto"/>
        <w:bottom w:val="none" w:sz="0" w:space="0" w:color="auto"/>
        <w:right w:val="none" w:sz="0" w:space="0" w:color="auto"/>
      </w:divBdr>
    </w:div>
    <w:div w:id="620772624">
      <w:bodyDiv w:val="1"/>
      <w:marLeft w:val="0"/>
      <w:marRight w:val="0"/>
      <w:marTop w:val="0"/>
      <w:marBottom w:val="0"/>
      <w:divBdr>
        <w:top w:val="none" w:sz="0" w:space="0" w:color="auto"/>
        <w:left w:val="none" w:sz="0" w:space="0" w:color="auto"/>
        <w:bottom w:val="none" w:sz="0" w:space="0" w:color="auto"/>
        <w:right w:val="none" w:sz="0" w:space="0" w:color="auto"/>
      </w:divBdr>
    </w:div>
    <w:div w:id="621809423">
      <w:bodyDiv w:val="1"/>
      <w:marLeft w:val="0"/>
      <w:marRight w:val="0"/>
      <w:marTop w:val="0"/>
      <w:marBottom w:val="0"/>
      <w:divBdr>
        <w:top w:val="none" w:sz="0" w:space="0" w:color="auto"/>
        <w:left w:val="none" w:sz="0" w:space="0" w:color="auto"/>
        <w:bottom w:val="none" w:sz="0" w:space="0" w:color="auto"/>
        <w:right w:val="none" w:sz="0" w:space="0" w:color="auto"/>
      </w:divBdr>
    </w:div>
    <w:div w:id="624652234">
      <w:bodyDiv w:val="1"/>
      <w:marLeft w:val="0"/>
      <w:marRight w:val="0"/>
      <w:marTop w:val="0"/>
      <w:marBottom w:val="0"/>
      <w:divBdr>
        <w:top w:val="none" w:sz="0" w:space="0" w:color="auto"/>
        <w:left w:val="none" w:sz="0" w:space="0" w:color="auto"/>
        <w:bottom w:val="none" w:sz="0" w:space="0" w:color="auto"/>
        <w:right w:val="none" w:sz="0" w:space="0" w:color="auto"/>
      </w:divBdr>
    </w:div>
    <w:div w:id="627782401">
      <w:bodyDiv w:val="1"/>
      <w:marLeft w:val="0"/>
      <w:marRight w:val="0"/>
      <w:marTop w:val="0"/>
      <w:marBottom w:val="0"/>
      <w:divBdr>
        <w:top w:val="none" w:sz="0" w:space="0" w:color="auto"/>
        <w:left w:val="none" w:sz="0" w:space="0" w:color="auto"/>
        <w:bottom w:val="none" w:sz="0" w:space="0" w:color="auto"/>
        <w:right w:val="none" w:sz="0" w:space="0" w:color="auto"/>
      </w:divBdr>
    </w:div>
    <w:div w:id="634213603">
      <w:bodyDiv w:val="1"/>
      <w:marLeft w:val="0"/>
      <w:marRight w:val="0"/>
      <w:marTop w:val="0"/>
      <w:marBottom w:val="0"/>
      <w:divBdr>
        <w:top w:val="none" w:sz="0" w:space="0" w:color="auto"/>
        <w:left w:val="none" w:sz="0" w:space="0" w:color="auto"/>
        <w:bottom w:val="none" w:sz="0" w:space="0" w:color="auto"/>
        <w:right w:val="none" w:sz="0" w:space="0" w:color="auto"/>
      </w:divBdr>
    </w:div>
    <w:div w:id="634335685">
      <w:bodyDiv w:val="1"/>
      <w:marLeft w:val="0"/>
      <w:marRight w:val="0"/>
      <w:marTop w:val="0"/>
      <w:marBottom w:val="0"/>
      <w:divBdr>
        <w:top w:val="none" w:sz="0" w:space="0" w:color="auto"/>
        <w:left w:val="none" w:sz="0" w:space="0" w:color="auto"/>
        <w:bottom w:val="none" w:sz="0" w:space="0" w:color="auto"/>
        <w:right w:val="none" w:sz="0" w:space="0" w:color="auto"/>
      </w:divBdr>
    </w:div>
    <w:div w:id="638921299">
      <w:bodyDiv w:val="1"/>
      <w:marLeft w:val="0"/>
      <w:marRight w:val="0"/>
      <w:marTop w:val="0"/>
      <w:marBottom w:val="0"/>
      <w:divBdr>
        <w:top w:val="none" w:sz="0" w:space="0" w:color="auto"/>
        <w:left w:val="none" w:sz="0" w:space="0" w:color="auto"/>
        <w:bottom w:val="none" w:sz="0" w:space="0" w:color="auto"/>
        <w:right w:val="none" w:sz="0" w:space="0" w:color="auto"/>
      </w:divBdr>
    </w:div>
    <w:div w:id="643310954">
      <w:bodyDiv w:val="1"/>
      <w:marLeft w:val="0"/>
      <w:marRight w:val="0"/>
      <w:marTop w:val="0"/>
      <w:marBottom w:val="0"/>
      <w:divBdr>
        <w:top w:val="none" w:sz="0" w:space="0" w:color="auto"/>
        <w:left w:val="none" w:sz="0" w:space="0" w:color="auto"/>
        <w:bottom w:val="none" w:sz="0" w:space="0" w:color="auto"/>
        <w:right w:val="none" w:sz="0" w:space="0" w:color="auto"/>
      </w:divBdr>
    </w:div>
    <w:div w:id="643319445">
      <w:bodyDiv w:val="1"/>
      <w:marLeft w:val="0"/>
      <w:marRight w:val="0"/>
      <w:marTop w:val="0"/>
      <w:marBottom w:val="0"/>
      <w:divBdr>
        <w:top w:val="none" w:sz="0" w:space="0" w:color="auto"/>
        <w:left w:val="none" w:sz="0" w:space="0" w:color="auto"/>
        <w:bottom w:val="none" w:sz="0" w:space="0" w:color="auto"/>
        <w:right w:val="none" w:sz="0" w:space="0" w:color="auto"/>
      </w:divBdr>
    </w:div>
    <w:div w:id="644435247">
      <w:bodyDiv w:val="1"/>
      <w:marLeft w:val="0"/>
      <w:marRight w:val="0"/>
      <w:marTop w:val="0"/>
      <w:marBottom w:val="0"/>
      <w:divBdr>
        <w:top w:val="none" w:sz="0" w:space="0" w:color="auto"/>
        <w:left w:val="none" w:sz="0" w:space="0" w:color="auto"/>
        <w:bottom w:val="none" w:sz="0" w:space="0" w:color="auto"/>
        <w:right w:val="none" w:sz="0" w:space="0" w:color="auto"/>
      </w:divBdr>
    </w:div>
    <w:div w:id="647630459">
      <w:bodyDiv w:val="1"/>
      <w:marLeft w:val="0"/>
      <w:marRight w:val="0"/>
      <w:marTop w:val="0"/>
      <w:marBottom w:val="0"/>
      <w:divBdr>
        <w:top w:val="none" w:sz="0" w:space="0" w:color="auto"/>
        <w:left w:val="none" w:sz="0" w:space="0" w:color="auto"/>
        <w:bottom w:val="none" w:sz="0" w:space="0" w:color="auto"/>
        <w:right w:val="none" w:sz="0" w:space="0" w:color="auto"/>
      </w:divBdr>
    </w:div>
    <w:div w:id="660503878">
      <w:bodyDiv w:val="1"/>
      <w:marLeft w:val="0"/>
      <w:marRight w:val="0"/>
      <w:marTop w:val="0"/>
      <w:marBottom w:val="0"/>
      <w:divBdr>
        <w:top w:val="none" w:sz="0" w:space="0" w:color="auto"/>
        <w:left w:val="none" w:sz="0" w:space="0" w:color="auto"/>
        <w:bottom w:val="none" w:sz="0" w:space="0" w:color="auto"/>
        <w:right w:val="none" w:sz="0" w:space="0" w:color="auto"/>
      </w:divBdr>
    </w:div>
    <w:div w:id="664359055">
      <w:bodyDiv w:val="1"/>
      <w:marLeft w:val="0"/>
      <w:marRight w:val="0"/>
      <w:marTop w:val="0"/>
      <w:marBottom w:val="0"/>
      <w:divBdr>
        <w:top w:val="none" w:sz="0" w:space="0" w:color="auto"/>
        <w:left w:val="none" w:sz="0" w:space="0" w:color="auto"/>
        <w:bottom w:val="none" w:sz="0" w:space="0" w:color="auto"/>
        <w:right w:val="none" w:sz="0" w:space="0" w:color="auto"/>
      </w:divBdr>
    </w:div>
    <w:div w:id="665521303">
      <w:bodyDiv w:val="1"/>
      <w:marLeft w:val="0"/>
      <w:marRight w:val="0"/>
      <w:marTop w:val="0"/>
      <w:marBottom w:val="0"/>
      <w:divBdr>
        <w:top w:val="none" w:sz="0" w:space="0" w:color="auto"/>
        <w:left w:val="none" w:sz="0" w:space="0" w:color="auto"/>
        <w:bottom w:val="none" w:sz="0" w:space="0" w:color="auto"/>
        <w:right w:val="none" w:sz="0" w:space="0" w:color="auto"/>
      </w:divBdr>
    </w:div>
    <w:div w:id="666398434">
      <w:bodyDiv w:val="1"/>
      <w:marLeft w:val="0"/>
      <w:marRight w:val="0"/>
      <w:marTop w:val="0"/>
      <w:marBottom w:val="0"/>
      <w:divBdr>
        <w:top w:val="none" w:sz="0" w:space="0" w:color="auto"/>
        <w:left w:val="none" w:sz="0" w:space="0" w:color="auto"/>
        <w:bottom w:val="none" w:sz="0" w:space="0" w:color="auto"/>
        <w:right w:val="none" w:sz="0" w:space="0" w:color="auto"/>
      </w:divBdr>
    </w:div>
    <w:div w:id="668336621">
      <w:bodyDiv w:val="1"/>
      <w:marLeft w:val="0"/>
      <w:marRight w:val="0"/>
      <w:marTop w:val="0"/>
      <w:marBottom w:val="0"/>
      <w:divBdr>
        <w:top w:val="none" w:sz="0" w:space="0" w:color="auto"/>
        <w:left w:val="none" w:sz="0" w:space="0" w:color="auto"/>
        <w:bottom w:val="none" w:sz="0" w:space="0" w:color="auto"/>
        <w:right w:val="none" w:sz="0" w:space="0" w:color="auto"/>
      </w:divBdr>
    </w:div>
    <w:div w:id="671840251">
      <w:bodyDiv w:val="1"/>
      <w:marLeft w:val="0"/>
      <w:marRight w:val="0"/>
      <w:marTop w:val="0"/>
      <w:marBottom w:val="0"/>
      <w:divBdr>
        <w:top w:val="none" w:sz="0" w:space="0" w:color="auto"/>
        <w:left w:val="none" w:sz="0" w:space="0" w:color="auto"/>
        <w:bottom w:val="none" w:sz="0" w:space="0" w:color="auto"/>
        <w:right w:val="none" w:sz="0" w:space="0" w:color="auto"/>
      </w:divBdr>
    </w:div>
    <w:div w:id="676083052">
      <w:bodyDiv w:val="1"/>
      <w:marLeft w:val="0"/>
      <w:marRight w:val="0"/>
      <w:marTop w:val="0"/>
      <w:marBottom w:val="0"/>
      <w:divBdr>
        <w:top w:val="none" w:sz="0" w:space="0" w:color="auto"/>
        <w:left w:val="none" w:sz="0" w:space="0" w:color="auto"/>
        <w:bottom w:val="none" w:sz="0" w:space="0" w:color="auto"/>
        <w:right w:val="none" w:sz="0" w:space="0" w:color="auto"/>
      </w:divBdr>
    </w:div>
    <w:div w:id="685639202">
      <w:bodyDiv w:val="1"/>
      <w:marLeft w:val="0"/>
      <w:marRight w:val="0"/>
      <w:marTop w:val="0"/>
      <w:marBottom w:val="0"/>
      <w:divBdr>
        <w:top w:val="none" w:sz="0" w:space="0" w:color="auto"/>
        <w:left w:val="none" w:sz="0" w:space="0" w:color="auto"/>
        <w:bottom w:val="none" w:sz="0" w:space="0" w:color="auto"/>
        <w:right w:val="none" w:sz="0" w:space="0" w:color="auto"/>
      </w:divBdr>
    </w:div>
    <w:div w:id="700130790">
      <w:bodyDiv w:val="1"/>
      <w:marLeft w:val="0"/>
      <w:marRight w:val="0"/>
      <w:marTop w:val="0"/>
      <w:marBottom w:val="0"/>
      <w:divBdr>
        <w:top w:val="none" w:sz="0" w:space="0" w:color="auto"/>
        <w:left w:val="none" w:sz="0" w:space="0" w:color="auto"/>
        <w:bottom w:val="none" w:sz="0" w:space="0" w:color="auto"/>
        <w:right w:val="none" w:sz="0" w:space="0" w:color="auto"/>
      </w:divBdr>
    </w:div>
    <w:div w:id="702291458">
      <w:bodyDiv w:val="1"/>
      <w:marLeft w:val="0"/>
      <w:marRight w:val="0"/>
      <w:marTop w:val="0"/>
      <w:marBottom w:val="0"/>
      <w:divBdr>
        <w:top w:val="none" w:sz="0" w:space="0" w:color="auto"/>
        <w:left w:val="none" w:sz="0" w:space="0" w:color="auto"/>
        <w:bottom w:val="none" w:sz="0" w:space="0" w:color="auto"/>
        <w:right w:val="none" w:sz="0" w:space="0" w:color="auto"/>
      </w:divBdr>
    </w:div>
    <w:div w:id="703020262">
      <w:bodyDiv w:val="1"/>
      <w:marLeft w:val="0"/>
      <w:marRight w:val="0"/>
      <w:marTop w:val="0"/>
      <w:marBottom w:val="0"/>
      <w:divBdr>
        <w:top w:val="none" w:sz="0" w:space="0" w:color="auto"/>
        <w:left w:val="none" w:sz="0" w:space="0" w:color="auto"/>
        <w:bottom w:val="none" w:sz="0" w:space="0" w:color="auto"/>
        <w:right w:val="none" w:sz="0" w:space="0" w:color="auto"/>
      </w:divBdr>
    </w:div>
    <w:div w:id="703948365">
      <w:bodyDiv w:val="1"/>
      <w:marLeft w:val="0"/>
      <w:marRight w:val="0"/>
      <w:marTop w:val="0"/>
      <w:marBottom w:val="0"/>
      <w:divBdr>
        <w:top w:val="none" w:sz="0" w:space="0" w:color="auto"/>
        <w:left w:val="none" w:sz="0" w:space="0" w:color="auto"/>
        <w:bottom w:val="none" w:sz="0" w:space="0" w:color="auto"/>
        <w:right w:val="none" w:sz="0" w:space="0" w:color="auto"/>
      </w:divBdr>
    </w:div>
    <w:div w:id="710302682">
      <w:bodyDiv w:val="1"/>
      <w:marLeft w:val="0"/>
      <w:marRight w:val="0"/>
      <w:marTop w:val="0"/>
      <w:marBottom w:val="0"/>
      <w:divBdr>
        <w:top w:val="none" w:sz="0" w:space="0" w:color="auto"/>
        <w:left w:val="none" w:sz="0" w:space="0" w:color="auto"/>
        <w:bottom w:val="none" w:sz="0" w:space="0" w:color="auto"/>
        <w:right w:val="none" w:sz="0" w:space="0" w:color="auto"/>
      </w:divBdr>
    </w:div>
    <w:div w:id="713385640">
      <w:bodyDiv w:val="1"/>
      <w:marLeft w:val="0"/>
      <w:marRight w:val="0"/>
      <w:marTop w:val="0"/>
      <w:marBottom w:val="0"/>
      <w:divBdr>
        <w:top w:val="none" w:sz="0" w:space="0" w:color="auto"/>
        <w:left w:val="none" w:sz="0" w:space="0" w:color="auto"/>
        <w:bottom w:val="none" w:sz="0" w:space="0" w:color="auto"/>
        <w:right w:val="none" w:sz="0" w:space="0" w:color="auto"/>
      </w:divBdr>
    </w:div>
    <w:div w:id="717320921">
      <w:bodyDiv w:val="1"/>
      <w:marLeft w:val="0"/>
      <w:marRight w:val="0"/>
      <w:marTop w:val="0"/>
      <w:marBottom w:val="0"/>
      <w:divBdr>
        <w:top w:val="none" w:sz="0" w:space="0" w:color="auto"/>
        <w:left w:val="none" w:sz="0" w:space="0" w:color="auto"/>
        <w:bottom w:val="none" w:sz="0" w:space="0" w:color="auto"/>
        <w:right w:val="none" w:sz="0" w:space="0" w:color="auto"/>
      </w:divBdr>
    </w:div>
    <w:div w:id="720717020">
      <w:bodyDiv w:val="1"/>
      <w:marLeft w:val="0"/>
      <w:marRight w:val="0"/>
      <w:marTop w:val="0"/>
      <w:marBottom w:val="0"/>
      <w:divBdr>
        <w:top w:val="none" w:sz="0" w:space="0" w:color="auto"/>
        <w:left w:val="none" w:sz="0" w:space="0" w:color="auto"/>
        <w:bottom w:val="none" w:sz="0" w:space="0" w:color="auto"/>
        <w:right w:val="none" w:sz="0" w:space="0" w:color="auto"/>
      </w:divBdr>
    </w:div>
    <w:div w:id="723212976">
      <w:bodyDiv w:val="1"/>
      <w:marLeft w:val="0"/>
      <w:marRight w:val="0"/>
      <w:marTop w:val="0"/>
      <w:marBottom w:val="0"/>
      <w:divBdr>
        <w:top w:val="none" w:sz="0" w:space="0" w:color="auto"/>
        <w:left w:val="none" w:sz="0" w:space="0" w:color="auto"/>
        <w:bottom w:val="none" w:sz="0" w:space="0" w:color="auto"/>
        <w:right w:val="none" w:sz="0" w:space="0" w:color="auto"/>
      </w:divBdr>
    </w:div>
    <w:div w:id="726688751">
      <w:bodyDiv w:val="1"/>
      <w:marLeft w:val="0"/>
      <w:marRight w:val="0"/>
      <w:marTop w:val="0"/>
      <w:marBottom w:val="0"/>
      <w:divBdr>
        <w:top w:val="none" w:sz="0" w:space="0" w:color="auto"/>
        <w:left w:val="none" w:sz="0" w:space="0" w:color="auto"/>
        <w:bottom w:val="none" w:sz="0" w:space="0" w:color="auto"/>
        <w:right w:val="none" w:sz="0" w:space="0" w:color="auto"/>
      </w:divBdr>
    </w:div>
    <w:div w:id="726803719">
      <w:bodyDiv w:val="1"/>
      <w:marLeft w:val="0"/>
      <w:marRight w:val="0"/>
      <w:marTop w:val="0"/>
      <w:marBottom w:val="0"/>
      <w:divBdr>
        <w:top w:val="none" w:sz="0" w:space="0" w:color="auto"/>
        <w:left w:val="none" w:sz="0" w:space="0" w:color="auto"/>
        <w:bottom w:val="none" w:sz="0" w:space="0" w:color="auto"/>
        <w:right w:val="none" w:sz="0" w:space="0" w:color="auto"/>
      </w:divBdr>
    </w:div>
    <w:div w:id="729042362">
      <w:bodyDiv w:val="1"/>
      <w:marLeft w:val="0"/>
      <w:marRight w:val="0"/>
      <w:marTop w:val="0"/>
      <w:marBottom w:val="0"/>
      <w:divBdr>
        <w:top w:val="none" w:sz="0" w:space="0" w:color="auto"/>
        <w:left w:val="none" w:sz="0" w:space="0" w:color="auto"/>
        <w:bottom w:val="none" w:sz="0" w:space="0" w:color="auto"/>
        <w:right w:val="none" w:sz="0" w:space="0" w:color="auto"/>
      </w:divBdr>
    </w:div>
    <w:div w:id="730034883">
      <w:bodyDiv w:val="1"/>
      <w:marLeft w:val="0"/>
      <w:marRight w:val="0"/>
      <w:marTop w:val="0"/>
      <w:marBottom w:val="0"/>
      <w:divBdr>
        <w:top w:val="none" w:sz="0" w:space="0" w:color="auto"/>
        <w:left w:val="none" w:sz="0" w:space="0" w:color="auto"/>
        <w:bottom w:val="none" w:sz="0" w:space="0" w:color="auto"/>
        <w:right w:val="none" w:sz="0" w:space="0" w:color="auto"/>
      </w:divBdr>
    </w:div>
    <w:div w:id="734857571">
      <w:bodyDiv w:val="1"/>
      <w:marLeft w:val="0"/>
      <w:marRight w:val="0"/>
      <w:marTop w:val="0"/>
      <w:marBottom w:val="0"/>
      <w:divBdr>
        <w:top w:val="none" w:sz="0" w:space="0" w:color="auto"/>
        <w:left w:val="none" w:sz="0" w:space="0" w:color="auto"/>
        <w:bottom w:val="none" w:sz="0" w:space="0" w:color="auto"/>
        <w:right w:val="none" w:sz="0" w:space="0" w:color="auto"/>
      </w:divBdr>
    </w:div>
    <w:div w:id="734939257">
      <w:bodyDiv w:val="1"/>
      <w:marLeft w:val="0"/>
      <w:marRight w:val="0"/>
      <w:marTop w:val="0"/>
      <w:marBottom w:val="0"/>
      <w:divBdr>
        <w:top w:val="none" w:sz="0" w:space="0" w:color="auto"/>
        <w:left w:val="none" w:sz="0" w:space="0" w:color="auto"/>
        <w:bottom w:val="none" w:sz="0" w:space="0" w:color="auto"/>
        <w:right w:val="none" w:sz="0" w:space="0" w:color="auto"/>
      </w:divBdr>
    </w:div>
    <w:div w:id="735980410">
      <w:bodyDiv w:val="1"/>
      <w:marLeft w:val="0"/>
      <w:marRight w:val="0"/>
      <w:marTop w:val="0"/>
      <w:marBottom w:val="0"/>
      <w:divBdr>
        <w:top w:val="none" w:sz="0" w:space="0" w:color="auto"/>
        <w:left w:val="none" w:sz="0" w:space="0" w:color="auto"/>
        <w:bottom w:val="none" w:sz="0" w:space="0" w:color="auto"/>
        <w:right w:val="none" w:sz="0" w:space="0" w:color="auto"/>
      </w:divBdr>
    </w:div>
    <w:div w:id="737947703">
      <w:bodyDiv w:val="1"/>
      <w:marLeft w:val="0"/>
      <w:marRight w:val="0"/>
      <w:marTop w:val="0"/>
      <w:marBottom w:val="0"/>
      <w:divBdr>
        <w:top w:val="none" w:sz="0" w:space="0" w:color="auto"/>
        <w:left w:val="none" w:sz="0" w:space="0" w:color="auto"/>
        <w:bottom w:val="none" w:sz="0" w:space="0" w:color="auto"/>
        <w:right w:val="none" w:sz="0" w:space="0" w:color="auto"/>
      </w:divBdr>
    </w:div>
    <w:div w:id="739252944">
      <w:bodyDiv w:val="1"/>
      <w:marLeft w:val="0"/>
      <w:marRight w:val="0"/>
      <w:marTop w:val="0"/>
      <w:marBottom w:val="0"/>
      <w:divBdr>
        <w:top w:val="none" w:sz="0" w:space="0" w:color="auto"/>
        <w:left w:val="none" w:sz="0" w:space="0" w:color="auto"/>
        <w:bottom w:val="none" w:sz="0" w:space="0" w:color="auto"/>
        <w:right w:val="none" w:sz="0" w:space="0" w:color="auto"/>
      </w:divBdr>
    </w:div>
    <w:div w:id="742873899">
      <w:bodyDiv w:val="1"/>
      <w:marLeft w:val="0"/>
      <w:marRight w:val="0"/>
      <w:marTop w:val="0"/>
      <w:marBottom w:val="0"/>
      <w:divBdr>
        <w:top w:val="none" w:sz="0" w:space="0" w:color="auto"/>
        <w:left w:val="none" w:sz="0" w:space="0" w:color="auto"/>
        <w:bottom w:val="none" w:sz="0" w:space="0" w:color="auto"/>
        <w:right w:val="none" w:sz="0" w:space="0" w:color="auto"/>
      </w:divBdr>
    </w:div>
    <w:div w:id="744259346">
      <w:bodyDiv w:val="1"/>
      <w:marLeft w:val="0"/>
      <w:marRight w:val="0"/>
      <w:marTop w:val="0"/>
      <w:marBottom w:val="0"/>
      <w:divBdr>
        <w:top w:val="none" w:sz="0" w:space="0" w:color="auto"/>
        <w:left w:val="none" w:sz="0" w:space="0" w:color="auto"/>
        <w:bottom w:val="none" w:sz="0" w:space="0" w:color="auto"/>
        <w:right w:val="none" w:sz="0" w:space="0" w:color="auto"/>
      </w:divBdr>
    </w:div>
    <w:div w:id="744566673">
      <w:bodyDiv w:val="1"/>
      <w:marLeft w:val="0"/>
      <w:marRight w:val="0"/>
      <w:marTop w:val="0"/>
      <w:marBottom w:val="0"/>
      <w:divBdr>
        <w:top w:val="none" w:sz="0" w:space="0" w:color="auto"/>
        <w:left w:val="none" w:sz="0" w:space="0" w:color="auto"/>
        <w:bottom w:val="none" w:sz="0" w:space="0" w:color="auto"/>
        <w:right w:val="none" w:sz="0" w:space="0" w:color="auto"/>
      </w:divBdr>
    </w:div>
    <w:div w:id="746921836">
      <w:bodyDiv w:val="1"/>
      <w:marLeft w:val="0"/>
      <w:marRight w:val="0"/>
      <w:marTop w:val="0"/>
      <w:marBottom w:val="0"/>
      <w:divBdr>
        <w:top w:val="none" w:sz="0" w:space="0" w:color="auto"/>
        <w:left w:val="none" w:sz="0" w:space="0" w:color="auto"/>
        <w:bottom w:val="none" w:sz="0" w:space="0" w:color="auto"/>
        <w:right w:val="none" w:sz="0" w:space="0" w:color="auto"/>
      </w:divBdr>
    </w:div>
    <w:div w:id="747266993">
      <w:bodyDiv w:val="1"/>
      <w:marLeft w:val="0"/>
      <w:marRight w:val="0"/>
      <w:marTop w:val="0"/>
      <w:marBottom w:val="0"/>
      <w:divBdr>
        <w:top w:val="none" w:sz="0" w:space="0" w:color="auto"/>
        <w:left w:val="none" w:sz="0" w:space="0" w:color="auto"/>
        <w:bottom w:val="none" w:sz="0" w:space="0" w:color="auto"/>
        <w:right w:val="none" w:sz="0" w:space="0" w:color="auto"/>
      </w:divBdr>
    </w:div>
    <w:div w:id="750196394">
      <w:bodyDiv w:val="1"/>
      <w:marLeft w:val="0"/>
      <w:marRight w:val="0"/>
      <w:marTop w:val="0"/>
      <w:marBottom w:val="0"/>
      <w:divBdr>
        <w:top w:val="none" w:sz="0" w:space="0" w:color="auto"/>
        <w:left w:val="none" w:sz="0" w:space="0" w:color="auto"/>
        <w:bottom w:val="none" w:sz="0" w:space="0" w:color="auto"/>
        <w:right w:val="none" w:sz="0" w:space="0" w:color="auto"/>
      </w:divBdr>
    </w:div>
    <w:div w:id="760952028">
      <w:bodyDiv w:val="1"/>
      <w:marLeft w:val="0"/>
      <w:marRight w:val="0"/>
      <w:marTop w:val="0"/>
      <w:marBottom w:val="0"/>
      <w:divBdr>
        <w:top w:val="none" w:sz="0" w:space="0" w:color="auto"/>
        <w:left w:val="none" w:sz="0" w:space="0" w:color="auto"/>
        <w:bottom w:val="none" w:sz="0" w:space="0" w:color="auto"/>
        <w:right w:val="none" w:sz="0" w:space="0" w:color="auto"/>
      </w:divBdr>
    </w:div>
    <w:div w:id="761069956">
      <w:bodyDiv w:val="1"/>
      <w:marLeft w:val="0"/>
      <w:marRight w:val="0"/>
      <w:marTop w:val="0"/>
      <w:marBottom w:val="0"/>
      <w:divBdr>
        <w:top w:val="none" w:sz="0" w:space="0" w:color="auto"/>
        <w:left w:val="none" w:sz="0" w:space="0" w:color="auto"/>
        <w:bottom w:val="none" w:sz="0" w:space="0" w:color="auto"/>
        <w:right w:val="none" w:sz="0" w:space="0" w:color="auto"/>
      </w:divBdr>
    </w:div>
    <w:div w:id="764232616">
      <w:bodyDiv w:val="1"/>
      <w:marLeft w:val="0"/>
      <w:marRight w:val="0"/>
      <w:marTop w:val="0"/>
      <w:marBottom w:val="0"/>
      <w:divBdr>
        <w:top w:val="none" w:sz="0" w:space="0" w:color="auto"/>
        <w:left w:val="none" w:sz="0" w:space="0" w:color="auto"/>
        <w:bottom w:val="none" w:sz="0" w:space="0" w:color="auto"/>
        <w:right w:val="none" w:sz="0" w:space="0" w:color="auto"/>
      </w:divBdr>
    </w:div>
    <w:div w:id="765542164">
      <w:bodyDiv w:val="1"/>
      <w:marLeft w:val="0"/>
      <w:marRight w:val="0"/>
      <w:marTop w:val="0"/>
      <w:marBottom w:val="0"/>
      <w:divBdr>
        <w:top w:val="none" w:sz="0" w:space="0" w:color="auto"/>
        <w:left w:val="none" w:sz="0" w:space="0" w:color="auto"/>
        <w:bottom w:val="none" w:sz="0" w:space="0" w:color="auto"/>
        <w:right w:val="none" w:sz="0" w:space="0" w:color="auto"/>
      </w:divBdr>
    </w:div>
    <w:div w:id="767891684">
      <w:bodyDiv w:val="1"/>
      <w:marLeft w:val="0"/>
      <w:marRight w:val="0"/>
      <w:marTop w:val="0"/>
      <w:marBottom w:val="0"/>
      <w:divBdr>
        <w:top w:val="none" w:sz="0" w:space="0" w:color="auto"/>
        <w:left w:val="none" w:sz="0" w:space="0" w:color="auto"/>
        <w:bottom w:val="none" w:sz="0" w:space="0" w:color="auto"/>
        <w:right w:val="none" w:sz="0" w:space="0" w:color="auto"/>
      </w:divBdr>
    </w:div>
    <w:div w:id="768624852">
      <w:bodyDiv w:val="1"/>
      <w:marLeft w:val="0"/>
      <w:marRight w:val="0"/>
      <w:marTop w:val="0"/>
      <w:marBottom w:val="0"/>
      <w:divBdr>
        <w:top w:val="none" w:sz="0" w:space="0" w:color="auto"/>
        <w:left w:val="none" w:sz="0" w:space="0" w:color="auto"/>
        <w:bottom w:val="none" w:sz="0" w:space="0" w:color="auto"/>
        <w:right w:val="none" w:sz="0" w:space="0" w:color="auto"/>
      </w:divBdr>
    </w:div>
    <w:div w:id="769356198">
      <w:bodyDiv w:val="1"/>
      <w:marLeft w:val="0"/>
      <w:marRight w:val="0"/>
      <w:marTop w:val="0"/>
      <w:marBottom w:val="0"/>
      <w:divBdr>
        <w:top w:val="none" w:sz="0" w:space="0" w:color="auto"/>
        <w:left w:val="none" w:sz="0" w:space="0" w:color="auto"/>
        <w:bottom w:val="none" w:sz="0" w:space="0" w:color="auto"/>
        <w:right w:val="none" w:sz="0" w:space="0" w:color="auto"/>
      </w:divBdr>
    </w:div>
    <w:div w:id="769936392">
      <w:bodyDiv w:val="1"/>
      <w:marLeft w:val="0"/>
      <w:marRight w:val="0"/>
      <w:marTop w:val="0"/>
      <w:marBottom w:val="0"/>
      <w:divBdr>
        <w:top w:val="none" w:sz="0" w:space="0" w:color="auto"/>
        <w:left w:val="none" w:sz="0" w:space="0" w:color="auto"/>
        <w:bottom w:val="none" w:sz="0" w:space="0" w:color="auto"/>
        <w:right w:val="none" w:sz="0" w:space="0" w:color="auto"/>
      </w:divBdr>
    </w:div>
    <w:div w:id="770660443">
      <w:bodyDiv w:val="1"/>
      <w:marLeft w:val="0"/>
      <w:marRight w:val="0"/>
      <w:marTop w:val="0"/>
      <w:marBottom w:val="0"/>
      <w:divBdr>
        <w:top w:val="none" w:sz="0" w:space="0" w:color="auto"/>
        <w:left w:val="none" w:sz="0" w:space="0" w:color="auto"/>
        <w:bottom w:val="none" w:sz="0" w:space="0" w:color="auto"/>
        <w:right w:val="none" w:sz="0" w:space="0" w:color="auto"/>
      </w:divBdr>
    </w:div>
    <w:div w:id="771435015">
      <w:bodyDiv w:val="1"/>
      <w:marLeft w:val="0"/>
      <w:marRight w:val="0"/>
      <w:marTop w:val="0"/>
      <w:marBottom w:val="0"/>
      <w:divBdr>
        <w:top w:val="none" w:sz="0" w:space="0" w:color="auto"/>
        <w:left w:val="none" w:sz="0" w:space="0" w:color="auto"/>
        <w:bottom w:val="none" w:sz="0" w:space="0" w:color="auto"/>
        <w:right w:val="none" w:sz="0" w:space="0" w:color="auto"/>
      </w:divBdr>
    </w:div>
    <w:div w:id="774907450">
      <w:bodyDiv w:val="1"/>
      <w:marLeft w:val="0"/>
      <w:marRight w:val="0"/>
      <w:marTop w:val="0"/>
      <w:marBottom w:val="0"/>
      <w:divBdr>
        <w:top w:val="none" w:sz="0" w:space="0" w:color="auto"/>
        <w:left w:val="none" w:sz="0" w:space="0" w:color="auto"/>
        <w:bottom w:val="none" w:sz="0" w:space="0" w:color="auto"/>
        <w:right w:val="none" w:sz="0" w:space="0" w:color="auto"/>
      </w:divBdr>
    </w:div>
    <w:div w:id="775904116">
      <w:bodyDiv w:val="1"/>
      <w:marLeft w:val="0"/>
      <w:marRight w:val="0"/>
      <w:marTop w:val="0"/>
      <w:marBottom w:val="0"/>
      <w:divBdr>
        <w:top w:val="none" w:sz="0" w:space="0" w:color="auto"/>
        <w:left w:val="none" w:sz="0" w:space="0" w:color="auto"/>
        <w:bottom w:val="none" w:sz="0" w:space="0" w:color="auto"/>
        <w:right w:val="none" w:sz="0" w:space="0" w:color="auto"/>
      </w:divBdr>
    </w:div>
    <w:div w:id="776367753">
      <w:bodyDiv w:val="1"/>
      <w:marLeft w:val="0"/>
      <w:marRight w:val="0"/>
      <w:marTop w:val="0"/>
      <w:marBottom w:val="0"/>
      <w:divBdr>
        <w:top w:val="none" w:sz="0" w:space="0" w:color="auto"/>
        <w:left w:val="none" w:sz="0" w:space="0" w:color="auto"/>
        <w:bottom w:val="none" w:sz="0" w:space="0" w:color="auto"/>
        <w:right w:val="none" w:sz="0" w:space="0" w:color="auto"/>
      </w:divBdr>
    </w:div>
    <w:div w:id="780614976">
      <w:bodyDiv w:val="1"/>
      <w:marLeft w:val="0"/>
      <w:marRight w:val="0"/>
      <w:marTop w:val="0"/>
      <w:marBottom w:val="0"/>
      <w:divBdr>
        <w:top w:val="none" w:sz="0" w:space="0" w:color="auto"/>
        <w:left w:val="none" w:sz="0" w:space="0" w:color="auto"/>
        <w:bottom w:val="none" w:sz="0" w:space="0" w:color="auto"/>
        <w:right w:val="none" w:sz="0" w:space="0" w:color="auto"/>
      </w:divBdr>
    </w:div>
    <w:div w:id="784426274">
      <w:bodyDiv w:val="1"/>
      <w:marLeft w:val="0"/>
      <w:marRight w:val="0"/>
      <w:marTop w:val="0"/>
      <w:marBottom w:val="0"/>
      <w:divBdr>
        <w:top w:val="none" w:sz="0" w:space="0" w:color="auto"/>
        <w:left w:val="none" w:sz="0" w:space="0" w:color="auto"/>
        <w:bottom w:val="none" w:sz="0" w:space="0" w:color="auto"/>
        <w:right w:val="none" w:sz="0" w:space="0" w:color="auto"/>
      </w:divBdr>
    </w:div>
    <w:div w:id="785468787">
      <w:bodyDiv w:val="1"/>
      <w:marLeft w:val="0"/>
      <w:marRight w:val="0"/>
      <w:marTop w:val="0"/>
      <w:marBottom w:val="0"/>
      <w:divBdr>
        <w:top w:val="none" w:sz="0" w:space="0" w:color="auto"/>
        <w:left w:val="none" w:sz="0" w:space="0" w:color="auto"/>
        <w:bottom w:val="none" w:sz="0" w:space="0" w:color="auto"/>
        <w:right w:val="none" w:sz="0" w:space="0" w:color="auto"/>
      </w:divBdr>
    </w:div>
    <w:div w:id="789053446">
      <w:bodyDiv w:val="1"/>
      <w:marLeft w:val="0"/>
      <w:marRight w:val="0"/>
      <w:marTop w:val="0"/>
      <w:marBottom w:val="0"/>
      <w:divBdr>
        <w:top w:val="none" w:sz="0" w:space="0" w:color="auto"/>
        <w:left w:val="none" w:sz="0" w:space="0" w:color="auto"/>
        <w:bottom w:val="none" w:sz="0" w:space="0" w:color="auto"/>
        <w:right w:val="none" w:sz="0" w:space="0" w:color="auto"/>
      </w:divBdr>
    </w:div>
    <w:div w:id="789327188">
      <w:bodyDiv w:val="1"/>
      <w:marLeft w:val="0"/>
      <w:marRight w:val="0"/>
      <w:marTop w:val="0"/>
      <w:marBottom w:val="0"/>
      <w:divBdr>
        <w:top w:val="none" w:sz="0" w:space="0" w:color="auto"/>
        <w:left w:val="none" w:sz="0" w:space="0" w:color="auto"/>
        <w:bottom w:val="none" w:sz="0" w:space="0" w:color="auto"/>
        <w:right w:val="none" w:sz="0" w:space="0" w:color="auto"/>
      </w:divBdr>
    </w:div>
    <w:div w:id="790055510">
      <w:bodyDiv w:val="1"/>
      <w:marLeft w:val="0"/>
      <w:marRight w:val="0"/>
      <w:marTop w:val="0"/>
      <w:marBottom w:val="0"/>
      <w:divBdr>
        <w:top w:val="none" w:sz="0" w:space="0" w:color="auto"/>
        <w:left w:val="none" w:sz="0" w:space="0" w:color="auto"/>
        <w:bottom w:val="none" w:sz="0" w:space="0" w:color="auto"/>
        <w:right w:val="none" w:sz="0" w:space="0" w:color="auto"/>
      </w:divBdr>
    </w:div>
    <w:div w:id="790628575">
      <w:bodyDiv w:val="1"/>
      <w:marLeft w:val="0"/>
      <w:marRight w:val="0"/>
      <w:marTop w:val="0"/>
      <w:marBottom w:val="0"/>
      <w:divBdr>
        <w:top w:val="none" w:sz="0" w:space="0" w:color="auto"/>
        <w:left w:val="none" w:sz="0" w:space="0" w:color="auto"/>
        <w:bottom w:val="none" w:sz="0" w:space="0" w:color="auto"/>
        <w:right w:val="none" w:sz="0" w:space="0" w:color="auto"/>
      </w:divBdr>
    </w:div>
    <w:div w:id="792333144">
      <w:bodyDiv w:val="1"/>
      <w:marLeft w:val="0"/>
      <w:marRight w:val="0"/>
      <w:marTop w:val="0"/>
      <w:marBottom w:val="0"/>
      <w:divBdr>
        <w:top w:val="none" w:sz="0" w:space="0" w:color="auto"/>
        <w:left w:val="none" w:sz="0" w:space="0" w:color="auto"/>
        <w:bottom w:val="none" w:sz="0" w:space="0" w:color="auto"/>
        <w:right w:val="none" w:sz="0" w:space="0" w:color="auto"/>
      </w:divBdr>
    </w:div>
    <w:div w:id="800465270">
      <w:bodyDiv w:val="1"/>
      <w:marLeft w:val="0"/>
      <w:marRight w:val="0"/>
      <w:marTop w:val="0"/>
      <w:marBottom w:val="0"/>
      <w:divBdr>
        <w:top w:val="none" w:sz="0" w:space="0" w:color="auto"/>
        <w:left w:val="none" w:sz="0" w:space="0" w:color="auto"/>
        <w:bottom w:val="none" w:sz="0" w:space="0" w:color="auto"/>
        <w:right w:val="none" w:sz="0" w:space="0" w:color="auto"/>
      </w:divBdr>
    </w:div>
    <w:div w:id="801122132">
      <w:bodyDiv w:val="1"/>
      <w:marLeft w:val="0"/>
      <w:marRight w:val="0"/>
      <w:marTop w:val="0"/>
      <w:marBottom w:val="0"/>
      <w:divBdr>
        <w:top w:val="none" w:sz="0" w:space="0" w:color="auto"/>
        <w:left w:val="none" w:sz="0" w:space="0" w:color="auto"/>
        <w:bottom w:val="none" w:sz="0" w:space="0" w:color="auto"/>
        <w:right w:val="none" w:sz="0" w:space="0" w:color="auto"/>
      </w:divBdr>
    </w:div>
    <w:div w:id="805976664">
      <w:bodyDiv w:val="1"/>
      <w:marLeft w:val="0"/>
      <w:marRight w:val="0"/>
      <w:marTop w:val="0"/>
      <w:marBottom w:val="0"/>
      <w:divBdr>
        <w:top w:val="none" w:sz="0" w:space="0" w:color="auto"/>
        <w:left w:val="none" w:sz="0" w:space="0" w:color="auto"/>
        <w:bottom w:val="none" w:sz="0" w:space="0" w:color="auto"/>
        <w:right w:val="none" w:sz="0" w:space="0" w:color="auto"/>
      </w:divBdr>
    </w:div>
    <w:div w:id="813792449">
      <w:bodyDiv w:val="1"/>
      <w:marLeft w:val="0"/>
      <w:marRight w:val="0"/>
      <w:marTop w:val="0"/>
      <w:marBottom w:val="0"/>
      <w:divBdr>
        <w:top w:val="none" w:sz="0" w:space="0" w:color="auto"/>
        <w:left w:val="none" w:sz="0" w:space="0" w:color="auto"/>
        <w:bottom w:val="none" w:sz="0" w:space="0" w:color="auto"/>
        <w:right w:val="none" w:sz="0" w:space="0" w:color="auto"/>
      </w:divBdr>
    </w:div>
    <w:div w:id="817185343">
      <w:bodyDiv w:val="1"/>
      <w:marLeft w:val="0"/>
      <w:marRight w:val="0"/>
      <w:marTop w:val="0"/>
      <w:marBottom w:val="0"/>
      <w:divBdr>
        <w:top w:val="none" w:sz="0" w:space="0" w:color="auto"/>
        <w:left w:val="none" w:sz="0" w:space="0" w:color="auto"/>
        <w:bottom w:val="none" w:sz="0" w:space="0" w:color="auto"/>
        <w:right w:val="none" w:sz="0" w:space="0" w:color="auto"/>
      </w:divBdr>
    </w:div>
    <w:div w:id="817767109">
      <w:bodyDiv w:val="1"/>
      <w:marLeft w:val="0"/>
      <w:marRight w:val="0"/>
      <w:marTop w:val="0"/>
      <w:marBottom w:val="0"/>
      <w:divBdr>
        <w:top w:val="none" w:sz="0" w:space="0" w:color="auto"/>
        <w:left w:val="none" w:sz="0" w:space="0" w:color="auto"/>
        <w:bottom w:val="none" w:sz="0" w:space="0" w:color="auto"/>
        <w:right w:val="none" w:sz="0" w:space="0" w:color="auto"/>
      </w:divBdr>
    </w:div>
    <w:div w:id="818377390">
      <w:bodyDiv w:val="1"/>
      <w:marLeft w:val="0"/>
      <w:marRight w:val="0"/>
      <w:marTop w:val="0"/>
      <w:marBottom w:val="0"/>
      <w:divBdr>
        <w:top w:val="none" w:sz="0" w:space="0" w:color="auto"/>
        <w:left w:val="none" w:sz="0" w:space="0" w:color="auto"/>
        <w:bottom w:val="none" w:sz="0" w:space="0" w:color="auto"/>
        <w:right w:val="none" w:sz="0" w:space="0" w:color="auto"/>
      </w:divBdr>
    </w:div>
    <w:div w:id="820855653">
      <w:bodyDiv w:val="1"/>
      <w:marLeft w:val="0"/>
      <w:marRight w:val="0"/>
      <w:marTop w:val="0"/>
      <w:marBottom w:val="0"/>
      <w:divBdr>
        <w:top w:val="none" w:sz="0" w:space="0" w:color="auto"/>
        <w:left w:val="none" w:sz="0" w:space="0" w:color="auto"/>
        <w:bottom w:val="none" w:sz="0" w:space="0" w:color="auto"/>
        <w:right w:val="none" w:sz="0" w:space="0" w:color="auto"/>
      </w:divBdr>
    </w:div>
    <w:div w:id="821578291">
      <w:bodyDiv w:val="1"/>
      <w:marLeft w:val="0"/>
      <w:marRight w:val="0"/>
      <w:marTop w:val="0"/>
      <w:marBottom w:val="0"/>
      <w:divBdr>
        <w:top w:val="none" w:sz="0" w:space="0" w:color="auto"/>
        <w:left w:val="none" w:sz="0" w:space="0" w:color="auto"/>
        <w:bottom w:val="none" w:sz="0" w:space="0" w:color="auto"/>
        <w:right w:val="none" w:sz="0" w:space="0" w:color="auto"/>
      </w:divBdr>
    </w:div>
    <w:div w:id="827600504">
      <w:bodyDiv w:val="1"/>
      <w:marLeft w:val="0"/>
      <w:marRight w:val="0"/>
      <w:marTop w:val="0"/>
      <w:marBottom w:val="0"/>
      <w:divBdr>
        <w:top w:val="none" w:sz="0" w:space="0" w:color="auto"/>
        <w:left w:val="none" w:sz="0" w:space="0" w:color="auto"/>
        <w:bottom w:val="none" w:sz="0" w:space="0" w:color="auto"/>
        <w:right w:val="none" w:sz="0" w:space="0" w:color="auto"/>
      </w:divBdr>
    </w:div>
    <w:div w:id="829175035">
      <w:bodyDiv w:val="1"/>
      <w:marLeft w:val="0"/>
      <w:marRight w:val="0"/>
      <w:marTop w:val="0"/>
      <w:marBottom w:val="0"/>
      <w:divBdr>
        <w:top w:val="none" w:sz="0" w:space="0" w:color="auto"/>
        <w:left w:val="none" w:sz="0" w:space="0" w:color="auto"/>
        <w:bottom w:val="none" w:sz="0" w:space="0" w:color="auto"/>
        <w:right w:val="none" w:sz="0" w:space="0" w:color="auto"/>
      </w:divBdr>
    </w:div>
    <w:div w:id="830484987">
      <w:bodyDiv w:val="1"/>
      <w:marLeft w:val="0"/>
      <w:marRight w:val="0"/>
      <w:marTop w:val="0"/>
      <w:marBottom w:val="0"/>
      <w:divBdr>
        <w:top w:val="none" w:sz="0" w:space="0" w:color="auto"/>
        <w:left w:val="none" w:sz="0" w:space="0" w:color="auto"/>
        <w:bottom w:val="none" w:sz="0" w:space="0" w:color="auto"/>
        <w:right w:val="none" w:sz="0" w:space="0" w:color="auto"/>
      </w:divBdr>
    </w:div>
    <w:div w:id="831796624">
      <w:bodyDiv w:val="1"/>
      <w:marLeft w:val="0"/>
      <w:marRight w:val="0"/>
      <w:marTop w:val="0"/>
      <w:marBottom w:val="0"/>
      <w:divBdr>
        <w:top w:val="none" w:sz="0" w:space="0" w:color="auto"/>
        <w:left w:val="none" w:sz="0" w:space="0" w:color="auto"/>
        <w:bottom w:val="none" w:sz="0" w:space="0" w:color="auto"/>
        <w:right w:val="none" w:sz="0" w:space="0" w:color="auto"/>
      </w:divBdr>
    </w:div>
    <w:div w:id="832454330">
      <w:bodyDiv w:val="1"/>
      <w:marLeft w:val="0"/>
      <w:marRight w:val="0"/>
      <w:marTop w:val="0"/>
      <w:marBottom w:val="0"/>
      <w:divBdr>
        <w:top w:val="none" w:sz="0" w:space="0" w:color="auto"/>
        <w:left w:val="none" w:sz="0" w:space="0" w:color="auto"/>
        <w:bottom w:val="none" w:sz="0" w:space="0" w:color="auto"/>
        <w:right w:val="none" w:sz="0" w:space="0" w:color="auto"/>
      </w:divBdr>
    </w:div>
    <w:div w:id="832527884">
      <w:bodyDiv w:val="1"/>
      <w:marLeft w:val="0"/>
      <w:marRight w:val="0"/>
      <w:marTop w:val="0"/>
      <w:marBottom w:val="0"/>
      <w:divBdr>
        <w:top w:val="none" w:sz="0" w:space="0" w:color="auto"/>
        <w:left w:val="none" w:sz="0" w:space="0" w:color="auto"/>
        <w:bottom w:val="none" w:sz="0" w:space="0" w:color="auto"/>
        <w:right w:val="none" w:sz="0" w:space="0" w:color="auto"/>
      </w:divBdr>
    </w:div>
    <w:div w:id="836458766">
      <w:bodyDiv w:val="1"/>
      <w:marLeft w:val="0"/>
      <w:marRight w:val="0"/>
      <w:marTop w:val="0"/>
      <w:marBottom w:val="0"/>
      <w:divBdr>
        <w:top w:val="none" w:sz="0" w:space="0" w:color="auto"/>
        <w:left w:val="none" w:sz="0" w:space="0" w:color="auto"/>
        <w:bottom w:val="none" w:sz="0" w:space="0" w:color="auto"/>
        <w:right w:val="none" w:sz="0" w:space="0" w:color="auto"/>
      </w:divBdr>
    </w:div>
    <w:div w:id="836580834">
      <w:bodyDiv w:val="1"/>
      <w:marLeft w:val="0"/>
      <w:marRight w:val="0"/>
      <w:marTop w:val="0"/>
      <w:marBottom w:val="0"/>
      <w:divBdr>
        <w:top w:val="none" w:sz="0" w:space="0" w:color="auto"/>
        <w:left w:val="none" w:sz="0" w:space="0" w:color="auto"/>
        <w:bottom w:val="none" w:sz="0" w:space="0" w:color="auto"/>
        <w:right w:val="none" w:sz="0" w:space="0" w:color="auto"/>
      </w:divBdr>
    </w:div>
    <w:div w:id="843398917">
      <w:bodyDiv w:val="1"/>
      <w:marLeft w:val="0"/>
      <w:marRight w:val="0"/>
      <w:marTop w:val="0"/>
      <w:marBottom w:val="0"/>
      <w:divBdr>
        <w:top w:val="none" w:sz="0" w:space="0" w:color="auto"/>
        <w:left w:val="none" w:sz="0" w:space="0" w:color="auto"/>
        <w:bottom w:val="none" w:sz="0" w:space="0" w:color="auto"/>
        <w:right w:val="none" w:sz="0" w:space="0" w:color="auto"/>
      </w:divBdr>
    </w:div>
    <w:div w:id="844323767">
      <w:bodyDiv w:val="1"/>
      <w:marLeft w:val="0"/>
      <w:marRight w:val="0"/>
      <w:marTop w:val="0"/>
      <w:marBottom w:val="0"/>
      <w:divBdr>
        <w:top w:val="none" w:sz="0" w:space="0" w:color="auto"/>
        <w:left w:val="none" w:sz="0" w:space="0" w:color="auto"/>
        <w:bottom w:val="none" w:sz="0" w:space="0" w:color="auto"/>
        <w:right w:val="none" w:sz="0" w:space="0" w:color="auto"/>
      </w:divBdr>
    </w:div>
    <w:div w:id="845553204">
      <w:bodyDiv w:val="1"/>
      <w:marLeft w:val="0"/>
      <w:marRight w:val="0"/>
      <w:marTop w:val="0"/>
      <w:marBottom w:val="0"/>
      <w:divBdr>
        <w:top w:val="none" w:sz="0" w:space="0" w:color="auto"/>
        <w:left w:val="none" w:sz="0" w:space="0" w:color="auto"/>
        <w:bottom w:val="none" w:sz="0" w:space="0" w:color="auto"/>
        <w:right w:val="none" w:sz="0" w:space="0" w:color="auto"/>
      </w:divBdr>
    </w:div>
    <w:div w:id="848716563">
      <w:bodyDiv w:val="1"/>
      <w:marLeft w:val="0"/>
      <w:marRight w:val="0"/>
      <w:marTop w:val="0"/>
      <w:marBottom w:val="0"/>
      <w:divBdr>
        <w:top w:val="none" w:sz="0" w:space="0" w:color="auto"/>
        <w:left w:val="none" w:sz="0" w:space="0" w:color="auto"/>
        <w:bottom w:val="none" w:sz="0" w:space="0" w:color="auto"/>
        <w:right w:val="none" w:sz="0" w:space="0" w:color="auto"/>
      </w:divBdr>
    </w:div>
    <w:div w:id="850533522">
      <w:bodyDiv w:val="1"/>
      <w:marLeft w:val="0"/>
      <w:marRight w:val="0"/>
      <w:marTop w:val="0"/>
      <w:marBottom w:val="0"/>
      <w:divBdr>
        <w:top w:val="none" w:sz="0" w:space="0" w:color="auto"/>
        <w:left w:val="none" w:sz="0" w:space="0" w:color="auto"/>
        <w:bottom w:val="none" w:sz="0" w:space="0" w:color="auto"/>
        <w:right w:val="none" w:sz="0" w:space="0" w:color="auto"/>
      </w:divBdr>
    </w:div>
    <w:div w:id="857694656">
      <w:bodyDiv w:val="1"/>
      <w:marLeft w:val="0"/>
      <w:marRight w:val="0"/>
      <w:marTop w:val="0"/>
      <w:marBottom w:val="0"/>
      <w:divBdr>
        <w:top w:val="none" w:sz="0" w:space="0" w:color="auto"/>
        <w:left w:val="none" w:sz="0" w:space="0" w:color="auto"/>
        <w:bottom w:val="none" w:sz="0" w:space="0" w:color="auto"/>
        <w:right w:val="none" w:sz="0" w:space="0" w:color="auto"/>
      </w:divBdr>
    </w:div>
    <w:div w:id="861750126">
      <w:bodyDiv w:val="1"/>
      <w:marLeft w:val="0"/>
      <w:marRight w:val="0"/>
      <w:marTop w:val="0"/>
      <w:marBottom w:val="0"/>
      <w:divBdr>
        <w:top w:val="none" w:sz="0" w:space="0" w:color="auto"/>
        <w:left w:val="none" w:sz="0" w:space="0" w:color="auto"/>
        <w:bottom w:val="none" w:sz="0" w:space="0" w:color="auto"/>
        <w:right w:val="none" w:sz="0" w:space="0" w:color="auto"/>
      </w:divBdr>
    </w:div>
    <w:div w:id="864292283">
      <w:bodyDiv w:val="1"/>
      <w:marLeft w:val="0"/>
      <w:marRight w:val="0"/>
      <w:marTop w:val="0"/>
      <w:marBottom w:val="0"/>
      <w:divBdr>
        <w:top w:val="none" w:sz="0" w:space="0" w:color="auto"/>
        <w:left w:val="none" w:sz="0" w:space="0" w:color="auto"/>
        <w:bottom w:val="none" w:sz="0" w:space="0" w:color="auto"/>
        <w:right w:val="none" w:sz="0" w:space="0" w:color="auto"/>
      </w:divBdr>
    </w:div>
    <w:div w:id="870192494">
      <w:bodyDiv w:val="1"/>
      <w:marLeft w:val="0"/>
      <w:marRight w:val="0"/>
      <w:marTop w:val="0"/>
      <w:marBottom w:val="0"/>
      <w:divBdr>
        <w:top w:val="none" w:sz="0" w:space="0" w:color="auto"/>
        <w:left w:val="none" w:sz="0" w:space="0" w:color="auto"/>
        <w:bottom w:val="none" w:sz="0" w:space="0" w:color="auto"/>
        <w:right w:val="none" w:sz="0" w:space="0" w:color="auto"/>
      </w:divBdr>
    </w:div>
    <w:div w:id="875124361">
      <w:bodyDiv w:val="1"/>
      <w:marLeft w:val="0"/>
      <w:marRight w:val="0"/>
      <w:marTop w:val="0"/>
      <w:marBottom w:val="0"/>
      <w:divBdr>
        <w:top w:val="none" w:sz="0" w:space="0" w:color="auto"/>
        <w:left w:val="none" w:sz="0" w:space="0" w:color="auto"/>
        <w:bottom w:val="none" w:sz="0" w:space="0" w:color="auto"/>
        <w:right w:val="none" w:sz="0" w:space="0" w:color="auto"/>
      </w:divBdr>
    </w:div>
    <w:div w:id="877738723">
      <w:bodyDiv w:val="1"/>
      <w:marLeft w:val="0"/>
      <w:marRight w:val="0"/>
      <w:marTop w:val="0"/>
      <w:marBottom w:val="0"/>
      <w:divBdr>
        <w:top w:val="none" w:sz="0" w:space="0" w:color="auto"/>
        <w:left w:val="none" w:sz="0" w:space="0" w:color="auto"/>
        <w:bottom w:val="none" w:sz="0" w:space="0" w:color="auto"/>
        <w:right w:val="none" w:sz="0" w:space="0" w:color="auto"/>
      </w:divBdr>
    </w:div>
    <w:div w:id="879515475">
      <w:bodyDiv w:val="1"/>
      <w:marLeft w:val="0"/>
      <w:marRight w:val="0"/>
      <w:marTop w:val="0"/>
      <w:marBottom w:val="0"/>
      <w:divBdr>
        <w:top w:val="none" w:sz="0" w:space="0" w:color="auto"/>
        <w:left w:val="none" w:sz="0" w:space="0" w:color="auto"/>
        <w:bottom w:val="none" w:sz="0" w:space="0" w:color="auto"/>
        <w:right w:val="none" w:sz="0" w:space="0" w:color="auto"/>
      </w:divBdr>
    </w:div>
    <w:div w:id="886454133">
      <w:bodyDiv w:val="1"/>
      <w:marLeft w:val="0"/>
      <w:marRight w:val="0"/>
      <w:marTop w:val="0"/>
      <w:marBottom w:val="0"/>
      <w:divBdr>
        <w:top w:val="none" w:sz="0" w:space="0" w:color="auto"/>
        <w:left w:val="none" w:sz="0" w:space="0" w:color="auto"/>
        <w:bottom w:val="none" w:sz="0" w:space="0" w:color="auto"/>
        <w:right w:val="none" w:sz="0" w:space="0" w:color="auto"/>
      </w:divBdr>
    </w:div>
    <w:div w:id="891620300">
      <w:bodyDiv w:val="1"/>
      <w:marLeft w:val="0"/>
      <w:marRight w:val="0"/>
      <w:marTop w:val="0"/>
      <w:marBottom w:val="0"/>
      <w:divBdr>
        <w:top w:val="none" w:sz="0" w:space="0" w:color="auto"/>
        <w:left w:val="none" w:sz="0" w:space="0" w:color="auto"/>
        <w:bottom w:val="none" w:sz="0" w:space="0" w:color="auto"/>
        <w:right w:val="none" w:sz="0" w:space="0" w:color="auto"/>
      </w:divBdr>
    </w:div>
    <w:div w:id="895240609">
      <w:bodyDiv w:val="1"/>
      <w:marLeft w:val="0"/>
      <w:marRight w:val="0"/>
      <w:marTop w:val="0"/>
      <w:marBottom w:val="0"/>
      <w:divBdr>
        <w:top w:val="none" w:sz="0" w:space="0" w:color="auto"/>
        <w:left w:val="none" w:sz="0" w:space="0" w:color="auto"/>
        <w:bottom w:val="none" w:sz="0" w:space="0" w:color="auto"/>
        <w:right w:val="none" w:sz="0" w:space="0" w:color="auto"/>
      </w:divBdr>
    </w:div>
    <w:div w:id="898132293">
      <w:bodyDiv w:val="1"/>
      <w:marLeft w:val="0"/>
      <w:marRight w:val="0"/>
      <w:marTop w:val="0"/>
      <w:marBottom w:val="0"/>
      <w:divBdr>
        <w:top w:val="none" w:sz="0" w:space="0" w:color="auto"/>
        <w:left w:val="none" w:sz="0" w:space="0" w:color="auto"/>
        <w:bottom w:val="none" w:sz="0" w:space="0" w:color="auto"/>
        <w:right w:val="none" w:sz="0" w:space="0" w:color="auto"/>
      </w:divBdr>
    </w:div>
    <w:div w:id="908002158">
      <w:bodyDiv w:val="1"/>
      <w:marLeft w:val="0"/>
      <w:marRight w:val="0"/>
      <w:marTop w:val="0"/>
      <w:marBottom w:val="0"/>
      <w:divBdr>
        <w:top w:val="none" w:sz="0" w:space="0" w:color="auto"/>
        <w:left w:val="none" w:sz="0" w:space="0" w:color="auto"/>
        <w:bottom w:val="none" w:sz="0" w:space="0" w:color="auto"/>
        <w:right w:val="none" w:sz="0" w:space="0" w:color="auto"/>
      </w:divBdr>
    </w:div>
    <w:div w:id="908081860">
      <w:bodyDiv w:val="1"/>
      <w:marLeft w:val="0"/>
      <w:marRight w:val="0"/>
      <w:marTop w:val="0"/>
      <w:marBottom w:val="0"/>
      <w:divBdr>
        <w:top w:val="none" w:sz="0" w:space="0" w:color="auto"/>
        <w:left w:val="none" w:sz="0" w:space="0" w:color="auto"/>
        <w:bottom w:val="none" w:sz="0" w:space="0" w:color="auto"/>
        <w:right w:val="none" w:sz="0" w:space="0" w:color="auto"/>
      </w:divBdr>
    </w:div>
    <w:div w:id="908925314">
      <w:bodyDiv w:val="1"/>
      <w:marLeft w:val="0"/>
      <w:marRight w:val="0"/>
      <w:marTop w:val="0"/>
      <w:marBottom w:val="0"/>
      <w:divBdr>
        <w:top w:val="none" w:sz="0" w:space="0" w:color="auto"/>
        <w:left w:val="none" w:sz="0" w:space="0" w:color="auto"/>
        <w:bottom w:val="none" w:sz="0" w:space="0" w:color="auto"/>
        <w:right w:val="none" w:sz="0" w:space="0" w:color="auto"/>
      </w:divBdr>
    </w:div>
    <w:div w:id="912858675">
      <w:bodyDiv w:val="1"/>
      <w:marLeft w:val="0"/>
      <w:marRight w:val="0"/>
      <w:marTop w:val="0"/>
      <w:marBottom w:val="0"/>
      <w:divBdr>
        <w:top w:val="none" w:sz="0" w:space="0" w:color="auto"/>
        <w:left w:val="none" w:sz="0" w:space="0" w:color="auto"/>
        <w:bottom w:val="none" w:sz="0" w:space="0" w:color="auto"/>
        <w:right w:val="none" w:sz="0" w:space="0" w:color="auto"/>
      </w:divBdr>
    </w:div>
    <w:div w:id="914634541">
      <w:bodyDiv w:val="1"/>
      <w:marLeft w:val="0"/>
      <w:marRight w:val="0"/>
      <w:marTop w:val="0"/>
      <w:marBottom w:val="0"/>
      <w:divBdr>
        <w:top w:val="none" w:sz="0" w:space="0" w:color="auto"/>
        <w:left w:val="none" w:sz="0" w:space="0" w:color="auto"/>
        <w:bottom w:val="none" w:sz="0" w:space="0" w:color="auto"/>
        <w:right w:val="none" w:sz="0" w:space="0" w:color="auto"/>
      </w:divBdr>
    </w:div>
    <w:div w:id="916285870">
      <w:bodyDiv w:val="1"/>
      <w:marLeft w:val="0"/>
      <w:marRight w:val="0"/>
      <w:marTop w:val="0"/>
      <w:marBottom w:val="0"/>
      <w:divBdr>
        <w:top w:val="none" w:sz="0" w:space="0" w:color="auto"/>
        <w:left w:val="none" w:sz="0" w:space="0" w:color="auto"/>
        <w:bottom w:val="none" w:sz="0" w:space="0" w:color="auto"/>
        <w:right w:val="none" w:sz="0" w:space="0" w:color="auto"/>
      </w:divBdr>
    </w:div>
    <w:div w:id="916523336">
      <w:bodyDiv w:val="1"/>
      <w:marLeft w:val="0"/>
      <w:marRight w:val="0"/>
      <w:marTop w:val="0"/>
      <w:marBottom w:val="0"/>
      <w:divBdr>
        <w:top w:val="none" w:sz="0" w:space="0" w:color="auto"/>
        <w:left w:val="none" w:sz="0" w:space="0" w:color="auto"/>
        <w:bottom w:val="none" w:sz="0" w:space="0" w:color="auto"/>
        <w:right w:val="none" w:sz="0" w:space="0" w:color="auto"/>
      </w:divBdr>
    </w:div>
    <w:div w:id="920212477">
      <w:bodyDiv w:val="1"/>
      <w:marLeft w:val="0"/>
      <w:marRight w:val="0"/>
      <w:marTop w:val="0"/>
      <w:marBottom w:val="0"/>
      <w:divBdr>
        <w:top w:val="none" w:sz="0" w:space="0" w:color="auto"/>
        <w:left w:val="none" w:sz="0" w:space="0" w:color="auto"/>
        <w:bottom w:val="none" w:sz="0" w:space="0" w:color="auto"/>
        <w:right w:val="none" w:sz="0" w:space="0" w:color="auto"/>
      </w:divBdr>
    </w:div>
    <w:div w:id="923150154">
      <w:bodyDiv w:val="1"/>
      <w:marLeft w:val="0"/>
      <w:marRight w:val="0"/>
      <w:marTop w:val="0"/>
      <w:marBottom w:val="0"/>
      <w:divBdr>
        <w:top w:val="none" w:sz="0" w:space="0" w:color="auto"/>
        <w:left w:val="none" w:sz="0" w:space="0" w:color="auto"/>
        <w:bottom w:val="none" w:sz="0" w:space="0" w:color="auto"/>
        <w:right w:val="none" w:sz="0" w:space="0" w:color="auto"/>
      </w:divBdr>
    </w:div>
    <w:div w:id="930041021">
      <w:bodyDiv w:val="1"/>
      <w:marLeft w:val="0"/>
      <w:marRight w:val="0"/>
      <w:marTop w:val="0"/>
      <w:marBottom w:val="0"/>
      <w:divBdr>
        <w:top w:val="none" w:sz="0" w:space="0" w:color="auto"/>
        <w:left w:val="none" w:sz="0" w:space="0" w:color="auto"/>
        <w:bottom w:val="none" w:sz="0" w:space="0" w:color="auto"/>
        <w:right w:val="none" w:sz="0" w:space="0" w:color="auto"/>
      </w:divBdr>
    </w:div>
    <w:div w:id="930742410">
      <w:bodyDiv w:val="1"/>
      <w:marLeft w:val="0"/>
      <w:marRight w:val="0"/>
      <w:marTop w:val="0"/>
      <w:marBottom w:val="0"/>
      <w:divBdr>
        <w:top w:val="none" w:sz="0" w:space="0" w:color="auto"/>
        <w:left w:val="none" w:sz="0" w:space="0" w:color="auto"/>
        <w:bottom w:val="none" w:sz="0" w:space="0" w:color="auto"/>
        <w:right w:val="none" w:sz="0" w:space="0" w:color="auto"/>
      </w:divBdr>
    </w:div>
    <w:div w:id="938296426">
      <w:bodyDiv w:val="1"/>
      <w:marLeft w:val="0"/>
      <w:marRight w:val="0"/>
      <w:marTop w:val="0"/>
      <w:marBottom w:val="0"/>
      <w:divBdr>
        <w:top w:val="none" w:sz="0" w:space="0" w:color="auto"/>
        <w:left w:val="none" w:sz="0" w:space="0" w:color="auto"/>
        <w:bottom w:val="none" w:sz="0" w:space="0" w:color="auto"/>
        <w:right w:val="none" w:sz="0" w:space="0" w:color="auto"/>
      </w:divBdr>
    </w:div>
    <w:div w:id="946617651">
      <w:bodyDiv w:val="1"/>
      <w:marLeft w:val="0"/>
      <w:marRight w:val="0"/>
      <w:marTop w:val="0"/>
      <w:marBottom w:val="0"/>
      <w:divBdr>
        <w:top w:val="none" w:sz="0" w:space="0" w:color="auto"/>
        <w:left w:val="none" w:sz="0" w:space="0" w:color="auto"/>
        <w:bottom w:val="none" w:sz="0" w:space="0" w:color="auto"/>
        <w:right w:val="none" w:sz="0" w:space="0" w:color="auto"/>
      </w:divBdr>
    </w:div>
    <w:div w:id="948589807">
      <w:bodyDiv w:val="1"/>
      <w:marLeft w:val="0"/>
      <w:marRight w:val="0"/>
      <w:marTop w:val="0"/>
      <w:marBottom w:val="0"/>
      <w:divBdr>
        <w:top w:val="none" w:sz="0" w:space="0" w:color="auto"/>
        <w:left w:val="none" w:sz="0" w:space="0" w:color="auto"/>
        <w:bottom w:val="none" w:sz="0" w:space="0" w:color="auto"/>
        <w:right w:val="none" w:sz="0" w:space="0" w:color="auto"/>
      </w:divBdr>
    </w:div>
    <w:div w:id="949241232">
      <w:bodyDiv w:val="1"/>
      <w:marLeft w:val="0"/>
      <w:marRight w:val="0"/>
      <w:marTop w:val="0"/>
      <w:marBottom w:val="0"/>
      <w:divBdr>
        <w:top w:val="none" w:sz="0" w:space="0" w:color="auto"/>
        <w:left w:val="none" w:sz="0" w:space="0" w:color="auto"/>
        <w:bottom w:val="none" w:sz="0" w:space="0" w:color="auto"/>
        <w:right w:val="none" w:sz="0" w:space="0" w:color="auto"/>
      </w:divBdr>
    </w:div>
    <w:div w:id="951783250">
      <w:bodyDiv w:val="1"/>
      <w:marLeft w:val="0"/>
      <w:marRight w:val="0"/>
      <w:marTop w:val="0"/>
      <w:marBottom w:val="0"/>
      <w:divBdr>
        <w:top w:val="none" w:sz="0" w:space="0" w:color="auto"/>
        <w:left w:val="none" w:sz="0" w:space="0" w:color="auto"/>
        <w:bottom w:val="none" w:sz="0" w:space="0" w:color="auto"/>
        <w:right w:val="none" w:sz="0" w:space="0" w:color="auto"/>
      </w:divBdr>
    </w:div>
    <w:div w:id="958339918">
      <w:bodyDiv w:val="1"/>
      <w:marLeft w:val="0"/>
      <w:marRight w:val="0"/>
      <w:marTop w:val="0"/>
      <w:marBottom w:val="0"/>
      <w:divBdr>
        <w:top w:val="none" w:sz="0" w:space="0" w:color="auto"/>
        <w:left w:val="none" w:sz="0" w:space="0" w:color="auto"/>
        <w:bottom w:val="none" w:sz="0" w:space="0" w:color="auto"/>
        <w:right w:val="none" w:sz="0" w:space="0" w:color="auto"/>
      </w:divBdr>
    </w:div>
    <w:div w:id="959264102">
      <w:bodyDiv w:val="1"/>
      <w:marLeft w:val="0"/>
      <w:marRight w:val="0"/>
      <w:marTop w:val="0"/>
      <w:marBottom w:val="0"/>
      <w:divBdr>
        <w:top w:val="none" w:sz="0" w:space="0" w:color="auto"/>
        <w:left w:val="none" w:sz="0" w:space="0" w:color="auto"/>
        <w:bottom w:val="none" w:sz="0" w:space="0" w:color="auto"/>
        <w:right w:val="none" w:sz="0" w:space="0" w:color="auto"/>
      </w:divBdr>
    </w:div>
    <w:div w:id="966274902">
      <w:bodyDiv w:val="1"/>
      <w:marLeft w:val="0"/>
      <w:marRight w:val="0"/>
      <w:marTop w:val="0"/>
      <w:marBottom w:val="0"/>
      <w:divBdr>
        <w:top w:val="none" w:sz="0" w:space="0" w:color="auto"/>
        <w:left w:val="none" w:sz="0" w:space="0" w:color="auto"/>
        <w:bottom w:val="none" w:sz="0" w:space="0" w:color="auto"/>
        <w:right w:val="none" w:sz="0" w:space="0" w:color="auto"/>
      </w:divBdr>
    </w:div>
    <w:div w:id="969167172">
      <w:bodyDiv w:val="1"/>
      <w:marLeft w:val="0"/>
      <w:marRight w:val="0"/>
      <w:marTop w:val="0"/>
      <w:marBottom w:val="0"/>
      <w:divBdr>
        <w:top w:val="none" w:sz="0" w:space="0" w:color="auto"/>
        <w:left w:val="none" w:sz="0" w:space="0" w:color="auto"/>
        <w:bottom w:val="none" w:sz="0" w:space="0" w:color="auto"/>
        <w:right w:val="none" w:sz="0" w:space="0" w:color="auto"/>
      </w:divBdr>
    </w:div>
    <w:div w:id="970213507">
      <w:bodyDiv w:val="1"/>
      <w:marLeft w:val="0"/>
      <w:marRight w:val="0"/>
      <w:marTop w:val="0"/>
      <w:marBottom w:val="0"/>
      <w:divBdr>
        <w:top w:val="none" w:sz="0" w:space="0" w:color="auto"/>
        <w:left w:val="none" w:sz="0" w:space="0" w:color="auto"/>
        <w:bottom w:val="none" w:sz="0" w:space="0" w:color="auto"/>
        <w:right w:val="none" w:sz="0" w:space="0" w:color="auto"/>
      </w:divBdr>
    </w:div>
    <w:div w:id="976449423">
      <w:bodyDiv w:val="1"/>
      <w:marLeft w:val="0"/>
      <w:marRight w:val="0"/>
      <w:marTop w:val="0"/>
      <w:marBottom w:val="0"/>
      <w:divBdr>
        <w:top w:val="none" w:sz="0" w:space="0" w:color="auto"/>
        <w:left w:val="none" w:sz="0" w:space="0" w:color="auto"/>
        <w:bottom w:val="none" w:sz="0" w:space="0" w:color="auto"/>
        <w:right w:val="none" w:sz="0" w:space="0" w:color="auto"/>
      </w:divBdr>
    </w:div>
    <w:div w:id="980227736">
      <w:bodyDiv w:val="1"/>
      <w:marLeft w:val="0"/>
      <w:marRight w:val="0"/>
      <w:marTop w:val="0"/>
      <w:marBottom w:val="0"/>
      <w:divBdr>
        <w:top w:val="none" w:sz="0" w:space="0" w:color="auto"/>
        <w:left w:val="none" w:sz="0" w:space="0" w:color="auto"/>
        <w:bottom w:val="none" w:sz="0" w:space="0" w:color="auto"/>
        <w:right w:val="none" w:sz="0" w:space="0" w:color="auto"/>
      </w:divBdr>
    </w:div>
    <w:div w:id="981346132">
      <w:bodyDiv w:val="1"/>
      <w:marLeft w:val="0"/>
      <w:marRight w:val="0"/>
      <w:marTop w:val="0"/>
      <w:marBottom w:val="0"/>
      <w:divBdr>
        <w:top w:val="none" w:sz="0" w:space="0" w:color="auto"/>
        <w:left w:val="none" w:sz="0" w:space="0" w:color="auto"/>
        <w:bottom w:val="none" w:sz="0" w:space="0" w:color="auto"/>
        <w:right w:val="none" w:sz="0" w:space="0" w:color="auto"/>
      </w:divBdr>
    </w:div>
    <w:div w:id="982390307">
      <w:bodyDiv w:val="1"/>
      <w:marLeft w:val="0"/>
      <w:marRight w:val="0"/>
      <w:marTop w:val="0"/>
      <w:marBottom w:val="0"/>
      <w:divBdr>
        <w:top w:val="none" w:sz="0" w:space="0" w:color="auto"/>
        <w:left w:val="none" w:sz="0" w:space="0" w:color="auto"/>
        <w:bottom w:val="none" w:sz="0" w:space="0" w:color="auto"/>
        <w:right w:val="none" w:sz="0" w:space="0" w:color="auto"/>
      </w:divBdr>
    </w:div>
    <w:div w:id="988290521">
      <w:bodyDiv w:val="1"/>
      <w:marLeft w:val="0"/>
      <w:marRight w:val="0"/>
      <w:marTop w:val="0"/>
      <w:marBottom w:val="0"/>
      <w:divBdr>
        <w:top w:val="none" w:sz="0" w:space="0" w:color="auto"/>
        <w:left w:val="none" w:sz="0" w:space="0" w:color="auto"/>
        <w:bottom w:val="none" w:sz="0" w:space="0" w:color="auto"/>
        <w:right w:val="none" w:sz="0" w:space="0" w:color="auto"/>
      </w:divBdr>
    </w:div>
    <w:div w:id="995500771">
      <w:bodyDiv w:val="1"/>
      <w:marLeft w:val="0"/>
      <w:marRight w:val="0"/>
      <w:marTop w:val="0"/>
      <w:marBottom w:val="0"/>
      <w:divBdr>
        <w:top w:val="none" w:sz="0" w:space="0" w:color="auto"/>
        <w:left w:val="none" w:sz="0" w:space="0" w:color="auto"/>
        <w:bottom w:val="none" w:sz="0" w:space="0" w:color="auto"/>
        <w:right w:val="none" w:sz="0" w:space="0" w:color="auto"/>
      </w:divBdr>
    </w:div>
    <w:div w:id="997536531">
      <w:bodyDiv w:val="1"/>
      <w:marLeft w:val="0"/>
      <w:marRight w:val="0"/>
      <w:marTop w:val="0"/>
      <w:marBottom w:val="0"/>
      <w:divBdr>
        <w:top w:val="none" w:sz="0" w:space="0" w:color="auto"/>
        <w:left w:val="none" w:sz="0" w:space="0" w:color="auto"/>
        <w:bottom w:val="none" w:sz="0" w:space="0" w:color="auto"/>
        <w:right w:val="none" w:sz="0" w:space="0" w:color="auto"/>
      </w:divBdr>
    </w:div>
    <w:div w:id="999502792">
      <w:bodyDiv w:val="1"/>
      <w:marLeft w:val="0"/>
      <w:marRight w:val="0"/>
      <w:marTop w:val="0"/>
      <w:marBottom w:val="0"/>
      <w:divBdr>
        <w:top w:val="none" w:sz="0" w:space="0" w:color="auto"/>
        <w:left w:val="none" w:sz="0" w:space="0" w:color="auto"/>
        <w:bottom w:val="none" w:sz="0" w:space="0" w:color="auto"/>
        <w:right w:val="none" w:sz="0" w:space="0" w:color="auto"/>
      </w:divBdr>
    </w:div>
    <w:div w:id="1002321638">
      <w:bodyDiv w:val="1"/>
      <w:marLeft w:val="0"/>
      <w:marRight w:val="0"/>
      <w:marTop w:val="0"/>
      <w:marBottom w:val="0"/>
      <w:divBdr>
        <w:top w:val="none" w:sz="0" w:space="0" w:color="auto"/>
        <w:left w:val="none" w:sz="0" w:space="0" w:color="auto"/>
        <w:bottom w:val="none" w:sz="0" w:space="0" w:color="auto"/>
        <w:right w:val="none" w:sz="0" w:space="0" w:color="auto"/>
      </w:divBdr>
    </w:div>
    <w:div w:id="1002782074">
      <w:bodyDiv w:val="1"/>
      <w:marLeft w:val="0"/>
      <w:marRight w:val="0"/>
      <w:marTop w:val="0"/>
      <w:marBottom w:val="0"/>
      <w:divBdr>
        <w:top w:val="none" w:sz="0" w:space="0" w:color="auto"/>
        <w:left w:val="none" w:sz="0" w:space="0" w:color="auto"/>
        <w:bottom w:val="none" w:sz="0" w:space="0" w:color="auto"/>
        <w:right w:val="none" w:sz="0" w:space="0" w:color="auto"/>
      </w:divBdr>
    </w:div>
    <w:div w:id="1003625227">
      <w:bodyDiv w:val="1"/>
      <w:marLeft w:val="0"/>
      <w:marRight w:val="0"/>
      <w:marTop w:val="0"/>
      <w:marBottom w:val="0"/>
      <w:divBdr>
        <w:top w:val="none" w:sz="0" w:space="0" w:color="auto"/>
        <w:left w:val="none" w:sz="0" w:space="0" w:color="auto"/>
        <w:bottom w:val="none" w:sz="0" w:space="0" w:color="auto"/>
        <w:right w:val="none" w:sz="0" w:space="0" w:color="auto"/>
      </w:divBdr>
    </w:div>
    <w:div w:id="1007711376">
      <w:bodyDiv w:val="1"/>
      <w:marLeft w:val="0"/>
      <w:marRight w:val="0"/>
      <w:marTop w:val="0"/>
      <w:marBottom w:val="0"/>
      <w:divBdr>
        <w:top w:val="none" w:sz="0" w:space="0" w:color="auto"/>
        <w:left w:val="none" w:sz="0" w:space="0" w:color="auto"/>
        <w:bottom w:val="none" w:sz="0" w:space="0" w:color="auto"/>
        <w:right w:val="none" w:sz="0" w:space="0" w:color="auto"/>
      </w:divBdr>
    </w:div>
    <w:div w:id="1010525392">
      <w:bodyDiv w:val="1"/>
      <w:marLeft w:val="0"/>
      <w:marRight w:val="0"/>
      <w:marTop w:val="0"/>
      <w:marBottom w:val="0"/>
      <w:divBdr>
        <w:top w:val="none" w:sz="0" w:space="0" w:color="auto"/>
        <w:left w:val="none" w:sz="0" w:space="0" w:color="auto"/>
        <w:bottom w:val="none" w:sz="0" w:space="0" w:color="auto"/>
        <w:right w:val="none" w:sz="0" w:space="0" w:color="auto"/>
      </w:divBdr>
    </w:div>
    <w:div w:id="1012104388">
      <w:bodyDiv w:val="1"/>
      <w:marLeft w:val="0"/>
      <w:marRight w:val="0"/>
      <w:marTop w:val="0"/>
      <w:marBottom w:val="0"/>
      <w:divBdr>
        <w:top w:val="none" w:sz="0" w:space="0" w:color="auto"/>
        <w:left w:val="none" w:sz="0" w:space="0" w:color="auto"/>
        <w:bottom w:val="none" w:sz="0" w:space="0" w:color="auto"/>
        <w:right w:val="none" w:sz="0" w:space="0" w:color="auto"/>
      </w:divBdr>
    </w:div>
    <w:div w:id="1019817194">
      <w:bodyDiv w:val="1"/>
      <w:marLeft w:val="0"/>
      <w:marRight w:val="0"/>
      <w:marTop w:val="0"/>
      <w:marBottom w:val="0"/>
      <w:divBdr>
        <w:top w:val="none" w:sz="0" w:space="0" w:color="auto"/>
        <w:left w:val="none" w:sz="0" w:space="0" w:color="auto"/>
        <w:bottom w:val="none" w:sz="0" w:space="0" w:color="auto"/>
        <w:right w:val="none" w:sz="0" w:space="0" w:color="auto"/>
      </w:divBdr>
    </w:div>
    <w:div w:id="1020663033">
      <w:bodyDiv w:val="1"/>
      <w:marLeft w:val="0"/>
      <w:marRight w:val="0"/>
      <w:marTop w:val="0"/>
      <w:marBottom w:val="0"/>
      <w:divBdr>
        <w:top w:val="none" w:sz="0" w:space="0" w:color="auto"/>
        <w:left w:val="none" w:sz="0" w:space="0" w:color="auto"/>
        <w:bottom w:val="none" w:sz="0" w:space="0" w:color="auto"/>
        <w:right w:val="none" w:sz="0" w:space="0" w:color="auto"/>
      </w:divBdr>
    </w:div>
    <w:div w:id="1029179902">
      <w:bodyDiv w:val="1"/>
      <w:marLeft w:val="0"/>
      <w:marRight w:val="0"/>
      <w:marTop w:val="0"/>
      <w:marBottom w:val="0"/>
      <w:divBdr>
        <w:top w:val="none" w:sz="0" w:space="0" w:color="auto"/>
        <w:left w:val="none" w:sz="0" w:space="0" w:color="auto"/>
        <w:bottom w:val="none" w:sz="0" w:space="0" w:color="auto"/>
        <w:right w:val="none" w:sz="0" w:space="0" w:color="auto"/>
      </w:divBdr>
    </w:div>
    <w:div w:id="1030256478">
      <w:bodyDiv w:val="1"/>
      <w:marLeft w:val="0"/>
      <w:marRight w:val="0"/>
      <w:marTop w:val="0"/>
      <w:marBottom w:val="0"/>
      <w:divBdr>
        <w:top w:val="none" w:sz="0" w:space="0" w:color="auto"/>
        <w:left w:val="none" w:sz="0" w:space="0" w:color="auto"/>
        <w:bottom w:val="none" w:sz="0" w:space="0" w:color="auto"/>
        <w:right w:val="none" w:sz="0" w:space="0" w:color="auto"/>
      </w:divBdr>
    </w:div>
    <w:div w:id="1033530352">
      <w:bodyDiv w:val="1"/>
      <w:marLeft w:val="0"/>
      <w:marRight w:val="0"/>
      <w:marTop w:val="0"/>
      <w:marBottom w:val="0"/>
      <w:divBdr>
        <w:top w:val="none" w:sz="0" w:space="0" w:color="auto"/>
        <w:left w:val="none" w:sz="0" w:space="0" w:color="auto"/>
        <w:bottom w:val="none" w:sz="0" w:space="0" w:color="auto"/>
        <w:right w:val="none" w:sz="0" w:space="0" w:color="auto"/>
      </w:divBdr>
    </w:div>
    <w:div w:id="1035427233">
      <w:bodyDiv w:val="1"/>
      <w:marLeft w:val="0"/>
      <w:marRight w:val="0"/>
      <w:marTop w:val="0"/>
      <w:marBottom w:val="0"/>
      <w:divBdr>
        <w:top w:val="none" w:sz="0" w:space="0" w:color="auto"/>
        <w:left w:val="none" w:sz="0" w:space="0" w:color="auto"/>
        <w:bottom w:val="none" w:sz="0" w:space="0" w:color="auto"/>
        <w:right w:val="none" w:sz="0" w:space="0" w:color="auto"/>
      </w:divBdr>
    </w:div>
    <w:div w:id="1037656709">
      <w:bodyDiv w:val="1"/>
      <w:marLeft w:val="0"/>
      <w:marRight w:val="0"/>
      <w:marTop w:val="0"/>
      <w:marBottom w:val="0"/>
      <w:divBdr>
        <w:top w:val="none" w:sz="0" w:space="0" w:color="auto"/>
        <w:left w:val="none" w:sz="0" w:space="0" w:color="auto"/>
        <w:bottom w:val="none" w:sz="0" w:space="0" w:color="auto"/>
        <w:right w:val="none" w:sz="0" w:space="0" w:color="auto"/>
      </w:divBdr>
    </w:div>
    <w:div w:id="1041857054">
      <w:bodyDiv w:val="1"/>
      <w:marLeft w:val="0"/>
      <w:marRight w:val="0"/>
      <w:marTop w:val="0"/>
      <w:marBottom w:val="0"/>
      <w:divBdr>
        <w:top w:val="none" w:sz="0" w:space="0" w:color="auto"/>
        <w:left w:val="none" w:sz="0" w:space="0" w:color="auto"/>
        <w:bottom w:val="none" w:sz="0" w:space="0" w:color="auto"/>
        <w:right w:val="none" w:sz="0" w:space="0" w:color="auto"/>
      </w:divBdr>
    </w:div>
    <w:div w:id="1042827509">
      <w:bodyDiv w:val="1"/>
      <w:marLeft w:val="0"/>
      <w:marRight w:val="0"/>
      <w:marTop w:val="0"/>
      <w:marBottom w:val="0"/>
      <w:divBdr>
        <w:top w:val="none" w:sz="0" w:space="0" w:color="auto"/>
        <w:left w:val="none" w:sz="0" w:space="0" w:color="auto"/>
        <w:bottom w:val="none" w:sz="0" w:space="0" w:color="auto"/>
        <w:right w:val="none" w:sz="0" w:space="0" w:color="auto"/>
      </w:divBdr>
    </w:div>
    <w:div w:id="1044017342">
      <w:bodyDiv w:val="1"/>
      <w:marLeft w:val="0"/>
      <w:marRight w:val="0"/>
      <w:marTop w:val="0"/>
      <w:marBottom w:val="0"/>
      <w:divBdr>
        <w:top w:val="none" w:sz="0" w:space="0" w:color="auto"/>
        <w:left w:val="none" w:sz="0" w:space="0" w:color="auto"/>
        <w:bottom w:val="none" w:sz="0" w:space="0" w:color="auto"/>
        <w:right w:val="none" w:sz="0" w:space="0" w:color="auto"/>
      </w:divBdr>
    </w:div>
    <w:div w:id="1045981153">
      <w:bodyDiv w:val="1"/>
      <w:marLeft w:val="0"/>
      <w:marRight w:val="0"/>
      <w:marTop w:val="0"/>
      <w:marBottom w:val="0"/>
      <w:divBdr>
        <w:top w:val="none" w:sz="0" w:space="0" w:color="auto"/>
        <w:left w:val="none" w:sz="0" w:space="0" w:color="auto"/>
        <w:bottom w:val="none" w:sz="0" w:space="0" w:color="auto"/>
        <w:right w:val="none" w:sz="0" w:space="0" w:color="auto"/>
      </w:divBdr>
    </w:div>
    <w:div w:id="1048913989">
      <w:bodyDiv w:val="1"/>
      <w:marLeft w:val="0"/>
      <w:marRight w:val="0"/>
      <w:marTop w:val="0"/>
      <w:marBottom w:val="0"/>
      <w:divBdr>
        <w:top w:val="none" w:sz="0" w:space="0" w:color="auto"/>
        <w:left w:val="none" w:sz="0" w:space="0" w:color="auto"/>
        <w:bottom w:val="none" w:sz="0" w:space="0" w:color="auto"/>
        <w:right w:val="none" w:sz="0" w:space="0" w:color="auto"/>
      </w:divBdr>
    </w:div>
    <w:div w:id="1052115960">
      <w:bodyDiv w:val="1"/>
      <w:marLeft w:val="0"/>
      <w:marRight w:val="0"/>
      <w:marTop w:val="0"/>
      <w:marBottom w:val="0"/>
      <w:divBdr>
        <w:top w:val="none" w:sz="0" w:space="0" w:color="auto"/>
        <w:left w:val="none" w:sz="0" w:space="0" w:color="auto"/>
        <w:bottom w:val="none" w:sz="0" w:space="0" w:color="auto"/>
        <w:right w:val="none" w:sz="0" w:space="0" w:color="auto"/>
      </w:divBdr>
    </w:div>
    <w:div w:id="1055155735">
      <w:bodyDiv w:val="1"/>
      <w:marLeft w:val="0"/>
      <w:marRight w:val="0"/>
      <w:marTop w:val="0"/>
      <w:marBottom w:val="0"/>
      <w:divBdr>
        <w:top w:val="none" w:sz="0" w:space="0" w:color="auto"/>
        <w:left w:val="none" w:sz="0" w:space="0" w:color="auto"/>
        <w:bottom w:val="none" w:sz="0" w:space="0" w:color="auto"/>
        <w:right w:val="none" w:sz="0" w:space="0" w:color="auto"/>
      </w:divBdr>
    </w:div>
    <w:div w:id="1064254031">
      <w:bodyDiv w:val="1"/>
      <w:marLeft w:val="0"/>
      <w:marRight w:val="0"/>
      <w:marTop w:val="0"/>
      <w:marBottom w:val="0"/>
      <w:divBdr>
        <w:top w:val="none" w:sz="0" w:space="0" w:color="auto"/>
        <w:left w:val="none" w:sz="0" w:space="0" w:color="auto"/>
        <w:bottom w:val="none" w:sz="0" w:space="0" w:color="auto"/>
        <w:right w:val="none" w:sz="0" w:space="0" w:color="auto"/>
      </w:divBdr>
    </w:div>
    <w:div w:id="1069032503">
      <w:bodyDiv w:val="1"/>
      <w:marLeft w:val="0"/>
      <w:marRight w:val="0"/>
      <w:marTop w:val="0"/>
      <w:marBottom w:val="0"/>
      <w:divBdr>
        <w:top w:val="none" w:sz="0" w:space="0" w:color="auto"/>
        <w:left w:val="none" w:sz="0" w:space="0" w:color="auto"/>
        <w:bottom w:val="none" w:sz="0" w:space="0" w:color="auto"/>
        <w:right w:val="none" w:sz="0" w:space="0" w:color="auto"/>
      </w:divBdr>
    </w:div>
    <w:div w:id="1069307488">
      <w:bodyDiv w:val="1"/>
      <w:marLeft w:val="0"/>
      <w:marRight w:val="0"/>
      <w:marTop w:val="0"/>
      <w:marBottom w:val="0"/>
      <w:divBdr>
        <w:top w:val="none" w:sz="0" w:space="0" w:color="auto"/>
        <w:left w:val="none" w:sz="0" w:space="0" w:color="auto"/>
        <w:bottom w:val="none" w:sz="0" w:space="0" w:color="auto"/>
        <w:right w:val="none" w:sz="0" w:space="0" w:color="auto"/>
      </w:divBdr>
    </w:div>
    <w:div w:id="1072192911">
      <w:bodyDiv w:val="1"/>
      <w:marLeft w:val="0"/>
      <w:marRight w:val="0"/>
      <w:marTop w:val="0"/>
      <w:marBottom w:val="0"/>
      <w:divBdr>
        <w:top w:val="none" w:sz="0" w:space="0" w:color="auto"/>
        <w:left w:val="none" w:sz="0" w:space="0" w:color="auto"/>
        <w:bottom w:val="none" w:sz="0" w:space="0" w:color="auto"/>
        <w:right w:val="none" w:sz="0" w:space="0" w:color="auto"/>
      </w:divBdr>
    </w:div>
    <w:div w:id="1081681659">
      <w:bodyDiv w:val="1"/>
      <w:marLeft w:val="0"/>
      <w:marRight w:val="0"/>
      <w:marTop w:val="0"/>
      <w:marBottom w:val="0"/>
      <w:divBdr>
        <w:top w:val="none" w:sz="0" w:space="0" w:color="auto"/>
        <w:left w:val="none" w:sz="0" w:space="0" w:color="auto"/>
        <w:bottom w:val="none" w:sz="0" w:space="0" w:color="auto"/>
        <w:right w:val="none" w:sz="0" w:space="0" w:color="auto"/>
      </w:divBdr>
    </w:div>
    <w:div w:id="1083186799">
      <w:bodyDiv w:val="1"/>
      <w:marLeft w:val="0"/>
      <w:marRight w:val="0"/>
      <w:marTop w:val="0"/>
      <w:marBottom w:val="0"/>
      <w:divBdr>
        <w:top w:val="none" w:sz="0" w:space="0" w:color="auto"/>
        <w:left w:val="none" w:sz="0" w:space="0" w:color="auto"/>
        <w:bottom w:val="none" w:sz="0" w:space="0" w:color="auto"/>
        <w:right w:val="none" w:sz="0" w:space="0" w:color="auto"/>
      </w:divBdr>
    </w:div>
    <w:div w:id="1083375653">
      <w:bodyDiv w:val="1"/>
      <w:marLeft w:val="0"/>
      <w:marRight w:val="0"/>
      <w:marTop w:val="0"/>
      <w:marBottom w:val="0"/>
      <w:divBdr>
        <w:top w:val="none" w:sz="0" w:space="0" w:color="auto"/>
        <w:left w:val="none" w:sz="0" w:space="0" w:color="auto"/>
        <w:bottom w:val="none" w:sz="0" w:space="0" w:color="auto"/>
        <w:right w:val="none" w:sz="0" w:space="0" w:color="auto"/>
      </w:divBdr>
    </w:div>
    <w:div w:id="1085145932">
      <w:bodyDiv w:val="1"/>
      <w:marLeft w:val="0"/>
      <w:marRight w:val="0"/>
      <w:marTop w:val="0"/>
      <w:marBottom w:val="0"/>
      <w:divBdr>
        <w:top w:val="none" w:sz="0" w:space="0" w:color="auto"/>
        <w:left w:val="none" w:sz="0" w:space="0" w:color="auto"/>
        <w:bottom w:val="none" w:sz="0" w:space="0" w:color="auto"/>
        <w:right w:val="none" w:sz="0" w:space="0" w:color="auto"/>
      </w:divBdr>
    </w:div>
    <w:div w:id="1088189441">
      <w:bodyDiv w:val="1"/>
      <w:marLeft w:val="0"/>
      <w:marRight w:val="0"/>
      <w:marTop w:val="0"/>
      <w:marBottom w:val="0"/>
      <w:divBdr>
        <w:top w:val="none" w:sz="0" w:space="0" w:color="auto"/>
        <w:left w:val="none" w:sz="0" w:space="0" w:color="auto"/>
        <w:bottom w:val="none" w:sz="0" w:space="0" w:color="auto"/>
        <w:right w:val="none" w:sz="0" w:space="0" w:color="auto"/>
      </w:divBdr>
    </w:div>
    <w:div w:id="1104425207">
      <w:bodyDiv w:val="1"/>
      <w:marLeft w:val="0"/>
      <w:marRight w:val="0"/>
      <w:marTop w:val="0"/>
      <w:marBottom w:val="0"/>
      <w:divBdr>
        <w:top w:val="none" w:sz="0" w:space="0" w:color="auto"/>
        <w:left w:val="none" w:sz="0" w:space="0" w:color="auto"/>
        <w:bottom w:val="none" w:sz="0" w:space="0" w:color="auto"/>
        <w:right w:val="none" w:sz="0" w:space="0" w:color="auto"/>
      </w:divBdr>
    </w:div>
    <w:div w:id="1106392405">
      <w:bodyDiv w:val="1"/>
      <w:marLeft w:val="0"/>
      <w:marRight w:val="0"/>
      <w:marTop w:val="0"/>
      <w:marBottom w:val="0"/>
      <w:divBdr>
        <w:top w:val="none" w:sz="0" w:space="0" w:color="auto"/>
        <w:left w:val="none" w:sz="0" w:space="0" w:color="auto"/>
        <w:bottom w:val="none" w:sz="0" w:space="0" w:color="auto"/>
        <w:right w:val="none" w:sz="0" w:space="0" w:color="auto"/>
      </w:divBdr>
    </w:div>
    <w:div w:id="1114405156">
      <w:bodyDiv w:val="1"/>
      <w:marLeft w:val="0"/>
      <w:marRight w:val="0"/>
      <w:marTop w:val="0"/>
      <w:marBottom w:val="0"/>
      <w:divBdr>
        <w:top w:val="none" w:sz="0" w:space="0" w:color="auto"/>
        <w:left w:val="none" w:sz="0" w:space="0" w:color="auto"/>
        <w:bottom w:val="none" w:sz="0" w:space="0" w:color="auto"/>
        <w:right w:val="none" w:sz="0" w:space="0" w:color="auto"/>
      </w:divBdr>
    </w:div>
    <w:div w:id="1122267573">
      <w:bodyDiv w:val="1"/>
      <w:marLeft w:val="0"/>
      <w:marRight w:val="0"/>
      <w:marTop w:val="0"/>
      <w:marBottom w:val="0"/>
      <w:divBdr>
        <w:top w:val="none" w:sz="0" w:space="0" w:color="auto"/>
        <w:left w:val="none" w:sz="0" w:space="0" w:color="auto"/>
        <w:bottom w:val="none" w:sz="0" w:space="0" w:color="auto"/>
        <w:right w:val="none" w:sz="0" w:space="0" w:color="auto"/>
      </w:divBdr>
    </w:div>
    <w:div w:id="1126854123">
      <w:bodyDiv w:val="1"/>
      <w:marLeft w:val="0"/>
      <w:marRight w:val="0"/>
      <w:marTop w:val="0"/>
      <w:marBottom w:val="0"/>
      <w:divBdr>
        <w:top w:val="none" w:sz="0" w:space="0" w:color="auto"/>
        <w:left w:val="none" w:sz="0" w:space="0" w:color="auto"/>
        <w:bottom w:val="none" w:sz="0" w:space="0" w:color="auto"/>
        <w:right w:val="none" w:sz="0" w:space="0" w:color="auto"/>
      </w:divBdr>
    </w:div>
    <w:div w:id="1131362632">
      <w:bodyDiv w:val="1"/>
      <w:marLeft w:val="0"/>
      <w:marRight w:val="0"/>
      <w:marTop w:val="0"/>
      <w:marBottom w:val="0"/>
      <w:divBdr>
        <w:top w:val="none" w:sz="0" w:space="0" w:color="auto"/>
        <w:left w:val="none" w:sz="0" w:space="0" w:color="auto"/>
        <w:bottom w:val="none" w:sz="0" w:space="0" w:color="auto"/>
        <w:right w:val="none" w:sz="0" w:space="0" w:color="auto"/>
      </w:divBdr>
    </w:div>
    <w:div w:id="1133213332">
      <w:bodyDiv w:val="1"/>
      <w:marLeft w:val="0"/>
      <w:marRight w:val="0"/>
      <w:marTop w:val="0"/>
      <w:marBottom w:val="0"/>
      <w:divBdr>
        <w:top w:val="none" w:sz="0" w:space="0" w:color="auto"/>
        <w:left w:val="none" w:sz="0" w:space="0" w:color="auto"/>
        <w:bottom w:val="none" w:sz="0" w:space="0" w:color="auto"/>
        <w:right w:val="none" w:sz="0" w:space="0" w:color="auto"/>
      </w:divBdr>
    </w:div>
    <w:div w:id="1133790226">
      <w:bodyDiv w:val="1"/>
      <w:marLeft w:val="0"/>
      <w:marRight w:val="0"/>
      <w:marTop w:val="0"/>
      <w:marBottom w:val="0"/>
      <w:divBdr>
        <w:top w:val="none" w:sz="0" w:space="0" w:color="auto"/>
        <w:left w:val="none" w:sz="0" w:space="0" w:color="auto"/>
        <w:bottom w:val="none" w:sz="0" w:space="0" w:color="auto"/>
        <w:right w:val="none" w:sz="0" w:space="0" w:color="auto"/>
      </w:divBdr>
    </w:div>
    <w:div w:id="1134299913">
      <w:bodyDiv w:val="1"/>
      <w:marLeft w:val="0"/>
      <w:marRight w:val="0"/>
      <w:marTop w:val="0"/>
      <w:marBottom w:val="0"/>
      <w:divBdr>
        <w:top w:val="none" w:sz="0" w:space="0" w:color="auto"/>
        <w:left w:val="none" w:sz="0" w:space="0" w:color="auto"/>
        <w:bottom w:val="none" w:sz="0" w:space="0" w:color="auto"/>
        <w:right w:val="none" w:sz="0" w:space="0" w:color="auto"/>
      </w:divBdr>
    </w:div>
    <w:div w:id="1136529823">
      <w:bodyDiv w:val="1"/>
      <w:marLeft w:val="0"/>
      <w:marRight w:val="0"/>
      <w:marTop w:val="0"/>
      <w:marBottom w:val="0"/>
      <w:divBdr>
        <w:top w:val="none" w:sz="0" w:space="0" w:color="auto"/>
        <w:left w:val="none" w:sz="0" w:space="0" w:color="auto"/>
        <w:bottom w:val="none" w:sz="0" w:space="0" w:color="auto"/>
        <w:right w:val="none" w:sz="0" w:space="0" w:color="auto"/>
      </w:divBdr>
    </w:div>
    <w:div w:id="1139957092">
      <w:bodyDiv w:val="1"/>
      <w:marLeft w:val="0"/>
      <w:marRight w:val="0"/>
      <w:marTop w:val="0"/>
      <w:marBottom w:val="0"/>
      <w:divBdr>
        <w:top w:val="none" w:sz="0" w:space="0" w:color="auto"/>
        <w:left w:val="none" w:sz="0" w:space="0" w:color="auto"/>
        <w:bottom w:val="none" w:sz="0" w:space="0" w:color="auto"/>
        <w:right w:val="none" w:sz="0" w:space="0" w:color="auto"/>
      </w:divBdr>
    </w:div>
    <w:div w:id="1147162926">
      <w:bodyDiv w:val="1"/>
      <w:marLeft w:val="0"/>
      <w:marRight w:val="0"/>
      <w:marTop w:val="0"/>
      <w:marBottom w:val="0"/>
      <w:divBdr>
        <w:top w:val="none" w:sz="0" w:space="0" w:color="auto"/>
        <w:left w:val="none" w:sz="0" w:space="0" w:color="auto"/>
        <w:bottom w:val="none" w:sz="0" w:space="0" w:color="auto"/>
        <w:right w:val="none" w:sz="0" w:space="0" w:color="auto"/>
      </w:divBdr>
    </w:div>
    <w:div w:id="1153254857">
      <w:bodyDiv w:val="1"/>
      <w:marLeft w:val="0"/>
      <w:marRight w:val="0"/>
      <w:marTop w:val="0"/>
      <w:marBottom w:val="0"/>
      <w:divBdr>
        <w:top w:val="none" w:sz="0" w:space="0" w:color="auto"/>
        <w:left w:val="none" w:sz="0" w:space="0" w:color="auto"/>
        <w:bottom w:val="none" w:sz="0" w:space="0" w:color="auto"/>
        <w:right w:val="none" w:sz="0" w:space="0" w:color="auto"/>
      </w:divBdr>
    </w:div>
    <w:div w:id="1157451292">
      <w:bodyDiv w:val="1"/>
      <w:marLeft w:val="0"/>
      <w:marRight w:val="0"/>
      <w:marTop w:val="0"/>
      <w:marBottom w:val="0"/>
      <w:divBdr>
        <w:top w:val="none" w:sz="0" w:space="0" w:color="auto"/>
        <w:left w:val="none" w:sz="0" w:space="0" w:color="auto"/>
        <w:bottom w:val="none" w:sz="0" w:space="0" w:color="auto"/>
        <w:right w:val="none" w:sz="0" w:space="0" w:color="auto"/>
      </w:divBdr>
    </w:div>
    <w:div w:id="1161233521">
      <w:bodyDiv w:val="1"/>
      <w:marLeft w:val="0"/>
      <w:marRight w:val="0"/>
      <w:marTop w:val="0"/>
      <w:marBottom w:val="0"/>
      <w:divBdr>
        <w:top w:val="none" w:sz="0" w:space="0" w:color="auto"/>
        <w:left w:val="none" w:sz="0" w:space="0" w:color="auto"/>
        <w:bottom w:val="none" w:sz="0" w:space="0" w:color="auto"/>
        <w:right w:val="none" w:sz="0" w:space="0" w:color="auto"/>
      </w:divBdr>
    </w:div>
    <w:div w:id="1163548897">
      <w:bodyDiv w:val="1"/>
      <w:marLeft w:val="0"/>
      <w:marRight w:val="0"/>
      <w:marTop w:val="0"/>
      <w:marBottom w:val="0"/>
      <w:divBdr>
        <w:top w:val="none" w:sz="0" w:space="0" w:color="auto"/>
        <w:left w:val="none" w:sz="0" w:space="0" w:color="auto"/>
        <w:bottom w:val="none" w:sz="0" w:space="0" w:color="auto"/>
        <w:right w:val="none" w:sz="0" w:space="0" w:color="auto"/>
      </w:divBdr>
    </w:div>
    <w:div w:id="1167095361">
      <w:bodyDiv w:val="1"/>
      <w:marLeft w:val="0"/>
      <w:marRight w:val="0"/>
      <w:marTop w:val="0"/>
      <w:marBottom w:val="0"/>
      <w:divBdr>
        <w:top w:val="none" w:sz="0" w:space="0" w:color="auto"/>
        <w:left w:val="none" w:sz="0" w:space="0" w:color="auto"/>
        <w:bottom w:val="none" w:sz="0" w:space="0" w:color="auto"/>
        <w:right w:val="none" w:sz="0" w:space="0" w:color="auto"/>
      </w:divBdr>
    </w:div>
    <w:div w:id="1168600298">
      <w:bodyDiv w:val="1"/>
      <w:marLeft w:val="0"/>
      <w:marRight w:val="0"/>
      <w:marTop w:val="0"/>
      <w:marBottom w:val="0"/>
      <w:divBdr>
        <w:top w:val="none" w:sz="0" w:space="0" w:color="auto"/>
        <w:left w:val="none" w:sz="0" w:space="0" w:color="auto"/>
        <w:bottom w:val="none" w:sz="0" w:space="0" w:color="auto"/>
        <w:right w:val="none" w:sz="0" w:space="0" w:color="auto"/>
      </w:divBdr>
    </w:div>
    <w:div w:id="1172448248">
      <w:bodyDiv w:val="1"/>
      <w:marLeft w:val="0"/>
      <w:marRight w:val="0"/>
      <w:marTop w:val="0"/>
      <w:marBottom w:val="0"/>
      <w:divBdr>
        <w:top w:val="none" w:sz="0" w:space="0" w:color="auto"/>
        <w:left w:val="none" w:sz="0" w:space="0" w:color="auto"/>
        <w:bottom w:val="none" w:sz="0" w:space="0" w:color="auto"/>
        <w:right w:val="none" w:sz="0" w:space="0" w:color="auto"/>
      </w:divBdr>
    </w:div>
    <w:div w:id="1178276709">
      <w:bodyDiv w:val="1"/>
      <w:marLeft w:val="0"/>
      <w:marRight w:val="0"/>
      <w:marTop w:val="0"/>
      <w:marBottom w:val="0"/>
      <w:divBdr>
        <w:top w:val="none" w:sz="0" w:space="0" w:color="auto"/>
        <w:left w:val="none" w:sz="0" w:space="0" w:color="auto"/>
        <w:bottom w:val="none" w:sz="0" w:space="0" w:color="auto"/>
        <w:right w:val="none" w:sz="0" w:space="0" w:color="auto"/>
      </w:divBdr>
    </w:div>
    <w:div w:id="1179730537">
      <w:bodyDiv w:val="1"/>
      <w:marLeft w:val="0"/>
      <w:marRight w:val="0"/>
      <w:marTop w:val="0"/>
      <w:marBottom w:val="0"/>
      <w:divBdr>
        <w:top w:val="none" w:sz="0" w:space="0" w:color="auto"/>
        <w:left w:val="none" w:sz="0" w:space="0" w:color="auto"/>
        <w:bottom w:val="none" w:sz="0" w:space="0" w:color="auto"/>
        <w:right w:val="none" w:sz="0" w:space="0" w:color="auto"/>
      </w:divBdr>
    </w:div>
    <w:div w:id="1185896864">
      <w:bodyDiv w:val="1"/>
      <w:marLeft w:val="0"/>
      <w:marRight w:val="0"/>
      <w:marTop w:val="0"/>
      <w:marBottom w:val="0"/>
      <w:divBdr>
        <w:top w:val="none" w:sz="0" w:space="0" w:color="auto"/>
        <w:left w:val="none" w:sz="0" w:space="0" w:color="auto"/>
        <w:bottom w:val="none" w:sz="0" w:space="0" w:color="auto"/>
        <w:right w:val="none" w:sz="0" w:space="0" w:color="auto"/>
      </w:divBdr>
    </w:div>
    <w:div w:id="1186484467">
      <w:bodyDiv w:val="1"/>
      <w:marLeft w:val="0"/>
      <w:marRight w:val="0"/>
      <w:marTop w:val="0"/>
      <w:marBottom w:val="0"/>
      <w:divBdr>
        <w:top w:val="none" w:sz="0" w:space="0" w:color="auto"/>
        <w:left w:val="none" w:sz="0" w:space="0" w:color="auto"/>
        <w:bottom w:val="none" w:sz="0" w:space="0" w:color="auto"/>
        <w:right w:val="none" w:sz="0" w:space="0" w:color="auto"/>
      </w:divBdr>
    </w:div>
    <w:div w:id="1186553565">
      <w:bodyDiv w:val="1"/>
      <w:marLeft w:val="0"/>
      <w:marRight w:val="0"/>
      <w:marTop w:val="0"/>
      <w:marBottom w:val="0"/>
      <w:divBdr>
        <w:top w:val="none" w:sz="0" w:space="0" w:color="auto"/>
        <w:left w:val="none" w:sz="0" w:space="0" w:color="auto"/>
        <w:bottom w:val="none" w:sz="0" w:space="0" w:color="auto"/>
        <w:right w:val="none" w:sz="0" w:space="0" w:color="auto"/>
      </w:divBdr>
    </w:div>
    <w:div w:id="1189415176">
      <w:bodyDiv w:val="1"/>
      <w:marLeft w:val="0"/>
      <w:marRight w:val="0"/>
      <w:marTop w:val="0"/>
      <w:marBottom w:val="0"/>
      <w:divBdr>
        <w:top w:val="none" w:sz="0" w:space="0" w:color="auto"/>
        <w:left w:val="none" w:sz="0" w:space="0" w:color="auto"/>
        <w:bottom w:val="none" w:sz="0" w:space="0" w:color="auto"/>
        <w:right w:val="none" w:sz="0" w:space="0" w:color="auto"/>
      </w:divBdr>
    </w:div>
    <w:div w:id="1192454419">
      <w:bodyDiv w:val="1"/>
      <w:marLeft w:val="0"/>
      <w:marRight w:val="0"/>
      <w:marTop w:val="0"/>
      <w:marBottom w:val="0"/>
      <w:divBdr>
        <w:top w:val="none" w:sz="0" w:space="0" w:color="auto"/>
        <w:left w:val="none" w:sz="0" w:space="0" w:color="auto"/>
        <w:bottom w:val="none" w:sz="0" w:space="0" w:color="auto"/>
        <w:right w:val="none" w:sz="0" w:space="0" w:color="auto"/>
      </w:divBdr>
    </w:div>
    <w:div w:id="1195073533">
      <w:bodyDiv w:val="1"/>
      <w:marLeft w:val="0"/>
      <w:marRight w:val="0"/>
      <w:marTop w:val="0"/>
      <w:marBottom w:val="0"/>
      <w:divBdr>
        <w:top w:val="none" w:sz="0" w:space="0" w:color="auto"/>
        <w:left w:val="none" w:sz="0" w:space="0" w:color="auto"/>
        <w:bottom w:val="none" w:sz="0" w:space="0" w:color="auto"/>
        <w:right w:val="none" w:sz="0" w:space="0" w:color="auto"/>
      </w:divBdr>
    </w:div>
    <w:div w:id="1197036276">
      <w:bodyDiv w:val="1"/>
      <w:marLeft w:val="0"/>
      <w:marRight w:val="0"/>
      <w:marTop w:val="0"/>
      <w:marBottom w:val="0"/>
      <w:divBdr>
        <w:top w:val="none" w:sz="0" w:space="0" w:color="auto"/>
        <w:left w:val="none" w:sz="0" w:space="0" w:color="auto"/>
        <w:bottom w:val="none" w:sz="0" w:space="0" w:color="auto"/>
        <w:right w:val="none" w:sz="0" w:space="0" w:color="auto"/>
      </w:divBdr>
    </w:div>
    <w:div w:id="1198541777">
      <w:bodyDiv w:val="1"/>
      <w:marLeft w:val="0"/>
      <w:marRight w:val="0"/>
      <w:marTop w:val="0"/>
      <w:marBottom w:val="0"/>
      <w:divBdr>
        <w:top w:val="none" w:sz="0" w:space="0" w:color="auto"/>
        <w:left w:val="none" w:sz="0" w:space="0" w:color="auto"/>
        <w:bottom w:val="none" w:sz="0" w:space="0" w:color="auto"/>
        <w:right w:val="none" w:sz="0" w:space="0" w:color="auto"/>
      </w:divBdr>
    </w:div>
    <w:div w:id="1201897257">
      <w:bodyDiv w:val="1"/>
      <w:marLeft w:val="0"/>
      <w:marRight w:val="0"/>
      <w:marTop w:val="0"/>
      <w:marBottom w:val="0"/>
      <w:divBdr>
        <w:top w:val="none" w:sz="0" w:space="0" w:color="auto"/>
        <w:left w:val="none" w:sz="0" w:space="0" w:color="auto"/>
        <w:bottom w:val="none" w:sz="0" w:space="0" w:color="auto"/>
        <w:right w:val="none" w:sz="0" w:space="0" w:color="auto"/>
      </w:divBdr>
    </w:div>
    <w:div w:id="1202130483">
      <w:bodyDiv w:val="1"/>
      <w:marLeft w:val="0"/>
      <w:marRight w:val="0"/>
      <w:marTop w:val="0"/>
      <w:marBottom w:val="0"/>
      <w:divBdr>
        <w:top w:val="none" w:sz="0" w:space="0" w:color="auto"/>
        <w:left w:val="none" w:sz="0" w:space="0" w:color="auto"/>
        <w:bottom w:val="none" w:sz="0" w:space="0" w:color="auto"/>
        <w:right w:val="none" w:sz="0" w:space="0" w:color="auto"/>
      </w:divBdr>
    </w:div>
    <w:div w:id="1209217434">
      <w:bodyDiv w:val="1"/>
      <w:marLeft w:val="0"/>
      <w:marRight w:val="0"/>
      <w:marTop w:val="0"/>
      <w:marBottom w:val="0"/>
      <w:divBdr>
        <w:top w:val="none" w:sz="0" w:space="0" w:color="auto"/>
        <w:left w:val="none" w:sz="0" w:space="0" w:color="auto"/>
        <w:bottom w:val="none" w:sz="0" w:space="0" w:color="auto"/>
        <w:right w:val="none" w:sz="0" w:space="0" w:color="auto"/>
      </w:divBdr>
    </w:div>
    <w:div w:id="1210651540">
      <w:bodyDiv w:val="1"/>
      <w:marLeft w:val="0"/>
      <w:marRight w:val="0"/>
      <w:marTop w:val="0"/>
      <w:marBottom w:val="0"/>
      <w:divBdr>
        <w:top w:val="none" w:sz="0" w:space="0" w:color="auto"/>
        <w:left w:val="none" w:sz="0" w:space="0" w:color="auto"/>
        <w:bottom w:val="none" w:sz="0" w:space="0" w:color="auto"/>
        <w:right w:val="none" w:sz="0" w:space="0" w:color="auto"/>
      </w:divBdr>
    </w:div>
    <w:div w:id="1217161649">
      <w:bodyDiv w:val="1"/>
      <w:marLeft w:val="0"/>
      <w:marRight w:val="0"/>
      <w:marTop w:val="0"/>
      <w:marBottom w:val="0"/>
      <w:divBdr>
        <w:top w:val="none" w:sz="0" w:space="0" w:color="auto"/>
        <w:left w:val="none" w:sz="0" w:space="0" w:color="auto"/>
        <w:bottom w:val="none" w:sz="0" w:space="0" w:color="auto"/>
        <w:right w:val="none" w:sz="0" w:space="0" w:color="auto"/>
      </w:divBdr>
    </w:div>
    <w:div w:id="1218318169">
      <w:bodyDiv w:val="1"/>
      <w:marLeft w:val="0"/>
      <w:marRight w:val="0"/>
      <w:marTop w:val="0"/>
      <w:marBottom w:val="0"/>
      <w:divBdr>
        <w:top w:val="none" w:sz="0" w:space="0" w:color="auto"/>
        <w:left w:val="none" w:sz="0" w:space="0" w:color="auto"/>
        <w:bottom w:val="none" w:sz="0" w:space="0" w:color="auto"/>
        <w:right w:val="none" w:sz="0" w:space="0" w:color="auto"/>
      </w:divBdr>
    </w:div>
    <w:div w:id="1226139086">
      <w:bodyDiv w:val="1"/>
      <w:marLeft w:val="0"/>
      <w:marRight w:val="0"/>
      <w:marTop w:val="0"/>
      <w:marBottom w:val="0"/>
      <w:divBdr>
        <w:top w:val="none" w:sz="0" w:space="0" w:color="auto"/>
        <w:left w:val="none" w:sz="0" w:space="0" w:color="auto"/>
        <w:bottom w:val="none" w:sz="0" w:space="0" w:color="auto"/>
        <w:right w:val="none" w:sz="0" w:space="0" w:color="auto"/>
      </w:divBdr>
    </w:div>
    <w:div w:id="1229534596">
      <w:bodyDiv w:val="1"/>
      <w:marLeft w:val="0"/>
      <w:marRight w:val="0"/>
      <w:marTop w:val="0"/>
      <w:marBottom w:val="0"/>
      <w:divBdr>
        <w:top w:val="none" w:sz="0" w:space="0" w:color="auto"/>
        <w:left w:val="none" w:sz="0" w:space="0" w:color="auto"/>
        <w:bottom w:val="none" w:sz="0" w:space="0" w:color="auto"/>
        <w:right w:val="none" w:sz="0" w:space="0" w:color="auto"/>
      </w:divBdr>
    </w:div>
    <w:div w:id="1237939675">
      <w:bodyDiv w:val="1"/>
      <w:marLeft w:val="0"/>
      <w:marRight w:val="0"/>
      <w:marTop w:val="0"/>
      <w:marBottom w:val="0"/>
      <w:divBdr>
        <w:top w:val="none" w:sz="0" w:space="0" w:color="auto"/>
        <w:left w:val="none" w:sz="0" w:space="0" w:color="auto"/>
        <w:bottom w:val="none" w:sz="0" w:space="0" w:color="auto"/>
        <w:right w:val="none" w:sz="0" w:space="0" w:color="auto"/>
      </w:divBdr>
    </w:div>
    <w:div w:id="1238783089">
      <w:bodyDiv w:val="1"/>
      <w:marLeft w:val="0"/>
      <w:marRight w:val="0"/>
      <w:marTop w:val="0"/>
      <w:marBottom w:val="0"/>
      <w:divBdr>
        <w:top w:val="none" w:sz="0" w:space="0" w:color="auto"/>
        <w:left w:val="none" w:sz="0" w:space="0" w:color="auto"/>
        <w:bottom w:val="none" w:sz="0" w:space="0" w:color="auto"/>
        <w:right w:val="none" w:sz="0" w:space="0" w:color="auto"/>
      </w:divBdr>
    </w:div>
    <w:div w:id="1239362266">
      <w:bodyDiv w:val="1"/>
      <w:marLeft w:val="0"/>
      <w:marRight w:val="0"/>
      <w:marTop w:val="0"/>
      <w:marBottom w:val="0"/>
      <w:divBdr>
        <w:top w:val="none" w:sz="0" w:space="0" w:color="auto"/>
        <w:left w:val="none" w:sz="0" w:space="0" w:color="auto"/>
        <w:bottom w:val="none" w:sz="0" w:space="0" w:color="auto"/>
        <w:right w:val="none" w:sz="0" w:space="0" w:color="auto"/>
      </w:divBdr>
    </w:div>
    <w:div w:id="1239635841">
      <w:bodyDiv w:val="1"/>
      <w:marLeft w:val="0"/>
      <w:marRight w:val="0"/>
      <w:marTop w:val="0"/>
      <w:marBottom w:val="0"/>
      <w:divBdr>
        <w:top w:val="none" w:sz="0" w:space="0" w:color="auto"/>
        <w:left w:val="none" w:sz="0" w:space="0" w:color="auto"/>
        <w:bottom w:val="none" w:sz="0" w:space="0" w:color="auto"/>
        <w:right w:val="none" w:sz="0" w:space="0" w:color="auto"/>
      </w:divBdr>
    </w:div>
    <w:div w:id="1239750031">
      <w:bodyDiv w:val="1"/>
      <w:marLeft w:val="0"/>
      <w:marRight w:val="0"/>
      <w:marTop w:val="0"/>
      <w:marBottom w:val="0"/>
      <w:divBdr>
        <w:top w:val="none" w:sz="0" w:space="0" w:color="auto"/>
        <w:left w:val="none" w:sz="0" w:space="0" w:color="auto"/>
        <w:bottom w:val="none" w:sz="0" w:space="0" w:color="auto"/>
        <w:right w:val="none" w:sz="0" w:space="0" w:color="auto"/>
      </w:divBdr>
    </w:div>
    <w:div w:id="1242250690">
      <w:bodyDiv w:val="1"/>
      <w:marLeft w:val="0"/>
      <w:marRight w:val="0"/>
      <w:marTop w:val="0"/>
      <w:marBottom w:val="0"/>
      <w:divBdr>
        <w:top w:val="none" w:sz="0" w:space="0" w:color="auto"/>
        <w:left w:val="none" w:sz="0" w:space="0" w:color="auto"/>
        <w:bottom w:val="none" w:sz="0" w:space="0" w:color="auto"/>
        <w:right w:val="none" w:sz="0" w:space="0" w:color="auto"/>
      </w:divBdr>
    </w:div>
    <w:div w:id="1244414119">
      <w:bodyDiv w:val="1"/>
      <w:marLeft w:val="0"/>
      <w:marRight w:val="0"/>
      <w:marTop w:val="0"/>
      <w:marBottom w:val="0"/>
      <w:divBdr>
        <w:top w:val="none" w:sz="0" w:space="0" w:color="auto"/>
        <w:left w:val="none" w:sz="0" w:space="0" w:color="auto"/>
        <w:bottom w:val="none" w:sz="0" w:space="0" w:color="auto"/>
        <w:right w:val="none" w:sz="0" w:space="0" w:color="auto"/>
      </w:divBdr>
    </w:div>
    <w:div w:id="1249846373">
      <w:bodyDiv w:val="1"/>
      <w:marLeft w:val="0"/>
      <w:marRight w:val="0"/>
      <w:marTop w:val="0"/>
      <w:marBottom w:val="0"/>
      <w:divBdr>
        <w:top w:val="none" w:sz="0" w:space="0" w:color="auto"/>
        <w:left w:val="none" w:sz="0" w:space="0" w:color="auto"/>
        <w:bottom w:val="none" w:sz="0" w:space="0" w:color="auto"/>
        <w:right w:val="none" w:sz="0" w:space="0" w:color="auto"/>
      </w:divBdr>
    </w:div>
    <w:div w:id="1251159763">
      <w:bodyDiv w:val="1"/>
      <w:marLeft w:val="0"/>
      <w:marRight w:val="0"/>
      <w:marTop w:val="0"/>
      <w:marBottom w:val="0"/>
      <w:divBdr>
        <w:top w:val="none" w:sz="0" w:space="0" w:color="auto"/>
        <w:left w:val="none" w:sz="0" w:space="0" w:color="auto"/>
        <w:bottom w:val="none" w:sz="0" w:space="0" w:color="auto"/>
        <w:right w:val="none" w:sz="0" w:space="0" w:color="auto"/>
      </w:divBdr>
    </w:div>
    <w:div w:id="1252197349">
      <w:bodyDiv w:val="1"/>
      <w:marLeft w:val="0"/>
      <w:marRight w:val="0"/>
      <w:marTop w:val="0"/>
      <w:marBottom w:val="0"/>
      <w:divBdr>
        <w:top w:val="none" w:sz="0" w:space="0" w:color="auto"/>
        <w:left w:val="none" w:sz="0" w:space="0" w:color="auto"/>
        <w:bottom w:val="none" w:sz="0" w:space="0" w:color="auto"/>
        <w:right w:val="none" w:sz="0" w:space="0" w:color="auto"/>
      </w:divBdr>
    </w:div>
    <w:div w:id="1255674480">
      <w:bodyDiv w:val="1"/>
      <w:marLeft w:val="0"/>
      <w:marRight w:val="0"/>
      <w:marTop w:val="0"/>
      <w:marBottom w:val="0"/>
      <w:divBdr>
        <w:top w:val="none" w:sz="0" w:space="0" w:color="auto"/>
        <w:left w:val="none" w:sz="0" w:space="0" w:color="auto"/>
        <w:bottom w:val="none" w:sz="0" w:space="0" w:color="auto"/>
        <w:right w:val="none" w:sz="0" w:space="0" w:color="auto"/>
      </w:divBdr>
    </w:div>
    <w:div w:id="1256596012">
      <w:bodyDiv w:val="1"/>
      <w:marLeft w:val="0"/>
      <w:marRight w:val="0"/>
      <w:marTop w:val="0"/>
      <w:marBottom w:val="0"/>
      <w:divBdr>
        <w:top w:val="none" w:sz="0" w:space="0" w:color="auto"/>
        <w:left w:val="none" w:sz="0" w:space="0" w:color="auto"/>
        <w:bottom w:val="none" w:sz="0" w:space="0" w:color="auto"/>
        <w:right w:val="none" w:sz="0" w:space="0" w:color="auto"/>
      </w:divBdr>
    </w:div>
    <w:div w:id="1258178708">
      <w:bodyDiv w:val="1"/>
      <w:marLeft w:val="0"/>
      <w:marRight w:val="0"/>
      <w:marTop w:val="0"/>
      <w:marBottom w:val="0"/>
      <w:divBdr>
        <w:top w:val="none" w:sz="0" w:space="0" w:color="auto"/>
        <w:left w:val="none" w:sz="0" w:space="0" w:color="auto"/>
        <w:bottom w:val="none" w:sz="0" w:space="0" w:color="auto"/>
        <w:right w:val="none" w:sz="0" w:space="0" w:color="auto"/>
      </w:divBdr>
    </w:div>
    <w:div w:id="1264612016">
      <w:bodyDiv w:val="1"/>
      <w:marLeft w:val="0"/>
      <w:marRight w:val="0"/>
      <w:marTop w:val="0"/>
      <w:marBottom w:val="0"/>
      <w:divBdr>
        <w:top w:val="none" w:sz="0" w:space="0" w:color="auto"/>
        <w:left w:val="none" w:sz="0" w:space="0" w:color="auto"/>
        <w:bottom w:val="none" w:sz="0" w:space="0" w:color="auto"/>
        <w:right w:val="none" w:sz="0" w:space="0" w:color="auto"/>
      </w:divBdr>
    </w:div>
    <w:div w:id="1265768389">
      <w:bodyDiv w:val="1"/>
      <w:marLeft w:val="0"/>
      <w:marRight w:val="0"/>
      <w:marTop w:val="0"/>
      <w:marBottom w:val="0"/>
      <w:divBdr>
        <w:top w:val="none" w:sz="0" w:space="0" w:color="auto"/>
        <w:left w:val="none" w:sz="0" w:space="0" w:color="auto"/>
        <w:bottom w:val="none" w:sz="0" w:space="0" w:color="auto"/>
        <w:right w:val="none" w:sz="0" w:space="0" w:color="auto"/>
      </w:divBdr>
    </w:div>
    <w:div w:id="1266494776">
      <w:bodyDiv w:val="1"/>
      <w:marLeft w:val="0"/>
      <w:marRight w:val="0"/>
      <w:marTop w:val="0"/>
      <w:marBottom w:val="0"/>
      <w:divBdr>
        <w:top w:val="none" w:sz="0" w:space="0" w:color="auto"/>
        <w:left w:val="none" w:sz="0" w:space="0" w:color="auto"/>
        <w:bottom w:val="none" w:sz="0" w:space="0" w:color="auto"/>
        <w:right w:val="none" w:sz="0" w:space="0" w:color="auto"/>
      </w:divBdr>
    </w:div>
    <w:div w:id="1271165384">
      <w:bodyDiv w:val="1"/>
      <w:marLeft w:val="0"/>
      <w:marRight w:val="0"/>
      <w:marTop w:val="0"/>
      <w:marBottom w:val="0"/>
      <w:divBdr>
        <w:top w:val="none" w:sz="0" w:space="0" w:color="auto"/>
        <w:left w:val="none" w:sz="0" w:space="0" w:color="auto"/>
        <w:bottom w:val="none" w:sz="0" w:space="0" w:color="auto"/>
        <w:right w:val="none" w:sz="0" w:space="0" w:color="auto"/>
      </w:divBdr>
    </w:div>
    <w:div w:id="1271814539">
      <w:bodyDiv w:val="1"/>
      <w:marLeft w:val="0"/>
      <w:marRight w:val="0"/>
      <w:marTop w:val="0"/>
      <w:marBottom w:val="0"/>
      <w:divBdr>
        <w:top w:val="none" w:sz="0" w:space="0" w:color="auto"/>
        <w:left w:val="none" w:sz="0" w:space="0" w:color="auto"/>
        <w:bottom w:val="none" w:sz="0" w:space="0" w:color="auto"/>
        <w:right w:val="none" w:sz="0" w:space="0" w:color="auto"/>
      </w:divBdr>
    </w:div>
    <w:div w:id="1272014230">
      <w:bodyDiv w:val="1"/>
      <w:marLeft w:val="0"/>
      <w:marRight w:val="0"/>
      <w:marTop w:val="0"/>
      <w:marBottom w:val="0"/>
      <w:divBdr>
        <w:top w:val="none" w:sz="0" w:space="0" w:color="auto"/>
        <w:left w:val="none" w:sz="0" w:space="0" w:color="auto"/>
        <w:bottom w:val="none" w:sz="0" w:space="0" w:color="auto"/>
        <w:right w:val="none" w:sz="0" w:space="0" w:color="auto"/>
      </w:divBdr>
    </w:div>
    <w:div w:id="1272132402">
      <w:bodyDiv w:val="1"/>
      <w:marLeft w:val="0"/>
      <w:marRight w:val="0"/>
      <w:marTop w:val="0"/>
      <w:marBottom w:val="0"/>
      <w:divBdr>
        <w:top w:val="none" w:sz="0" w:space="0" w:color="auto"/>
        <w:left w:val="none" w:sz="0" w:space="0" w:color="auto"/>
        <w:bottom w:val="none" w:sz="0" w:space="0" w:color="auto"/>
        <w:right w:val="none" w:sz="0" w:space="0" w:color="auto"/>
      </w:divBdr>
    </w:div>
    <w:div w:id="1279219276">
      <w:bodyDiv w:val="1"/>
      <w:marLeft w:val="0"/>
      <w:marRight w:val="0"/>
      <w:marTop w:val="0"/>
      <w:marBottom w:val="0"/>
      <w:divBdr>
        <w:top w:val="none" w:sz="0" w:space="0" w:color="auto"/>
        <w:left w:val="none" w:sz="0" w:space="0" w:color="auto"/>
        <w:bottom w:val="none" w:sz="0" w:space="0" w:color="auto"/>
        <w:right w:val="none" w:sz="0" w:space="0" w:color="auto"/>
      </w:divBdr>
    </w:div>
    <w:div w:id="1279989417">
      <w:bodyDiv w:val="1"/>
      <w:marLeft w:val="0"/>
      <w:marRight w:val="0"/>
      <w:marTop w:val="0"/>
      <w:marBottom w:val="0"/>
      <w:divBdr>
        <w:top w:val="none" w:sz="0" w:space="0" w:color="auto"/>
        <w:left w:val="none" w:sz="0" w:space="0" w:color="auto"/>
        <w:bottom w:val="none" w:sz="0" w:space="0" w:color="auto"/>
        <w:right w:val="none" w:sz="0" w:space="0" w:color="auto"/>
      </w:divBdr>
    </w:div>
    <w:div w:id="1281455973">
      <w:bodyDiv w:val="1"/>
      <w:marLeft w:val="0"/>
      <w:marRight w:val="0"/>
      <w:marTop w:val="0"/>
      <w:marBottom w:val="0"/>
      <w:divBdr>
        <w:top w:val="none" w:sz="0" w:space="0" w:color="auto"/>
        <w:left w:val="none" w:sz="0" w:space="0" w:color="auto"/>
        <w:bottom w:val="none" w:sz="0" w:space="0" w:color="auto"/>
        <w:right w:val="none" w:sz="0" w:space="0" w:color="auto"/>
      </w:divBdr>
    </w:div>
    <w:div w:id="1282111717">
      <w:bodyDiv w:val="1"/>
      <w:marLeft w:val="0"/>
      <w:marRight w:val="0"/>
      <w:marTop w:val="0"/>
      <w:marBottom w:val="0"/>
      <w:divBdr>
        <w:top w:val="none" w:sz="0" w:space="0" w:color="auto"/>
        <w:left w:val="none" w:sz="0" w:space="0" w:color="auto"/>
        <w:bottom w:val="none" w:sz="0" w:space="0" w:color="auto"/>
        <w:right w:val="none" w:sz="0" w:space="0" w:color="auto"/>
      </w:divBdr>
    </w:div>
    <w:div w:id="1284002680">
      <w:bodyDiv w:val="1"/>
      <w:marLeft w:val="0"/>
      <w:marRight w:val="0"/>
      <w:marTop w:val="0"/>
      <w:marBottom w:val="0"/>
      <w:divBdr>
        <w:top w:val="none" w:sz="0" w:space="0" w:color="auto"/>
        <w:left w:val="none" w:sz="0" w:space="0" w:color="auto"/>
        <w:bottom w:val="none" w:sz="0" w:space="0" w:color="auto"/>
        <w:right w:val="none" w:sz="0" w:space="0" w:color="auto"/>
      </w:divBdr>
    </w:div>
    <w:div w:id="1284075711">
      <w:bodyDiv w:val="1"/>
      <w:marLeft w:val="0"/>
      <w:marRight w:val="0"/>
      <w:marTop w:val="0"/>
      <w:marBottom w:val="0"/>
      <w:divBdr>
        <w:top w:val="none" w:sz="0" w:space="0" w:color="auto"/>
        <w:left w:val="none" w:sz="0" w:space="0" w:color="auto"/>
        <w:bottom w:val="none" w:sz="0" w:space="0" w:color="auto"/>
        <w:right w:val="none" w:sz="0" w:space="0" w:color="auto"/>
      </w:divBdr>
    </w:div>
    <w:div w:id="1284844928">
      <w:bodyDiv w:val="1"/>
      <w:marLeft w:val="0"/>
      <w:marRight w:val="0"/>
      <w:marTop w:val="0"/>
      <w:marBottom w:val="0"/>
      <w:divBdr>
        <w:top w:val="none" w:sz="0" w:space="0" w:color="auto"/>
        <w:left w:val="none" w:sz="0" w:space="0" w:color="auto"/>
        <w:bottom w:val="none" w:sz="0" w:space="0" w:color="auto"/>
        <w:right w:val="none" w:sz="0" w:space="0" w:color="auto"/>
      </w:divBdr>
    </w:div>
    <w:div w:id="1287808036">
      <w:bodyDiv w:val="1"/>
      <w:marLeft w:val="0"/>
      <w:marRight w:val="0"/>
      <w:marTop w:val="0"/>
      <w:marBottom w:val="0"/>
      <w:divBdr>
        <w:top w:val="none" w:sz="0" w:space="0" w:color="auto"/>
        <w:left w:val="none" w:sz="0" w:space="0" w:color="auto"/>
        <w:bottom w:val="none" w:sz="0" w:space="0" w:color="auto"/>
        <w:right w:val="none" w:sz="0" w:space="0" w:color="auto"/>
      </w:divBdr>
    </w:div>
    <w:div w:id="1293949939">
      <w:bodyDiv w:val="1"/>
      <w:marLeft w:val="0"/>
      <w:marRight w:val="0"/>
      <w:marTop w:val="0"/>
      <w:marBottom w:val="0"/>
      <w:divBdr>
        <w:top w:val="none" w:sz="0" w:space="0" w:color="auto"/>
        <w:left w:val="none" w:sz="0" w:space="0" w:color="auto"/>
        <w:bottom w:val="none" w:sz="0" w:space="0" w:color="auto"/>
        <w:right w:val="none" w:sz="0" w:space="0" w:color="auto"/>
      </w:divBdr>
    </w:div>
    <w:div w:id="1298412607">
      <w:bodyDiv w:val="1"/>
      <w:marLeft w:val="0"/>
      <w:marRight w:val="0"/>
      <w:marTop w:val="0"/>
      <w:marBottom w:val="0"/>
      <w:divBdr>
        <w:top w:val="none" w:sz="0" w:space="0" w:color="auto"/>
        <w:left w:val="none" w:sz="0" w:space="0" w:color="auto"/>
        <w:bottom w:val="none" w:sz="0" w:space="0" w:color="auto"/>
        <w:right w:val="none" w:sz="0" w:space="0" w:color="auto"/>
      </w:divBdr>
    </w:div>
    <w:div w:id="1302149686">
      <w:bodyDiv w:val="1"/>
      <w:marLeft w:val="0"/>
      <w:marRight w:val="0"/>
      <w:marTop w:val="0"/>
      <w:marBottom w:val="0"/>
      <w:divBdr>
        <w:top w:val="none" w:sz="0" w:space="0" w:color="auto"/>
        <w:left w:val="none" w:sz="0" w:space="0" w:color="auto"/>
        <w:bottom w:val="none" w:sz="0" w:space="0" w:color="auto"/>
        <w:right w:val="none" w:sz="0" w:space="0" w:color="auto"/>
      </w:divBdr>
    </w:div>
    <w:div w:id="1309552857">
      <w:bodyDiv w:val="1"/>
      <w:marLeft w:val="0"/>
      <w:marRight w:val="0"/>
      <w:marTop w:val="0"/>
      <w:marBottom w:val="0"/>
      <w:divBdr>
        <w:top w:val="none" w:sz="0" w:space="0" w:color="auto"/>
        <w:left w:val="none" w:sz="0" w:space="0" w:color="auto"/>
        <w:bottom w:val="none" w:sz="0" w:space="0" w:color="auto"/>
        <w:right w:val="none" w:sz="0" w:space="0" w:color="auto"/>
      </w:divBdr>
    </w:div>
    <w:div w:id="1310161733">
      <w:bodyDiv w:val="1"/>
      <w:marLeft w:val="0"/>
      <w:marRight w:val="0"/>
      <w:marTop w:val="0"/>
      <w:marBottom w:val="0"/>
      <w:divBdr>
        <w:top w:val="none" w:sz="0" w:space="0" w:color="auto"/>
        <w:left w:val="none" w:sz="0" w:space="0" w:color="auto"/>
        <w:bottom w:val="none" w:sz="0" w:space="0" w:color="auto"/>
        <w:right w:val="none" w:sz="0" w:space="0" w:color="auto"/>
      </w:divBdr>
    </w:div>
    <w:div w:id="1311134746">
      <w:bodyDiv w:val="1"/>
      <w:marLeft w:val="0"/>
      <w:marRight w:val="0"/>
      <w:marTop w:val="0"/>
      <w:marBottom w:val="0"/>
      <w:divBdr>
        <w:top w:val="none" w:sz="0" w:space="0" w:color="auto"/>
        <w:left w:val="none" w:sz="0" w:space="0" w:color="auto"/>
        <w:bottom w:val="none" w:sz="0" w:space="0" w:color="auto"/>
        <w:right w:val="none" w:sz="0" w:space="0" w:color="auto"/>
      </w:divBdr>
    </w:div>
    <w:div w:id="1313870268">
      <w:bodyDiv w:val="1"/>
      <w:marLeft w:val="0"/>
      <w:marRight w:val="0"/>
      <w:marTop w:val="0"/>
      <w:marBottom w:val="0"/>
      <w:divBdr>
        <w:top w:val="none" w:sz="0" w:space="0" w:color="auto"/>
        <w:left w:val="none" w:sz="0" w:space="0" w:color="auto"/>
        <w:bottom w:val="none" w:sz="0" w:space="0" w:color="auto"/>
        <w:right w:val="none" w:sz="0" w:space="0" w:color="auto"/>
      </w:divBdr>
    </w:div>
    <w:div w:id="1315840880">
      <w:bodyDiv w:val="1"/>
      <w:marLeft w:val="0"/>
      <w:marRight w:val="0"/>
      <w:marTop w:val="0"/>
      <w:marBottom w:val="0"/>
      <w:divBdr>
        <w:top w:val="none" w:sz="0" w:space="0" w:color="auto"/>
        <w:left w:val="none" w:sz="0" w:space="0" w:color="auto"/>
        <w:bottom w:val="none" w:sz="0" w:space="0" w:color="auto"/>
        <w:right w:val="none" w:sz="0" w:space="0" w:color="auto"/>
      </w:divBdr>
    </w:div>
    <w:div w:id="1323700097">
      <w:bodyDiv w:val="1"/>
      <w:marLeft w:val="0"/>
      <w:marRight w:val="0"/>
      <w:marTop w:val="0"/>
      <w:marBottom w:val="0"/>
      <w:divBdr>
        <w:top w:val="none" w:sz="0" w:space="0" w:color="auto"/>
        <w:left w:val="none" w:sz="0" w:space="0" w:color="auto"/>
        <w:bottom w:val="none" w:sz="0" w:space="0" w:color="auto"/>
        <w:right w:val="none" w:sz="0" w:space="0" w:color="auto"/>
      </w:divBdr>
    </w:div>
    <w:div w:id="1324772301">
      <w:bodyDiv w:val="1"/>
      <w:marLeft w:val="0"/>
      <w:marRight w:val="0"/>
      <w:marTop w:val="0"/>
      <w:marBottom w:val="0"/>
      <w:divBdr>
        <w:top w:val="none" w:sz="0" w:space="0" w:color="auto"/>
        <w:left w:val="none" w:sz="0" w:space="0" w:color="auto"/>
        <w:bottom w:val="none" w:sz="0" w:space="0" w:color="auto"/>
        <w:right w:val="none" w:sz="0" w:space="0" w:color="auto"/>
      </w:divBdr>
    </w:div>
    <w:div w:id="1325814592">
      <w:bodyDiv w:val="1"/>
      <w:marLeft w:val="0"/>
      <w:marRight w:val="0"/>
      <w:marTop w:val="0"/>
      <w:marBottom w:val="0"/>
      <w:divBdr>
        <w:top w:val="none" w:sz="0" w:space="0" w:color="auto"/>
        <w:left w:val="none" w:sz="0" w:space="0" w:color="auto"/>
        <w:bottom w:val="none" w:sz="0" w:space="0" w:color="auto"/>
        <w:right w:val="none" w:sz="0" w:space="0" w:color="auto"/>
      </w:divBdr>
    </w:div>
    <w:div w:id="1327053812">
      <w:bodyDiv w:val="1"/>
      <w:marLeft w:val="0"/>
      <w:marRight w:val="0"/>
      <w:marTop w:val="0"/>
      <w:marBottom w:val="0"/>
      <w:divBdr>
        <w:top w:val="none" w:sz="0" w:space="0" w:color="auto"/>
        <w:left w:val="none" w:sz="0" w:space="0" w:color="auto"/>
        <w:bottom w:val="none" w:sz="0" w:space="0" w:color="auto"/>
        <w:right w:val="none" w:sz="0" w:space="0" w:color="auto"/>
      </w:divBdr>
    </w:div>
    <w:div w:id="1327123761">
      <w:bodyDiv w:val="1"/>
      <w:marLeft w:val="0"/>
      <w:marRight w:val="0"/>
      <w:marTop w:val="0"/>
      <w:marBottom w:val="0"/>
      <w:divBdr>
        <w:top w:val="none" w:sz="0" w:space="0" w:color="auto"/>
        <w:left w:val="none" w:sz="0" w:space="0" w:color="auto"/>
        <w:bottom w:val="none" w:sz="0" w:space="0" w:color="auto"/>
        <w:right w:val="none" w:sz="0" w:space="0" w:color="auto"/>
      </w:divBdr>
    </w:div>
    <w:div w:id="1328053732">
      <w:bodyDiv w:val="1"/>
      <w:marLeft w:val="0"/>
      <w:marRight w:val="0"/>
      <w:marTop w:val="0"/>
      <w:marBottom w:val="0"/>
      <w:divBdr>
        <w:top w:val="none" w:sz="0" w:space="0" w:color="auto"/>
        <w:left w:val="none" w:sz="0" w:space="0" w:color="auto"/>
        <w:bottom w:val="none" w:sz="0" w:space="0" w:color="auto"/>
        <w:right w:val="none" w:sz="0" w:space="0" w:color="auto"/>
      </w:divBdr>
    </w:div>
    <w:div w:id="1330134981">
      <w:bodyDiv w:val="1"/>
      <w:marLeft w:val="0"/>
      <w:marRight w:val="0"/>
      <w:marTop w:val="0"/>
      <w:marBottom w:val="0"/>
      <w:divBdr>
        <w:top w:val="none" w:sz="0" w:space="0" w:color="auto"/>
        <w:left w:val="none" w:sz="0" w:space="0" w:color="auto"/>
        <w:bottom w:val="none" w:sz="0" w:space="0" w:color="auto"/>
        <w:right w:val="none" w:sz="0" w:space="0" w:color="auto"/>
      </w:divBdr>
    </w:div>
    <w:div w:id="1333483524">
      <w:bodyDiv w:val="1"/>
      <w:marLeft w:val="0"/>
      <w:marRight w:val="0"/>
      <w:marTop w:val="0"/>
      <w:marBottom w:val="0"/>
      <w:divBdr>
        <w:top w:val="none" w:sz="0" w:space="0" w:color="auto"/>
        <w:left w:val="none" w:sz="0" w:space="0" w:color="auto"/>
        <w:bottom w:val="none" w:sz="0" w:space="0" w:color="auto"/>
        <w:right w:val="none" w:sz="0" w:space="0" w:color="auto"/>
      </w:divBdr>
    </w:div>
    <w:div w:id="1334796745">
      <w:bodyDiv w:val="1"/>
      <w:marLeft w:val="0"/>
      <w:marRight w:val="0"/>
      <w:marTop w:val="0"/>
      <w:marBottom w:val="0"/>
      <w:divBdr>
        <w:top w:val="none" w:sz="0" w:space="0" w:color="auto"/>
        <w:left w:val="none" w:sz="0" w:space="0" w:color="auto"/>
        <w:bottom w:val="none" w:sz="0" w:space="0" w:color="auto"/>
        <w:right w:val="none" w:sz="0" w:space="0" w:color="auto"/>
      </w:divBdr>
    </w:div>
    <w:div w:id="1334996068">
      <w:bodyDiv w:val="1"/>
      <w:marLeft w:val="0"/>
      <w:marRight w:val="0"/>
      <w:marTop w:val="0"/>
      <w:marBottom w:val="0"/>
      <w:divBdr>
        <w:top w:val="none" w:sz="0" w:space="0" w:color="auto"/>
        <w:left w:val="none" w:sz="0" w:space="0" w:color="auto"/>
        <w:bottom w:val="none" w:sz="0" w:space="0" w:color="auto"/>
        <w:right w:val="none" w:sz="0" w:space="0" w:color="auto"/>
      </w:divBdr>
    </w:div>
    <w:div w:id="1339893179">
      <w:bodyDiv w:val="1"/>
      <w:marLeft w:val="0"/>
      <w:marRight w:val="0"/>
      <w:marTop w:val="0"/>
      <w:marBottom w:val="0"/>
      <w:divBdr>
        <w:top w:val="none" w:sz="0" w:space="0" w:color="auto"/>
        <w:left w:val="none" w:sz="0" w:space="0" w:color="auto"/>
        <w:bottom w:val="none" w:sz="0" w:space="0" w:color="auto"/>
        <w:right w:val="none" w:sz="0" w:space="0" w:color="auto"/>
      </w:divBdr>
    </w:div>
    <w:div w:id="1340351113">
      <w:bodyDiv w:val="1"/>
      <w:marLeft w:val="0"/>
      <w:marRight w:val="0"/>
      <w:marTop w:val="0"/>
      <w:marBottom w:val="0"/>
      <w:divBdr>
        <w:top w:val="none" w:sz="0" w:space="0" w:color="auto"/>
        <w:left w:val="none" w:sz="0" w:space="0" w:color="auto"/>
        <w:bottom w:val="none" w:sz="0" w:space="0" w:color="auto"/>
        <w:right w:val="none" w:sz="0" w:space="0" w:color="auto"/>
      </w:divBdr>
    </w:div>
    <w:div w:id="1348873115">
      <w:bodyDiv w:val="1"/>
      <w:marLeft w:val="0"/>
      <w:marRight w:val="0"/>
      <w:marTop w:val="0"/>
      <w:marBottom w:val="0"/>
      <w:divBdr>
        <w:top w:val="none" w:sz="0" w:space="0" w:color="auto"/>
        <w:left w:val="none" w:sz="0" w:space="0" w:color="auto"/>
        <w:bottom w:val="none" w:sz="0" w:space="0" w:color="auto"/>
        <w:right w:val="none" w:sz="0" w:space="0" w:color="auto"/>
      </w:divBdr>
    </w:div>
    <w:div w:id="1350374909">
      <w:bodyDiv w:val="1"/>
      <w:marLeft w:val="0"/>
      <w:marRight w:val="0"/>
      <w:marTop w:val="0"/>
      <w:marBottom w:val="0"/>
      <w:divBdr>
        <w:top w:val="none" w:sz="0" w:space="0" w:color="auto"/>
        <w:left w:val="none" w:sz="0" w:space="0" w:color="auto"/>
        <w:bottom w:val="none" w:sz="0" w:space="0" w:color="auto"/>
        <w:right w:val="none" w:sz="0" w:space="0" w:color="auto"/>
      </w:divBdr>
    </w:div>
    <w:div w:id="1355959368">
      <w:bodyDiv w:val="1"/>
      <w:marLeft w:val="0"/>
      <w:marRight w:val="0"/>
      <w:marTop w:val="0"/>
      <w:marBottom w:val="0"/>
      <w:divBdr>
        <w:top w:val="none" w:sz="0" w:space="0" w:color="auto"/>
        <w:left w:val="none" w:sz="0" w:space="0" w:color="auto"/>
        <w:bottom w:val="none" w:sz="0" w:space="0" w:color="auto"/>
        <w:right w:val="none" w:sz="0" w:space="0" w:color="auto"/>
      </w:divBdr>
    </w:div>
    <w:div w:id="1358896859">
      <w:bodyDiv w:val="1"/>
      <w:marLeft w:val="0"/>
      <w:marRight w:val="0"/>
      <w:marTop w:val="0"/>
      <w:marBottom w:val="0"/>
      <w:divBdr>
        <w:top w:val="none" w:sz="0" w:space="0" w:color="auto"/>
        <w:left w:val="none" w:sz="0" w:space="0" w:color="auto"/>
        <w:bottom w:val="none" w:sz="0" w:space="0" w:color="auto"/>
        <w:right w:val="none" w:sz="0" w:space="0" w:color="auto"/>
      </w:divBdr>
    </w:div>
    <w:div w:id="1364360801">
      <w:bodyDiv w:val="1"/>
      <w:marLeft w:val="0"/>
      <w:marRight w:val="0"/>
      <w:marTop w:val="0"/>
      <w:marBottom w:val="0"/>
      <w:divBdr>
        <w:top w:val="none" w:sz="0" w:space="0" w:color="auto"/>
        <w:left w:val="none" w:sz="0" w:space="0" w:color="auto"/>
        <w:bottom w:val="none" w:sz="0" w:space="0" w:color="auto"/>
        <w:right w:val="none" w:sz="0" w:space="0" w:color="auto"/>
      </w:divBdr>
    </w:div>
    <w:div w:id="1372460648">
      <w:bodyDiv w:val="1"/>
      <w:marLeft w:val="0"/>
      <w:marRight w:val="0"/>
      <w:marTop w:val="0"/>
      <w:marBottom w:val="0"/>
      <w:divBdr>
        <w:top w:val="none" w:sz="0" w:space="0" w:color="auto"/>
        <w:left w:val="none" w:sz="0" w:space="0" w:color="auto"/>
        <w:bottom w:val="none" w:sz="0" w:space="0" w:color="auto"/>
        <w:right w:val="none" w:sz="0" w:space="0" w:color="auto"/>
      </w:divBdr>
    </w:div>
    <w:div w:id="1372609285">
      <w:bodyDiv w:val="1"/>
      <w:marLeft w:val="0"/>
      <w:marRight w:val="0"/>
      <w:marTop w:val="0"/>
      <w:marBottom w:val="0"/>
      <w:divBdr>
        <w:top w:val="none" w:sz="0" w:space="0" w:color="auto"/>
        <w:left w:val="none" w:sz="0" w:space="0" w:color="auto"/>
        <w:bottom w:val="none" w:sz="0" w:space="0" w:color="auto"/>
        <w:right w:val="none" w:sz="0" w:space="0" w:color="auto"/>
      </w:divBdr>
    </w:div>
    <w:div w:id="1379823036">
      <w:bodyDiv w:val="1"/>
      <w:marLeft w:val="0"/>
      <w:marRight w:val="0"/>
      <w:marTop w:val="0"/>
      <w:marBottom w:val="0"/>
      <w:divBdr>
        <w:top w:val="none" w:sz="0" w:space="0" w:color="auto"/>
        <w:left w:val="none" w:sz="0" w:space="0" w:color="auto"/>
        <w:bottom w:val="none" w:sz="0" w:space="0" w:color="auto"/>
        <w:right w:val="none" w:sz="0" w:space="0" w:color="auto"/>
      </w:divBdr>
    </w:div>
    <w:div w:id="1379934524">
      <w:bodyDiv w:val="1"/>
      <w:marLeft w:val="0"/>
      <w:marRight w:val="0"/>
      <w:marTop w:val="0"/>
      <w:marBottom w:val="0"/>
      <w:divBdr>
        <w:top w:val="none" w:sz="0" w:space="0" w:color="auto"/>
        <w:left w:val="none" w:sz="0" w:space="0" w:color="auto"/>
        <w:bottom w:val="none" w:sz="0" w:space="0" w:color="auto"/>
        <w:right w:val="none" w:sz="0" w:space="0" w:color="auto"/>
      </w:divBdr>
    </w:div>
    <w:div w:id="1388601202">
      <w:bodyDiv w:val="1"/>
      <w:marLeft w:val="0"/>
      <w:marRight w:val="0"/>
      <w:marTop w:val="0"/>
      <w:marBottom w:val="0"/>
      <w:divBdr>
        <w:top w:val="none" w:sz="0" w:space="0" w:color="auto"/>
        <w:left w:val="none" w:sz="0" w:space="0" w:color="auto"/>
        <w:bottom w:val="none" w:sz="0" w:space="0" w:color="auto"/>
        <w:right w:val="none" w:sz="0" w:space="0" w:color="auto"/>
      </w:divBdr>
    </w:div>
    <w:div w:id="1393576042">
      <w:bodyDiv w:val="1"/>
      <w:marLeft w:val="0"/>
      <w:marRight w:val="0"/>
      <w:marTop w:val="0"/>
      <w:marBottom w:val="0"/>
      <w:divBdr>
        <w:top w:val="none" w:sz="0" w:space="0" w:color="auto"/>
        <w:left w:val="none" w:sz="0" w:space="0" w:color="auto"/>
        <w:bottom w:val="none" w:sz="0" w:space="0" w:color="auto"/>
        <w:right w:val="none" w:sz="0" w:space="0" w:color="auto"/>
      </w:divBdr>
    </w:div>
    <w:div w:id="1401055090">
      <w:bodyDiv w:val="1"/>
      <w:marLeft w:val="0"/>
      <w:marRight w:val="0"/>
      <w:marTop w:val="0"/>
      <w:marBottom w:val="0"/>
      <w:divBdr>
        <w:top w:val="none" w:sz="0" w:space="0" w:color="auto"/>
        <w:left w:val="none" w:sz="0" w:space="0" w:color="auto"/>
        <w:bottom w:val="none" w:sz="0" w:space="0" w:color="auto"/>
        <w:right w:val="none" w:sz="0" w:space="0" w:color="auto"/>
      </w:divBdr>
    </w:div>
    <w:div w:id="1407416780">
      <w:bodyDiv w:val="1"/>
      <w:marLeft w:val="0"/>
      <w:marRight w:val="0"/>
      <w:marTop w:val="0"/>
      <w:marBottom w:val="0"/>
      <w:divBdr>
        <w:top w:val="none" w:sz="0" w:space="0" w:color="auto"/>
        <w:left w:val="none" w:sz="0" w:space="0" w:color="auto"/>
        <w:bottom w:val="none" w:sz="0" w:space="0" w:color="auto"/>
        <w:right w:val="none" w:sz="0" w:space="0" w:color="auto"/>
      </w:divBdr>
    </w:div>
    <w:div w:id="1415280058">
      <w:bodyDiv w:val="1"/>
      <w:marLeft w:val="0"/>
      <w:marRight w:val="0"/>
      <w:marTop w:val="0"/>
      <w:marBottom w:val="0"/>
      <w:divBdr>
        <w:top w:val="none" w:sz="0" w:space="0" w:color="auto"/>
        <w:left w:val="none" w:sz="0" w:space="0" w:color="auto"/>
        <w:bottom w:val="none" w:sz="0" w:space="0" w:color="auto"/>
        <w:right w:val="none" w:sz="0" w:space="0" w:color="auto"/>
      </w:divBdr>
    </w:div>
    <w:div w:id="1415470608">
      <w:bodyDiv w:val="1"/>
      <w:marLeft w:val="0"/>
      <w:marRight w:val="0"/>
      <w:marTop w:val="0"/>
      <w:marBottom w:val="0"/>
      <w:divBdr>
        <w:top w:val="none" w:sz="0" w:space="0" w:color="auto"/>
        <w:left w:val="none" w:sz="0" w:space="0" w:color="auto"/>
        <w:bottom w:val="none" w:sz="0" w:space="0" w:color="auto"/>
        <w:right w:val="none" w:sz="0" w:space="0" w:color="auto"/>
      </w:divBdr>
    </w:div>
    <w:div w:id="1418671570">
      <w:bodyDiv w:val="1"/>
      <w:marLeft w:val="0"/>
      <w:marRight w:val="0"/>
      <w:marTop w:val="0"/>
      <w:marBottom w:val="0"/>
      <w:divBdr>
        <w:top w:val="none" w:sz="0" w:space="0" w:color="auto"/>
        <w:left w:val="none" w:sz="0" w:space="0" w:color="auto"/>
        <w:bottom w:val="none" w:sz="0" w:space="0" w:color="auto"/>
        <w:right w:val="none" w:sz="0" w:space="0" w:color="auto"/>
      </w:divBdr>
    </w:div>
    <w:div w:id="1419399192">
      <w:bodyDiv w:val="1"/>
      <w:marLeft w:val="0"/>
      <w:marRight w:val="0"/>
      <w:marTop w:val="0"/>
      <w:marBottom w:val="0"/>
      <w:divBdr>
        <w:top w:val="none" w:sz="0" w:space="0" w:color="auto"/>
        <w:left w:val="none" w:sz="0" w:space="0" w:color="auto"/>
        <w:bottom w:val="none" w:sz="0" w:space="0" w:color="auto"/>
        <w:right w:val="none" w:sz="0" w:space="0" w:color="auto"/>
      </w:divBdr>
    </w:div>
    <w:div w:id="1428035628">
      <w:bodyDiv w:val="1"/>
      <w:marLeft w:val="0"/>
      <w:marRight w:val="0"/>
      <w:marTop w:val="0"/>
      <w:marBottom w:val="0"/>
      <w:divBdr>
        <w:top w:val="none" w:sz="0" w:space="0" w:color="auto"/>
        <w:left w:val="none" w:sz="0" w:space="0" w:color="auto"/>
        <w:bottom w:val="none" w:sz="0" w:space="0" w:color="auto"/>
        <w:right w:val="none" w:sz="0" w:space="0" w:color="auto"/>
      </w:divBdr>
    </w:div>
    <w:div w:id="1428041255">
      <w:bodyDiv w:val="1"/>
      <w:marLeft w:val="0"/>
      <w:marRight w:val="0"/>
      <w:marTop w:val="0"/>
      <w:marBottom w:val="0"/>
      <w:divBdr>
        <w:top w:val="none" w:sz="0" w:space="0" w:color="auto"/>
        <w:left w:val="none" w:sz="0" w:space="0" w:color="auto"/>
        <w:bottom w:val="none" w:sz="0" w:space="0" w:color="auto"/>
        <w:right w:val="none" w:sz="0" w:space="0" w:color="auto"/>
      </w:divBdr>
    </w:div>
    <w:div w:id="1433744212">
      <w:bodyDiv w:val="1"/>
      <w:marLeft w:val="0"/>
      <w:marRight w:val="0"/>
      <w:marTop w:val="0"/>
      <w:marBottom w:val="0"/>
      <w:divBdr>
        <w:top w:val="none" w:sz="0" w:space="0" w:color="auto"/>
        <w:left w:val="none" w:sz="0" w:space="0" w:color="auto"/>
        <w:bottom w:val="none" w:sz="0" w:space="0" w:color="auto"/>
        <w:right w:val="none" w:sz="0" w:space="0" w:color="auto"/>
      </w:divBdr>
    </w:div>
    <w:div w:id="1437478002">
      <w:bodyDiv w:val="1"/>
      <w:marLeft w:val="0"/>
      <w:marRight w:val="0"/>
      <w:marTop w:val="0"/>
      <w:marBottom w:val="0"/>
      <w:divBdr>
        <w:top w:val="none" w:sz="0" w:space="0" w:color="auto"/>
        <w:left w:val="none" w:sz="0" w:space="0" w:color="auto"/>
        <w:bottom w:val="none" w:sz="0" w:space="0" w:color="auto"/>
        <w:right w:val="none" w:sz="0" w:space="0" w:color="auto"/>
      </w:divBdr>
    </w:div>
    <w:div w:id="1437868082">
      <w:bodyDiv w:val="1"/>
      <w:marLeft w:val="0"/>
      <w:marRight w:val="0"/>
      <w:marTop w:val="0"/>
      <w:marBottom w:val="0"/>
      <w:divBdr>
        <w:top w:val="none" w:sz="0" w:space="0" w:color="auto"/>
        <w:left w:val="none" w:sz="0" w:space="0" w:color="auto"/>
        <w:bottom w:val="none" w:sz="0" w:space="0" w:color="auto"/>
        <w:right w:val="none" w:sz="0" w:space="0" w:color="auto"/>
      </w:divBdr>
    </w:div>
    <w:div w:id="1439644625">
      <w:bodyDiv w:val="1"/>
      <w:marLeft w:val="0"/>
      <w:marRight w:val="0"/>
      <w:marTop w:val="0"/>
      <w:marBottom w:val="0"/>
      <w:divBdr>
        <w:top w:val="none" w:sz="0" w:space="0" w:color="auto"/>
        <w:left w:val="none" w:sz="0" w:space="0" w:color="auto"/>
        <w:bottom w:val="none" w:sz="0" w:space="0" w:color="auto"/>
        <w:right w:val="none" w:sz="0" w:space="0" w:color="auto"/>
      </w:divBdr>
    </w:div>
    <w:div w:id="1443307706">
      <w:bodyDiv w:val="1"/>
      <w:marLeft w:val="0"/>
      <w:marRight w:val="0"/>
      <w:marTop w:val="0"/>
      <w:marBottom w:val="0"/>
      <w:divBdr>
        <w:top w:val="none" w:sz="0" w:space="0" w:color="auto"/>
        <w:left w:val="none" w:sz="0" w:space="0" w:color="auto"/>
        <w:bottom w:val="none" w:sz="0" w:space="0" w:color="auto"/>
        <w:right w:val="none" w:sz="0" w:space="0" w:color="auto"/>
      </w:divBdr>
    </w:div>
    <w:div w:id="1445420851">
      <w:bodyDiv w:val="1"/>
      <w:marLeft w:val="0"/>
      <w:marRight w:val="0"/>
      <w:marTop w:val="0"/>
      <w:marBottom w:val="0"/>
      <w:divBdr>
        <w:top w:val="none" w:sz="0" w:space="0" w:color="auto"/>
        <w:left w:val="none" w:sz="0" w:space="0" w:color="auto"/>
        <w:bottom w:val="none" w:sz="0" w:space="0" w:color="auto"/>
        <w:right w:val="none" w:sz="0" w:space="0" w:color="auto"/>
      </w:divBdr>
    </w:div>
    <w:div w:id="1449621389">
      <w:bodyDiv w:val="1"/>
      <w:marLeft w:val="0"/>
      <w:marRight w:val="0"/>
      <w:marTop w:val="0"/>
      <w:marBottom w:val="0"/>
      <w:divBdr>
        <w:top w:val="none" w:sz="0" w:space="0" w:color="auto"/>
        <w:left w:val="none" w:sz="0" w:space="0" w:color="auto"/>
        <w:bottom w:val="none" w:sz="0" w:space="0" w:color="auto"/>
        <w:right w:val="none" w:sz="0" w:space="0" w:color="auto"/>
      </w:divBdr>
    </w:div>
    <w:div w:id="1451709313">
      <w:bodyDiv w:val="1"/>
      <w:marLeft w:val="0"/>
      <w:marRight w:val="0"/>
      <w:marTop w:val="0"/>
      <w:marBottom w:val="0"/>
      <w:divBdr>
        <w:top w:val="none" w:sz="0" w:space="0" w:color="auto"/>
        <w:left w:val="none" w:sz="0" w:space="0" w:color="auto"/>
        <w:bottom w:val="none" w:sz="0" w:space="0" w:color="auto"/>
        <w:right w:val="none" w:sz="0" w:space="0" w:color="auto"/>
      </w:divBdr>
    </w:div>
    <w:div w:id="1453787851">
      <w:bodyDiv w:val="1"/>
      <w:marLeft w:val="0"/>
      <w:marRight w:val="0"/>
      <w:marTop w:val="0"/>
      <w:marBottom w:val="0"/>
      <w:divBdr>
        <w:top w:val="none" w:sz="0" w:space="0" w:color="auto"/>
        <w:left w:val="none" w:sz="0" w:space="0" w:color="auto"/>
        <w:bottom w:val="none" w:sz="0" w:space="0" w:color="auto"/>
        <w:right w:val="none" w:sz="0" w:space="0" w:color="auto"/>
      </w:divBdr>
    </w:div>
    <w:div w:id="1456606169">
      <w:bodyDiv w:val="1"/>
      <w:marLeft w:val="0"/>
      <w:marRight w:val="0"/>
      <w:marTop w:val="0"/>
      <w:marBottom w:val="0"/>
      <w:divBdr>
        <w:top w:val="none" w:sz="0" w:space="0" w:color="auto"/>
        <w:left w:val="none" w:sz="0" w:space="0" w:color="auto"/>
        <w:bottom w:val="none" w:sz="0" w:space="0" w:color="auto"/>
        <w:right w:val="none" w:sz="0" w:space="0" w:color="auto"/>
      </w:divBdr>
    </w:div>
    <w:div w:id="1461728003">
      <w:bodyDiv w:val="1"/>
      <w:marLeft w:val="0"/>
      <w:marRight w:val="0"/>
      <w:marTop w:val="0"/>
      <w:marBottom w:val="0"/>
      <w:divBdr>
        <w:top w:val="none" w:sz="0" w:space="0" w:color="auto"/>
        <w:left w:val="none" w:sz="0" w:space="0" w:color="auto"/>
        <w:bottom w:val="none" w:sz="0" w:space="0" w:color="auto"/>
        <w:right w:val="none" w:sz="0" w:space="0" w:color="auto"/>
      </w:divBdr>
    </w:div>
    <w:div w:id="1462965039">
      <w:bodyDiv w:val="1"/>
      <w:marLeft w:val="0"/>
      <w:marRight w:val="0"/>
      <w:marTop w:val="0"/>
      <w:marBottom w:val="0"/>
      <w:divBdr>
        <w:top w:val="none" w:sz="0" w:space="0" w:color="auto"/>
        <w:left w:val="none" w:sz="0" w:space="0" w:color="auto"/>
        <w:bottom w:val="none" w:sz="0" w:space="0" w:color="auto"/>
        <w:right w:val="none" w:sz="0" w:space="0" w:color="auto"/>
      </w:divBdr>
    </w:div>
    <w:div w:id="1463306034">
      <w:bodyDiv w:val="1"/>
      <w:marLeft w:val="0"/>
      <w:marRight w:val="0"/>
      <w:marTop w:val="0"/>
      <w:marBottom w:val="0"/>
      <w:divBdr>
        <w:top w:val="none" w:sz="0" w:space="0" w:color="auto"/>
        <w:left w:val="none" w:sz="0" w:space="0" w:color="auto"/>
        <w:bottom w:val="none" w:sz="0" w:space="0" w:color="auto"/>
        <w:right w:val="none" w:sz="0" w:space="0" w:color="auto"/>
      </w:divBdr>
    </w:div>
    <w:div w:id="1464040331">
      <w:bodyDiv w:val="1"/>
      <w:marLeft w:val="0"/>
      <w:marRight w:val="0"/>
      <w:marTop w:val="0"/>
      <w:marBottom w:val="0"/>
      <w:divBdr>
        <w:top w:val="none" w:sz="0" w:space="0" w:color="auto"/>
        <w:left w:val="none" w:sz="0" w:space="0" w:color="auto"/>
        <w:bottom w:val="none" w:sz="0" w:space="0" w:color="auto"/>
        <w:right w:val="none" w:sz="0" w:space="0" w:color="auto"/>
      </w:divBdr>
    </w:div>
    <w:div w:id="1474520589">
      <w:bodyDiv w:val="1"/>
      <w:marLeft w:val="0"/>
      <w:marRight w:val="0"/>
      <w:marTop w:val="0"/>
      <w:marBottom w:val="0"/>
      <w:divBdr>
        <w:top w:val="none" w:sz="0" w:space="0" w:color="auto"/>
        <w:left w:val="none" w:sz="0" w:space="0" w:color="auto"/>
        <w:bottom w:val="none" w:sz="0" w:space="0" w:color="auto"/>
        <w:right w:val="none" w:sz="0" w:space="0" w:color="auto"/>
      </w:divBdr>
    </w:div>
    <w:div w:id="1475947506">
      <w:bodyDiv w:val="1"/>
      <w:marLeft w:val="0"/>
      <w:marRight w:val="0"/>
      <w:marTop w:val="0"/>
      <w:marBottom w:val="0"/>
      <w:divBdr>
        <w:top w:val="none" w:sz="0" w:space="0" w:color="auto"/>
        <w:left w:val="none" w:sz="0" w:space="0" w:color="auto"/>
        <w:bottom w:val="none" w:sz="0" w:space="0" w:color="auto"/>
        <w:right w:val="none" w:sz="0" w:space="0" w:color="auto"/>
      </w:divBdr>
    </w:div>
    <w:div w:id="1479540902">
      <w:bodyDiv w:val="1"/>
      <w:marLeft w:val="0"/>
      <w:marRight w:val="0"/>
      <w:marTop w:val="0"/>
      <w:marBottom w:val="0"/>
      <w:divBdr>
        <w:top w:val="none" w:sz="0" w:space="0" w:color="auto"/>
        <w:left w:val="none" w:sz="0" w:space="0" w:color="auto"/>
        <w:bottom w:val="none" w:sz="0" w:space="0" w:color="auto"/>
        <w:right w:val="none" w:sz="0" w:space="0" w:color="auto"/>
      </w:divBdr>
    </w:div>
    <w:div w:id="1485048517">
      <w:bodyDiv w:val="1"/>
      <w:marLeft w:val="0"/>
      <w:marRight w:val="0"/>
      <w:marTop w:val="0"/>
      <w:marBottom w:val="0"/>
      <w:divBdr>
        <w:top w:val="none" w:sz="0" w:space="0" w:color="auto"/>
        <w:left w:val="none" w:sz="0" w:space="0" w:color="auto"/>
        <w:bottom w:val="none" w:sz="0" w:space="0" w:color="auto"/>
        <w:right w:val="none" w:sz="0" w:space="0" w:color="auto"/>
      </w:divBdr>
    </w:div>
    <w:div w:id="1487090951">
      <w:bodyDiv w:val="1"/>
      <w:marLeft w:val="0"/>
      <w:marRight w:val="0"/>
      <w:marTop w:val="0"/>
      <w:marBottom w:val="0"/>
      <w:divBdr>
        <w:top w:val="none" w:sz="0" w:space="0" w:color="auto"/>
        <w:left w:val="none" w:sz="0" w:space="0" w:color="auto"/>
        <w:bottom w:val="none" w:sz="0" w:space="0" w:color="auto"/>
        <w:right w:val="none" w:sz="0" w:space="0" w:color="auto"/>
      </w:divBdr>
    </w:div>
    <w:div w:id="1493594965">
      <w:bodyDiv w:val="1"/>
      <w:marLeft w:val="0"/>
      <w:marRight w:val="0"/>
      <w:marTop w:val="0"/>
      <w:marBottom w:val="0"/>
      <w:divBdr>
        <w:top w:val="none" w:sz="0" w:space="0" w:color="auto"/>
        <w:left w:val="none" w:sz="0" w:space="0" w:color="auto"/>
        <w:bottom w:val="none" w:sz="0" w:space="0" w:color="auto"/>
        <w:right w:val="none" w:sz="0" w:space="0" w:color="auto"/>
      </w:divBdr>
    </w:div>
    <w:div w:id="1495686029">
      <w:bodyDiv w:val="1"/>
      <w:marLeft w:val="0"/>
      <w:marRight w:val="0"/>
      <w:marTop w:val="0"/>
      <w:marBottom w:val="0"/>
      <w:divBdr>
        <w:top w:val="none" w:sz="0" w:space="0" w:color="auto"/>
        <w:left w:val="none" w:sz="0" w:space="0" w:color="auto"/>
        <w:bottom w:val="none" w:sz="0" w:space="0" w:color="auto"/>
        <w:right w:val="none" w:sz="0" w:space="0" w:color="auto"/>
      </w:divBdr>
    </w:div>
    <w:div w:id="1496383570">
      <w:bodyDiv w:val="1"/>
      <w:marLeft w:val="0"/>
      <w:marRight w:val="0"/>
      <w:marTop w:val="0"/>
      <w:marBottom w:val="0"/>
      <w:divBdr>
        <w:top w:val="none" w:sz="0" w:space="0" w:color="auto"/>
        <w:left w:val="none" w:sz="0" w:space="0" w:color="auto"/>
        <w:bottom w:val="none" w:sz="0" w:space="0" w:color="auto"/>
        <w:right w:val="none" w:sz="0" w:space="0" w:color="auto"/>
      </w:divBdr>
    </w:div>
    <w:div w:id="1498501194">
      <w:bodyDiv w:val="1"/>
      <w:marLeft w:val="0"/>
      <w:marRight w:val="0"/>
      <w:marTop w:val="0"/>
      <w:marBottom w:val="0"/>
      <w:divBdr>
        <w:top w:val="none" w:sz="0" w:space="0" w:color="auto"/>
        <w:left w:val="none" w:sz="0" w:space="0" w:color="auto"/>
        <w:bottom w:val="none" w:sz="0" w:space="0" w:color="auto"/>
        <w:right w:val="none" w:sz="0" w:space="0" w:color="auto"/>
      </w:divBdr>
    </w:div>
    <w:div w:id="1499732582">
      <w:bodyDiv w:val="1"/>
      <w:marLeft w:val="0"/>
      <w:marRight w:val="0"/>
      <w:marTop w:val="0"/>
      <w:marBottom w:val="0"/>
      <w:divBdr>
        <w:top w:val="none" w:sz="0" w:space="0" w:color="auto"/>
        <w:left w:val="none" w:sz="0" w:space="0" w:color="auto"/>
        <w:bottom w:val="none" w:sz="0" w:space="0" w:color="auto"/>
        <w:right w:val="none" w:sz="0" w:space="0" w:color="auto"/>
      </w:divBdr>
    </w:div>
    <w:div w:id="1503007867">
      <w:bodyDiv w:val="1"/>
      <w:marLeft w:val="0"/>
      <w:marRight w:val="0"/>
      <w:marTop w:val="0"/>
      <w:marBottom w:val="0"/>
      <w:divBdr>
        <w:top w:val="none" w:sz="0" w:space="0" w:color="auto"/>
        <w:left w:val="none" w:sz="0" w:space="0" w:color="auto"/>
        <w:bottom w:val="none" w:sz="0" w:space="0" w:color="auto"/>
        <w:right w:val="none" w:sz="0" w:space="0" w:color="auto"/>
      </w:divBdr>
    </w:div>
    <w:div w:id="1504274070">
      <w:bodyDiv w:val="1"/>
      <w:marLeft w:val="0"/>
      <w:marRight w:val="0"/>
      <w:marTop w:val="0"/>
      <w:marBottom w:val="0"/>
      <w:divBdr>
        <w:top w:val="none" w:sz="0" w:space="0" w:color="auto"/>
        <w:left w:val="none" w:sz="0" w:space="0" w:color="auto"/>
        <w:bottom w:val="none" w:sz="0" w:space="0" w:color="auto"/>
        <w:right w:val="none" w:sz="0" w:space="0" w:color="auto"/>
      </w:divBdr>
    </w:div>
    <w:div w:id="1505122532">
      <w:bodyDiv w:val="1"/>
      <w:marLeft w:val="0"/>
      <w:marRight w:val="0"/>
      <w:marTop w:val="0"/>
      <w:marBottom w:val="0"/>
      <w:divBdr>
        <w:top w:val="none" w:sz="0" w:space="0" w:color="auto"/>
        <w:left w:val="none" w:sz="0" w:space="0" w:color="auto"/>
        <w:bottom w:val="none" w:sz="0" w:space="0" w:color="auto"/>
        <w:right w:val="none" w:sz="0" w:space="0" w:color="auto"/>
      </w:divBdr>
    </w:div>
    <w:div w:id="1510024725">
      <w:bodyDiv w:val="1"/>
      <w:marLeft w:val="0"/>
      <w:marRight w:val="0"/>
      <w:marTop w:val="0"/>
      <w:marBottom w:val="0"/>
      <w:divBdr>
        <w:top w:val="none" w:sz="0" w:space="0" w:color="auto"/>
        <w:left w:val="none" w:sz="0" w:space="0" w:color="auto"/>
        <w:bottom w:val="none" w:sz="0" w:space="0" w:color="auto"/>
        <w:right w:val="none" w:sz="0" w:space="0" w:color="auto"/>
      </w:divBdr>
    </w:div>
    <w:div w:id="1525633486">
      <w:bodyDiv w:val="1"/>
      <w:marLeft w:val="0"/>
      <w:marRight w:val="0"/>
      <w:marTop w:val="0"/>
      <w:marBottom w:val="0"/>
      <w:divBdr>
        <w:top w:val="none" w:sz="0" w:space="0" w:color="auto"/>
        <w:left w:val="none" w:sz="0" w:space="0" w:color="auto"/>
        <w:bottom w:val="none" w:sz="0" w:space="0" w:color="auto"/>
        <w:right w:val="none" w:sz="0" w:space="0" w:color="auto"/>
      </w:divBdr>
    </w:div>
    <w:div w:id="1527138989">
      <w:bodyDiv w:val="1"/>
      <w:marLeft w:val="0"/>
      <w:marRight w:val="0"/>
      <w:marTop w:val="0"/>
      <w:marBottom w:val="0"/>
      <w:divBdr>
        <w:top w:val="none" w:sz="0" w:space="0" w:color="auto"/>
        <w:left w:val="none" w:sz="0" w:space="0" w:color="auto"/>
        <w:bottom w:val="none" w:sz="0" w:space="0" w:color="auto"/>
        <w:right w:val="none" w:sz="0" w:space="0" w:color="auto"/>
      </w:divBdr>
    </w:div>
    <w:div w:id="1527866504">
      <w:bodyDiv w:val="1"/>
      <w:marLeft w:val="0"/>
      <w:marRight w:val="0"/>
      <w:marTop w:val="0"/>
      <w:marBottom w:val="0"/>
      <w:divBdr>
        <w:top w:val="none" w:sz="0" w:space="0" w:color="auto"/>
        <w:left w:val="none" w:sz="0" w:space="0" w:color="auto"/>
        <w:bottom w:val="none" w:sz="0" w:space="0" w:color="auto"/>
        <w:right w:val="none" w:sz="0" w:space="0" w:color="auto"/>
      </w:divBdr>
    </w:div>
    <w:div w:id="1527909590">
      <w:bodyDiv w:val="1"/>
      <w:marLeft w:val="0"/>
      <w:marRight w:val="0"/>
      <w:marTop w:val="0"/>
      <w:marBottom w:val="0"/>
      <w:divBdr>
        <w:top w:val="none" w:sz="0" w:space="0" w:color="auto"/>
        <w:left w:val="none" w:sz="0" w:space="0" w:color="auto"/>
        <w:bottom w:val="none" w:sz="0" w:space="0" w:color="auto"/>
        <w:right w:val="none" w:sz="0" w:space="0" w:color="auto"/>
      </w:divBdr>
    </w:div>
    <w:div w:id="1531727208">
      <w:bodyDiv w:val="1"/>
      <w:marLeft w:val="0"/>
      <w:marRight w:val="0"/>
      <w:marTop w:val="0"/>
      <w:marBottom w:val="0"/>
      <w:divBdr>
        <w:top w:val="none" w:sz="0" w:space="0" w:color="auto"/>
        <w:left w:val="none" w:sz="0" w:space="0" w:color="auto"/>
        <w:bottom w:val="none" w:sz="0" w:space="0" w:color="auto"/>
        <w:right w:val="none" w:sz="0" w:space="0" w:color="auto"/>
      </w:divBdr>
    </w:div>
    <w:div w:id="1537112210">
      <w:bodyDiv w:val="1"/>
      <w:marLeft w:val="0"/>
      <w:marRight w:val="0"/>
      <w:marTop w:val="0"/>
      <w:marBottom w:val="0"/>
      <w:divBdr>
        <w:top w:val="none" w:sz="0" w:space="0" w:color="auto"/>
        <w:left w:val="none" w:sz="0" w:space="0" w:color="auto"/>
        <w:bottom w:val="none" w:sz="0" w:space="0" w:color="auto"/>
        <w:right w:val="none" w:sz="0" w:space="0" w:color="auto"/>
      </w:divBdr>
    </w:div>
    <w:div w:id="1537767472">
      <w:bodyDiv w:val="1"/>
      <w:marLeft w:val="0"/>
      <w:marRight w:val="0"/>
      <w:marTop w:val="0"/>
      <w:marBottom w:val="0"/>
      <w:divBdr>
        <w:top w:val="none" w:sz="0" w:space="0" w:color="auto"/>
        <w:left w:val="none" w:sz="0" w:space="0" w:color="auto"/>
        <w:bottom w:val="none" w:sz="0" w:space="0" w:color="auto"/>
        <w:right w:val="none" w:sz="0" w:space="0" w:color="auto"/>
      </w:divBdr>
    </w:div>
    <w:div w:id="1544436878">
      <w:bodyDiv w:val="1"/>
      <w:marLeft w:val="0"/>
      <w:marRight w:val="0"/>
      <w:marTop w:val="0"/>
      <w:marBottom w:val="0"/>
      <w:divBdr>
        <w:top w:val="none" w:sz="0" w:space="0" w:color="auto"/>
        <w:left w:val="none" w:sz="0" w:space="0" w:color="auto"/>
        <w:bottom w:val="none" w:sz="0" w:space="0" w:color="auto"/>
        <w:right w:val="none" w:sz="0" w:space="0" w:color="auto"/>
      </w:divBdr>
    </w:div>
    <w:div w:id="1545367275">
      <w:bodyDiv w:val="1"/>
      <w:marLeft w:val="0"/>
      <w:marRight w:val="0"/>
      <w:marTop w:val="0"/>
      <w:marBottom w:val="0"/>
      <w:divBdr>
        <w:top w:val="none" w:sz="0" w:space="0" w:color="auto"/>
        <w:left w:val="none" w:sz="0" w:space="0" w:color="auto"/>
        <w:bottom w:val="none" w:sz="0" w:space="0" w:color="auto"/>
        <w:right w:val="none" w:sz="0" w:space="0" w:color="auto"/>
      </w:divBdr>
    </w:div>
    <w:div w:id="1547639664">
      <w:bodyDiv w:val="1"/>
      <w:marLeft w:val="0"/>
      <w:marRight w:val="0"/>
      <w:marTop w:val="0"/>
      <w:marBottom w:val="0"/>
      <w:divBdr>
        <w:top w:val="none" w:sz="0" w:space="0" w:color="auto"/>
        <w:left w:val="none" w:sz="0" w:space="0" w:color="auto"/>
        <w:bottom w:val="none" w:sz="0" w:space="0" w:color="auto"/>
        <w:right w:val="none" w:sz="0" w:space="0" w:color="auto"/>
      </w:divBdr>
    </w:div>
    <w:div w:id="1550798930">
      <w:bodyDiv w:val="1"/>
      <w:marLeft w:val="0"/>
      <w:marRight w:val="0"/>
      <w:marTop w:val="0"/>
      <w:marBottom w:val="0"/>
      <w:divBdr>
        <w:top w:val="none" w:sz="0" w:space="0" w:color="auto"/>
        <w:left w:val="none" w:sz="0" w:space="0" w:color="auto"/>
        <w:bottom w:val="none" w:sz="0" w:space="0" w:color="auto"/>
        <w:right w:val="none" w:sz="0" w:space="0" w:color="auto"/>
      </w:divBdr>
    </w:div>
    <w:div w:id="1550995390">
      <w:bodyDiv w:val="1"/>
      <w:marLeft w:val="0"/>
      <w:marRight w:val="0"/>
      <w:marTop w:val="0"/>
      <w:marBottom w:val="0"/>
      <w:divBdr>
        <w:top w:val="none" w:sz="0" w:space="0" w:color="auto"/>
        <w:left w:val="none" w:sz="0" w:space="0" w:color="auto"/>
        <w:bottom w:val="none" w:sz="0" w:space="0" w:color="auto"/>
        <w:right w:val="none" w:sz="0" w:space="0" w:color="auto"/>
      </w:divBdr>
    </w:div>
    <w:div w:id="1561018385">
      <w:bodyDiv w:val="1"/>
      <w:marLeft w:val="0"/>
      <w:marRight w:val="0"/>
      <w:marTop w:val="0"/>
      <w:marBottom w:val="0"/>
      <w:divBdr>
        <w:top w:val="none" w:sz="0" w:space="0" w:color="auto"/>
        <w:left w:val="none" w:sz="0" w:space="0" w:color="auto"/>
        <w:bottom w:val="none" w:sz="0" w:space="0" w:color="auto"/>
        <w:right w:val="none" w:sz="0" w:space="0" w:color="auto"/>
      </w:divBdr>
    </w:div>
    <w:div w:id="1561401918">
      <w:bodyDiv w:val="1"/>
      <w:marLeft w:val="0"/>
      <w:marRight w:val="0"/>
      <w:marTop w:val="0"/>
      <w:marBottom w:val="0"/>
      <w:divBdr>
        <w:top w:val="none" w:sz="0" w:space="0" w:color="auto"/>
        <w:left w:val="none" w:sz="0" w:space="0" w:color="auto"/>
        <w:bottom w:val="none" w:sz="0" w:space="0" w:color="auto"/>
        <w:right w:val="none" w:sz="0" w:space="0" w:color="auto"/>
      </w:divBdr>
    </w:div>
    <w:div w:id="1573075984">
      <w:bodyDiv w:val="1"/>
      <w:marLeft w:val="0"/>
      <w:marRight w:val="0"/>
      <w:marTop w:val="0"/>
      <w:marBottom w:val="0"/>
      <w:divBdr>
        <w:top w:val="none" w:sz="0" w:space="0" w:color="auto"/>
        <w:left w:val="none" w:sz="0" w:space="0" w:color="auto"/>
        <w:bottom w:val="none" w:sz="0" w:space="0" w:color="auto"/>
        <w:right w:val="none" w:sz="0" w:space="0" w:color="auto"/>
      </w:divBdr>
    </w:div>
    <w:div w:id="1580481079">
      <w:bodyDiv w:val="1"/>
      <w:marLeft w:val="0"/>
      <w:marRight w:val="0"/>
      <w:marTop w:val="0"/>
      <w:marBottom w:val="0"/>
      <w:divBdr>
        <w:top w:val="none" w:sz="0" w:space="0" w:color="auto"/>
        <w:left w:val="none" w:sz="0" w:space="0" w:color="auto"/>
        <w:bottom w:val="none" w:sz="0" w:space="0" w:color="auto"/>
        <w:right w:val="none" w:sz="0" w:space="0" w:color="auto"/>
      </w:divBdr>
    </w:div>
    <w:div w:id="1581594868">
      <w:bodyDiv w:val="1"/>
      <w:marLeft w:val="0"/>
      <w:marRight w:val="0"/>
      <w:marTop w:val="0"/>
      <w:marBottom w:val="0"/>
      <w:divBdr>
        <w:top w:val="none" w:sz="0" w:space="0" w:color="auto"/>
        <w:left w:val="none" w:sz="0" w:space="0" w:color="auto"/>
        <w:bottom w:val="none" w:sz="0" w:space="0" w:color="auto"/>
        <w:right w:val="none" w:sz="0" w:space="0" w:color="auto"/>
      </w:divBdr>
    </w:div>
    <w:div w:id="1584408175">
      <w:bodyDiv w:val="1"/>
      <w:marLeft w:val="0"/>
      <w:marRight w:val="0"/>
      <w:marTop w:val="0"/>
      <w:marBottom w:val="0"/>
      <w:divBdr>
        <w:top w:val="none" w:sz="0" w:space="0" w:color="auto"/>
        <w:left w:val="none" w:sz="0" w:space="0" w:color="auto"/>
        <w:bottom w:val="none" w:sz="0" w:space="0" w:color="auto"/>
        <w:right w:val="none" w:sz="0" w:space="0" w:color="auto"/>
      </w:divBdr>
    </w:div>
    <w:div w:id="1584416399">
      <w:bodyDiv w:val="1"/>
      <w:marLeft w:val="0"/>
      <w:marRight w:val="0"/>
      <w:marTop w:val="0"/>
      <w:marBottom w:val="0"/>
      <w:divBdr>
        <w:top w:val="none" w:sz="0" w:space="0" w:color="auto"/>
        <w:left w:val="none" w:sz="0" w:space="0" w:color="auto"/>
        <w:bottom w:val="none" w:sz="0" w:space="0" w:color="auto"/>
        <w:right w:val="none" w:sz="0" w:space="0" w:color="auto"/>
      </w:divBdr>
    </w:div>
    <w:div w:id="1588928143">
      <w:bodyDiv w:val="1"/>
      <w:marLeft w:val="0"/>
      <w:marRight w:val="0"/>
      <w:marTop w:val="0"/>
      <w:marBottom w:val="0"/>
      <w:divBdr>
        <w:top w:val="none" w:sz="0" w:space="0" w:color="auto"/>
        <w:left w:val="none" w:sz="0" w:space="0" w:color="auto"/>
        <w:bottom w:val="none" w:sz="0" w:space="0" w:color="auto"/>
        <w:right w:val="none" w:sz="0" w:space="0" w:color="auto"/>
      </w:divBdr>
    </w:div>
    <w:div w:id="1594125416">
      <w:bodyDiv w:val="1"/>
      <w:marLeft w:val="0"/>
      <w:marRight w:val="0"/>
      <w:marTop w:val="0"/>
      <w:marBottom w:val="0"/>
      <w:divBdr>
        <w:top w:val="none" w:sz="0" w:space="0" w:color="auto"/>
        <w:left w:val="none" w:sz="0" w:space="0" w:color="auto"/>
        <w:bottom w:val="none" w:sz="0" w:space="0" w:color="auto"/>
        <w:right w:val="none" w:sz="0" w:space="0" w:color="auto"/>
      </w:divBdr>
    </w:div>
    <w:div w:id="1597395906">
      <w:bodyDiv w:val="1"/>
      <w:marLeft w:val="0"/>
      <w:marRight w:val="0"/>
      <w:marTop w:val="0"/>
      <w:marBottom w:val="0"/>
      <w:divBdr>
        <w:top w:val="none" w:sz="0" w:space="0" w:color="auto"/>
        <w:left w:val="none" w:sz="0" w:space="0" w:color="auto"/>
        <w:bottom w:val="none" w:sz="0" w:space="0" w:color="auto"/>
        <w:right w:val="none" w:sz="0" w:space="0" w:color="auto"/>
      </w:divBdr>
    </w:div>
    <w:div w:id="1600019133">
      <w:bodyDiv w:val="1"/>
      <w:marLeft w:val="0"/>
      <w:marRight w:val="0"/>
      <w:marTop w:val="0"/>
      <w:marBottom w:val="0"/>
      <w:divBdr>
        <w:top w:val="none" w:sz="0" w:space="0" w:color="auto"/>
        <w:left w:val="none" w:sz="0" w:space="0" w:color="auto"/>
        <w:bottom w:val="none" w:sz="0" w:space="0" w:color="auto"/>
        <w:right w:val="none" w:sz="0" w:space="0" w:color="auto"/>
      </w:divBdr>
    </w:div>
    <w:div w:id="1602447749">
      <w:bodyDiv w:val="1"/>
      <w:marLeft w:val="0"/>
      <w:marRight w:val="0"/>
      <w:marTop w:val="0"/>
      <w:marBottom w:val="0"/>
      <w:divBdr>
        <w:top w:val="none" w:sz="0" w:space="0" w:color="auto"/>
        <w:left w:val="none" w:sz="0" w:space="0" w:color="auto"/>
        <w:bottom w:val="none" w:sz="0" w:space="0" w:color="auto"/>
        <w:right w:val="none" w:sz="0" w:space="0" w:color="auto"/>
      </w:divBdr>
    </w:div>
    <w:div w:id="1608198035">
      <w:bodyDiv w:val="1"/>
      <w:marLeft w:val="0"/>
      <w:marRight w:val="0"/>
      <w:marTop w:val="0"/>
      <w:marBottom w:val="0"/>
      <w:divBdr>
        <w:top w:val="none" w:sz="0" w:space="0" w:color="auto"/>
        <w:left w:val="none" w:sz="0" w:space="0" w:color="auto"/>
        <w:bottom w:val="none" w:sz="0" w:space="0" w:color="auto"/>
        <w:right w:val="none" w:sz="0" w:space="0" w:color="auto"/>
      </w:divBdr>
    </w:div>
    <w:div w:id="1615283445">
      <w:bodyDiv w:val="1"/>
      <w:marLeft w:val="0"/>
      <w:marRight w:val="0"/>
      <w:marTop w:val="0"/>
      <w:marBottom w:val="0"/>
      <w:divBdr>
        <w:top w:val="none" w:sz="0" w:space="0" w:color="auto"/>
        <w:left w:val="none" w:sz="0" w:space="0" w:color="auto"/>
        <w:bottom w:val="none" w:sz="0" w:space="0" w:color="auto"/>
        <w:right w:val="none" w:sz="0" w:space="0" w:color="auto"/>
      </w:divBdr>
    </w:div>
    <w:div w:id="1617982992">
      <w:bodyDiv w:val="1"/>
      <w:marLeft w:val="0"/>
      <w:marRight w:val="0"/>
      <w:marTop w:val="0"/>
      <w:marBottom w:val="0"/>
      <w:divBdr>
        <w:top w:val="none" w:sz="0" w:space="0" w:color="auto"/>
        <w:left w:val="none" w:sz="0" w:space="0" w:color="auto"/>
        <w:bottom w:val="none" w:sz="0" w:space="0" w:color="auto"/>
        <w:right w:val="none" w:sz="0" w:space="0" w:color="auto"/>
      </w:divBdr>
    </w:div>
    <w:div w:id="1622033719">
      <w:bodyDiv w:val="1"/>
      <w:marLeft w:val="0"/>
      <w:marRight w:val="0"/>
      <w:marTop w:val="0"/>
      <w:marBottom w:val="0"/>
      <w:divBdr>
        <w:top w:val="none" w:sz="0" w:space="0" w:color="auto"/>
        <w:left w:val="none" w:sz="0" w:space="0" w:color="auto"/>
        <w:bottom w:val="none" w:sz="0" w:space="0" w:color="auto"/>
        <w:right w:val="none" w:sz="0" w:space="0" w:color="auto"/>
      </w:divBdr>
    </w:div>
    <w:div w:id="1624966980">
      <w:bodyDiv w:val="1"/>
      <w:marLeft w:val="0"/>
      <w:marRight w:val="0"/>
      <w:marTop w:val="0"/>
      <w:marBottom w:val="0"/>
      <w:divBdr>
        <w:top w:val="none" w:sz="0" w:space="0" w:color="auto"/>
        <w:left w:val="none" w:sz="0" w:space="0" w:color="auto"/>
        <w:bottom w:val="none" w:sz="0" w:space="0" w:color="auto"/>
        <w:right w:val="none" w:sz="0" w:space="0" w:color="auto"/>
      </w:divBdr>
    </w:div>
    <w:div w:id="1625428221">
      <w:bodyDiv w:val="1"/>
      <w:marLeft w:val="0"/>
      <w:marRight w:val="0"/>
      <w:marTop w:val="0"/>
      <w:marBottom w:val="0"/>
      <w:divBdr>
        <w:top w:val="none" w:sz="0" w:space="0" w:color="auto"/>
        <w:left w:val="none" w:sz="0" w:space="0" w:color="auto"/>
        <w:bottom w:val="none" w:sz="0" w:space="0" w:color="auto"/>
        <w:right w:val="none" w:sz="0" w:space="0" w:color="auto"/>
      </w:divBdr>
    </w:div>
    <w:div w:id="1631011639">
      <w:bodyDiv w:val="1"/>
      <w:marLeft w:val="0"/>
      <w:marRight w:val="0"/>
      <w:marTop w:val="0"/>
      <w:marBottom w:val="0"/>
      <w:divBdr>
        <w:top w:val="none" w:sz="0" w:space="0" w:color="auto"/>
        <w:left w:val="none" w:sz="0" w:space="0" w:color="auto"/>
        <w:bottom w:val="none" w:sz="0" w:space="0" w:color="auto"/>
        <w:right w:val="none" w:sz="0" w:space="0" w:color="auto"/>
      </w:divBdr>
    </w:div>
    <w:div w:id="1634754718">
      <w:bodyDiv w:val="1"/>
      <w:marLeft w:val="0"/>
      <w:marRight w:val="0"/>
      <w:marTop w:val="0"/>
      <w:marBottom w:val="0"/>
      <w:divBdr>
        <w:top w:val="none" w:sz="0" w:space="0" w:color="auto"/>
        <w:left w:val="none" w:sz="0" w:space="0" w:color="auto"/>
        <w:bottom w:val="none" w:sz="0" w:space="0" w:color="auto"/>
        <w:right w:val="none" w:sz="0" w:space="0" w:color="auto"/>
      </w:divBdr>
    </w:div>
    <w:div w:id="1637956580">
      <w:bodyDiv w:val="1"/>
      <w:marLeft w:val="0"/>
      <w:marRight w:val="0"/>
      <w:marTop w:val="0"/>
      <w:marBottom w:val="0"/>
      <w:divBdr>
        <w:top w:val="none" w:sz="0" w:space="0" w:color="auto"/>
        <w:left w:val="none" w:sz="0" w:space="0" w:color="auto"/>
        <w:bottom w:val="none" w:sz="0" w:space="0" w:color="auto"/>
        <w:right w:val="none" w:sz="0" w:space="0" w:color="auto"/>
      </w:divBdr>
    </w:div>
    <w:div w:id="1648392655">
      <w:bodyDiv w:val="1"/>
      <w:marLeft w:val="0"/>
      <w:marRight w:val="0"/>
      <w:marTop w:val="0"/>
      <w:marBottom w:val="0"/>
      <w:divBdr>
        <w:top w:val="none" w:sz="0" w:space="0" w:color="auto"/>
        <w:left w:val="none" w:sz="0" w:space="0" w:color="auto"/>
        <w:bottom w:val="none" w:sz="0" w:space="0" w:color="auto"/>
        <w:right w:val="none" w:sz="0" w:space="0" w:color="auto"/>
      </w:divBdr>
    </w:div>
    <w:div w:id="1648590831">
      <w:bodyDiv w:val="1"/>
      <w:marLeft w:val="0"/>
      <w:marRight w:val="0"/>
      <w:marTop w:val="0"/>
      <w:marBottom w:val="0"/>
      <w:divBdr>
        <w:top w:val="none" w:sz="0" w:space="0" w:color="auto"/>
        <w:left w:val="none" w:sz="0" w:space="0" w:color="auto"/>
        <w:bottom w:val="none" w:sz="0" w:space="0" w:color="auto"/>
        <w:right w:val="none" w:sz="0" w:space="0" w:color="auto"/>
      </w:divBdr>
    </w:div>
    <w:div w:id="1648826328">
      <w:bodyDiv w:val="1"/>
      <w:marLeft w:val="0"/>
      <w:marRight w:val="0"/>
      <w:marTop w:val="0"/>
      <w:marBottom w:val="0"/>
      <w:divBdr>
        <w:top w:val="none" w:sz="0" w:space="0" w:color="auto"/>
        <w:left w:val="none" w:sz="0" w:space="0" w:color="auto"/>
        <w:bottom w:val="none" w:sz="0" w:space="0" w:color="auto"/>
        <w:right w:val="none" w:sz="0" w:space="0" w:color="auto"/>
      </w:divBdr>
    </w:div>
    <w:div w:id="1650599928">
      <w:bodyDiv w:val="1"/>
      <w:marLeft w:val="0"/>
      <w:marRight w:val="0"/>
      <w:marTop w:val="0"/>
      <w:marBottom w:val="0"/>
      <w:divBdr>
        <w:top w:val="none" w:sz="0" w:space="0" w:color="auto"/>
        <w:left w:val="none" w:sz="0" w:space="0" w:color="auto"/>
        <w:bottom w:val="none" w:sz="0" w:space="0" w:color="auto"/>
        <w:right w:val="none" w:sz="0" w:space="0" w:color="auto"/>
      </w:divBdr>
    </w:div>
    <w:div w:id="1653756524">
      <w:bodyDiv w:val="1"/>
      <w:marLeft w:val="0"/>
      <w:marRight w:val="0"/>
      <w:marTop w:val="0"/>
      <w:marBottom w:val="0"/>
      <w:divBdr>
        <w:top w:val="none" w:sz="0" w:space="0" w:color="auto"/>
        <w:left w:val="none" w:sz="0" w:space="0" w:color="auto"/>
        <w:bottom w:val="none" w:sz="0" w:space="0" w:color="auto"/>
        <w:right w:val="none" w:sz="0" w:space="0" w:color="auto"/>
      </w:divBdr>
    </w:div>
    <w:div w:id="1660961089">
      <w:bodyDiv w:val="1"/>
      <w:marLeft w:val="0"/>
      <w:marRight w:val="0"/>
      <w:marTop w:val="0"/>
      <w:marBottom w:val="0"/>
      <w:divBdr>
        <w:top w:val="none" w:sz="0" w:space="0" w:color="auto"/>
        <w:left w:val="none" w:sz="0" w:space="0" w:color="auto"/>
        <w:bottom w:val="none" w:sz="0" w:space="0" w:color="auto"/>
        <w:right w:val="none" w:sz="0" w:space="0" w:color="auto"/>
      </w:divBdr>
    </w:div>
    <w:div w:id="1675566042">
      <w:bodyDiv w:val="1"/>
      <w:marLeft w:val="0"/>
      <w:marRight w:val="0"/>
      <w:marTop w:val="0"/>
      <w:marBottom w:val="0"/>
      <w:divBdr>
        <w:top w:val="none" w:sz="0" w:space="0" w:color="auto"/>
        <w:left w:val="none" w:sz="0" w:space="0" w:color="auto"/>
        <w:bottom w:val="none" w:sz="0" w:space="0" w:color="auto"/>
        <w:right w:val="none" w:sz="0" w:space="0" w:color="auto"/>
      </w:divBdr>
    </w:div>
    <w:div w:id="1677347502">
      <w:bodyDiv w:val="1"/>
      <w:marLeft w:val="0"/>
      <w:marRight w:val="0"/>
      <w:marTop w:val="0"/>
      <w:marBottom w:val="0"/>
      <w:divBdr>
        <w:top w:val="none" w:sz="0" w:space="0" w:color="auto"/>
        <w:left w:val="none" w:sz="0" w:space="0" w:color="auto"/>
        <w:bottom w:val="none" w:sz="0" w:space="0" w:color="auto"/>
        <w:right w:val="none" w:sz="0" w:space="0" w:color="auto"/>
      </w:divBdr>
    </w:div>
    <w:div w:id="1680112445">
      <w:bodyDiv w:val="1"/>
      <w:marLeft w:val="0"/>
      <w:marRight w:val="0"/>
      <w:marTop w:val="0"/>
      <w:marBottom w:val="0"/>
      <w:divBdr>
        <w:top w:val="none" w:sz="0" w:space="0" w:color="auto"/>
        <w:left w:val="none" w:sz="0" w:space="0" w:color="auto"/>
        <w:bottom w:val="none" w:sz="0" w:space="0" w:color="auto"/>
        <w:right w:val="none" w:sz="0" w:space="0" w:color="auto"/>
      </w:divBdr>
    </w:div>
    <w:div w:id="1686663585">
      <w:bodyDiv w:val="1"/>
      <w:marLeft w:val="0"/>
      <w:marRight w:val="0"/>
      <w:marTop w:val="0"/>
      <w:marBottom w:val="0"/>
      <w:divBdr>
        <w:top w:val="none" w:sz="0" w:space="0" w:color="auto"/>
        <w:left w:val="none" w:sz="0" w:space="0" w:color="auto"/>
        <w:bottom w:val="none" w:sz="0" w:space="0" w:color="auto"/>
        <w:right w:val="none" w:sz="0" w:space="0" w:color="auto"/>
      </w:divBdr>
    </w:div>
    <w:div w:id="1688752755">
      <w:bodyDiv w:val="1"/>
      <w:marLeft w:val="0"/>
      <w:marRight w:val="0"/>
      <w:marTop w:val="0"/>
      <w:marBottom w:val="0"/>
      <w:divBdr>
        <w:top w:val="none" w:sz="0" w:space="0" w:color="auto"/>
        <w:left w:val="none" w:sz="0" w:space="0" w:color="auto"/>
        <w:bottom w:val="none" w:sz="0" w:space="0" w:color="auto"/>
        <w:right w:val="none" w:sz="0" w:space="0" w:color="auto"/>
      </w:divBdr>
    </w:div>
    <w:div w:id="1694183697">
      <w:bodyDiv w:val="1"/>
      <w:marLeft w:val="0"/>
      <w:marRight w:val="0"/>
      <w:marTop w:val="0"/>
      <w:marBottom w:val="0"/>
      <w:divBdr>
        <w:top w:val="none" w:sz="0" w:space="0" w:color="auto"/>
        <w:left w:val="none" w:sz="0" w:space="0" w:color="auto"/>
        <w:bottom w:val="none" w:sz="0" w:space="0" w:color="auto"/>
        <w:right w:val="none" w:sz="0" w:space="0" w:color="auto"/>
      </w:divBdr>
    </w:div>
    <w:div w:id="1694384965">
      <w:bodyDiv w:val="1"/>
      <w:marLeft w:val="0"/>
      <w:marRight w:val="0"/>
      <w:marTop w:val="0"/>
      <w:marBottom w:val="0"/>
      <w:divBdr>
        <w:top w:val="none" w:sz="0" w:space="0" w:color="auto"/>
        <w:left w:val="none" w:sz="0" w:space="0" w:color="auto"/>
        <w:bottom w:val="none" w:sz="0" w:space="0" w:color="auto"/>
        <w:right w:val="none" w:sz="0" w:space="0" w:color="auto"/>
      </w:divBdr>
    </w:div>
    <w:div w:id="1696732693">
      <w:bodyDiv w:val="1"/>
      <w:marLeft w:val="0"/>
      <w:marRight w:val="0"/>
      <w:marTop w:val="0"/>
      <w:marBottom w:val="0"/>
      <w:divBdr>
        <w:top w:val="none" w:sz="0" w:space="0" w:color="auto"/>
        <w:left w:val="none" w:sz="0" w:space="0" w:color="auto"/>
        <w:bottom w:val="none" w:sz="0" w:space="0" w:color="auto"/>
        <w:right w:val="none" w:sz="0" w:space="0" w:color="auto"/>
      </w:divBdr>
    </w:div>
    <w:div w:id="1700623035">
      <w:bodyDiv w:val="1"/>
      <w:marLeft w:val="0"/>
      <w:marRight w:val="0"/>
      <w:marTop w:val="0"/>
      <w:marBottom w:val="0"/>
      <w:divBdr>
        <w:top w:val="none" w:sz="0" w:space="0" w:color="auto"/>
        <w:left w:val="none" w:sz="0" w:space="0" w:color="auto"/>
        <w:bottom w:val="none" w:sz="0" w:space="0" w:color="auto"/>
        <w:right w:val="none" w:sz="0" w:space="0" w:color="auto"/>
      </w:divBdr>
    </w:div>
    <w:div w:id="1701123134">
      <w:bodyDiv w:val="1"/>
      <w:marLeft w:val="0"/>
      <w:marRight w:val="0"/>
      <w:marTop w:val="0"/>
      <w:marBottom w:val="0"/>
      <w:divBdr>
        <w:top w:val="none" w:sz="0" w:space="0" w:color="auto"/>
        <w:left w:val="none" w:sz="0" w:space="0" w:color="auto"/>
        <w:bottom w:val="none" w:sz="0" w:space="0" w:color="auto"/>
        <w:right w:val="none" w:sz="0" w:space="0" w:color="auto"/>
      </w:divBdr>
    </w:div>
    <w:div w:id="1706784609">
      <w:bodyDiv w:val="1"/>
      <w:marLeft w:val="0"/>
      <w:marRight w:val="0"/>
      <w:marTop w:val="0"/>
      <w:marBottom w:val="0"/>
      <w:divBdr>
        <w:top w:val="none" w:sz="0" w:space="0" w:color="auto"/>
        <w:left w:val="none" w:sz="0" w:space="0" w:color="auto"/>
        <w:bottom w:val="none" w:sz="0" w:space="0" w:color="auto"/>
        <w:right w:val="none" w:sz="0" w:space="0" w:color="auto"/>
      </w:divBdr>
    </w:div>
    <w:div w:id="1708794732">
      <w:bodyDiv w:val="1"/>
      <w:marLeft w:val="0"/>
      <w:marRight w:val="0"/>
      <w:marTop w:val="0"/>
      <w:marBottom w:val="0"/>
      <w:divBdr>
        <w:top w:val="none" w:sz="0" w:space="0" w:color="auto"/>
        <w:left w:val="none" w:sz="0" w:space="0" w:color="auto"/>
        <w:bottom w:val="none" w:sz="0" w:space="0" w:color="auto"/>
        <w:right w:val="none" w:sz="0" w:space="0" w:color="auto"/>
      </w:divBdr>
    </w:div>
    <w:div w:id="1712533776">
      <w:bodyDiv w:val="1"/>
      <w:marLeft w:val="0"/>
      <w:marRight w:val="0"/>
      <w:marTop w:val="0"/>
      <w:marBottom w:val="0"/>
      <w:divBdr>
        <w:top w:val="none" w:sz="0" w:space="0" w:color="auto"/>
        <w:left w:val="none" w:sz="0" w:space="0" w:color="auto"/>
        <w:bottom w:val="none" w:sz="0" w:space="0" w:color="auto"/>
        <w:right w:val="none" w:sz="0" w:space="0" w:color="auto"/>
      </w:divBdr>
    </w:div>
    <w:div w:id="1720742992">
      <w:bodyDiv w:val="1"/>
      <w:marLeft w:val="0"/>
      <w:marRight w:val="0"/>
      <w:marTop w:val="0"/>
      <w:marBottom w:val="0"/>
      <w:divBdr>
        <w:top w:val="none" w:sz="0" w:space="0" w:color="auto"/>
        <w:left w:val="none" w:sz="0" w:space="0" w:color="auto"/>
        <w:bottom w:val="none" w:sz="0" w:space="0" w:color="auto"/>
        <w:right w:val="none" w:sz="0" w:space="0" w:color="auto"/>
      </w:divBdr>
    </w:div>
    <w:div w:id="1721634828">
      <w:bodyDiv w:val="1"/>
      <w:marLeft w:val="0"/>
      <w:marRight w:val="0"/>
      <w:marTop w:val="0"/>
      <w:marBottom w:val="0"/>
      <w:divBdr>
        <w:top w:val="none" w:sz="0" w:space="0" w:color="auto"/>
        <w:left w:val="none" w:sz="0" w:space="0" w:color="auto"/>
        <w:bottom w:val="none" w:sz="0" w:space="0" w:color="auto"/>
        <w:right w:val="none" w:sz="0" w:space="0" w:color="auto"/>
      </w:divBdr>
    </w:div>
    <w:div w:id="1722172604">
      <w:bodyDiv w:val="1"/>
      <w:marLeft w:val="0"/>
      <w:marRight w:val="0"/>
      <w:marTop w:val="0"/>
      <w:marBottom w:val="0"/>
      <w:divBdr>
        <w:top w:val="none" w:sz="0" w:space="0" w:color="auto"/>
        <w:left w:val="none" w:sz="0" w:space="0" w:color="auto"/>
        <w:bottom w:val="none" w:sz="0" w:space="0" w:color="auto"/>
        <w:right w:val="none" w:sz="0" w:space="0" w:color="auto"/>
      </w:divBdr>
    </w:div>
    <w:div w:id="1722826818">
      <w:bodyDiv w:val="1"/>
      <w:marLeft w:val="0"/>
      <w:marRight w:val="0"/>
      <w:marTop w:val="0"/>
      <w:marBottom w:val="0"/>
      <w:divBdr>
        <w:top w:val="none" w:sz="0" w:space="0" w:color="auto"/>
        <w:left w:val="none" w:sz="0" w:space="0" w:color="auto"/>
        <w:bottom w:val="none" w:sz="0" w:space="0" w:color="auto"/>
        <w:right w:val="none" w:sz="0" w:space="0" w:color="auto"/>
      </w:divBdr>
    </w:div>
    <w:div w:id="1731540699">
      <w:bodyDiv w:val="1"/>
      <w:marLeft w:val="0"/>
      <w:marRight w:val="0"/>
      <w:marTop w:val="0"/>
      <w:marBottom w:val="0"/>
      <w:divBdr>
        <w:top w:val="none" w:sz="0" w:space="0" w:color="auto"/>
        <w:left w:val="none" w:sz="0" w:space="0" w:color="auto"/>
        <w:bottom w:val="none" w:sz="0" w:space="0" w:color="auto"/>
        <w:right w:val="none" w:sz="0" w:space="0" w:color="auto"/>
      </w:divBdr>
    </w:div>
    <w:div w:id="1732460745">
      <w:bodyDiv w:val="1"/>
      <w:marLeft w:val="0"/>
      <w:marRight w:val="0"/>
      <w:marTop w:val="0"/>
      <w:marBottom w:val="0"/>
      <w:divBdr>
        <w:top w:val="none" w:sz="0" w:space="0" w:color="auto"/>
        <w:left w:val="none" w:sz="0" w:space="0" w:color="auto"/>
        <w:bottom w:val="none" w:sz="0" w:space="0" w:color="auto"/>
        <w:right w:val="none" w:sz="0" w:space="0" w:color="auto"/>
      </w:divBdr>
    </w:div>
    <w:div w:id="1732997382">
      <w:bodyDiv w:val="1"/>
      <w:marLeft w:val="0"/>
      <w:marRight w:val="0"/>
      <w:marTop w:val="0"/>
      <w:marBottom w:val="0"/>
      <w:divBdr>
        <w:top w:val="none" w:sz="0" w:space="0" w:color="auto"/>
        <w:left w:val="none" w:sz="0" w:space="0" w:color="auto"/>
        <w:bottom w:val="none" w:sz="0" w:space="0" w:color="auto"/>
        <w:right w:val="none" w:sz="0" w:space="0" w:color="auto"/>
      </w:divBdr>
    </w:div>
    <w:div w:id="1734045102">
      <w:bodyDiv w:val="1"/>
      <w:marLeft w:val="0"/>
      <w:marRight w:val="0"/>
      <w:marTop w:val="0"/>
      <w:marBottom w:val="0"/>
      <w:divBdr>
        <w:top w:val="none" w:sz="0" w:space="0" w:color="auto"/>
        <w:left w:val="none" w:sz="0" w:space="0" w:color="auto"/>
        <w:bottom w:val="none" w:sz="0" w:space="0" w:color="auto"/>
        <w:right w:val="none" w:sz="0" w:space="0" w:color="auto"/>
      </w:divBdr>
    </w:div>
    <w:div w:id="1735273023">
      <w:bodyDiv w:val="1"/>
      <w:marLeft w:val="0"/>
      <w:marRight w:val="0"/>
      <w:marTop w:val="0"/>
      <w:marBottom w:val="0"/>
      <w:divBdr>
        <w:top w:val="none" w:sz="0" w:space="0" w:color="auto"/>
        <w:left w:val="none" w:sz="0" w:space="0" w:color="auto"/>
        <w:bottom w:val="none" w:sz="0" w:space="0" w:color="auto"/>
        <w:right w:val="none" w:sz="0" w:space="0" w:color="auto"/>
      </w:divBdr>
    </w:div>
    <w:div w:id="1737623633">
      <w:bodyDiv w:val="1"/>
      <w:marLeft w:val="0"/>
      <w:marRight w:val="0"/>
      <w:marTop w:val="0"/>
      <w:marBottom w:val="0"/>
      <w:divBdr>
        <w:top w:val="none" w:sz="0" w:space="0" w:color="auto"/>
        <w:left w:val="none" w:sz="0" w:space="0" w:color="auto"/>
        <w:bottom w:val="none" w:sz="0" w:space="0" w:color="auto"/>
        <w:right w:val="none" w:sz="0" w:space="0" w:color="auto"/>
      </w:divBdr>
    </w:div>
    <w:div w:id="1738016156">
      <w:bodyDiv w:val="1"/>
      <w:marLeft w:val="0"/>
      <w:marRight w:val="0"/>
      <w:marTop w:val="0"/>
      <w:marBottom w:val="0"/>
      <w:divBdr>
        <w:top w:val="none" w:sz="0" w:space="0" w:color="auto"/>
        <w:left w:val="none" w:sz="0" w:space="0" w:color="auto"/>
        <w:bottom w:val="none" w:sz="0" w:space="0" w:color="auto"/>
        <w:right w:val="none" w:sz="0" w:space="0" w:color="auto"/>
      </w:divBdr>
    </w:div>
    <w:div w:id="1739592361">
      <w:bodyDiv w:val="1"/>
      <w:marLeft w:val="0"/>
      <w:marRight w:val="0"/>
      <w:marTop w:val="0"/>
      <w:marBottom w:val="0"/>
      <w:divBdr>
        <w:top w:val="none" w:sz="0" w:space="0" w:color="auto"/>
        <w:left w:val="none" w:sz="0" w:space="0" w:color="auto"/>
        <w:bottom w:val="none" w:sz="0" w:space="0" w:color="auto"/>
        <w:right w:val="none" w:sz="0" w:space="0" w:color="auto"/>
      </w:divBdr>
    </w:div>
    <w:div w:id="1743261650">
      <w:bodyDiv w:val="1"/>
      <w:marLeft w:val="0"/>
      <w:marRight w:val="0"/>
      <w:marTop w:val="0"/>
      <w:marBottom w:val="0"/>
      <w:divBdr>
        <w:top w:val="none" w:sz="0" w:space="0" w:color="auto"/>
        <w:left w:val="none" w:sz="0" w:space="0" w:color="auto"/>
        <w:bottom w:val="none" w:sz="0" w:space="0" w:color="auto"/>
        <w:right w:val="none" w:sz="0" w:space="0" w:color="auto"/>
      </w:divBdr>
    </w:div>
    <w:div w:id="1744990605">
      <w:bodyDiv w:val="1"/>
      <w:marLeft w:val="0"/>
      <w:marRight w:val="0"/>
      <w:marTop w:val="0"/>
      <w:marBottom w:val="0"/>
      <w:divBdr>
        <w:top w:val="none" w:sz="0" w:space="0" w:color="auto"/>
        <w:left w:val="none" w:sz="0" w:space="0" w:color="auto"/>
        <w:bottom w:val="none" w:sz="0" w:space="0" w:color="auto"/>
        <w:right w:val="none" w:sz="0" w:space="0" w:color="auto"/>
      </w:divBdr>
    </w:div>
    <w:div w:id="1745302620">
      <w:bodyDiv w:val="1"/>
      <w:marLeft w:val="0"/>
      <w:marRight w:val="0"/>
      <w:marTop w:val="0"/>
      <w:marBottom w:val="0"/>
      <w:divBdr>
        <w:top w:val="none" w:sz="0" w:space="0" w:color="auto"/>
        <w:left w:val="none" w:sz="0" w:space="0" w:color="auto"/>
        <w:bottom w:val="none" w:sz="0" w:space="0" w:color="auto"/>
        <w:right w:val="none" w:sz="0" w:space="0" w:color="auto"/>
      </w:divBdr>
    </w:div>
    <w:div w:id="1746760664">
      <w:bodyDiv w:val="1"/>
      <w:marLeft w:val="0"/>
      <w:marRight w:val="0"/>
      <w:marTop w:val="0"/>
      <w:marBottom w:val="0"/>
      <w:divBdr>
        <w:top w:val="none" w:sz="0" w:space="0" w:color="auto"/>
        <w:left w:val="none" w:sz="0" w:space="0" w:color="auto"/>
        <w:bottom w:val="none" w:sz="0" w:space="0" w:color="auto"/>
        <w:right w:val="none" w:sz="0" w:space="0" w:color="auto"/>
      </w:divBdr>
    </w:div>
    <w:div w:id="1748069719">
      <w:bodyDiv w:val="1"/>
      <w:marLeft w:val="0"/>
      <w:marRight w:val="0"/>
      <w:marTop w:val="0"/>
      <w:marBottom w:val="0"/>
      <w:divBdr>
        <w:top w:val="none" w:sz="0" w:space="0" w:color="auto"/>
        <w:left w:val="none" w:sz="0" w:space="0" w:color="auto"/>
        <w:bottom w:val="none" w:sz="0" w:space="0" w:color="auto"/>
        <w:right w:val="none" w:sz="0" w:space="0" w:color="auto"/>
      </w:divBdr>
    </w:div>
    <w:div w:id="1749033799">
      <w:bodyDiv w:val="1"/>
      <w:marLeft w:val="0"/>
      <w:marRight w:val="0"/>
      <w:marTop w:val="0"/>
      <w:marBottom w:val="0"/>
      <w:divBdr>
        <w:top w:val="none" w:sz="0" w:space="0" w:color="auto"/>
        <w:left w:val="none" w:sz="0" w:space="0" w:color="auto"/>
        <w:bottom w:val="none" w:sz="0" w:space="0" w:color="auto"/>
        <w:right w:val="none" w:sz="0" w:space="0" w:color="auto"/>
      </w:divBdr>
    </w:div>
    <w:div w:id="1749839964">
      <w:bodyDiv w:val="1"/>
      <w:marLeft w:val="0"/>
      <w:marRight w:val="0"/>
      <w:marTop w:val="0"/>
      <w:marBottom w:val="0"/>
      <w:divBdr>
        <w:top w:val="none" w:sz="0" w:space="0" w:color="auto"/>
        <w:left w:val="none" w:sz="0" w:space="0" w:color="auto"/>
        <w:bottom w:val="none" w:sz="0" w:space="0" w:color="auto"/>
        <w:right w:val="none" w:sz="0" w:space="0" w:color="auto"/>
      </w:divBdr>
    </w:div>
    <w:div w:id="1751195584">
      <w:bodyDiv w:val="1"/>
      <w:marLeft w:val="0"/>
      <w:marRight w:val="0"/>
      <w:marTop w:val="0"/>
      <w:marBottom w:val="0"/>
      <w:divBdr>
        <w:top w:val="none" w:sz="0" w:space="0" w:color="auto"/>
        <w:left w:val="none" w:sz="0" w:space="0" w:color="auto"/>
        <w:bottom w:val="none" w:sz="0" w:space="0" w:color="auto"/>
        <w:right w:val="none" w:sz="0" w:space="0" w:color="auto"/>
      </w:divBdr>
    </w:div>
    <w:div w:id="1752508103">
      <w:bodyDiv w:val="1"/>
      <w:marLeft w:val="0"/>
      <w:marRight w:val="0"/>
      <w:marTop w:val="0"/>
      <w:marBottom w:val="0"/>
      <w:divBdr>
        <w:top w:val="none" w:sz="0" w:space="0" w:color="auto"/>
        <w:left w:val="none" w:sz="0" w:space="0" w:color="auto"/>
        <w:bottom w:val="none" w:sz="0" w:space="0" w:color="auto"/>
        <w:right w:val="none" w:sz="0" w:space="0" w:color="auto"/>
      </w:divBdr>
    </w:div>
    <w:div w:id="1756323765">
      <w:bodyDiv w:val="1"/>
      <w:marLeft w:val="0"/>
      <w:marRight w:val="0"/>
      <w:marTop w:val="0"/>
      <w:marBottom w:val="0"/>
      <w:divBdr>
        <w:top w:val="none" w:sz="0" w:space="0" w:color="auto"/>
        <w:left w:val="none" w:sz="0" w:space="0" w:color="auto"/>
        <w:bottom w:val="none" w:sz="0" w:space="0" w:color="auto"/>
        <w:right w:val="none" w:sz="0" w:space="0" w:color="auto"/>
      </w:divBdr>
    </w:div>
    <w:div w:id="1758019699">
      <w:bodyDiv w:val="1"/>
      <w:marLeft w:val="0"/>
      <w:marRight w:val="0"/>
      <w:marTop w:val="0"/>
      <w:marBottom w:val="0"/>
      <w:divBdr>
        <w:top w:val="none" w:sz="0" w:space="0" w:color="auto"/>
        <w:left w:val="none" w:sz="0" w:space="0" w:color="auto"/>
        <w:bottom w:val="none" w:sz="0" w:space="0" w:color="auto"/>
        <w:right w:val="none" w:sz="0" w:space="0" w:color="auto"/>
      </w:divBdr>
    </w:div>
    <w:div w:id="1761946422">
      <w:bodyDiv w:val="1"/>
      <w:marLeft w:val="0"/>
      <w:marRight w:val="0"/>
      <w:marTop w:val="0"/>
      <w:marBottom w:val="0"/>
      <w:divBdr>
        <w:top w:val="none" w:sz="0" w:space="0" w:color="auto"/>
        <w:left w:val="none" w:sz="0" w:space="0" w:color="auto"/>
        <w:bottom w:val="none" w:sz="0" w:space="0" w:color="auto"/>
        <w:right w:val="none" w:sz="0" w:space="0" w:color="auto"/>
      </w:divBdr>
    </w:div>
    <w:div w:id="1786122619">
      <w:bodyDiv w:val="1"/>
      <w:marLeft w:val="0"/>
      <w:marRight w:val="0"/>
      <w:marTop w:val="0"/>
      <w:marBottom w:val="0"/>
      <w:divBdr>
        <w:top w:val="none" w:sz="0" w:space="0" w:color="auto"/>
        <w:left w:val="none" w:sz="0" w:space="0" w:color="auto"/>
        <w:bottom w:val="none" w:sz="0" w:space="0" w:color="auto"/>
        <w:right w:val="none" w:sz="0" w:space="0" w:color="auto"/>
      </w:divBdr>
    </w:div>
    <w:div w:id="1786580752">
      <w:bodyDiv w:val="1"/>
      <w:marLeft w:val="0"/>
      <w:marRight w:val="0"/>
      <w:marTop w:val="0"/>
      <w:marBottom w:val="0"/>
      <w:divBdr>
        <w:top w:val="none" w:sz="0" w:space="0" w:color="auto"/>
        <w:left w:val="none" w:sz="0" w:space="0" w:color="auto"/>
        <w:bottom w:val="none" w:sz="0" w:space="0" w:color="auto"/>
        <w:right w:val="none" w:sz="0" w:space="0" w:color="auto"/>
      </w:divBdr>
    </w:div>
    <w:div w:id="1791703850">
      <w:bodyDiv w:val="1"/>
      <w:marLeft w:val="0"/>
      <w:marRight w:val="0"/>
      <w:marTop w:val="0"/>
      <w:marBottom w:val="0"/>
      <w:divBdr>
        <w:top w:val="none" w:sz="0" w:space="0" w:color="auto"/>
        <w:left w:val="none" w:sz="0" w:space="0" w:color="auto"/>
        <w:bottom w:val="none" w:sz="0" w:space="0" w:color="auto"/>
        <w:right w:val="none" w:sz="0" w:space="0" w:color="auto"/>
      </w:divBdr>
    </w:div>
    <w:div w:id="1796093210">
      <w:bodyDiv w:val="1"/>
      <w:marLeft w:val="0"/>
      <w:marRight w:val="0"/>
      <w:marTop w:val="0"/>
      <w:marBottom w:val="0"/>
      <w:divBdr>
        <w:top w:val="none" w:sz="0" w:space="0" w:color="auto"/>
        <w:left w:val="none" w:sz="0" w:space="0" w:color="auto"/>
        <w:bottom w:val="none" w:sz="0" w:space="0" w:color="auto"/>
        <w:right w:val="none" w:sz="0" w:space="0" w:color="auto"/>
      </w:divBdr>
    </w:div>
    <w:div w:id="1797481646">
      <w:bodyDiv w:val="1"/>
      <w:marLeft w:val="0"/>
      <w:marRight w:val="0"/>
      <w:marTop w:val="0"/>
      <w:marBottom w:val="0"/>
      <w:divBdr>
        <w:top w:val="none" w:sz="0" w:space="0" w:color="auto"/>
        <w:left w:val="none" w:sz="0" w:space="0" w:color="auto"/>
        <w:bottom w:val="none" w:sz="0" w:space="0" w:color="auto"/>
        <w:right w:val="none" w:sz="0" w:space="0" w:color="auto"/>
      </w:divBdr>
    </w:div>
    <w:div w:id="1799489956">
      <w:bodyDiv w:val="1"/>
      <w:marLeft w:val="0"/>
      <w:marRight w:val="0"/>
      <w:marTop w:val="0"/>
      <w:marBottom w:val="0"/>
      <w:divBdr>
        <w:top w:val="none" w:sz="0" w:space="0" w:color="auto"/>
        <w:left w:val="none" w:sz="0" w:space="0" w:color="auto"/>
        <w:bottom w:val="none" w:sz="0" w:space="0" w:color="auto"/>
        <w:right w:val="none" w:sz="0" w:space="0" w:color="auto"/>
      </w:divBdr>
    </w:div>
    <w:div w:id="1800145416">
      <w:bodyDiv w:val="1"/>
      <w:marLeft w:val="0"/>
      <w:marRight w:val="0"/>
      <w:marTop w:val="0"/>
      <w:marBottom w:val="0"/>
      <w:divBdr>
        <w:top w:val="none" w:sz="0" w:space="0" w:color="auto"/>
        <w:left w:val="none" w:sz="0" w:space="0" w:color="auto"/>
        <w:bottom w:val="none" w:sz="0" w:space="0" w:color="auto"/>
        <w:right w:val="none" w:sz="0" w:space="0" w:color="auto"/>
      </w:divBdr>
    </w:div>
    <w:div w:id="1803115864">
      <w:bodyDiv w:val="1"/>
      <w:marLeft w:val="0"/>
      <w:marRight w:val="0"/>
      <w:marTop w:val="0"/>
      <w:marBottom w:val="0"/>
      <w:divBdr>
        <w:top w:val="none" w:sz="0" w:space="0" w:color="auto"/>
        <w:left w:val="none" w:sz="0" w:space="0" w:color="auto"/>
        <w:bottom w:val="none" w:sz="0" w:space="0" w:color="auto"/>
        <w:right w:val="none" w:sz="0" w:space="0" w:color="auto"/>
      </w:divBdr>
    </w:div>
    <w:div w:id="1805348091">
      <w:bodyDiv w:val="1"/>
      <w:marLeft w:val="0"/>
      <w:marRight w:val="0"/>
      <w:marTop w:val="0"/>
      <w:marBottom w:val="0"/>
      <w:divBdr>
        <w:top w:val="none" w:sz="0" w:space="0" w:color="auto"/>
        <w:left w:val="none" w:sz="0" w:space="0" w:color="auto"/>
        <w:bottom w:val="none" w:sz="0" w:space="0" w:color="auto"/>
        <w:right w:val="none" w:sz="0" w:space="0" w:color="auto"/>
      </w:divBdr>
    </w:div>
    <w:div w:id="1808552552">
      <w:bodyDiv w:val="1"/>
      <w:marLeft w:val="0"/>
      <w:marRight w:val="0"/>
      <w:marTop w:val="0"/>
      <w:marBottom w:val="0"/>
      <w:divBdr>
        <w:top w:val="none" w:sz="0" w:space="0" w:color="auto"/>
        <w:left w:val="none" w:sz="0" w:space="0" w:color="auto"/>
        <w:bottom w:val="none" w:sz="0" w:space="0" w:color="auto"/>
        <w:right w:val="none" w:sz="0" w:space="0" w:color="auto"/>
      </w:divBdr>
    </w:div>
    <w:div w:id="1818453153">
      <w:bodyDiv w:val="1"/>
      <w:marLeft w:val="0"/>
      <w:marRight w:val="0"/>
      <w:marTop w:val="0"/>
      <w:marBottom w:val="0"/>
      <w:divBdr>
        <w:top w:val="none" w:sz="0" w:space="0" w:color="auto"/>
        <w:left w:val="none" w:sz="0" w:space="0" w:color="auto"/>
        <w:bottom w:val="none" w:sz="0" w:space="0" w:color="auto"/>
        <w:right w:val="none" w:sz="0" w:space="0" w:color="auto"/>
      </w:divBdr>
    </w:div>
    <w:div w:id="1819153743">
      <w:bodyDiv w:val="1"/>
      <w:marLeft w:val="0"/>
      <w:marRight w:val="0"/>
      <w:marTop w:val="0"/>
      <w:marBottom w:val="0"/>
      <w:divBdr>
        <w:top w:val="none" w:sz="0" w:space="0" w:color="auto"/>
        <w:left w:val="none" w:sz="0" w:space="0" w:color="auto"/>
        <w:bottom w:val="none" w:sz="0" w:space="0" w:color="auto"/>
        <w:right w:val="none" w:sz="0" w:space="0" w:color="auto"/>
      </w:divBdr>
    </w:div>
    <w:div w:id="1832869643">
      <w:bodyDiv w:val="1"/>
      <w:marLeft w:val="0"/>
      <w:marRight w:val="0"/>
      <w:marTop w:val="0"/>
      <w:marBottom w:val="0"/>
      <w:divBdr>
        <w:top w:val="none" w:sz="0" w:space="0" w:color="auto"/>
        <w:left w:val="none" w:sz="0" w:space="0" w:color="auto"/>
        <w:bottom w:val="none" w:sz="0" w:space="0" w:color="auto"/>
        <w:right w:val="none" w:sz="0" w:space="0" w:color="auto"/>
      </w:divBdr>
    </w:div>
    <w:div w:id="1836021707">
      <w:bodyDiv w:val="1"/>
      <w:marLeft w:val="0"/>
      <w:marRight w:val="0"/>
      <w:marTop w:val="0"/>
      <w:marBottom w:val="0"/>
      <w:divBdr>
        <w:top w:val="none" w:sz="0" w:space="0" w:color="auto"/>
        <w:left w:val="none" w:sz="0" w:space="0" w:color="auto"/>
        <w:bottom w:val="none" w:sz="0" w:space="0" w:color="auto"/>
        <w:right w:val="none" w:sz="0" w:space="0" w:color="auto"/>
      </w:divBdr>
    </w:div>
    <w:div w:id="1845053253">
      <w:bodyDiv w:val="1"/>
      <w:marLeft w:val="0"/>
      <w:marRight w:val="0"/>
      <w:marTop w:val="0"/>
      <w:marBottom w:val="0"/>
      <w:divBdr>
        <w:top w:val="none" w:sz="0" w:space="0" w:color="auto"/>
        <w:left w:val="none" w:sz="0" w:space="0" w:color="auto"/>
        <w:bottom w:val="none" w:sz="0" w:space="0" w:color="auto"/>
        <w:right w:val="none" w:sz="0" w:space="0" w:color="auto"/>
      </w:divBdr>
    </w:div>
    <w:div w:id="1846164329">
      <w:bodyDiv w:val="1"/>
      <w:marLeft w:val="0"/>
      <w:marRight w:val="0"/>
      <w:marTop w:val="0"/>
      <w:marBottom w:val="0"/>
      <w:divBdr>
        <w:top w:val="none" w:sz="0" w:space="0" w:color="auto"/>
        <w:left w:val="none" w:sz="0" w:space="0" w:color="auto"/>
        <w:bottom w:val="none" w:sz="0" w:space="0" w:color="auto"/>
        <w:right w:val="none" w:sz="0" w:space="0" w:color="auto"/>
      </w:divBdr>
    </w:div>
    <w:div w:id="1848405698">
      <w:bodyDiv w:val="1"/>
      <w:marLeft w:val="0"/>
      <w:marRight w:val="0"/>
      <w:marTop w:val="0"/>
      <w:marBottom w:val="0"/>
      <w:divBdr>
        <w:top w:val="none" w:sz="0" w:space="0" w:color="auto"/>
        <w:left w:val="none" w:sz="0" w:space="0" w:color="auto"/>
        <w:bottom w:val="none" w:sz="0" w:space="0" w:color="auto"/>
        <w:right w:val="none" w:sz="0" w:space="0" w:color="auto"/>
      </w:divBdr>
    </w:div>
    <w:div w:id="1849128522">
      <w:bodyDiv w:val="1"/>
      <w:marLeft w:val="0"/>
      <w:marRight w:val="0"/>
      <w:marTop w:val="0"/>
      <w:marBottom w:val="0"/>
      <w:divBdr>
        <w:top w:val="none" w:sz="0" w:space="0" w:color="auto"/>
        <w:left w:val="none" w:sz="0" w:space="0" w:color="auto"/>
        <w:bottom w:val="none" w:sz="0" w:space="0" w:color="auto"/>
        <w:right w:val="none" w:sz="0" w:space="0" w:color="auto"/>
      </w:divBdr>
    </w:div>
    <w:div w:id="1850943017">
      <w:bodyDiv w:val="1"/>
      <w:marLeft w:val="0"/>
      <w:marRight w:val="0"/>
      <w:marTop w:val="0"/>
      <w:marBottom w:val="0"/>
      <w:divBdr>
        <w:top w:val="none" w:sz="0" w:space="0" w:color="auto"/>
        <w:left w:val="none" w:sz="0" w:space="0" w:color="auto"/>
        <w:bottom w:val="none" w:sz="0" w:space="0" w:color="auto"/>
        <w:right w:val="none" w:sz="0" w:space="0" w:color="auto"/>
      </w:divBdr>
    </w:div>
    <w:div w:id="1853568684">
      <w:bodyDiv w:val="1"/>
      <w:marLeft w:val="0"/>
      <w:marRight w:val="0"/>
      <w:marTop w:val="0"/>
      <w:marBottom w:val="0"/>
      <w:divBdr>
        <w:top w:val="none" w:sz="0" w:space="0" w:color="auto"/>
        <w:left w:val="none" w:sz="0" w:space="0" w:color="auto"/>
        <w:bottom w:val="none" w:sz="0" w:space="0" w:color="auto"/>
        <w:right w:val="none" w:sz="0" w:space="0" w:color="auto"/>
      </w:divBdr>
    </w:div>
    <w:div w:id="1857231056">
      <w:bodyDiv w:val="1"/>
      <w:marLeft w:val="0"/>
      <w:marRight w:val="0"/>
      <w:marTop w:val="0"/>
      <w:marBottom w:val="0"/>
      <w:divBdr>
        <w:top w:val="none" w:sz="0" w:space="0" w:color="auto"/>
        <w:left w:val="none" w:sz="0" w:space="0" w:color="auto"/>
        <w:bottom w:val="none" w:sz="0" w:space="0" w:color="auto"/>
        <w:right w:val="none" w:sz="0" w:space="0" w:color="auto"/>
      </w:divBdr>
    </w:div>
    <w:div w:id="1857692379">
      <w:bodyDiv w:val="1"/>
      <w:marLeft w:val="0"/>
      <w:marRight w:val="0"/>
      <w:marTop w:val="0"/>
      <w:marBottom w:val="0"/>
      <w:divBdr>
        <w:top w:val="none" w:sz="0" w:space="0" w:color="auto"/>
        <w:left w:val="none" w:sz="0" w:space="0" w:color="auto"/>
        <w:bottom w:val="none" w:sz="0" w:space="0" w:color="auto"/>
        <w:right w:val="none" w:sz="0" w:space="0" w:color="auto"/>
      </w:divBdr>
    </w:div>
    <w:div w:id="1860119693">
      <w:bodyDiv w:val="1"/>
      <w:marLeft w:val="0"/>
      <w:marRight w:val="0"/>
      <w:marTop w:val="0"/>
      <w:marBottom w:val="0"/>
      <w:divBdr>
        <w:top w:val="none" w:sz="0" w:space="0" w:color="auto"/>
        <w:left w:val="none" w:sz="0" w:space="0" w:color="auto"/>
        <w:bottom w:val="none" w:sz="0" w:space="0" w:color="auto"/>
        <w:right w:val="none" w:sz="0" w:space="0" w:color="auto"/>
      </w:divBdr>
    </w:div>
    <w:div w:id="1863123585">
      <w:bodyDiv w:val="1"/>
      <w:marLeft w:val="0"/>
      <w:marRight w:val="0"/>
      <w:marTop w:val="0"/>
      <w:marBottom w:val="0"/>
      <w:divBdr>
        <w:top w:val="none" w:sz="0" w:space="0" w:color="auto"/>
        <w:left w:val="none" w:sz="0" w:space="0" w:color="auto"/>
        <w:bottom w:val="none" w:sz="0" w:space="0" w:color="auto"/>
        <w:right w:val="none" w:sz="0" w:space="0" w:color="auto"/>
      </w:divBdr>
    </w:div>
    <w:div w:id="1866477692">
      <w:bodyDiv w:val="1"/>
      <w:marLeft w:val="0"/>
      <w:marRight w:val="0"/>
      <w:marTop w:val="0"/>
      <w:marBottom w:val="0"/>
      <w:divBdr>
        <w:top w:val="none" w:sz="0" w:space="0" w:color="auto"/>
        <w:left w:val="none" w:sz="0" w:space="0" w:color="auto"/>
        <w:bottom w:val="none" w:sz="0" w:space="0" w:color="auto"/>
        <w:right w:val="none" w:sz="0" w:space="0" w:color="auto"/>
      </w:divBdr>
    </w:div>
    <w:div w:id="1869177491">
      <w:bodyDiv w:val="1"/>
      <w:marLeft w:val="0"/>
      <w:marRight w:val="0"/>
      <w:marTop w:val="0"/>
      <w:marBottom w:val="0"/>
      <w:divBdr>
        <w:top w:val="none" w:sz="0" w:space="0" w:color="auto"/>
        <w:left w:val="none" w:sz="0" w:space="0" w:color="auto"/>
        <w:bottom w:val="none" w:sz="0" w:space="0" w:color="auto"/>
        <w:right w:val="none" w:sz="0" w:space="0" w:color="auto"/>
      </w:divBdr>
    </w:div>
    <w:div w:id="1870222633">
      <w:bodyDiv w:val="1"/>
      <w:marLeft w:val="0"/>
      <w:marRight w:val="0"/>
      <w:marTop w:val="0"/>
      <w:marBottom w:val="0"/>
      <w:divBdr>
        <w:top w:val="none" w:sz="0" w:space="0" w:color="auto"/>
        <w:left w:val="none" w:sz="0" w:space="0" w:color="auto"/>
        <w:bottom w:val="none" w:sz="0" w:space="0" w:color="auto"/>
        <w:right w:val="none" w:sz="0" w:space="0" w:color="auto"/>
      </w:divBdr>
    </w:div>
    <w:div w:id="1874074799">
      <w:bodyDiv w:val="1"/>
      <w:marLeft w:val="0"/>
      <w:marRight w:val="0"/>
      <w:marTop w:val="0"/>
      <w:marBottom w:val="0"/>
      <w:divBdr>
        <w:top w:val="none" w:sz="0" w:space="0" w:color="auto"/>
        <w:left w:val="none" w:sz="0" w:space="0" w:color="auto"/>
        <w:bottom w:val="none" w:sz="0" w:space="0" w:color="auto"/>
        <w:right w:val="none" w:sz="0" w:space="0" w:color="auto"/>
      </w:divBdr>
    </w:div>
    <w:div w:id="1874076123">
      <w:bodyDiv w:val="1"/>
      <w:marLeft w:val="0"/>
      <w:marRight w:val="0"/>
      <w:marTop w:val="0"/>
      <w:marBottom w:val="0"/>
      <w:divBdr>
        <w:top w:val="none" w:sz="0" w:space="0" w:color="auto"/>
        <w:left w:val="none" w:sz="0" w:space="0" w:color="auto"/>
        <w:bottom w:val="none" w:sz="0" w:space="0" w:color="auto"/>
        <w:right w:val="none" w:sz="0" w:space="0" w:color="auto"/>
      </w:divBdr>
    </w:div>
    <w:div w:id="1876309052">
      <w:bodyDiv w:val="1"/>
      <w:marLeft w:val="0"/>
      <w:marRight w:val="0"/>
      <w:marTop w:val="0"/>
      <w:marBottom w:val="0"/>
      <w:divBdr>
        <w:top w:val="none" w:sz="0" w:space="0" w:color="auto"/>
        <w:left w:val="none" w:sz="0" w:space="0" w:color="auto"/>
        <w:bottom w:val="none" w:sz="0" w:space="0" w:color="auto"/>
        <w:right w:val="none" w:sz="0" w:space="0" w:color="auto"/>
      </w:divBdr>
    </w:div>
    <w:div w:id="1878161243">
      <w:bodyDiv w:val="1"/>
      <w:marLeft w:val="0"/>
      <w:marRight w:val="0"/>
      <w:marTop w:val="0"/>
      <w:marBottom w:val="0"/>
      <w:divBdr>
        <w:top w:val="none" w:sz="0" w:space="0" w:color="auto"/>
        <w:left w:val="none" w:sz="0" w:space="0" w:color="auto"/>
        <w:bottom w:val="none" w:sz="0" w:space="0" w:color="auto"/>
        <w:right w:val="none" w:sz="0" w:space="0" w:color="auto"/>
      </w:divBdr>
    </w:div>
    <w:div w:id="1880701830">
      <w:bodyDiv w:val="1"/>
      <w:marLeft w:val="0"/>
      <w:marRight w:val="0"/>
      <w:marTop w:val="0"/>
      <w:marBottom w:val="0"/>
      <w:divBdr>
        <w:top w:val="none" w:sz="0" w:space="0" w:color="auto"/>
        <w:left w:val="none" w:sz="0" w:space="0" w:color="auto"/>
        <w:bottom w:val="none" w:sz="0" w:space="0" w:color="auto"/>
        <w:right w:val="none" w:sz="0" w:space="0" w:color="auto"/>
      </w:divBdr>
    </w:div>
    <w:div w:id="1882086148">
      <w:bodyDiv w:val="1"/>
      <w:marLeft w:val="0"/>
      <w:marRight w:val="0"/>
      <w:marTop w:val="0"/>
      <w:marBottom w:val="0"/>
      <w:divBdr>
        <w:top w:val="none" w:sz="0" w:space="0" w:color="auto"/>
        <w:left w:val="none" w:sz="0" w:space="0" w:color="auto"/>
        <w:bottom w:val="none" w:sz="0" w:space="0" w:color="auto"/>
        <w:right w:val="none" w:sz="0" w:space="0" w:color="auto"/>
      </w:divBdr>
    </w:div>
    <w:div w:id="1883785911">
      <w:bodyDiv w:val="1"/>
      <w:marLeft w:val="0"/>
      <w:marRight w:val="0"/>
      <w:marTop w:val="0"/>
      <w:marBottom w:val="0"/>
      <w:divBdr>
        <w:top w:val="none" w:sz="0" w:space="0" w:color="auto"/>
        <w:left w:val="none" w:sz="0" w:space="0" w:color="auto"/>
        <w:bottom w:val="none" w:sz="0" w:space="0" w:color="auto"/>
        <w:right w:val="none" w:sz="0" w:space="0" w:color="auto"/>
      </w:divBdr>
    </w:div>
    <w:div w:id="1886719859">
      <w:bodyDiv w:val="1"/>
      <w:marLeft w:val="0"/>
      <w:marRight w:val="0"/>
      <w:marTop w:val="0"/>
      <w:marBottom w:val="0"/>
      <w:divBdr>
        <w:top w:val="none" w:sz="0" w:space="0" w:color="auto"/>
        <w:left w:val="none" w:sz="0" w:space="0" w:color="auto"/>
        <w:bottom w:val="none" w:sz="0" w:space="0" w:color="auto"/>
        <w:right w:val="none" w:sz="0" w:space="0" w:color="auto"/>
      </w:divBdr>
    </w:div>
    <w:div w:id="1888253976">
      <w:bodyDiv w:val="1"/>
      <w:marLeft w:val="0"/>
      <w:marRight w:val="0"/>
      <w:marTop w:val="0"/>
      <w:marBottom w:val="0"/>
      <w:divBdr>
        <w:top w:val="none" w:sz="0" w:space="0" w:color="auto"/>
        <w:left w:val="none" w:sz="0" w:space="0" w:color="auto"/>
        <w:bottom w:val="none" w:sz="0" w:space="0" w:color="auto"/>
        <w:right w:val="none" w:sz="0" w:space="0" w:color="auto"/>
      </w:divBdr>
    </w:div>
    <w:div w:id="1894384364">
      <w:bodyDiv w:val="1"/>
      <w:marLeft w:val="0"/>
      <w:marRight w:val="0"/>
      <w:marTop w:val="0"/>
      <w:marBottom w:val="0"/>
      <w:divBdr>
        <w:top w:val="none" w:sz="0" w:space="0" w:color="auto"/>
        <w:left w:val="none" w:sz="0" w:space="0" w:color="auto"/>
        <w:bottom w:val="none" w:sz="0" w:space="0" w:color="auto"/>
        <w:right w:val="none" w:sz="0" w:space="0" w:color="auto"/>
      </w:divBdr>
    </w:div>
    <w:div w:id="1895120704">
      <w:bodyDiv w:val="1"/>
      <w:marLeft w:val="0"/>
      <w:marRight w:val="0"/>
      <w:marTop w:val="0"/>
      <w:marBottom w:val="0"/>
      <w:divBdr>
        <w:top w:val="none" w:sz="0" w:space="0" w:color="auto"/>
        <w:left w:val="none" w:sz="0" w:space="0" w:color="auto"/>
        <w:bottom w:val="none" w:sz="0" w:space="0" w:color="auto"/>
        <w:right w:val="none" w:sz="0" w:space="0" w:color="auto"/>
      </w:divBdr>
    </w:div>
    <w:div w:id="1895506924">
      <w:bodyDiv w:val="1"/>
      <w:marLeft w:val="0"/>
      <w:marRight w:val="0"/>
      <w:marTop w:val="0"/>
      <w:marBottom w:val="0"/>
      <w:divBdr>
        <w:top w:val="none" w:sz="0" w:space="0" w:color="auto"/>
        <w:left w:val="none" w:sz="0" w:space="0" w:color="auto"/>
        <w:bottom w:val="none" w:sz="0" w:space="0" w:color="auto"/>
        <w:right w:val="none" w:sz="0" w:space="0" w:color="auto"/>
      </w:divBdr>
    </w:div>
    <w:div w:id="1897429808">
      <w:bodyDiv w:val="1"/>
      <w:marLeft w:val="0"/>
      <w:marRight w:val="0"/>
      <w:marTop w:val="0"/>
      <w:marBottom w:val="0"/>
      <w:divBdr>
        <w:top w:val="none" w:sz="0" w:space="0" w:color="auto"/>
        <w:left w:val="none" w:sz="0" w:space="0" w:color="auto"/>
        <w:bottom w:val="none" w:sz="0" w:space="0" w:color="auto"/>
        <w:right w:val="none" w:sz="0" w:space="0" w:color="auto"/>
      </w:divBdr>
    </w:div>
    <w:div w:id="1898586487">
      <w:bodyDiv w:val="1"/>
      <w:marLeft w:val="0"/>
      <w:marRight w:val="0"/>
      <w:marTop w:val="0"/>
      <w:marBottom w:val="0"/>
      <w:divBdr>
        <w:top w:val="none" w:sz="0" w:space="0" w:color="auto"/>
        <w:left w:val="none" w:sz="0" w:space="0" w:color="auto"/>
        <w:bottom w:val="none" w:sz="0" w:space="0" w:color="auto"/>
        <w:right w:val="none" w:sz="0" w:space="0" w:color="auto"/>
      </w:divBdr>
    </w:div>
    <w:div w:id="1901287242">
      <w:bodyDiv w:val="1"/>
      <w:marLeft w:val="0"/>
      <w:marRight w:val="0"/>
      <w:marTop w:val="0"/>
      <w:marBottom w:val="0"/>
      <w:divBdr>
        <w:top w:val="none" w:sz="0" w:space="0" w:color="auto"/>
        <w:left w:val="none" w:sz="0" w:space="0" w:color="auto"/>
        <w:bottom w:val="none" w:sz="0" w:space="0" w:color="auto"/>
        <w:right w:val="none" w:sz="0" w:space="0" w:color="auto"/>
      </w:divBdr>
    </w:div>
    <w:div w:id="1901362526">
      <w:bodyDiv w:val="1"/>
      <w:marLeft w:val="0"/>
      <w:marRight w:val="0"/>
      <w:marTop w:val="0"/>
      <w:marBottom w:val="0"/>
      <w:divBdr>
        <w:top w:val="none" w:sz="0" w:space="0" w:color="auto"/>
        <w:left w:val="none" w:sz="0" w:space="0" w:color="auto"/>
        <w:bottom w:val="none" w:sz="0" w:space="0" w:color="auto"/>
        <w:right w:val="none" w:sz="0" w:space="0" w:color="auto"/>
      </w:divBdr>
    </w:div>
    <w:div w:id="1906842186">
      <w:bodyDiv w:val="1"/>
      <w:marLeft w:val="0"/>
      <w:marRight w:val="0"/>
      <w:marTop w:val="0"/>
      <w:marBottom w:val="0"/>
      <w:divBdr>
        <w:top w:val="none" w:sz="0" w:space="0" w:color="auto"/>
        <w:left w:val="none" w:sz="0" w:space="0" w:color="auto"/>
        <w:bottom w:val="none" w:sz="0" w:space="0" w:color="auto"/>
        <w:right w:val="none" w:sz="0" w:space="0" w:color="auto"/>
      </w:divBdr>
    </w:div>
    <w:div w:id="1907648788">
      <w:bodyDiv w:val="1"/>
      <w:marLeft w:val="0"/>
      <w:marRight w:val="0"/>
      <w:marTop w:val="0"/>
      <w:marBottom w:val="0"/>
      <w:divBdr>
        <w:top w:val="none" w:sz="0" w:space="0" w:color="auto"/>
        <w:left w:val="none" w:sz="0" w:space="0" w:color="auto"/>
        <w:bottom w:val="none" w:sz="0" w:space="0" w:color="auto"/>
        <w:right w:val="none" w:sz="0" w:space="0" w:color="auto"/>
      </w:divBdr>
    </w:div>
    <w:div w:id="1916549090">
      <w:bodyDiv w:val="1"/>
      <w:marLeft w:val="0"/>
      <w:marRight w:val="0"/>
      <w:marTop w:val="0"/>
      <w:marBottom w:val="0"/>
      <w:divBdr>
        <w:top w:val="none" w:sz="0" w:space="0" w:color="auto"/>
        <w:left w:val="none" w:sz="0" w:space="0" w:color="auto"/>
        <w:bottom w:val="none" w:sz="0" w:space="0" w:color="auto"/>
        <w:right w:val="none" w:sz="0" w:space="0" w:color="auto"/>
      </w:divBdr>
    </w:div>
    <w:div w:id="1920433333">
      <w:bodyDiv w:val="1"/>
      <w:marLeft w:val="0"/>
      <w:marRight w:val="0"/>
      <w:marTop w:val="0"/>
      <w:marBottom w:val="0"/>
      <w:divBdr>
        <w:top w:val="none" w:sz="0" w:space="0" w:color="auto"/>
        <w:left w:val="none" w:sz="0" w:space="0" w:color="auto"/>
        <w:bottom w:val="none" w:sz="0" w:space="0" w:color="auto"/>
        <w:right w:val="none" w:sz="0" w:space="0" w:color="auto"/>
      </w:divBdr>
    </w:div>
    <w:div w:id="1921139221">
      <w:bodyDiv w:val="1"/>
      <w:marLeft w:val="0"/>
      <w:marRight w:val="0"/>
      <w:marTop w:val="0"/>
      <w:marBottom w:val="0"/>
      <w:divBdr>
        <w:top w:val="none" w:sz="0" w:space="0" w:color="auto"/>
        <w:left w:val="none" w:sz="0" w:space="0" w:color="auto"/>
        <w:bottom w:val="none" w:sz="0" w:space="0" w:color="auto"/>
        <w:right w:val="none" w:sz="0" w:space="0" w:color="auto"/>
      </w:divBdr>
    </w:div>
    <w:div w:id="1925718090">
      <w:bodyDiv w:val="1"/>
      <w:marLeft w:val="0"/>
      <w:marRight w:val="0"/>
      <w:marTop w:val="0"/>
      <w:marBottom w:val="0"/>
      <w:divBdr>
        <w:top w:val="none" w:sz="0" w:space="0" w:color="auto"/>
        <w:left w:val="none" w:sz="0" w:space="0" w:color="auto"/>
        <w:bottom w:val="none" w:sz="0" w:space="0" w:color="auto"/>
        <w:right w:val="none" w:sz="0" w:space="0" w:color="auto"/>
      </w:divBdr>
    </w:div>
    <w:div w:id="1926062258">
      <w:bodyDiv w:val="1"/>
      <w:marLeft w:val="0"/>
      <w:marRight w:val="0"/>
      <w:marTop w:val="0"/>
      <w:marBottom w:val="0"/>
      <w:divBdr>
        <w:top w:val="none" w:sz="0" w:space="0" w:color="auto"/>
        <w:left w:val="none" w:sz="0" w:space="0" w:color="auto"/>
        <w:bottom w:val="none" w:sz="0" w:space="0" w:color="auto"/>
        <w:right w:val="none" w:sz="0" w:space="0" w:color="auto"/>
      </w:divBdr>
    </w:div>
    <w:div w:id="1927959761">
      <w:bodyDiv w:val="1"/>
      <w:marLeft w:val="0"/>
      <w:marRight w:val="0"/>
      <w:marTop w:val="0"/>
      <w:marBottom w:val="0"/>
      <w:divBdr>
        <w:top w:val="none" w:sz="0" w:space="0" w:color="auto"/>
        <w:left w:val="none" w:sz="0" w:space="0" w:color="auto"/>
        <w:bottom w:val="none" w:sz="0" w:space="0" w:color="auto"/>
        <w:right w:val="none" w:sz="0" w:space="0" w:color="auto"/>
      </w:divBdr>
    </w:div>
    <w:div w:id="1931348164">
      <w:bodyDiv w:val="1"/>
      <w:marLeft w:val="0"/>
      <w:marRight w:val="0"/>
      <w:marTop w:val="0"/>
      <w:marBottom w:val="0"/>
      <w:divBdr>
        <w:top w:val="none" w:sz="0" w:space="0" w:color="auto"/>
        <w:left w:val="none" w:sz="0" w:space="0" w:color="auto"/>
        <w:bottom w:val="none" w:sz="0" w:space="0" w:color="auto"/>
        <w:right w:val="none" w:sz="0" w:space="0" w:color="auto"/>
      </w:divBdr>
    </w:div>
    <w:div w:id="1932201153">
      <w:bodyDiv w:val="1"/>
      <w:marLeft w:val="0"/>
      <w:marRight w:val="0"/>
      <w:marTop w:val="0"/>
      <w:marBottom w:val="0"/>
      <w:divBdr>
        <w:top w:val="none" w:sz="0" w:space="0" w:color="auto"/>
        <w:left w:val="none" w:sz="0" w:space="0" w:color="auto"/>
        <w:bottom w:val="none" w:sz="0" w:space="0" w:color="auto"/>
        <w:right w:val="none" w:sz="0" w:space="0" w:color="auto"/>
      </w:divBdr>
    </w:div>
    <w:div w:id="1934319914">
      <w:bodyDiv w:val="1"/>
      <w:marLeft w:val="0"/>
      <w:marRight w:val="0"/>
      <w:marTop w:val="0"/>
      <w:marBottom w:val="0"/>
      <w:divBdr>
        <w:top w:val="none" w:sz="0" w:space="0" w:color="auto"/>
        <w:left w:val="none" w:sz="0" w:space="0" w:color="auto"/>
        <w:bottom w:val="none" w:sz="0" w:space="0" w:color="auto"/>
        <w:right w:val="none" w:sz="0" w:space="0" w:color="auto"/>
      </w:divBdr>
    </w:div>
    <w:div w:id="1936358174">
      <w:bodyDiv w:val="1"/>
      <w:marLeft w:val="0"/>
      <w:marRight w:val="0"/>
      <w:marTop w:val="0"/>
      <w:marBottom w:val="0"/>
      <w:divBdr>
        <w:top w:val="none" w:sz="0" w:space="0" w:color="auto"/>
        <w:left w:val="none" w:sz="0" w:space="0" w:color="auto"/>
        <w:bottom w:val="none" w:sz="0" w:space="0" w:color="auto"/>
        <w:right w:val="none" w:sz="0" w:space="0" w:color="auto"/>
      </w:divBdr>
    </w:div>
    <w:div w:id="1938438348">
      <w:bodyDiv w:val="1"/>
      <w:marLeft w:val="0"/>
      <w:marRight w:val="0"/>
      <w:marTop w:val="0"/>
      <w:marBottom w:val="0"/>
      <w:divBdr>
        <w:top w:val="none" w:sz="0" w:space="0" w:color="auto"/>
        <w:left w:val="none" w:sz="0" w:space="0" w:color="auto"/>
        <w:bottom w:val="none" w:sz="0" w:space="0" w:color="auto"/>
        <w:right w:val="none" w:sz="0" w:space="0" w:color="auto"/>
      </w:divBdr>
    </w:div>
    <w:div w:id="1939874566">
      <w:bodyDiv w:val="1"/>
      <w:marLeft w:val="0"/>
      <w:marRight w:val="0"/>
      <w:marTop w:val="0"/>
      <w:marBottom w:val="0"/>
      <w:divBdr>
        <w:top w:val="none" w:sz="0" w:space="0" w:color="auto"/>
        <w:left w:val="none" w:sz="0" w:space="0" w:color="auto"/>
        <w:bottom w:val="none" w:sz="0" w:space="0" w:color="auto"/>
        <w:right w:val="none" w:sz="0" w:space="0" w:color="auto"/>
      </w:divBdr>
    </w:div>
    <w:div w:id="1940796136">
      <w:bodyDiv w:val="1"/>
      <w:marLeft w:val="0"/>
      <w:marRight w:val="0"/>
      <w:marTop w:val="0"/>
      <w:marBottom w:val="0"/>
      <w:divBdr>
        <w:top w:val="none" w:sz="0" w:space="0" w:color="auto"/>
        <w:left w:val="none" w:sz="0" w:space="0" w:color="auto"/>
        <w:bottom w:val="none" w:sz="0" w:space="0" w:color="auto"/>
        <w:right w:val="none" w:sz="0" w:space="0" w:color="auto"/>
      </w:divBdr>
    </w:div>
    <w:div w:id="1941638731">
      <w:bodyDiv w:val="1"/>
      <w:marLeft w:val="0"/>
      <w:marRight w:val="0"/>
      <w:marTop w:val="0"/>
      <w:marBottom w:val="0"/>
      <w:divBdr>
        <w:top w:val="none" w:sz="0" w:space="0" w:color="auto"/>
        <w:left w:val="none" w:sz="0" w:space="0" w:color="auto"/>
        <w:bottom w:val="none" w:sz="0" w:space="0" w:color="auto"/>
        <w:right w:val="none" w:sz="0" w:space="0" w:color="auto"/>
      </w:divBdr>
    </w:div>
    <w:div w:id="1941643442">
      <w:bodyDiv w:val="1"/>
      <w:marLeft w:val="0"/>
      <w:marRight w:val="0"/>
      <w:marTop w:val="0"/>
      <w:marBottom w:val="0"/>
      <w:divBdr>
        <w:top w:val="none" w:sz="0" w:space="0" w:color="auto"/>
        <w:left w:val="none" w:sz="0" w:space="0" w:color="auto"/>
        <w:bottom w:val="none" w:sz="0" w:space="0" w:color="auto"/>
        <w:right w:val="none" w:sz="0" w:space="0" w:color="auto"/>
      </w:divBdr>
    </w:div>
    <w:div w:id="1942060753">
      <w:bodyDiv w:val="1"/>
      <w:marLeft w:val="0"/>
      <w:marRight w:val="0"/>
      <w:marTop w:val="0"/>
      <w:marBottom w:val="0"/>
      <w:divBdr>
        <w:top w:val="none" w:sz="0" w:space="0" w:color="auto"/>
        <w:left w:val="none" w:sz="0" w:space="0" w:color="auto"/>
        <w:bottom w:val="none" w:sz="0" w:space="0" w:color="auto"/>
        <w:right w:val="none" w:sz="0" w:space="0" w:color="auto"/>
      </w:divBdr>
    </w:div>
    <w:div w:id="1944461210">
      <w:bodyDiv w:val="1"/>
      <w:marLeft w:val="0"/>
      <w:marRight w:val="0"/>
      <w:marTop w:val="0"/>
      <w:marBottom w:val="0"/>
      <w:divBdr>
        <w:top w:val="none" w:sz="0" w:space="0" w:color="auto"/>
        <w:left w:val="none" w:sz="0" w:space="0" w:color="auto"/>
        <w:bottom w:val="none" w:sz="0" w:space="0" w:color="auto"/>
        <w:right w:val="none" w:sz="0" w:space="0" w:color="auto"/>
      </w:divBdr>
    </w:div>
    <w:div w:id="1945962990">
      <w:bodyDiv w:val="1"/>
      <w:marLeft w:val="0"/>
      <w:marRight w:val="0"/>
      <w:marTop w:val="0"/>
      <w:marBottom w:val="0"/>
      <w:divBdr>
        <w:top w:val="none" w:sz="0" w:space="0" w:color="auto"/>
        <w:left w:val="none" w:sz="0" w:space="0" w:color="auto"/>
        <w:bottom w:val="none" w:sz="0" w:space="0" w:color="auto"/>
        <w:right w:val="none" w:sz="0" w:space="0" w:color="auto"/>
      </w:divBdr>
    </w:div>
    <w:div w:id="1949316025">
      <w:bodyDiv w:val="1"/>
      <w:marLeft w:val="0"/>
      <w:marRight w:val="0"/>
      <w:marTop w:val="0"/>
      <w:marBottom w:val="0"/>
      <w:divBdr>
        <w:top w:val="none" w:sz="0" w:space="0" w:color="auto"/>
        <w:left w:val="none" w:sz="0" w:space="0" w:color="auto"/>
        <w:bottom w:val="none" w:sz="0" w:space="0" w:color="auto"/>
        <w:right w:val="none" w:sz="0" w:space="0" w:color="auto"/>
      </w:divBdr>
    </w:div>
    <w:div w:id="1955091139">
      <w:bodyDiv w:val="1"/>
      <w:marLeft w:val="0"/>
      <w:marRight w:val="0"/>
      <w:marTop w:val="0"/>
      <w:marBottom w:val="0"/>
      <w:divBdr>
        <w:top w:val="none" w:sz="0" w:space="0" w:color="auto"/>
        <w:left w:val="none" w:sz="0" w:space="0" w:color="auto"/>
        <w:bottom w:val="none" w:sz="0" w:space="0" w:color="auto"/>
        <w:right w:val="none" w:sz="0" w:space="0" w:color="auto"/>
      </w:divBdr>
    </w:div>
    <w:div w:id="1966109865">
      <w:bodyDiv w:val="1"/>
      <w:marLeft w:val="0"/>
      <w:marRight w:val="0"/>
      <w:marTop w:val="0"/>
      <w:marBottom w:val="0"/>
      <w:divBdr>
        <w:top w:val="none" w:sz="0" w:space="0" w:color="auto"/>
        <w:left w:val="none" w:sz="0" w:space="0" w:color="auto"/>
        <w:bottom w:val="none" w:sz="0" w:space="0" w:color="auto"/>
        <w:right w:val="none" w:sz="0" w:space="0" w:color="auto"/>
      </w:divBdr>
    </w:div>
    <w:div w:id="1967195600">
      <w:bodyDiv w:val="1"/>
      <w:marLeft w:val="0"/>
      <w:marRight w:val="0"/>
      <w:marTop w:val="0"/>
      <w:marBottom w:val="0"/>
      <w:divBdr>
        <w:top w:val="none" w:sz="0" w:space="0" w:color="auto"/>
        <w:left w:val="none" w:sz="0" w:space="0" w:color="auto"/>
        <w:bottom w:val="none" w:sz="0" w:space="0" w:color="auto"/>
        <w:right w:val="none" w:sz="0" w:space="0" w:color="auto"/>
      </w:divBdr>
    </w:div>
    <w:div w:id="1972710382">
      <w:bodyDiv w:val="1"/>
      <w:marLeft w:val="0"/>
      <w:marRight w:val="0"/>
      <w:marTop w:val="0"/>
      <w:marBottom w:val="0"/>
      <w:divBdr>
        <w:top w:val="none" w:sz="0" w:space="0" w:color="auto"/>
        <w:left w:val="none" w:sz="0" w:space="0" w:color="auto"/>
        <w:bottom w:val="none" w:sz="0" w:space="0" w:color="auto"/>
        <w:right w:val="none" w:sz="0" w:space="0" w:color="auto"/>
      </w:divBdr>
    </w:div>
    <w:div w:id="1973778762">
      <w:bodyDiv w:val="1"/>
      <w:marLeft w:val="0"/>
      <w:marRight w:val="0"/>
      <w:marTop w:val="0"/>
      <w:marBottom w:val="0"/>
      <w:divBdr>
        <w:top w:val="none" w:sz="0" w:space="0" w:color="auto"/>
        <w:left w:val="none" w:sz="0" w:space="0" w:color="auto"/>
        <w:bottom w:val="none" w:sz="0" w:space="0" w:color="auto"/>
        <w:right w:val="none" w:sz="0" w:space="0" w:color="auto"/>
      </w:divBdr>
    </w:div>
    <w:div w:id="1974482498">
      <w:bodyDiv w:val="1"/>
      <w:marLeft w:val="0"/>
      <w:marRight w:val="0"/>
      <w:marTop w:val="0"/>
      <w:marBottom w:val="0"/>
      <w:divBdr>
        <w:top w:val="none" w:sz="0" w:space="0" w:color="auto"/>
        <w:left w:val="none" w:sz="0" w:space="0" w:color="auto"/>
        <w:bottom w:val="none" w:sz="0" w:space="0" w:color="auto"/>
        <w:right w:val="none" w:sz="0" w:space="0" w:color="auto"/>
      </w:divBdr>
    </w:div>
    <w:div w:id="1979650770">
      <w:bodyDiv w:val="1"/>
      <w:marLeft w:val="0"/>
      <w:marRight w:val="0"/>
      <w:marTop w:val="0"/>
      <w:marBottom w:val="0"/>
      <w:divBdr>
        <w:top w:val="none" w:sz="0" w:space="0" w:color="auto"/>
        <w:left w:val="none" w:sz="0" w:space="0" w:color="auto"/>
        <w:bottom w:val="none" w:sz="0" w:space="0" w:color="auto"/>
        <w:right w:val="none" w:sz="0" w:space="0" w:color="auto"/>
      </w:divBdr>
    </w:div>
    <w:div w:id="1981114380">
      <w:bodyDiv w:val="1"/>
      <w:marLeft w:val="0"/>
      <w:marRight w:val="0"/>
      <w:marTop w:val="0"/>
      <w:marBottom w:val="0"/>
      <w:divBdr>
        <w:top w:val="none" w:sz="0" w:space="0" w:color="auto"/>
        <w:left w:val="none" w:sz="0" w:space="0" w:color="auto"/>
        <w:bottom w:val="none" w:sz="0" w:space="0" w:color="auto"/>
        <w:right w:val="none" w:sz="0" w:space="0" w:color="auto"/>
      </w:divBdr>
    </w:div>
    <w:div w:id="1983070515">
      <w:bodyDiv w:val="1"/>
      <w:marLeft w:val="0"/>
      <w:marRight w:val="0"/>
      <w:marTop w:val="0"/>
      <w:marBottom w:val="0"/>
      <w:divBdr>
        <w:top w:val="none" w:sz="0" w:space="0" w:color="auto"/>
        <w:left w:val="none" w:sz="0" w:space="0" w:color="auto"/>
        <w:bottom w:val="none" w:sz="0" w:space="0" w:color="auto"/>
        <w:right w:val="none" w:sz="0" w:space="0" w:color="auto"/>
      </w:divBdr>
    </w:div>
    <w:div w:id="1985770261">
      <w:bodyDiv w:val="1"/>
      <w:marLeft w:val="0"/>
      <w:marRight w:val="0"/>
      <w:marTop w:val="0"/>
      <w:marBottom w:val="0"/>
      <w:divBdr>
        <w:top w:val="none" w:sz="0" w:space="0" w:color="auto"/>
        <w:left w:val="none" w:sz="0" w:space="0" w:color="auto"/>
        <w:bottom w:val="none" w:sz="0" w:space="0" w:color="auto"/>
        <w:right w:val="none" w:sz="0" w:space="0" w:color="auto"/>
      </w:divBdr>
    </w:div>
    <w:div w:id="1986546945">
      <w:bodyDiv w:val="1"/>
      <w:marLeft w:val="0"/>
      <w:marRight w:val="0"/>
      <w:marTop w:val="0"/>
      <w:marBottom w:val="0"/>
      <w:divBdr>
        <w:top w:val="none" w:sz="0" w:space="0" w:color="auto"/>
        <w:left w:val="none" w:sz="0" w:space="0" w:color="auto"/>
        <w:bottom w:val="none" w:sz="0" w:space="0" w:color="auto"/>
        <w:right w:val="none" w:sz="0" w:space="0" w:color="auto"/>
      </w:divBdr>
    </w:div>
    <w:div w:id="1993482848">
      <w:bodyDiv w:val="1"/>
      <w:marLeft w:val="0"/>
      <w:marRight w:val="0"/>
      <w:marTop w:val="0"/>
      <w:marBottom w:val="0"/>
      <w:divBdr>
        <w:top w:val="none" w:sz="0" w:space="0" w:color="auto"/>
        <w:left w:val="none" w:sz="0" w:space="0" w:color="auto"/>
        <w:bottom w:val="none" w:sz="0" w:space="0" w:color="auto"/>
        <w:right w:val="none" w:sz="0" w:space="0" w:color="auto"/>
      </w:divBdr>
    </w:div>
    <w:div w:id="1994215993">
      <w:bodyDiv w:val="1"/>
      <w:marLeft w:val="0"/>
      <w:marRight w:val="0"/>
      <w:marTop w:val="0"/>
      <w:marBottom w:val="0"/>
      <w:divBdr>
        <w:top w:val="none" w:sz="0" w:space="0" w:color="auto"/>
        <w:left w:val="none" w:sz="0" w:space="0" w:color="auto"/>
        <w:bottom w:val="none" w:sz="0" w:space="0" w:color="auto"/>
        <w:right w:val="none" w:sz="0" w:space="0" w:color="auto"/>
      </w:divBdr>
    </w:div>
    <w:div w:id="1996837185">
      <w:bodyDiv w:val="1"/>
      <w:marLeft w:val="0"/>
      <w:marRight w:val="0"/>
      <w:marTop w:val="0"/>
      <w:marBottom w:val="0"/>
      <w:divBdr>
        <w:top w:val="none" w:sz="0" w:space="0" w:color="auto"/>
        <w:left w:val="none" w:sz="0" w:space="0" w:color="auto"/>
        <w:bottom w:val="none" w:sz="0" w:space="0" w:color="auto"/>
        <w:right w:val="none" w:sz="0" w:space="0" w:color="auto"/>
      </w:divBdr>
    </w:div>
    <w:div w:id="2003772647">
      <w:bodyDiv w:val="1"/>
      <w:marLeft w:val="0"/>
      <w:marRight w:val="0"/>
      <w:marTop w:val="0"/>
      <w:marBottom w:val="0"/>
      <w:divBdr>
        <w:top w:val="none" w:sz="0" w:space="0" w:color="auto"/>
        <w:left w:val="none" w:sz="0" w:space="0" w:color="auto"/>
        <w:bottom w:val="none" w:sz="0" w:space="0" w:color="auto"/>
        <w:right w:val="none" w:sz="0" w:space="0" w:color="auto"/>
      </w:divBdr>
    </w:div>
    <w:div w:id="2011713716">
      <w:bodyDiv w:val="1"/>
      <w:marLeft w:val="0"/>
      <w:marRight w:val="0"/>
      <w:marTop w:val="0"/>
      <w:marBottom w:val="0"/>
      <w:divBdr>
        <w:top w:val="none" w:sz="0" w:space="0" w:color="auto"/>
        <w:left w:val="none" w:sz="0" w:space="0" w:color="auto"/>
        <w:bottom w:val="none" w:sz="0" w:space="0" w:color="auto"/>
        <w:right w:val="none" w:sz="0" w:space="0" w:color="auto"/>
      </w:divBdr>
    </w:div>
    <w:div w:id="2013142878">
      <w:bodyDiv w:val="1"/>
      <w:marLeft w:val="0"/>
      <w:marRight w:val="0"/>
      <w:marTop w:val="0"/>
      <w:marBottom w:val="0"/>
      <w:divBdr>
        <w:top w:val="none" w:sz="0" w:space="0" w:color="auto"/>
        <w:left w:val="none" w:sz="0" w:space="0" w:color="auto"/>
        <w:bottom w:val="none" w:sz="0" w:space="0" w:color="auto"/>
        <w:right w:val="none" w:sz="0" w:space="0" w:color="auto"/>
      </w:divBdr>
    </w:div>
    <w:div w:id="2016111126">
      <w:bodyDiv w:val="1"/>
      <w:marLeft w:val="0"/>
      <w:marRight w:val="0"/>
      <w:marTop w:val="0"/>
      <w:marBottom w:val="0"/>
      <w:divBdr>
        <w:top w:val="none" w:sz="0" w:space="0" w:color="auto"/>
        <w:left w:val="none" w:sz="0" w:space="0" w:color="auto"/>
        <w:bottom w:val="none" w:sz="0" w:space="0" w:color="auto"/>
        <w:right w:val="none" w:sz="0" w:space="0" w:color="auto"/>
      </w:divBdr>
    </w:div>
    <w:div w:id="2019573933">
      <w:bodyDiv w:val="1"/>
      <w:marLeft w:val="0"/>
      <w:marRight w:val="0"/>
      <w:marTop w:val="0"/>
      <w:marBottom w:val="0"/>
      <w:divBdr>
        <w:top w:val="none" w:sz="0" w:space="0" w:color="auto"/>
        <w:left w:val="none" w:sz="0" w:space="0" w:color="auto"/>
        <w:bottom w:val="none" w:sz="0" w:space="0" w:color="auto"/>
        <w:right w:val="none" w:sz="0" w:space="0" w:color="auto"/>
      </w:divBdr>
    </w:div>
    <w:div w:id="2020081871">
      <w:bodyDiv w:val="1"/>
      <w:marLeft w:val="0"/>
      <w:marRight w:val="0"/>
      <w:marTop w:val="0"/>
      <w:marBottom w:val="0"/>
      <w:divBdr>
        <w:top w:val="none" w:sz="0" w:space="0" w:color="auto"/>
        <w:left w:val="none" w:sz="0" w:space="0" w:color="auto"/>
        <w:bottom w:val="none" w:sz="0" w:space="0" w:color="auto"/>
        <w:right w:val="none" w:sz="0" w:space="0" w:color="auto"/>
      </w:divBdr>
    </w:div>
    <w:div w:id="2022194880">
      <w:bodyDiv w:val="1"/>
      <w:marLeft w:val="0"/>
      <w:marRight w:val="0"/>
      <w:marTop w:val="0"/>
      <w:marBottom w:val="0"/>
      <w:divBdr>
        <w:top w:val="none" w:sz="0" w:space="0" w:color="auto"/>
        <w:left w:val="none" w:sz="0" w:space="0" w:color="auto"/>
        <w:bottom w:val="none" w:sz="0" w:space="0" w:color="auto"/>
        <w:right w:val="none" w:sz="0" w:space="0" w:color="auto"/>
      </w:divBdr>
    </w:div>
    <w:div w:id="2026205144">
      <w:bodyDiv w:val="1"/>
      <w:marLeft w:val="0"/>
      <w:marRight w:val="0"/>
      <w:marTop w:val="0"/>
      <w:marBottom w:val="0"/>
      <w:divBdr>
        <w:top w:val="none" w:sz="0" w:space="0" w:color="auto"/>
        <w:left w:val="none" w:sz="0" w:space="0" w:color="auto"/>
        <w:bottom w:val="none" w:sz="0" w:space="0" w:color="auto"/>
        <w:right w:val="none" w:sz="0" w:space="0" w:color="auto"/>
      </w:divBdr>
    </w:div>
    <w:div w:id="2030831318">
      <w:bodyDiv w:val="1"/>
      <w:marLeft w:val="0"/>
      <w:marRight w:val="0"/>
      <w:marTop w:val="0"/>
      <w:marBottom w:val="0"/>
      <w:divBdr>
        <w:top w:val="none" w:sz="0" w:space="0" w:color="auto"/>
        <w:left w:val="none" w:sz="0" w:space="0" w:color="auto"/>
        <w:bottom w:val="none" w:sz="0" w:space="0" w:color="auto"/>
        <w:right w:val="none" w:sz="0" w:space="0" w:color="auto"/>
      </w:divBdr>
    </w:div>
    <w:div w:id="2037731402">
      <w:bodyDiv w:val="1"/>
      <w:marLeft w:val="0"/>
      <w:marRight w:val="0"/>
      <w:marTop w:val="0"/>
      <w:marBottom w:val="0"/>
      <w:divBdr>
        <w:top w:val="none" w:sz="0" w:space="0" w:color="auto"/>
        <w:left w:val="none" w:sz="0" w:space="0" w:color="auto"/>
        <w:bottom w:val="none" w:sz="0" w:space="0" w:color="auto"/>
        <w:right w:val="none" w:sz="0" w:space="0" w:color="auto"/>
      </w:divBdr>
    </w:div>
    <w:div w:id="2040424381">
      <w:bodyDiv w:val="1"/>
      <w:marLeft w:val="0"/>
      <w:marRight w:val="0"/>
      <w:marTop w:val="0"/>
      <w:marBottom w:val="0"/>
      <w:divBdr>
        <w:top w:val="none" w:sz="0" w:space="0" w:color="auto"/>
        <w:left w:val="none" w:sz="0" w:space="0" w:color="auto"/>
        <w:bottom w:val="none" w:sz="0" w:space="0" w:color="auto"/>
        <w:right w:val="none" w:sz="0" w:space="0" w:color="auto"/>
      </w:divBdr>
    </w:div>
    <w:div w:id="2043897656">
      <w:bodyDiv w:val="1"/>
      <w:marLeft w:val="0"/>
      <w:marRight w:val="0"/>
      <w:marTop w:val="0"/>
      <w:marBottom w:val="0"/>
      <w:divBdr>
        <w:top w:val="none" w:sz="0" w:space="0" w:color="auto"/>
        <w:left w:val="none" w:sz="0" w:space="0" w:color="auto"/>
        <w:bottom w:val="none" w:sz="0" w:space="0" w:color="auto"/>
        <w:right w:val="none" w:sz="0" w:space="0" w:color="auto"/>
      </w:divBdr>
    </w:div>
    <w:div w:id="2046522815">
      <w:bodyDiv w:val="1"/>
      <w:marLeft w:val="0"/>
      <w:marRight w:val="0"/>
      <w:marTop w:val="0"/>
      <w:marBottom w:val="0"/>
      <w:divBdr>
        <w:top w:val="none" w:sz="0" w:space="0" w:color="auto"/>
        <w:left w:val="none" w:sz="0" w:space="0" w:color="auto"/>
        <w:bottom w:val="none" w:sz="0" w:space="0" w:color="auto"/>
        <w:right w:val="none" w:sz="0" w:space="0" w:color="auto"/>
      </w:divBdr>
    </w:div>
    <w:div w:id="2048484028">
      <w:bodyDiv w:val="1"/>
      <w:marLeft w:val="0"/>
      <w:marRight w:val="0"/>
      <w:marTop w:val="0"/>
      <w:marBottom w:val="0"/>
      <w:divBdr>
        <w:top w:val="none" w:sz="0" w:space="0" w:color="auto"/>
        <w:left w:val="none" w:sz="0" w:space="0" w:color="auto"/>
        <w:bottom w:val="none" w:sz="0" w:space="0" w:color="auto"/>
        <w:right w:val="none" w:sz="0" w:space="0" w:color="auto"/>
      </w:divBdr>
    </w:div>
    <w:div w:id="2056000573">
      <w:bodyDiv w:val="1"/>
      <w:marLeft w:val="0"/>
      <w:marRight w:val="0"/>
      <w:marTop w:val="0"/>
      <w:marBottom w:val="0"/>
      <w:divBdr>
        <w:top w:val="none" w:sz="0" w:space="0" w:color="auto"/>
        <w:left w:val="none" w:sz="0" w:space="0" w:color="auto"/>
        <w:bottom w:val="none" w:sz="0" w:space="0" w:color="auto"/>
        <w:right w:val="none" w:sz="0" w:space="0" w:color="auto"/>
      </w:divBdr>
    </w:div>
    <w:div w:id="2062362419">
      <w:bodyDiv w:val="1"/>
      <w:marLeft w:val="0"/>
      <w:marRight w:val="0"/>
      <w:marTop w:val="0"/>
      <w:marBottom w:val="0"/>
      <w:divBdr>
        <w:top w:val="none" w:sz="0" w:space="0" w:color="auto"/>
        <w:left w:val="none" w:sz="0" w:space="0" w:color="auto"/>
        <w:bottom w:val="none" w:sz="0" w:space="0" w:color="auto"/>
        <w:right w:val="none" w:sz="0" w:space="0" w:color="auto"/>
      </w:divBdr>
    </w:div>
    <w:div w:id="2075011066">
      <w:bodyDiv w:val="1"/>
      <w:marLeft w:val="0"/>
      <w:marRight w:val="0"/>
      <w:marTop w:val="0"/>
      <w:marBottom w:val="0"/>
      <w:divBdr>
        <w:top w:val="none" w:sz="0" w:space="0" w:color="auto"/>
        <w:left w:val="none" w:sz="0" w:space="0" w:color="auto"/>
        <w:bottom w:val="none" w:sz="0" w:space="0" w:color="auto"/>
        <w:right w:val="none" w:sz="0" w:space="0" w:color="auto"/>
      </w:divBdr>
    </w:div>
    <w:div w:id="2075425798">
      <w:bodyDiv w:val="1"/>
      <w:marLeft w:val="0"/>
      <w:marRight w:val="0"/>
      <w:marTop w:val="0"/>
      <w:marBottom w:val="0"/>
      <w:divBdr>
        <w:top w:val="none" w:sz="0" w:space="0" w:color="auto"/>
        <w:left w:val="none" w:sz="0" w:space="0" w:color="auto"/>
        <w:bottom w:val="none" w:sz="0" w:space="0" w:color="auto"/>
        <w:right w:val="none" w:sz="0" w:space="0" w:color="auto"/>
      </w:divBdr>
    </w:div>
    <w:div w:id="2076315783">
      <w:bodyDiv w:val="1"/>
      <w:marLeft w:val="0"/>
      <w:marRight w:val="0"/>
      <w:marTop w:val="0"/>
      <w:marBottom w:val="0"/>
      <w:divBdr>
        <w:top w:val="none" w:sz="0" w:space="0" w:color="auto"/>
        <w:left w:val="none" w:sz="0" w:space="0" w:color="auto"/>
        <w:bottom w:val="none" w:sz="0" w:space="0" w:color="auto"/>
        <w:right w:val="none" w:sz="0" w:space="0" w:color="auto"/>
      </w:divBdr>
    </w:div>
    <w:div w:id="2078701323">
      <w:bodyDiv w:val="1"/>
      <w:marLeft w:val="0"/>
      <w:marRight w:val="0"/>
      <w:marTop w:val="0"/>
      <w:marBottom w:val="0"/>
      <w:divBdr>
        <w:top w:val="none" w:sz="0" w:space="0" w:color="auto"/>
        <w:left w:val="none" w:sz="0" w:space="0" w:color="auto"/>
        <w:bottom w:val="none" w:sz="0" w:space="0" w:color="auto"/>
        <w:right w:val="none" w:sz="0" w:space="0" w:color="auto"/>
      </w:divBdr>
    </w:div>
    <w:div w:id="2079981618">
      <w:bodyDiv w:val="1"/>
      <w:marLeft w:val="0"/>
      <w:marRight w:val="0"/>
      <w:marTop w:val="0"/>
      <w:marBottom w:val="0"/>
      <w:divBdr>
        <w:top w:val="none" w:sz="0" w:space="0" w:color="auto"/>
        <w:left w:val="none" w:sz="0" w:space="0" w:color="auto"/>
        <w:bottom w:val="none" w:sz="0" w:space="0" w:color="auto"/>
        <w:right w:val="none" w:sz="0" w:space="0" w:color="auto"/>
      </w:divBdr>
    </w:div>
    <w:div w:id="2081052426">
      <w:bodyDiv w:val="1"/>
      <w:marLeft w:val="0"/>
      <w:marRight w:val="0"/>
      <w:marTop w:val="0"/>
      <w:marBottom w:val="0"/>
      <w:divBdr>
        <w:top w:val="none" w:sz="0" w:space="0" w:color="auto"/>
        <w:left w:val="none" w:sz="0" w:space="0" w:color="auto"/>
        <w:bottom w:val="none" w:sz="0" w:space="0" w:color="auto"/>
        <w:right w:val="none" w:sz="0" w:space="0" w:color="auto"/>
      </w:divBdr>
    </w:div>
    <w:div w:id="2083790924">
      <w:bodyDiv w:val="1"/>
      <w:marLeft w:val="0"/>
      <w:marRight w:val="0"/>
      <w:marTop w:val="0"/>
      <w:marBottom w:val="0"/>
      <w:divBdr>
        <w:top w:val="none" w:sz="0" w:space="0" w:color="auto"/>
        <w:left w:val="none" w:sz="0" w:space="0" w:color="auto"/>
        <w:bottom w:val="none" w:sz="0" w:space="0" w:color="auto"/>
        <w:right w:val="none" w:sz="0" w:space="0" w:color="auto"/>
      </w:divBdr>
    </w:div>
    <w:div w:id="2086686471">
      <w:bodyDiv w:val="1"/>
      <w:marLeft w:val="0"/>
      <w:marRight w:val="0"/>
      <w:marTop w:val="0"/>
      <w:marBottom w:val="0"/>
      <w:divBdr>
        <w:top w:val="none" w:sz="0" w:space="0" w:color="auto"/>
        <w:left w:val="none" w:sz="0" w:space="0" w:color="auto"/>
        <w:bottom w:val="none" w:sz="0" w:space="0" w:color="auto"/>
        <w:right w:val="none" w:sz="0" w:space="0" w:color="auto"/>
      </w:divBdr>
    </w:div>
    <w:div w:id="2087215791">
      <w:bodyDiv w:val="1"/>
      <w:marLeft w:val="0"/>
      <w:marRight w:val="0"/>
      <w:marTop w:val="0"/>
      <w:marBottom w:val="0"/>
      <w:divBdr>
        <w:top w:val="none" w:sz="0" w:space="0" w:color="auto"/>
        <w:left w:val="none" w:sz="0" w:space="0" w:color="auto"/>
        <w:bottom w:val="none" w:sz="0" w:space="0" w:color="auto"/>
        <w:right w:val="none" w:sz="0" w:space="0" w:color="auto"/>
      </w:divBdr>
    </w:div>
    <w:div w:id="2088963429">
      <w:bodyDiv w:val="1"/>
      <w:marLeft w:val="0"/>
      <w:marRight w:val="0"/>
      <w:marTop w:val="0"/>
      <w:marBottom w:val="0"/>
      <w:divBdr>
        <w:top w:val="none" w:sz="0" w:space="0" w:color="auto"/>
        <w:left w:val="none" w:sz="0" w:space="0" w:color="auto"/>
        <w:bottom w:val="none" w:sz="0" w:space="0" w:color="auto"/>
        <w:right w:val="none" w:sz="0" w:space="0" w:color="auto"/>
      </w:divBdr>
    </w:div>
    <w:div w:id="2089450665">
      <w:bodyDiv w:val="1"/>
      <w:marLeft w:val="0"/>
      <w:marRight w:val="0"/>
      <w:marTop w:val="0"/>
      <w:marBottom w:val="0"/>
      <w:divBdr>
        <w:top w:val="none" w:sz="0" w:space="0" w:color="auto"/>
        <w:left w:val="none" w:sz="0" w:space="0" w:color="auto"/>
        <w:bottom w:val="none" w:sz="0" w:space="0" w:color="auto"/>
        <w:right w:val="none" w:sz="0" w:space="0" w:color="auto"/>
      </w:divBdr>
    </w:div>
    <w:div w:id="2096631805">
      <w:bodyDiv w:val="1"/>
      <w:marLeft w:val="0"/>
      <w:marRight w:val="0"/>
      <w:marTop w:val="0"/>
      <w:marBottom w:val="0"/>
      <w:divBdr>
        <w:top w:val="none" w:sz="0" w:space="0" w:color="auto"/>
        <w:left w:val="none" w:sz="0" w:space="0" w:color="auto"/>
        <w:bottom w:val="none" w:sz="0" w:space="0" w:color="auto"/>
        <w:right w:val="none" w:sz="0" w:space="0" w:color="auto"/>
      </w:divBdr>
    </w:div>
    <w:div w:id="2104716120">
      <w:bodyDiv w:val="1"/>
      <w:marLeft w:val="0"/>
      <w:marRight w:val="0"/>
      <w:marTop w:val="0"/>
      <w:marBottom w:val="0"/>
      <w:divBdr>
        <w:top w:val="none" w:sz="0" w:space="0" w:color="auto"/>
        <w:left w:val="none" w:sz="0" w:space="0" w:color="auto"/>
        <w:bottom w:val="none" w:sz="0" w:space="0" w:color="auto"/>
        <w:right w:val="none" w:sz="0" w:space="0" w:color="auto"/>
      </w:divBdr>
    </w:div>
    <w:div w:id="2105491414">
      <w:bodyDiv w:val="1"/>
      <w:marLeft w:val="0"/>
      <w:marRight w:val="0"/>
      <w:marTop w:val="0"/>
      <w:marBottom w:val="0"/>
      <w:divBdr>
        <w:top w:val="none" w:sz="0" w:space="0" w:color="auto"/>
        <w:left w:val="none" w:sz="0" w:space="0" w:color="auto"/>
        <w:bottom w:val="none" w:sz="0" w:space="0" w:color="auto"/>
        <w:right w:val="none" w:sz="0" w:space="0" w:color="auto"/>
      </w:divBdr>
    </w:div>
    <w:div w:id="2105684323">
      <w:bodyDiv w:val="1"/>
      <w:marLeft w:val="0"/>
      <w:marRight w:val="0"/>
      <w:marTop w:val="0"/>
      <w:marBottom w:val="0"/>
      <w:divBdr>
        <w:top w:val="none" w:sz="0" w:space="0" w:color="auto"/>
        <w:left w:val="none" w:sz="0" w:space="0" w:color="auto"/>
        <w:bottom w:val="none" w:sz="0" w:space="0" w:color="auto"/>
        <w:right w:val="none" w:sz="0" w:space="0" w:color="auto"/>
      </w:divBdr>
    </w:div>
    <w:div w:id="2117021570">
      <w:bodyDiv w:val="1"/>
      <w:marLeft w:val="0"/>
      <w:marRight w:val="0"/>
      <w:marTop w:val="0"/>
      <w:marBottom w:val="0"/>
      <w:divBdr>
        <w:top w:val="none" w:sz="0" w:space="0" w:color="auto"/>
        <w:left w:val="none" w:sz="0" w:space="0" w:color="auto"/>
        <w:bottom w:val="none" w:sz="0" w:space="0" w:color="auto"/>
        <w:right w:val="none" w:sz="0" w:space="0" w:color="auto"/>
      </w:divBdr>
    </w:div>
    <w:div w:id="2121144502">
      <w:bodyDiv w:val="1"/>
      <w:marLeft w:val="0"/>
      <w:marRight w:val="0"/>
      <w:marTop w:val="0"/>
      <w:marBottom w:val="0"/>
      <w:divBdr>
        <w:top w:val="none" w:sz="0" w:space="0" w:color="auto"/>
        <w:left w:val="none" w:sz="0" w:space="0" w:color="auto"/>
        <w:bottom w:val="none" w:sz="0" w:space="0" w:color="auto"/>
        <w:right w:val="none" w:sz="0" w:space="0" w:color="auto"/>
      </w:divBdr>
    </w:div>
    <w:div w:id="2124111786">
      <w:bodyDiv w:val="1"/>
      <w:marLeft w:val="0"/>
      <w:marRight w:val="0"/>
      <w:marTop w:val="0"/>
      <w:marBottom w:val="0"/>
      <w:divBdr>
        <w:top w:val="none" w:sz="0" w:space="0" w:color="auto"/>
        <w:left w:val="none" w:sz="0" w:space="0" w:color="auto"/>
        <w:bottom w:val="none" w:sz="0" w:space="0" w:color="auto"/>
        <w:right w:val="none" w:sz="0" w:space="0" w:color="auto"/>
      </w:divBdr>
    </w:div>
    <w:div w:id="2126384828">
      <w:bodyDiv w:val="1"/>
      <w:marLeft w:val="0"/>
      <w:marRight w:val="0"/>
      <w:marTop w:val="0"/>
      <w:marBottom w:val="0"/>
      <w:divBdr>
        <w:top w:val="none" w:sz="0" w:space="0" w:color="auto"/>
        <w:left w:val="none" w:sz="0" w:space="0" w:color="auto"/>
        <w:bottom w:val="none" w:sz="0" w:space="0" w:color="auto"/>
        <w:right w:val="none" w:sz="0" w:space="0" w:color="auto"/>
      </w:divBdr>
    </w:div>
    <w:div w:id="2126725521">
      <w:bodyDiv w:val="1"/>
      <w:marLeft w:val="0"/>
      <w:marRight w:val="0"/>
      <w:marTop w:val="0"/>
      <w:marBottom w:val="0"/>
      <w:divBdr>
        <w:top w:val="none" w:sz="0" w:space="0" w:color="auto"/>
        <w:left w:val="none" w:sz="0" w:space="0" w:color="auto"/>
        <w:bottom w:val="none" w:sz="0" w:space="0" w:color="auto"/>
        <w:right w:val="none" w:sz="0" w:space="0" w:color="auto"/>
      </w:divBdr>
    </w:div>
    <w:div w:id="2128423050">
      <w:bodyDiv w:val="1"/>
      <w:marLeft w:val="0"/>
      <w:marRight w:val="0"/>
      <w:marTop w:val="0"/>
      <w:marBottom w:val="0"/>
      <w:divBdr>
        <w:top w:val="none" w:sz="0" w:space="0" w:color="auto"/>
        <w:left w:val="none" w:sz="0" w:space="0" w:color="auto"/>
        <w:bottom w:val="none" w:sz="0" w:space="0" w:color="auto"/>
        <w:right w:val="none" w:sz="0" w:space="0" w:color="auto"/>
      </w:divBdr>
    </w:div>
    <w:div w:id="2137261741">
      <w:bodyDiv w:val="1"/>
      <w:marLeft w:val="0"/>
      <w:marRight w:val="0"/>
      <w:marTop w:val="0"/>
      <w:marBottom w:val="0"/>
      <w:divBdr>
        <w:top w:val="none" w:sz="0" w:space="0" w:color="auto"/>
        <w:left w:val="none" w:sz="0" w:space="0" w:color="auto"/>
        <w:bottom w:val="none" w:sz="0" w:space="0" w:color="auto"/>
        <w:right w:val="none" w:sz="0" w:space="0" w:color="auto"/>
      </w:divBdr>
    </w:div>
    <w:div w:id="2141024899">
      <w:bodyDiv w:val="1"/>
      <w:marLeft w:val="0"/>
      <w:marRight w:val="0"/>
      <w:marTop w:val="0"/>
      <w:marBottom w:val="0"/>
      <w:divBdr>
        <w:top w:val="none" w:sz="0" w:space="0" w:color="auto"/>
        <w:left w:val="none" w:sz="0" w:space="0" w:color="auto"/>
        <w:bottom w:val="none" w:sz="0" w:space="0" w:color="auto"/>
        <w:right w:val="none" w:sz="0" w:space="0" w:color="auto"/>
      </w:divBdr>
    </w:div>
    <w:div w:id="2142458051">
      <w:bodyDiv w:val="1"/>
      <w:marLeft w:val="0"/>
      <w:marRight w:val="0"/>
      <w:marTop w:val="0"/>
      <w:marBottom w:val="0"/>
      <w:divBdr>
        <w:top w:val="none" w:sz="0" w:space="0" w:color="auto"/>
        <w:left w:val="none" w:sz="0" w:space="0" w:color="auto"/>
        <w:bottom w:val="none" w:sz="0" w:space="0" w:color="auto"/>
        <w:right w:val="none" w:sz="0" w:space="0" w:color="auto"/>
      </w:divBdr>
    </w:div>
    <w:div w:id="2144342835">
      <w:bodyDiv w:val="1"/>
      <w:marLeft w:val="0"/>
      <w:marRight w:val="0"/>
      <w:marTop w:val="0"/>
      <w:marBottom w:val="0"/>
      <w:divBdr>
        <w:top w:val="none" w:sz="0" w:space="0" w:color="auto"/>
        <w:left w:val="none" w:sz="0" w:space="0" w:color="auto"/>
        <w:bottom w:val="none" w:sz="0" w:space="0" w:color="auto"/>
        <w:right w:val="none" w:sz="0" w:space="0" w:color="auto"/>
      </w:divBdr>
    </w:div>
    <w:div w:id="2145389864">
      <w:bodyDiv w:val="1"/>
      <w:marLeft w:val="0"/>
      <w:marRight w:val="0"/>
      <w:marTop w:val="0"/>
      <w:marBottom w:val="0"/>
      <w:divBdr>
        <w:top w:val="none" w:sz="0" w:space="0" w:color="auto"/>
        <w:left w:val="none" w:sz="0" w:space="0" w:color="auto"/>
        <w:bottom w:val="none" w:sz="0" w:space="0" w:color="auto"/>
        <w:right w:val="none" w:sz="0" w:space="0" w:color="auto"/>
      </w:divBdr>
    </w:div>
    <w:div w:id="214546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www.eumedion.nl/nl/overeumedion" TargetMode="External"/><Relationship Id="rId26" Type="http://schemas.openxmlformats.org/officeDocument/2006/relationships/hyperlink" Target="https://www.nba.nl/HRAweb/HRA1/200901/html/32947.htm" TargetMode="External"/><Relationship Id="rId3" Type="http://schemas.openxmlformats.org/officeDocument/2006/relationships/styles" Target="styles.xml"/><Relationship Id="rId21" Type="http://schemas.openxmlformats.org/officeDocument/2006/relationships/hyperlink" Target="http://www.mazars.nl/Startpagina/Onze-expertise/Accountancy/Controle-en-beoordeling-jaarrekeningen"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eur.nl/esaa/executive_programs/corporate_social_responsibility/?gclid=CMT17Jzs9L4CFSvjwgodE6EAHQ" TargetMode="External"/><Relationship Id="rId25" Type="http://schemas.openxmlformats.org/officeDocument/2006/relationships/hyperlink" Target="http://mvoplatform.nl/wat-is-mvo/wat-is-mvo"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accountant.nl/Accountant/Nieuws/Belegger+wil+steeds+meer+nietfinanciele+informati.aspx" TargetMode="External"/><Relationship Id="rId20" Type="http://schemas.openxmlformats.org/officeDocument/2006/relationships/hyperlink" Target="http://www.fairpolitics.nl/doc/blikopmvo.final_printversie.pdf" TargetMode="External"/><Relationship Id="rId29" Type="http://schemas.openxmlformats.org/officeDocument/2006/relationships/hyperlink" Target="http://www.accountant.nl/Accountant/Archief/Archief+'de+Accountant'/2010/Nieuwe+organisatie+NBA+Veel+fusiesteun+op+ledenvergadering.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mvonederland.nl/wat-mvo/wat-is-mvo"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accountability.org/standards/index.html" TargetMode="External"/><Relationship Id="rId23" Type="http://schemas.openxmlformats.org/officeDocument/2006/relationships/hyperlink" Target="http://www.transparantiebenchmark.nl/Over%20Transparantiebenchmark" TargetMode="External"/><Relationship Id="rId28" Type="http://schemas.openxmlformats.org/officeDocument/2006/relationships/hyperlink" Target="http://www.accountancynieuws.nl/actueel/vaktechniek/assurance-verwachtingskloof-ten-aanzien-van.89180.lynkx" TargetMode="External"/><Relationship Id="rId10" Type="http://schemas.openxmlformats.org/officeDocument/2006/relationships/image" Target="media/image2.png"/><Relationship Id="rId19" Type="http://schemas.openxmlformats.org/officeDocument/2006/relationships/hyperlink" Target="http://europa.eu/rapid/press-release_STATEMENT-14-29_en.htm"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2.xml"/><Relationship Id="rId22" Type="http://schemas.openxmlformats.org/officeDocument/2006/relationships/hyperlink" Target="http://www.oesorichtlijnen.nl/oeso-richtlijnen/informatieverstrekking" TargetMode="External"/><Relationship Id="rId27" Type="http://schemas.openxmlformats.org/officeDocument/2006/relationships/hyperlink" Target="http://www.oceantomo.com/about/intellectualcapitalequity" TargetMode="External"/><Relationship Id="rId30"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8"/>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nl-NL"/>
              <a:t>Components</a:t>
            </a:r>
            <a:r>
              <a:rPr lang="nl-NL" baseline="0"/>
              <a:t> of S&amp;P 500 Market value</a:t>
            </a:r>
            <a:endParaRPr lang="nl-NL"/>
          </a:p>
        </c:rich>
      </c:tx>
      <c:spPr>
        <a:noFill/>
        <a:ln>
          <a:noFill/>
        </a:ln>
        <a:effectLst/>
      </c:spPr>
    </c:title>
    <c:plotArea>
      <c:layout/>
      <c:barChart>
        <c:barDir val="col"/>
        <c:grouping val="stacked"/>
        <c:ser>
          <c:idx val="0"/>
          <c:order val="0"/>
          <c:tx>
            <c:strRef>
              <c:f>Blad1!$B$1</c:f>
              <c:strCache>
                <c:ptCount val="1"/>
                <c:pt idx="0">
                  <c:v>intangible assets</c:v>
                </c:pt>
              </c:strCache>
            </c:strRef>
          </c:tx>
          <c:spPr>
            <a:solidFill>
              <a:schemeClr val="accent6">
                <a:shade val="76000"/>
              </a:schemeClr>
            </a:solidFill>
            <a:ln>
              <a:noFill/>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Val val="1"/>
            <c:extLst>
              <c:ext xmlns:c15="http://schemas.microsoft.com/office/drawing/2012/chart" uri="{CE6537A1-D6FC-4f65-9D91-7224C49458BB}">
                <c15:showLeaderLines val="1"/>
                <c15:leaderLines>
                  <c:spPr>
                    <a:ln w="9525" cap="flat" cmpd="sng" algn="ctr">
                      <a:solidFill>
                        <a:schemeClr val="dk1">
                          <a:lumMod val="50000"/>
                          <a:lumOff val="50000"/>
                        </a:schemeClr>
                      </a:solidFill>
                      <a:prstDash val="solid"/>
                      <a:round/>
                    </a:ln>
                    <a:effectLst/>
                  </c:spPr>
                </c15:leaderLines>
              </c:ext>
            </c:extLst>
          </c:dLbls>
          <c:cat>
            <c:numRef>
              <c:f>Blad1!$A$2:$A$6</c:f>
              <c:numCache>
                <c:formatCode>Standaard</c:formatCode>
                <c:ptCount val="5"/>
                <c:pt idx="0">
                  <c:v>1975</c:v>
                </c:pt>
                <c:pt idx="1">
                  <c:v>1985</c:v>
                </c:pt>
                <c:pt idx="2">
                  <c:v>1995</c:v>
                </c:pt>
                <c:pt idx="3">
                  <c:v>2005</c:v>
                </c:pt>
                <c:pt idx="4">
                  <c:v>2010</c:v>
                </c:pt>
              </c:numCache>
            </c:numRef>
          </c:cat>
          <c:val>
            <c:numRef>
              <c:f>Blad1!$B$2:$B$6</c:f>
              <c:numCache>
                <c:formatCode>0%</c:formatCode>
                <c:ptCount val="5"/>
                <c:pt idx="0">
                  <c:v>0.17</c:v>
                </c:pt>
                <c:pt idx="1">
                  <c:v>0.32000000000000006</c:v>
                </c:pt>
                <c:pt idx="2">
                  <c:v>0.68</c:v>
                </c:pt>
                <c:pt idx="3">
                  <c:v>0.8</c:v>
                </c:pt>
                <c:pt idx="4">
                  <c:v>0.8</c:v>
                </c:pt>
              </c:numCache>
            </c:numRef>
          </c:val>
        </c:ser>
        <c:ser>
          <c:idx val="1"/>
          <c:order val="1"/>
          <c:tx>
            <c:strRef>
              <c:f>Blad1!$C$1</c:f>
              <c:strCache>
                <c:ptCount val="1"/>
                <c:pt idx="0">
                  <c:v>tangible assets</c:v>
                </c:pt>
              </c:strCache>
            </c:strRef>
          </c:tx>
          <c:spPr>
            <a:solidFill>
              <a:schemeClr val="accent6">
                <a:tint val="77000"/>
              </a:schemeClr>
            </a:solidFill>
            <a:ln>
              <a:noFill/>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Val val="1"/>
            <c:extLst>
              <c:ext xmlns:c15="http://schemas.microsoft.com/office/drawing/2012/chart" uri="{CE6537A1-D6FC-4f65-9D91-7224C49458BB}">
                <c15:showLeaderLines val="1"/>
                <c15:leaderLines>
                  <c:spPr>
                    <a:ln w="9525" cap="flat" cmpd="sng" algn="ctr">
                      <a:solidFill>
                        <a:schemeClr val="dk1">
                          <a:lumMod val="50000"/>
                          <a:lumOff val="50000"/>
                        </a:schemeClr>
                      </a:solidFill>
                      <a:prstDash val="solid"/>
                      <a:round/>
                    </a:ln>
                    <a:effectLst/>
                  </c:spPr>
                </c15:leaderLines>
              </c:ext>
            </c:extLst>
          </c:dLbls>
          <c:cat>
            <c:numRef>
              <c:f>Blad1!$A$2:$A$6</c:f>
              <c:numCache>
                <c:formatCode>Standaard</c:formatCode>
                <c:ptCount val="5"/>
                <c:pt idx="0">
                  <c:v>1975</c:v>
                </c:pt>
                <c:pt idx="1">
                  <c:v>1985</c:v>
                </c:pt>
                <c:pt idx="2">
                  <c:v>1995</c:v>
                </c:pt>
                <c:pt idx="3">
                  <c:v>2005</c:v>
                </c:pt>
                <c:pt idx="4">
                  <c:v>2010</c:v>
                </c:pt>
              </c:numCache>
            </c:numRef>
          </c:cat>
          <c:val>
            <c:numRef>
              <c:f>Blad1!$C$2:$C$6</c:f>
              <c:numCache>
                <c:formatCode>0%</c:formatCode>
                <c:ptCount val="5"/>
                <c:pt idx="0">
                  <c:v>0.83000000000000007</c:v>
                </c:pt>
                <c:pt idx="1">
                  <c:v>0.68</c:v>
                </c:pt>
                <c:pt idx="2">
                  <c:v>0.32000000000000006</c:v>
                </c:pt>
                <c:pt idx="3">
                  <c:v>0.2</c:v>
                </c:pt>
                <c:pt idx="4">
                  <c:v>0.2</c:v>
                </c:pt>
              </c:numCache>
            </c:numRef>
          </c:val>
        </c:ser>
        <c:dLbls>
          <c:showVal val="1"/>
        </c:dLbls>
        <c:overlap val="100"/>
        <c:axId val="90093056"/>
        <c:axId val="90094592"/>
      </c:barChart>
      <c:catAx>
        <c:axId val="90093056"/>
        <c:scaling>
          <c:orientation val="minMax"/>
        </c:scaling>
        <c:axPos val="b"/>
        <c:numFmt formatCode="Standaard" sourceLinked="1"/>
        <c:majorTickMark val="none"/>
        <c:tickLblPos val="nextTo"/>
        <c:spPr>
          <a:noFill/>
          <a:ln w="19050" cap="flat" cmpd="sng" algn="ctr">
            <a:solidFill>
              <a:schemeClr val="dk1">
                <a:lumMod val="75000"/>
                <a:lumOff val="25000"/>
              </a:schemeClr>
            </a:solidFill>
            <a:prstDash val="solid"/>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90094592"/>
        <c:crosses val="autoZero"/>
        <c:auto val="1"/>
        <c:lblAlgn val="ctr"/>
        <c:lblOffset val="100"/>
      </c:catAx>
      <c:valAx>
        <c:axId val="9009459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prstDash val="solid"/>
              <a:round/>
            </a:ln>
            <a:effectLst/>
          </c:spPr>
        </c:majorGridlines>
        <c:numFmt formatCode="0%" sourceLinked="1"/>
        <c:majorTickMark val="none"/>
        <c:tickLblPos val="none"/>
        <c:crossAx val="90093056"/>
        <c:crosses val="autoZero"/>
        <c:crossBetween val="between"/>
      </c:valAx>
      <c:spPr>
        <a:noFill/>
        <a:ln>
          <a:noFill/>
        </a:ln>
        <a:effectLst/>
      </c:spPr>
    </c:plotArea>
    <c:legend>
      <c:legendPos val="b"/>
      <c:layout>
        <c:manualLayout>
          <c:xMode val="edge"/>
          <c:yMode val="edge"/>
          <c:x val="0.29912693205016044"/>
          <c:y val="0.90128921384826899"/>
          <c:w val="0.40869039807524066"/>
          <c:h val="9.0774278215223131E-2"/>
        </c:manualLayout>
      </c:layout>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prstDash val="solid"/>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8"/>
  <c:chart>
    <c:title>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plotArea>
      <c:layout>
        <c:manualLayout>
          <c:layoutTarget val="inner"/>
          <c:xMode val="edge"/>
          <c:yMode val="edge"/>
          <c:x val="0.10597077565793275"/>
          <c:y val="0.20658935074976095"/>
          <c:w val="0.45810908110813775"/>
          <c:h val="0.72622718671793918"/>
        </c:manualLayout>
      </c:layout>
      <c:pieChart>
        <c:varyColors val="1"/>
        <c:ser>
          <c:idx val="0"/>
          <c:order val="0"/>
          <c:tx>
            <c:strRef>
              <c:f>Blad1!$B$1</c:f>
              <c:strCache>
                <c:ptCount val="1"/>
                <c:pt idx="0">
                  <c:v>providors of external assurance</c:v>
                </c:pt>
              </c:strCache>
            </c:strRef>
          </c:tx>
          <c:dPt>
            <c:idx val="0"/>
            <c:spPr>
              <a:solidFill>
                <a:schemeClr val="accent6">
                  <a:tint val="65000"/>
                </a:schemeClr>
              </a:solidFill>
              <a:ln>
                <a:noFill/>
              </a:ln>
              <a:effectLst>
                <a:outerShdw blurRad="254000" sx="102000" sy="102000" algn="ctr" rotWithShape="0">
                  <a:prstClr val="black">
                    <a:alpha val="20000"/>
                  </a:prstClr>
                </a:outerShdw>
              </a:effectLst>
            </c:spPr>
          </c:dPt>
          <c:dPt>
            <c:idx val="1"/>
            <c:spPr>
              <a:solidFill>
                <a:schemeClr val="accent6"/>
              </a:solidFill>
              <a:ln>
                <a:noFill/>
              </a:ln>
              <a:effectLst>
                <a:outerShdw blurRad="254000" sx="102000" sy="102000" algn="ctr" rotWithShape="0">
                  <a:prstClr val="black">
                    <a:alpha val="20000"/>
                  </a:prstClr>
                </a:outerShdw>
              </a:effectLst>
            </c:spPr>
          </c:dPt>
          <c:dPt>
            <c:idx val="2"/>
            <c:spPr>
              <a:solidFill>
                <a:schemeClr val="accent6">
                  <a:shade val="65000"/>
                </a:schemeClr>
              </a:solidFill>
              <a:ln>
                <a:noFill/>
              </a:ln>
              <a:effectLst>
                <a:outerShdw blurRad="254000" sx="102000" sy="102000" algn="ctr" rotWithShape="0">
                  <a:prstClr val="black">
                    <a:alpha val="20000"/>
                  </a:prstClr>
                </a:outerShdw>
              </a:effectLst>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Percent val="1"/>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Blad1!$A$2:$A$4</c:f>
              <c:strCache>
                <c:ptCount val="3"/>
                <c:pt idx="0">
                  <c:v>sustainability services firm</c:v>
                </c:pt>
                <c:pt idx="1">
                  <c:v>engineering firm</c:v>
                </c:pt>
                <c:pt idx="2">
                  <c:v>Accountancy firm</c:v>
                </c:pt>
              </c:strCache>
            </c:strRef>
          </c:cat>
          <c:val>
            <c:numRef>
              <c:f>Blad1!$B$2:$B$4</c:f>
              <c:numCache>
                <c:formatCode>Standaard</c:formatCode>
                <c:ptCount val="3"/>
                <c:pt idx="0">
                  <c:v>23</c:v>
                </c:pt>
                <c:pt idx="1">
                  <c:v>13</c:v>
                </c:pt>
                <c:pt idx="2">
                  <c:v>64</c:v>
                </c:pt>
              </c:numCache>
            </c:numRef>
          </c:val>
        </c:ser>
        <c:dLbls>
          <c:showPercent val="1"/>
        </c:dLbls>
        <c:firstSliceAng val="0"/>
      </c:pieChart>
      <c:spPr>
        <a:noFill/>
        <a:ln>
          <a:noFill/>
        </a:ln>
        <a:effectLst/>
      </c:spPr>
    </c:plotArea>
    <c:legend>
      <c:legendPos val="r"/>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chartSpace>
</file>

<file path=word/charts/colors1.xml><?xml version="1.0" encoding="utf-8"?>
<cs:colorStyle xmlns:cs="http://schemas.microsoft.com/office/drawing/2012/chartStyle" xmlns:a="http://schemas.openxmlformats.org/drawingml/2006/main" meth="withinLinear" id="19">
  <a:schemeClr val="accent6"/>
</cs:colorStyle>
</file>

<file path=word/charts/colors2.xml><?xml version="1.0" encoding="utf-8"?>
<cs:colorStyle xmlns:cs="http://schemas.microsoft.com/office/drawing/2012/chartStyle" xmlns:a="http://schemas.openxmlformats.org/drawingml/2006/main" meth="withinLinearReversed" id="26">
  <a:schemeClr val="accent6"/>
</cs:colorStyle>
</file>

<file path=word/charts/style1.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TriniteNo2RomCon-Regular">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569DF"/>
    <w:rsid w:val="002E2B5B"/>
    <w:rsid w:val="00A016A3"/>
    <w:rsid w:val="00A569D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6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965550825924A74A38E7FC706C3F9CB">
    <w:name w:val="7965550825924A74A38E7FC706C3F9CB"/>
    <w:rsid w:val="00A569DF"/>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EBr14</b:Tag>
    <b:SourceType>ArticleInAPeriodical</b:SourceType>
    <b:Guid>{26D1EF77-5DFE-495F-8EE5-EF9B7C30569B}</b:Guid>
    <b:Author>
      <b:Author>
        <b:NameList>
          <b:Person>
            <b:Last>Broekhuizen</b:Last>
            <b:First>E.</b:First>
          </b:Person>
        </b:NameList>
      </b:Author>
    </b:Author>
    <b:Title>ExxonMobil zet de toon</b:Title>
    <b:PeriodicalTitle>Financieel dagblad</b:PeriodicalTitle>
    <b:Year>2014</b:Year>
    <b:Month>Maart</b:Month>
    <b:Day>27</b:Day>
    <b:RefOrder>1</b:RefOrder>
  </b:Source>
  <b:Source>
    <b:Tag>NIV06</b:Tag>
    <b:SourceType>Report</b:SourceType>
    <b:Guid>{15AC1EE4-24D1-4F4B-87F3-0A0FCF7199BC}</b:Guid>
    <b:Title>niet-financiële informatie in beweging</b:Title>
    <b:Year>2006</b:Year>
    <b:Author>
      <b:Author>
        <b:Corporate>NIVRA</b:Corporate>
      </b:Author>
    </b:Author>
    <b:Publisher>NIVRA</b:Publisher>
    <b:City>Amsterdam</b:City>
    <b:RefOrder>10</b:RefOrder>
  </b:Source>
  <b:Source>
    <b:Tag>kui10</b:Tag>
    <b:SourceType>JournalArticle</b:SourceType>
    <b:Guid>{94630138-1681-4DC6-A926-F90E5724E501}</b:Guid>
    <b:Title>De accountant en niet-financiële informatie</b:Title>
    <b:Year>2010</b:Year>
    <b:Pages>47-57</b:Pages>
    <b:Author>
      <b:Author>
        <b:NameList>
          <b:Person>
            <b:Last>kuijck</b:Last>
            <b:First>Frank</b:First>
            <b:Middle>van</b:Middle>
          </b:Person>
          <b:Person>
            <b:Last>Leus</b:Last>
            <b:First>Dennis</b:First>
          </b:Person>
        </b:NameList>
      </b:Author>
    </b:Author>
    <b:JournalName>Update</b:JournalName>
    <b:RefOrder>12</b:RefOrder>
  </b:Source>
  <b:Source>
    <b:Tag>Böh13</b:Tag>
    <b:SourceType>Book</b:SourceType>
    <b:Guid>{F86B08C5-2383-4A9D-AD63-C87CEAB1D197}</b:Guid>
    <b:Title>Handboek Jaarrekening 2013</b:Title>
    <b:Year>2013</b:Year>
    <b:Publisher>Kluwer</b:Publisher>
    <b:Author>
      <b:Author>
        <b:NameList>
          <b:Person>
            <b:Last>Böhmer</b:Last>
            <b:First>S.</b:First>
          </b:Person>
          <b:Person>
            <b:Last>Hoogendoorn</b:Last>
            <b:First>M.N.</b:First>
          </b:Person>
          <b:Person>
            <b:Last>Kruit</b:Last>
            <b:First>R.</b:First>
          </b:Person>
        </b:NameList>
      </b:Author>
    </b:Author>
    <b:RefOrder>2</b:RefOrder>
  </b:Source>
  <b:Source>
    <b:Tag>Gre04</b:Tag>
    <b:SourceType>Book</b:SourceType>
    <b:Guid>{045481BB-438E-462D-B287-E015981A56EA}</b:Guid>
    <b:Title>Onthulling over accountants </b:Title>
    <b:Year>2004</b:Year>
    <b:City>Amsterdam</b:City>
    <b:Publisher>Pentagan Publishing</b:Publisher>
    <b:Author>
      <b:Author>
        <b:NameList>
          <b:Person>
            <b:Last>Greveling</b:Last>
            <b:First>Gert</b:First>
          </b:Person>
          <b:Person>
            <b:Last>Westra</b:Last>
            <b:First>Brenda</b:First>
          </b:Person>
        </b:NameList>
      </b:Author>
    </b:Author>
    <b:RefOrder>58</b:RefOrder>
  </b:Source>
  <b:Source>
    <b:Tag>Jen76</b:Tag>
    <b:SourceType>Misc</b:SourceType>
    <b:Guid>{E501293F-0DF1-4092-9D05-A739FAED3009}</b:Guid>
    <b:Title>Theory of the Firm: Managerial Behavior, Agency Costs and Ownership Structure</b:Title>
    <b:Year>1976</b:Year>
    <b:Publisher>Journal of Financial Economics</b:Publisher>
    <b:Month>Oktober</b:Month>
    <b:Author>
      <b:Author>
        <b:NameList>
          <b:Person>
            <b:Last>Jensen</b:Last>
            <b:Middle>C.</b:Middle>
            <b:First>Michael</b:First>
          </b:Person>
          <b:Person>
            <b:Last>Meckling</b:Last>
            <b:Middle>H.</b:Middle>
            <b:First>William</b:First>
          </b:Person>
        </b:NameList>
      </b:Author>
    </b:Author>
    <b:RefOrder>59</b:RefOrder>
  </b:Source>
  <b:Source>
    <b:Tag>Aud05</b:Tag>
    <b:SourceType>Report</b:SourceType>
    <b:Guid>{3BAA77C7-FC2A-44EC-8E17-BFACBAFC0089}</b:Guid>
    <b:Title>Agency theory and the role of audit</b:Title>
    <b:Year>2005</b:Year>
    <b:City>Wales</b:City>
    <b:Publisher>Institute of Chartered Accountants </b:Publisher>
    <b:Author>
      <b:Author>
        <b:Corporate>Audit Quality Forum</b:Corporate>
      </b:Author>
    </b:Author>
    <b:RefOrder>60</b:RefOrder>
  </b:Source>
  <b:Source>
    <b:Tag>Dde08</b:Tag>
    <b:SourceType>Book</b:SourceType>
    <b:Guid>{EBDC4DD7-9466-4E83-BAA9-37FAE22DEC68}</b:Guid>
    <b:Author>
      <b:Author>
        <b:NameList>
          <b:Person>
            <b:Last>Waard</b:Last>
            <b:First>Dick</b:First>
            <b:Middle>de</b:Middle>
          </b:Person>
        </b:NameList>
      </b:Author>
    </b:Author>
    <b:Title>Toezicht op maatschappelijk verantwoord ondernemen</b:Title>
    <b:Year>2008</b:Year>
    <b:City>Assen</b:City>
    <b:Publisher>van Gorcum</b:Publisher>
    <b:RefOrder>61</b:RefOrder>
  </b:Source>
  <b:Source>
    <b:Tag>Oce</b:Tag>
    <b:SourceType>InternetSite</b:SourceType>
    <b:Guid>{24A8F19D-0C8B-4F1B-936F-7311FB3F343B}</b:Guid>
    <b:Author>
      <b:Author>
        <b:Corporate>Ocean Tomo</b:Corporate>
      </b:Author>
    </b:Author>
    <b:Title>Intellectual Capital equity</b:Title>
    <b:InternetSiteTitle>ocean tomo</b:InternetSiteTitle>
    <b:Year>2010</b:Year>
    <b:URL>http://www.oceantomo.com/about/intellectualcapitalequity</b:URL>
    <b:RefOrder>17</b:RefOrder>
  </b:Source>
  <b:Source>
    <b:Tag>Sta13</b:Tag>
    <b:SourceType>Report</b:SourceType>
    <b:Guid>{3FE1ECF4-47F1-4D2F-AEDC-7D28FB552654}</b:Guid>
    <b:Title>Transparantiebenchmark 2013, De Kristal 2013</b:Title>
    <b:Year>2013</b:Year>
    <b:Publisher>Ministerie van Economische Zaken</b:Publisher>
    <b:City>'s-Gravenhage</b:City>
    <b:Author>
      <b:Author>
        <b:NameList>
          <b:Person>
            <b:Last>Stam</b:Last>
            <b:First>Margo</b:First>
          </b:Person>
          <b:Person>
            <b:Last>Admiraal</b:Last>
            <b:First>Michèl</b:First>
          </b:Person>
        </b:NameList>
      </b:Author>
    </b:Author>
    <b:RefOrder>37</b:RefOrder>
  </b:Source>
  <b:Source>
    <b:Tag>Ned13</b:Tag>
    <b:SourceType>Misc</b:SourceType>
    <b:Guid>{F08089EA-CF7C-4976-8240-03FBDF1E01A4}</b:Guid>
    <b:Title>Integrated reporting; het rapportagemodel van de toekomst</b:Title>
    <b:Year>2013</b:Year>
    <b:Publisher>Nederlandse Beroepsassociatie van Accountants</b:Publisher>
    <b:City>Amsterdam</b:City>
    <b:Author>
      <b:Author>
        <b:Corporate>NBA</b:Corporate>
      </b:Author>
    </b:Author>
    <b:PublicationTitle>Visiedocument NBA over de weg ernaar toe en de rol van het accountantsberoep</b:PublicationTitle>
    <b:Month>Mei</b:Month>
    <b:StateProvince>Noord-Holland</b:StateProvince>
    <b:CountryRegion>Nederland</b:CountryRegion>
    <b:RefOrder>45</b:RefOrder>
  </b:Source>
  <b:Source>
    <b:Tag>Ecc12</b:Tag>
    <b:SourceType>Misc</b:SourceType>
    <b:Guid>{EB33038F-0988-4627-8F4A-BE25B64790CA}</b:Guid>
    <b:Title>The Impact of a Corporate Culture of Sustainability on Corporate Behavior and Performance</b:Title>
    <b:PublicationTitle>Working Paper</b:PublicationTitle>
    <b:Year>2012</b:Year>
    <b:Month>Mei</b:Month>
    <b:Day>9</b:Day>
    <b:Publisher>Harvard Business School</b:Publisher>
    <b:Author>
      <b:Author>
        <b:NameList>
          <b:Person>
            <b:Last>Eccles</b:Last>
            <b:Middle>G.</b:Middle>
            <b:First>Robert</b:First>
          </b:Person>
          <b:Person>
            <b:Last>Ioannou</b:Last>
            <b:First>Ioannis</b:First>
          </b:Person>
          <b:Person>
            <b:Last>Serafeim</b:Last>
            <b:First>George</b:First>
          </b:Person>
        </b:NameList>
      </b:Author>
    </b:Author>
    <b:RefOrder>19</b:RefOrder>
  </b:Source>
  <b:Source>
    <b:Tag>Sch10</b:Tag>
    <b:SourceType>Misc</b:SourceType>
    <b:Guid>{935F2CD0-FA04-43BC-AD37-7E47504A912B}</b:Guid>
    <b:Title>Niet-financiële informatie steeds belangrijker voor beleggers</b:Title>
    <b:PublicationTitle>Persbericht</b:PublicationTitle>
    <b:Year>2010</b:Year>
    <b:Month>Juni</b:Month>
    <b:Day>2</b:Day>
    <b:CountryRegion>Nederland</b:CountryRegion>
    <b:Author>
      <b:Author>
        <b:NameList>
          <b:Person>
            <b:Last>Schweppe</b:Last>
            <b:First>Marc</b:First>
          </b:Person>
          <b:Person>
            <b:Last>Abma</b:Last>
            <b:First>Rients</b:First>
          </b:Person>
          <b:Person>
            <b:Last>de Ruiter</b:Last>
            <b:First>Hans</b:First>
          </b:Person>
        </b:NameList>
      </b:Author>
    </b:Author>
    <b:RefOrder>21</b:RefOrder>
  </b:Source>
  <b:Source>
    <b:Tag>ACC13</b:Tag>
    <b:SourceType>Misc</b:SourceType>
    <b:Guid>{5A0BC323-F43D-4CBB-B164-82174896D9C7}</b:Guid>
    <b:Author>
      <b:Author>
        <b:Corporate>ACCA</b:Corporate>
      </b:Author>
    </b:Author>
    <b:Title>What do investors expect from non-financial reporting? </b:Title>
    <b:Year>2013</b:Year>
    <b:Month>Juni</b:Month>
    <b:City>London</b:City>
    <b:CountryRegion>United Kingdom</b:CountryRegion>
    <b:Publisher>the Association of Chartered Certified Accountants</b:Publisher>
    <b:RefOrder>22</b:RefOrder>
  </b:Source>
  <b:Source>
    <b:Tag>Sar12</b:Tag>
    <b:SourceType>Misc</b:SourceType>
    <b:Guid>{3B1E7D09-832D-4299-878E-F406100D02B2}</b:Guid>
    <b:Author>
      <b:Author>
        <b:NameList>
          <b:Person>
            <b:Last>Nordeen</b:Last>
            <b:First>Sarah</b:First>
          </b:Person>
        </b:NameList>
      </b:Author>
    </b:Author>
    <b:Title>Social Responsibility</b:Title>
    <b:Year>2012</b:Year>
    <b:Month>Oktober</b:Month>
    <b:Day>2013</b:Day>
    <b:RefOrder>62</b:RefOrder>
  </b:Source>
  <b:Source>
    <b:Tag>Jon07</b:Tag>
    <b:SourceType>Report</b:SourceType>
    <b:Guid>{5233DDBA-DF33-4CF8-8A0C-BC12CB88B336}</b:Guid>
    <b:Title>Ethical Theory and Stakeholderrelated decisions: the role of stakeholder culture</b:Title>
    <b:Year>2007</b:Year>
    <b:City>Washington</b:City>
    <b:Publisher>Acadamy of Managament Review</b:Publisher>
    <b:Author>
      <b:Author>
        <b:NameList>
          <b:Person>
            <b:Last>Jones</b:Last>
            <b:Middle>M.</b:Middle>
            <b:First>Thomas</b:First>
          </b:Person>
          <b:Person>
            <b:Last>Felps</b:Last>
            <b:First>Will</b:First>
          </b:Person>
          <b:Person>
            <b:Last>Bigley</b:Last>
            <b:Middle>A.</b:Middle>
            <b:First>Gregory</b:First>
          </b:Person>
        </b:NameList>
      </b:Author>
    </b:Author>
    <b:RefOrder>63</b:RefOrder>
  </b:Source>
  <b:Source>
    <b:Tag>Pal13</b:Tag>
    <b:SourceType>Book</b:SourceType>
    <b:Guid>{6EA554F4-292A-4FED-8572-D575E45171AF}</b:Guid>
    <b:Title>Business Analysis and Valuation</b:Title>
    <b:Year>2013</b:Year>
    <b:Publisher>Cengaga learning</b:Publisher>
    <b:City>Hampshire</b:City>
    <b:Author>
      <b:Author>
        <b:NameList>
          <b:Person>
            <b:Last>Palepu</b:Last>
            <b:Middle>G.</b:Middle>
            <b:First>Krishna</b:First>
          </b:Person>
          <b:Person>
            <b:Last>Healy</b:Last>
            <b:Middle>M.</b:Middle>
            <b:First>Paul</b:First>
          </b:Person>
          <b:Person>
            <b:Last>Peek</b:Last>
            <b:First>Erik</b:First>
          </b:Person>
        </b:NameList>
      </b:Author>
    </b:Author>
    <b:RefOrder>64</b:RefOrder>
  </b:Source>
  <b:Source>
    <b:Tag>Lar09</b:Tag>
    <b:SourceType>Misc</b:SourceType>
    <b:Guid>{B6F35176-EA34-4E0A-87FA-9C32F9E21EF3}</b:Guid>
    <b:Title>Maatschappelijk Verantwoord Ondernemen</b:Title>
    <b:Year>2009</b:Year>
    <b:City>Amsterdam</b:City>
    <b:Publisher>Universiteit van Amsterdam</b:Publisher>
    <b:Month>December</b:Month>
    <b:Author>
      <b:Author>
        <b:NameList>
          <b:Person>
            <b:Last>Habets</b:Last>
            <b:First>Lars</b:First>
          </b:Person>
        </b:NameList>
      </b:Author>
    </b:Author>
    <b:PublicationTitle>Scriptie</b:PublicationTitle>
    <b:RefOrder>31</b:RefOrder>
  </b:Source>
  <b:Source>
    <b:Tag>MVO14</b:Tag>
    <b:SourceType>InternetSite</b:SourceType>
    <b:Guid>{5FAD269D-5B0A-4151-A1B1-35059792A4ED}</b:Guid>
    <b:Title>wat is MVO? </b:Title>
    <b:Year>2014</b:Year>
    <b:Month>26</b:Month>
    <b:Day>5</b:Day>
    <b:Author>
      <b:Author>
        <b:Corporate>MVO platform</b:Corporate>
      </b:Author>
    </b:Author>
    <b:InternetSiteTitle>mvoplatform</b:InternetSiteTitle>
    <b:URL>http://mvoplatform.nl/wat-is-mvo/wat-is-mvo</b:URL>
    <b:RefOrder>24</b:RefOrder>
  </b:Source>
  <b:Source>
    <b:Tag>Mai</b:Tag>
    <b:SourceType>JournalArticle</b:SourceType>
    <b:Guid>{437B64BA-CD77-4FD0-9480-306D54B9B82E}</b:Guid>
    <b:Title>Corporate Social Responsibility and Marketing: An Integrative Framework</b:Title>
    <b:Author>
      <b:Author>
        <b:NameList>
          <b:Person>
            <b:Last>Maignan</b:Last>
            <b:First>Isabelle</b:First>
          </b:Person>
          <b:Person>
            <b:Last>Ferrel</b:Last>
            <b:First>O.C.</b:First>
          </b:Person>
        </b:NameList>
      </b:Author>
    </b:Author>
    <b:Year>2004</b:Year>
    <b:Pages>3-19</b:Pages>
    <b:JournalName>Journal of the Academy of Marketing Science</b:JournalName>
    <b:RefOrder>27</b:RefOrder>
  </b:Source>
  <b:Source>
    <b:Tag>Fre01</b:Tag>
    <b:SourceType>DocumentFromInternetSite</b:SourceType>
    <b:Guid>{9D79E03C-2D45-4099-8EA0-963EC2EEA13F}</b:Guid>
    <b:Title>Stakeholder Theory of the Modern Corporation</b:Title>
    <b:Year>2001</b:Year>
    <b:Author>
      <b:Author>
        <b:NameList>
          <b:Person>
            <b:Last>Freeman</b:Last>
            <b:First>Edward</b:First>
          </b:Person>
        </b:NameList>
      </b:Author>
    </b:Author>
    <b:URL>http://academic.udayton.edu/lawrenceulrich/Stakeholder%20Theory.pdf</b:URL>
    <b:RefOrder>65</b:RefOrder>
  </b:Source>
  <b:Source>
    <b:Tag>Cro08</b:Tag>
    <b:SourceType>Book</b:SourceType>
    <b:Guid>{14E3D295-CAE5-465A-8DAB-C93705B8BDF4}</b:Guid>
    <b:Title>Corporate Social Responsibility</b:Title>
    <b:Year>2008</b:Year>
    <b:Publisher>Bookboon</b:Publisher>
    <b:Author>
      <b:Author>
        <b:NameList>
          <b:Person>
            <b:Last>Crowther</b:Last>
            <b:First>David</b:First>
          </b:Person>
          <b:Person>
            <b:Last>Aras</b:Last>
            <b:First>Güler</b:First>
          </b:Person>
        </b:NameList>
      </b:Author>
    </b:Author>
    <b:RefOrder>66</b:RefOrder>
  </b:Source>
  <b:Source>
    <b:Tag>Hay10</b:Tag>
    <b:SourceType>Book</b:SourceType>
    <b:Guid>{DFEDE1CE-5D50-45B7-A86F-FC5BF0D97AD4}</b:Guid>
    <b:Title>Environmental Protection and the Social Responsibility of Firms</b:Title>
    <b:Year>2010</b:Year>
    <b:City>Washington</b:City>
    <b:Publisher>Resources for the future</b:Publisher>
    <b:Author>
      <b:Author>
        <b:NameList>
          <b:Person>
            <b:Last>Hay</b:Last>
            <b:Middle>L.</b:Middle>
            <b:First>Bruce</b:First>
          </b:Person>
          <b:Person>
            <b:Last>Stavins</b:Last>
            <b:Middle>N.</b:Middle>
            <b:First>Robert</b:First>
          </b:Person>
          <b:Person>
            <b:Last>Vietor</b:Last>
            <b:Middle>H.K.</b:Middle>
            <b:First>Richard</b:First>
          </b:Person>
        </b:NameList>
      </b:Author>
    </b:Author>
    <b:RefOrder>32</b:RefOrder>
  </b:Source>
  <b:Source>
    <b:Tag>Mar03</b:Tag>
    <b:SourceType>JournalArticle</b:SourceType>
    <b:Guid>{AED105CD-B32E-4C76-9B29-F56DAF1A5B6D}</b:Guid>
    <b:Title>Concepts and Definitions of CSR and Corporate Sustainability: Between Agency and Communion</b:Title>
    <b:Year>2003</b:Year>
    <b:Author>
      <b:Author>
        <b:NameList>
          <b:Person>
            <b:Last>Marrewijk</b:Last>
            <b:First>Marcel</b:First>
            <b:Middle>van</b:Middle>
          </b:Person>
        </b:NameList>
      </b:Author>
    </b:Author>
    <b:JournalName>Journal of Business Ethics</b:JournalName>
    <b:Pages>95-105</b:Pages>
    <b:RefOrder>26</b:RefOrder>
  </b:Source>
  <b:Source>
    <b:Tag>Rol11</b:Tag>
    <b:SourceType>Misc</b:SourceType>
    <b:Guid>{EFFC11BD-CD64-4F2A-B910-7DA7CDE50E91}</b:Guid>
    <b:Title>Corporate Social Responibility</b:Title>
    <b:Year>2011</b:Year>
    <b:Author>
      <b:Author>
        <b:NameList>
          <b:Person>
            <b:Last>Wit</b:Last>
            <b:First>Rolinda</b:First>
            <b:Middle>de</b:Middle>
          </b:Person>
        </b:NameList>
      </b:Author>
    </b:Author>
    <b:PublicationTitle>master thesis</b:PublicationTitle>
    <b:Month>Juni</b:Month>
    <b:City>Rotterdam</b:City>
    <b:Publisher>Erasmus Universiteit Rotterdam</b:Publisher>
    <b:RefOrder>30</b:RefOrder>
  </b:Source>
  <b:Source>
    <b:Tag>Rij10</b:Tag>
    <b:SourceType>Misc</b:SourceType>
    <b:Guid>{15188816-1346-4851-B7E0-D619FAA0E3BB}</b:Guid>
    <b:Author>
      <b:Author>
        <b:Corporate>Rijksoverheid</b:Corporate>
      </b:Author>
    </b:Author>
    <b:Title>Artikel 391</b:Title>
    <b:Year>2010</b:Year>
    <b:Month>september</b:Month>
    <b:Day>23</b:Day>
    <b:PublicationTitle>Burgerlijk Wetboek Boek 2</b:PublicationTitle>
    <b:CountryRegion>Nederland</b:CountryRegion>
    <b:Publisher>Nederlandse Staat</b:Publisher>
    <b:RefOrder>36</b:RefOrder>
  </b:Source>
  <b:Source>
    <b:Tag>Min14</b:Tag>
    <b:SourceType>InternetSite</b:SourceType>
    <b:Guid>{C6821743-860D-4130-A4F0-C7FC01D22146}</b:Guid>
    <b:Title>over de transparantiebenchmark</b:Title>
    <b:Year>2014</b:Year>
    <b:Month>Mei</b:Month>
    <b:Day>29</b:Day>
    <b:Author>
      <b:Author>
        <b:Corporate>Ministerie van Economische Zaken</b:Corporate>
      </b:Author>
    </b:Author>
    <b:InternetSiteTitle>transparantiebenchmark</b:InternetSiteTitle>
    <b:URL>http://www.transparantiebenchmark.nl/Over%20Transparantiebenchmark</b:URL>
    <b:RefOrder>35</b:RefOrder>
  </b:Source>
  <b:Source>
    <b:Tag>Ann11</b:Tag>
    <b:SourceType>Misc</b:SourceType>
    <b:Guid>{77B4F5A5-F767-4DC5-85E8-AC24784C2657}</b:Guid>
    <b:Title>Accountant en Duurzaamheid</b:Title>
    <b:Year>2011</b:Year>
    <b:Publisher>accountant</b:Publisher>
    <b:Author>
      <b:Author>
        <b:NameList>
          <b:Person>
            <b:Last>Bergen</b:Last>
            <b:First>Annegreet</b:First>
            <b:Middle>van</b:Middle>
          </b:Person>
        </b:NameList>
      </b:Author>
    </b:Author>
    <b:PublicationTitle>Jeugdig fenomeen heeft tijd nodig</b:PublicationTitle>
    <b:Month>Januari/Februari</b:Month>
    <b:RefOrder>67</b:RefOrder>
  </b:Source>
  <b:Source>
    <b:Tag>van10</b:Tag>
    <b:SourceType>JournalArticle</b:SourceType>
    <b:Guid>{EF7D1C83-20EE-4ED3-9406-27720BC344F0}</b:Guid>
    <b:Title>De accountant en niet-financiële informatie</b:Title>
    <b:Year>2010</b:Year>
    <b:JournalName>Update</b:JournalName>
    <b:Pages>47-57</b:Pages>
    <b:Author>
      <b:Author>
        <b:NameList>
          <b:Person>
            <b:Last>van Kuijck</b:Last>
            <b:First>Frank</b:First>
          </b:Person>
          <b:Person>
            <b:Last>Leus</b:Last>
            <b:First>Dennis</b:First>
          </b:Person>
        </b:NameList>
      </b:Author>
    </b:Author>
    <b:RefOrder>9</b:RefOrder>
  </b:Source>
  <b:Source>
    <b:Tag>Che</b:Tag>
    <b:SourceType>JournalArticle</b:SourceType>
    <b:Guid>{AD8EF93A-7919-4E02-863E-6644BBEE77A3}</b:Guid>
    <b:Title>The International Integrated Reporting Framework: Key Issues and Future Research Opportunities</b:Title>
    <b:Author>
      <b:Author>
        <b:NameList>
          <b:Person>
            <b:Last>Cheng</b:Last>
            <b:First>Mandy</b:First>
          </b:Person>
          <b:Person>
            <b:Last>Green</b:Last>
            <b:First>Wendy</b:First>
          </b:Person>
          <b:Person>
            <b:Last>Conradie</b:Last>
            <b:First>Pieter</b:First>
          </b:Person>
          <b:Person>
            <b:Last>Konishi</b:Last>
            <b:First>Noriyuki</b:First>
          </b:Person>
          <b:Person>
            <b:Last>Romi</b:Last>
            <b:First>Andrea</b:First>
          </b:Person>
        </b:NameList>
      </b:Author>
    </b:Author>
    <b:JournalName>Journal of International Financial Managament &amp; Accounting</b:JournalName>
    <b:Year>2014</b:Year>
    <b:Pages>90-119</b:Pages>
    <b:RefOrder>13</b:RefOrder>
  </b:Source>
  <b:Source>
    <b:Tag>NIV09</b:Tag>
    <b:SourceType>Report</b:SourceType>
    <b:Guid>{556AFE06-5EBF-4E2E-BB97-45B836F7EB23}</b:Guid>
    <b:Title>Het assurance-raamwerk; de accountant en het verstrekken van zekerheid</b:Title>
    <b:Year>2009</b:Year>
    <b:Author>
      <b:Author>
        <b:Corporate>NIVRA</b:Corporate>
      </b:Author>
    </b:Author>
    <b:Publisher>NIVRA</b:Publisher>
    <b:City>Amsterdam</b:City>
    <b:RefOrder>16</b:RefOrder>
  </b:Source>
  <b:Source>
    <b:Tag>Lam13</b:Tag>
    <b:SourceType>Misc</b:SourceType>
    <b:Guid>{0EA886CE-2FC6-471D-B2CD-BA09B66C3C78}</b:Guid>
    <b:Title>Nieuw wetsvoorstel gelanceerd door Europese Commissie</b:Title>
    <b:Year>2013</b:Year>
    <b:Publisher>Nyenrode Corporate Governance Instituut</b:Publisher>
    <b:PublicationTitle>Nieuwsbrief</b:PublicationTitle>
    <b:Month>mei</b:Month>
    <b:Author>
      <b:Author>
        <b:NameList>
          <b:Person>
            <b:Last>Lambooy</b:Last>
            <b:First>Tineke</b:First>
          </b:Person>
          <b:Person>
            <b:Last>Brandt</b:Last>
            <b:First>Michiel</b:First>
          </b:Person>
        </b:NameList>
      </b:Author>
    </b:Author>
    <b:RefOrder>20</b:RefOrder>
  </b:Source>
  <b:Source>
    <b:Tag>Mor10</b:Tag>
    <b:SourceType>Book</b:SourceType>
    <b:Guid>{09766FA4-B4C4-4A84-BDC4-EC4D1A3BF301}</b:Guid>
    <b:Title>Basisboek MVO</b:Title>
    <b:Year>2010</b:Year>
    <b:City>Assen</b:City>
    <b:Publisher>van Gorcum</b:Publisher>
    <b:Author>
      <b:Author>
        <b:NameList>
          <b:Person>
            <b:Last>Moratis</b:Last>
            <b:First>Lars</b:First>
          </b:Person>
          <b:Person>
            <b:Last>van der Veen</b:Last>
            <b:First>Mark</b:First>
          </b:Person>
        </b:NameList>
      </b:Author>
    </b:Author>
    <b:RefOrder>29</b:RefOrder>
  </b:Source>
  <b:Source>
    <b:Tag>Lag12</b:Tag>
    <b:SourceType>Report</b:SourceType>
    <b:Guid>{3A96092E-D72C-4680-A122-E420F7D4C3D5}</b:Guid>
    <b:Title>Blik op MVO: Tien trends en ontwikkelingen</b:Title>
    <b:Year>2012</b:Year>
    <b:Publisher>MVO Nederland</b:Publisher>
    <b:Author>
      <b:Author>
        <b:NameList>
          <b:Person>
            <b:Last>Lageweg</b:Last>
            <b:First>Willem</b:First>
          </b:Person>
          <b:Person>
            <b:Last>Vlaming</b:Last>
            <b:First>Lobke</b:First>
          </b:Person>
          <b:Person>
            <b:Last>Tol</b:Last>
            <b:First>Feia</b:First>
          </b:Person>
          <b:Person>
            <b:Last>Klomp</b:Last>
            <b:First>Marije</b:First>
          </b:Person>
        </b:NameList>
      </b:Author>
    </b:Author>
    <b:RefOrder>34</b:RefOrder>
  </b:Source>
  <b:Source>
    <b:Tag>Kam08</b:Tag>
    <b:SourceType>JournalArticle</b:SourceType>
    <b:Guid>{84DBB873-CB88-4ACF-8F63-5E810EC72EF1}</b:Guid>
    <b:Title>De kwaliteit van maatschappelijke verslagen in Nederland</b:Title>
    <b:Year>2008</b:Year>
    <b:Publisher>Mana</b:Publisher>
    <b:Author>
      <b:Author>
        <b:NameList>
          <b:Person>
            <b:Last>Kamp-Roelands</b:Last>
            <b:First>Nancy</b:First>
          </b:Person>
          <b:Person>
            <b:Last>de Waard</b:Last>
            <b:First>Dick</b:First>
          </b:Person>
        </b:NameList>
      </b:Author>
    </b:Author>
    <b:JournalName>Maandblad voor Accountancy en Bedrijfseconomie</b:JournalName>
    <b:Pages>531-540</b:Pages>
    <b:RefOrder>23</b:RefOrder>
  </b:Source>
  <b:Source>
    <b:Tag>Raa09</b:Tag>
    <b:SourceType>Misc</b:SourceType>
    <b:Guid>{072768F8-5709-4907-8F7B-8E36601ECD99}</b:Guid>
    <b:Title>Herziene Richtlijn 400 Jaarverslag en Handreiking voor Maatschappelijke verslaggeving</b:Title>
    <b:Year>2009`</b:Year>
    <b:Author>
      <b:Author>
        <b:Corporate>Raad voor de Jaarverslaggeving</b:Corporate>
      </b:Author>
    </b:Author>
    <b:PublicationTitle>RJ-Uiting 2009-8</b:PublicationTitle>
    <b:Month>Augustus</b:Month>
    <b:City>Amsterdam</b:City>
    <b:StateProvince>Noord-Holland</b:StateProvince>
    <b:CountryRegion>Nederland</b:CountryRegion>
    <b:Publisher>Raad voor de Jaarverslaggeving</b:Publisher>
    <b:RefOrder>33</b:RefOrder>
  </b:Source>
  <b:Source>
    <b:Tag>Nie13</b:Tag>
    <b:SourceType>Report</b:SourceType>
    <b:Guid>{CAE30F28-103C-460A-BF3E-56949D31125C}</b:Guid>
    <b:Title>Sustainability Reporting: Concepts, Frameworks and the Role of Supreme Audit Institutions</b:Title>
    <b:Year>2013</b:Year>
    <b:Publisher>INTOSAI Working Group on Environmental Auditing</b:Publisher>
    <b:Author>
      <b:Author>
        <b:NameList>
          <b:Person>
            <b:Last>Niemenmaa</b:Last>
            <b:First>Viv</b:First>
          </b:Person>
          <b:Person>
            <b:Last>Turtiainen</b:Last>
            <b:First>Markku</b:First>
          </b:Person>
        </b:NameList>
      </b:Author>
    </b:Author>
    <b:RefOrder>38</b:RefOrder>
  </b:Source>
  <b:Source>
    <b:Tag>Jul03</b:Tag>
    <b:SourceType>Misc</b:SourceType>
    <b:Guid>{626AF7EB-6824-43DF-8098-3DAC2D0F3F0D}</b:Guid>
    <b:Title>Een onderzoek naar het Maatschappelijk Jaarverslag in Nederland</b:Title>
    <b:Year>2003</b:Year>
    <b:Author>
      <b:Author>
        <b:NameList>
          <b:Person>
            <b:Last>Koolman</b:Last>
            <b:First>Julienne</b:First>
          </b:Person>
        </b:NameList>
      </b:Author>
    </b:Author>
    <b:PublicationTitle>master thesis</b:PublicationTitle>
    <b:Month>November</b:Month>
    <b:Day>28</b:Day>
    <b:City>Tilburg</b:City>
    <b:StateProvince>Noord-Brabant</b:StateProvince>
    <b:Publisher>Universiteit van Tilburg</b:Publisher>
    <b:RefOrder>39</b:RefOrder>
  </b:Source>
  <b:Source>
    <b:Tag>van07</b:Tag>
    <b:SourceType>JournalArticle</b:SourceType>
    <b:Guid>{1B998696-CE76-4658-AFA9-A42C29B509F3}</b:Guid>
    <b:Title>Media-aandacht en maatschappelijke verslaggeving: de bouwfraude</b:Title>
    <b:Year>2007</b:Year>
    <b:Author>
      <b:Author>
        <b:NameList>
          <b:Person>
            <b:Last>van Eijk</b:Last>
            <b:First>Dirk</b:First>
          </b:Person>
          <b:Person>
            <b:Last>Hooghiemstra</b:Last>
            <b:First>Reggy</b:First>
          </b:Person>
        </b:NameList>
      </b:Author>
    </b:Author>
    <b:JournalName>Maandblad voor Accountancy en Bedrijfseconomie</b:JournalName>
    <b:Pages>250-258</b:Pages>
    <b:RefOrder>40</b:RefOrder>
  </b:Source>
  <b:Source>
    <b:Tag>NEM13</b:Tag>
    <b:SourceType>Report</b:SourceType>
    <b:Guid>{38ECFF87-B8C3-43C8-8483-DCCE35B0E50F}</b:Guid>
    <b:Title>De netto-voordelen van integrated reporting voor het MKB</b:Title>
    <b:Year>2013</b:Year>
    <b:Author>
      <b:Author>
        <b:Corporate>NEMACC</b:Corporate>
      </b:Author>
    </b:Author>
    <b:Publisher>NBA </b:Publisher>
    <b:City>Rotterdam</b:City>
    <b:RefOrder>46</b:RefOrder>
  </b:Source>
  <b:Source>
    <b:Tag>Pou</b:Tag>
    <b:SourceType>JournalArticle</b:SourceType>
    <b:Guid>{F33A1EB4-537B-4BA5-83FE-52E4DC036C6A}</b:Guid>
    <b:Title>Lessons learned: het geïntegreerd jaarverslag</b:Title>
    <b:Author>
      <b:Author>
        <b:NameList>
          <b:Person>
            <b:Last>Pouw</b:Last>
            <b:First>Arno</b:First>
          </b:Person>
          <b:Person>
            <b:Last>van der Laan</b:Last>
            <b:First>Robert</b:First>
          </b:Person>
        </b:NameList>
      </b:Author>
    </b:Author>
    <b:JournalName>Spotlight</b:JournalName>
    <b:Year>2012</b:Year>
    <b:Pages>34-36</b:Pages>
    <b:RefOrder>42</b:RefOrder>
  </b:Source>
  <b:Source>
    <b:Tag>Mer11</b:Tag>
    <b:SourceType>JournalArticle</b:SourceType>
    <b:Guid>{D5CC4642-AA04-43DC-9F38-941A6C283701}</b:Guid>
    <b:Author>
      <b:Author>
        <b:NameList>
          <b:Person>
            <b:Last>King</b:Last>
            <b:First>Mervyn</b:First>
            <b:Middle>E</b:Middle>
          </b:Person>
        </b:NameList>
      </b:Author>
    </b:Author>
    <b:Title>Integrated Reporting- a concept whose time has come</b:Title>
    <b:JournalName>Maandblad voor Accountancy en Bedrijfseconomie</b:JournalName>
    <b:Year>2011</b:Year>
    <b:Pages>535-536</b:Pages>
    <b:RefOrder>43</b:RefOrder>
  </b:Source>
  <b:Source>
    <b:Tag>Jet13</b:Tag>
    <b:SourceType>Misc</b:SourceType>
    <b:Guid>{5BD266D7-04B5-4918-B776-514890B8ED05}</b:Guid>
    <b:Title>De waarde van Integrated Reporting voor het MKB</b:Title>
    <b:Year>2013</b:Year>
    <b:Author>
      <b:Author>
        <b:NameList>
          <b:Person>
            <b:Last>Veer</b:Last>
            <b:First>Jethro</b:First>
            <b:Middle>van der</b:Middle>
          </b:Person>
        </b:NameList>
      </b:Author>
    </b:Author>
    <b:PublicationTitle>Bachelor scriptie</b:PublicationTitle>
    <b:Month>augustus</b:Month>
    <b:City>Rotterdam</b:City>
    <b:Publisher>Erasmus Universiteit Rotterdam</b:Publisher>
    <b:RefOrder>44</b:RefOrder>
  </b:Source>
  <b:Source>
    <b:Tag>Hug14</b:Tag>
    <b:SourceType>InternetSite</b:SourceType>
    <b:Guid>{8DFAF0EA-CC9B-4A6E-837F-DC832A5FFE3D}</b:Guid>
    <b:Title>Disclosure of non-financial information by certain large companies: European Parliament and Council reach agreement on Commision proposal to improve transparency</b:Title>
    <b:InternetSiteTitle>Press released database</b:InternetSiteTitle>
    <b:Year>2014</b:Year>
    <b:Month>Februari</b:Month>
    <b:Day>26</b:Day>
    <b:URL>http://europa.eu/rapid/press-release_STATEMENT-14-29_en.htm?locale=en</b:URL>
    <b:Author>
      <b:Author>
        <b:NameList>
          <b:Person>
            <b:Last>Hughes</b:Last>
            <b:First>Chantal</b:First>
          </b:Person>
          <b:Person>
            <b:Last>Augier</b:Last>
            <b:First>Audrey</b:First>
          </b:Person>
          <b:Person>
            <b:Last>Dunne</b:Last>
            <b:First>Carmel</b:First>
          </b:Person>
        </b:NameList>
      </b:Author>
    </b:Author>
    <b:RefOrder>48</b:RefOrder>
  </b:Source>
  <b:Source>
    <b:Tag>Mar11</b:Tag>
    <b:SourceType>JournalArticle</b:SourceType>
    <b:Guid>{56CAEBEF-2E19-4BAE-B491-EBEFAEF332E5}</b:Guid>
    <b:Title>Sustainability reporting and assurance</b:Title>
    <b:Year>2011</b:Year>
    <b:InternetSiteTitle>emeraldinsight</b:InternetSiteTitle>
    <b:Author>
      <b:Author>
        <b:NameList>
          <b:Person>
            <b:Last>Marx</b:Last>
            <b:First>Ben</b:First>
          </b:Person>
          <b:Person>
            <b:Last>van Dyk</b:Last>
            <b:First>Vanessa</b:First>
          </b:Person>
        </b:NameList>
      </b:Author>
    </b:Author>
    <b:JournalName>Meditari Accountancy Research</b:JournalName>
    <b:Pages>39-55</b:Pages>
    <b:RefOrder>68</b:RefOrder>
  </b:Source>
  <b:Source>
    <b:Tag>Nan11</b:Tag>
    <b:SourceType>JournalArticle</b:SourceType>
    <b:Guid>{1E15088E-37CF-4E39-B57B-973753706D8F}</b:Guid>
    <b:Author>
      <b:Author>
        <b:NameList>
          <b:Person>
            <b:Last>Kamp-Roelands</b:Last>
            <b:First>Nancy</b:First>
          </b:Person>
        </b:NameList>
      </b:Author>
    </b:Author>
    <b:Title>Integrated reporting en assurance</b:Title>
    <b:JournalName>Maandblad voor Accountancy en Bedrijfseconomie</b:JournalName>
    <b:Year>2011</b:Year>
    <b:Pages>552-562</b:Pages>
    <b:RefOrder>5</b:RefOrder>
  </b:Source>
  <b:Source>
    <b:Tag>Era11</b:Tag>
    <b:SourceType>Misc</b:SourceType>
    <b:Guid>{AF7818CF-19AA-437F-A10D-4148B0275420}</b:Guid>
    <b:Author>
      <b:Author>
        <b:Corporate>Erasmus School of Accounting and Assurance</b:Corporate>
      </b:Author>
    </b:Author>
    <b:Title>Theoretisch tentamen financial auditing</b:Title>
    <b:PublicationTitle>Vraagstuk 3`</b:PublicationTitle>
    <b:Year>2011</b:Year>
    <b:Month>December</b:Month>
    <b:Day>7</b:Day>
    <b:City>Rotterdam</b:City>
    <b:Publisher>Erasmus School of Accounting and Assurance</b:Publisher>
    <b:RefOrder>54</b:RefOrder>
  </b:Source>
  <b:Source>
    <b:Tag>Ble13</b:Tag>
    <b:SourceType>Report</b:SourceType>
    <b:Guid>{635BEDAE-87F4-4718-86E1-78AD8C3C34A5}</b:Guid>
    <b:Title>The external assurance of sustainability reporting</b:Title>
    <b:Year>2013</b:Year>
    <b:City>Amsterdam</b:City>
    <b:Publisher>Global Reporting Initiative </b:Publisher>
    <b:Author>
      <b:Author>
        <b:NameList>
          <b:Person>
            <b:Last>Blesener </b:Last>
            <b:First>Susan</b:First>
          </b:Person>
          <b:Person>
            <b:Last>Hohnen</b:Last>
            <b:First>Paul</b:First>
          </b:Person>
        </b:NameList>
      </b:Author>
    </b:Author>
    <b:RefOrder>52</b:RefOrder>
  </b:Source>
  <b:Source>
    <b:Tag>NIV10</b:Tag>
    <b:SourceType>Report</b:SourceType>
    <b:Guid>{8C3A8AEC-0FDC-4922-859B-51C46A3962A9}</b:Guid>
    <b:Author>
      <b:Author>
        <b:Corporate>NIVRA</b:Corporate>
      </b:Author>
    </b:Author>
    <b:Title>Het assurance-raamwerk</b:Title>
    <b:Year>2009</b:Year>
    <b:Publisher>Koninklijk Nederlands Instituut van Registeraccountants</b:Publisher>
    <b:City>Amsterdam</b:City>
    <b:RefOrder>51</b:RefOrder>
  </b:Source>
  <b:Source>
    <b:Tag>RAM01</b:Tag>
    <b:SourceType>Misc</b:SourceType>
    <b:Guid>{DA650C23-6B34-41B8-B88F-58BBFBCDB60C}</b:Guid>
    <b:Title>Maatschappelijke verslaggeving: Een werkterrein voor accountants? </b:Title>
    <b:Year>2001</b:Year>
    <b:Publisher>Universiteit van Tilburg</b:Publisher>
    <b:City>Tilburg</b:City>
    <b:Author>
      <b:Author>
        <b:NameList>
          <b:Person>
            <b:Last>Motta</b:Last>
            <b:First>R.A.</b:First>
          </b:Person>
        </b:NameList>
      </b:Author>
    </b:Author>
    <b:PublicationTitle>scriptie doctoraal programma</b:PublicationTitle>
    <b:Month>augustus</b:Month>
    <b:Day>31</b:Day>
    <b:RefOrder>53</b:RefOrder>
  </b:Source>
  <b:Source>
    <b:Tag>NIV11</b:Tag>
    <b:SourceType>DocumentFromInternetSite</b:SourceType>
    <b:Guid>{EFC6BA78-C364-4175-90EE-A1C24B36236D}</b:Guid>
    <b:Title>Handleiding Regelgeving Accountancy</b:Title>
    <b:Year>2009</b:Year>
    <b:Month>Januari</b:Month>
    <b:InternetSiteTitle>nba.nl</b:InternetSiteTitle>
    <b:URL>https://www.nba.nl/HRAweb/HRA1/200901/html/32947.htm</b:URL>
    <b:Author>
      <b:Author>
        <b:Corporate>NIVRA</b:Corporate>
      </b:Author>
    </b:Author>
    <b:RefOrder>6</b:RefOrder>
  </b:Source>
  <b:Source>
    <b:Tag>Myl12</b:Tag>
    <b:SourceType>Misc</b:SourceType>
    <b:Guid>{68CDF7F2-59BB-40F8-A426-5F966F0C93DC}</b:Guid>
    <b:Title>Niet-audit diensten en de onafhankelijkheid van de controlerend accountant</b:Title>
    <b:Year>2012</b:Year>
    <b:Month>Januari</b:Month>
    <b:Day>1</b:Day>
    <b:City>Amsterdam</b:City>
    <b:Publisher>Universiteit van Amsterdam</b:Publisher>
    <b:Author>
      <b:Author>
        <b:NameList>
          <b:Person>
            <b:Last>Goei</b:Last>
            <b:First>Mylène</b:First>
          </b:Person>
        </b:NameList>
      </b:Author>
    </b:Author>
    <b:PublicationTitle>scriptie</b:PublicationTitle>
    <b:RefOrder>7</b:RefOrder>
  </b:Source>
  <b:Source>
    <b:Tag>Maz14</b:Tag>
    <b:SourceType>InternetSite</b:SourceType>
    <b:Guid>{1103CBEB-2DC7-4544-8218-81E0F3D7E9C3}</b:Guid>
    <b:Title>controle en beoordeling jaarrekeningen</b:Title>
    <b:Year>2014</b:Year>
    <b:Author>
      <b:Author>
        <b:Corporate>Mazars</b:Corporate>
      </b:Author>
    </b:Author>
    <b:InternetSiteTitle>mazars.nl</b:InternetSiteTitle>
    <b:URL>http://www.mazars.nl/Startpagina/Onze-expertise/Accountancy/Controle-en-beoordeling-jaarrekeningen</b:URL>
    <b:RefOrder>8</b:RefOrder>
  </b:Source>
  <b:Source>
    <b:Tag>IEX14</b:Tag>
    <b:SourceType>InternetSite</b:SourceType>
    <b:Guid>{F0556F50-7751-4909-BC81-656EDB39CBC6}</b:Guid>
    <b:Author>
      <b:Author>
        <b:Corporate>IEX.nl</b:Corporate>
      </b:Author>
    </b:Author>
    <b:Title>S&amp;P 500 definitie</b:Title>
    <b:InternetSiteTitle>IEX.nl</b:InternetSiteTitle>
    <b:Year>2014</b:Year>
    <b:Month>Juni</b:Month>
    <b:Day>11</b:Day>
    <b:URL>http://www.iex.nl/Woordenboek/Definitie/358/SP-500.aspx</b:URL>
    <b:RefOrder>69</b:RefOrder>
  </b:Source>
  <b:Source>
    <b:Tag>Eum14</b:Tag>
    <b:SourceType>InternetSite</b:SourceType>
    <b:Guid>{84131087-84A3-4C05-892A-433BB0EC853A}</b:Guid>
    <b:Author>
      <b:Author>
        <b:Corporate>Eumedion</b:Corporate>
      </b:Author>
    </b:Author>
    <b:Title>Over Eumedion</b:Title>
    <b:InternetSiteTitle>Eumedion</b:InternetSiteTitle>
    <b:Year>2014</b:Year>
    <b:Month>Juni</b:Month>
    <b:Day>11</b:Day>
    <b:URL>http://www.eumedion.nl/nl/overeumedion#missie</b:URL>
    <b:RefOrder>70</b:RefOrder>
  </b:Source>
  <b:Source>
    <b:Tag>Nar10</b:Tag>
    <b:SourceType>DocumentFromInternetSite</b:SourceType>
    <b:Guid>{B73D8B39-C726-4EB5-96B3-3CC7F64DA34C}</b:Guid>
    <b:Author>
      <b:Author>
        <b:NameList>
          <b:Person>
            <b:Last>Wielaard</b:Last>
            <b:First>Nart</b:First>
          </b:Person>
        </b:NameList>
      </b:Author>
    </b:Author>
    <b:Title>Nieuwe organisatie: NBA: Veel fusiesteun op ledenvergadering</b:Title>
    <b:InternetSiteTitle>accountant.nl</b:InternetSiteTitle>
    <b:Year>2010</b:Year>
    <b:Month>Februari</b:Month>
    <b:Day>1</b:Day>
    <b:URL>http://www.accountant.nl/Accountant/Archief/Archief+'de+Accountant'/2010/Nieuwe+organisatie+NBA+Veel+fusiesteun+op+ledenvergadering.aspx</b:URL>
    <b:RefOrder>71</b:RefOrder>
  </b:Source>
  <b:Source>
    <b:Tag>Sch101</b:Tag>
    <b:SourceType>DocumentFromInternetSite</b:SourceType>
    <b:Guid>{FF83C97B-E9BC-491B-B17B-A08A64CDAF7D}</b:Guid>
    <b:Title>Niet-financiële informatie steeds belangrijker voor beleggers</b:Title>
    <b:InternetSiteTitle>Eumedion</b:InternetSiteTitle>
    <b:Year>2010</b:Year>
    <b:Month>Juni</b:Month>
    <b:Day>2</b:Day>
    <b:URL>http://www.eumedion.nl/nl/public/kennisbank/persberichten/2010-06-belang-niet-financiele-informatie-voor-beleggers.pdf</b:URL>
    <b:Author>
      <b:Author>
        <b:NameList>
          <b:Person>
            <b:Last>Schweppe</b:Last>
            <b:First>Marc</b:First>
          </b:Person>
          <b:Person>
            <b:Last>Abma</b:Last>
            <b:First>Rients</b:First>
          </b:Person>
          <b:Person>
            <b:Last>de Ruiter</b:Last>
            <b:First>Hans</b:First>
          </b:Person>
        </b:NameList>
      </b:Author>
    </b:Author>
    <b:RefOrder>72</b:RefOrder>
  </b:Source>
  <b:Source>
    <b:Tag>MVO</b:Tag>
    <b:SourceType>InternetSite</b:SourceType>
    <b:Guid>{09F993B8-0210-4F39-879E-403AA0F39B70}</b:Guid>
    <b:Title>MVO leren; defintie</b:Title>
    <b:Author>
      <b:Author>
        <b:Corporate>MVO Nederland</b:Corporate>
      </b:Author>
    </b:Author>
    <b:InternetSiteTitle>mvonederland.nl</b:InternetSiteTitle>
    <b:URL>http://www.mvonederland.nl/content/pagina/definitie</b:URL>
    <b:Year>2014</b:Year>
    <b:Month>Mei</b:Month>
    <b:Day>20</b:Day>
    <b:RefOrder>28</b:RefOrder>
  </b:Source>
  <b:Source>
    <b:Tag>Edw10</b:Tag>
    <b:SourceType>Book</b:SourceType>
    <b:Guid>{2A8431C0-8321-4C90-8ED7-5555105F9542}</b:Guid>
    <b:Title>Strategic Management: A stakeholder approach</b:Title>
    <b:Year>2010</b:Year>
    <b:Author>
      <b:Author>
        <b:NameList>
          <b:Person>
            <b:Last>Freeman</b:Last>
            <b:First>Edward</b:First>
          </b:Person>
        </b:NameList>
      </b:Author>
    </b:Author>
    <b:Publisher>Cambridge University Press</b:Publisher>
    <b:RefOrder>73</b:RefOrder>
  </b:Source>
  <b:Source>
    <b:Tag>Don95</b:Tag>
    <b:SourceType>JournalArticle</b:SourceType>
    <b:Guid>{54D05437-6F04-4348-AC74-8EA7901931A3}</b:Guid>
    <b:Title>The stakeholder theory of the corporation: concepts, evidence, and implications</b:Title>
    <b:Year>1995</b:Year>
    <b:Pages>65-91</b:Pages>
    <b:JournalName>Acadamy of Management Review</b:JournalName>
    <b:Author>
      <b:Author>
        <b:NameList>
          <b:Person>
            <b:Last>Donaldson</b:Last>
            <b:First>Thomas</b:First>
          </b:Person>
          <b:Person>
            <b:Last>Preston</b:Last>
            <b:First>Lee</b:First>
          </b:Person>
        </b:NameList>
      </b:Author>
    </b:Author>
    <b:RefOrder>74</b:RefOrder>
  </b:Source>
  <b:Source>
    <b:Tag>Hil92</b:Tag>
    <b:SourceType>JournalArticle</b:SourceType>
    <b:Guid>{1AEF6681-84FB-46C3-AA7E-496348988F5D}</b:Guid>
    <b:Title>Stakeholder-Agency Theory</b:Title>
    <b:JournalName>Journal of Management Studies</b:JournalName>
    <b:Year>1992</b:Year>
    <b:Pages>131-154</b:Pages>
    <b:Author>
      <b:Author>
        <b:NameList>
          <b:Person>
            <b:Last>Hill</b:Last>
            <b:Middle>W.L.</b:Middle>
            <b:First>Charles</b:First>
          </b:Person>
          <b:Person>
            <b:Last>Jones</b:Last>
            <b:Middle>M.</b:Middle>
            <b:First>Thomas</b:First>
          </b:Person>
        </b:NameList>
      </b:Author>
    </b:Author>
    <b:RefOrder>75</b:RefOrder>
  </b:Source>
  <b:Source>
    <b:Tag>Abr94</b:Tag>
    <b:SourceType>JournalArticle</b:SourceType>
    <b:Guid>{5C6EFD19-6157-45E0-84A4-920E6C5922D0}</b:Guid>
    <b:Title>Concealment of negative organizational outcomes: an agency theory perspective</b:Title>
    <b:JournalName>academy of managament journal</b:JournalName>
    <b:Year>1994</b:Year>
    <b:Pages>1302-1334</b:Pages>
    <b:Author>
      <b:Author>
        <b:NameList>
          <b:Person>
            <b:Last>Abrahamson</b:Last>
            <b:First>Eric</b:First>
          </b:Person>
          <b:Person>
            <b:Last>Park</b:Last>
            <b:First>Choelsoon</b:First>
          </b:Person>
        </b:NameList>
      </b:Author>
    </b:Author>
    <b:RefOrder>76</b:RefOrder>
  </b:Source>
  <b:Source>
    <b:Tag>NIV12</b:Tag>
    <b:SourceType>Report</b:SourceType>
    <b:Guid>{C982C214-39E8-4A88-984D-48706500DF1D}</b:Guid>
    <b:Title>Meer dan Euro's alleen</b:Title>
    <b:Year>2009</b:Year>
    <b:Author>
      <b:Author>
        <b:Corporate>NIVRA</b:Corporate>
      </b:Author>
    </b:Author>
    <b:Publisher>NIVRA</b:Publisher>
    <b:City>Amsterdam</b:City>
    <b:RefOrder>11</b:RefOrder>
  </b:Source>
  <b:Source>
    <b:Tag>acc10</b:Tag>
    <b:SourceType>InternetSite</b:SourceType>
    <b:Guid>{5B144EFA-C826-403C-8475-81B747CE1BFA}</b:Guid>
    <b:Title>Belegger wil steeds meer niet-financiële informatie</b:Title>
    <b:Year>2010</b:Year>
    <b:Author>
      <b:Author>
        <b:Corporate>accountant.nl</b:Corporate>
      </b:Author>
    </b:Author>
    <b:Month>Oktober</b:Month>
    <b:Day>7</b:Day>
    <b:InternetSiteTitle>accountant.nl</b:InternetSiteTitle>
    <b:URL>http://www.accountant.nl/Accountant/Nieuws/Belegger+wil+steeds+meer+nietfinanciele+informati.aspx</b:URL>
    <b:RefOrder>15</b:RefOrder>
  </b:Source>
  <b:Source>
    <b:Tag>Boo04</b:Tag>
    <b:SourceType>JournalArticle</b:SourceType>
    <b:Guid>{B7B90CDD-243A-4AA5-84F9-07307F075A07}</b:Guid>
    <b:Title>De onderneming in spagaat</b:Title>
    <b:JournalName>Maandblad voor Accountancy en Bedrijfseconomie</b:JournalName>
    <b:Year>2004</b:Year>
    <b:Pages>178-184</b:Pages>
    <b:Author>
      <b:Author>
        <b:NameList>
          <b:Person>
            <b:Last>Boot</b:Last>
            <b:Middle>W.A.</b:Middle>
            <b:First>Arnoud</b:First>
          </b:Person>
          <b:Person>
            <b:Last>Soeting</b:Last>
            <b:First>Roel</b:First>
          </b:Person>
        </b:NameList>
      </b:Author>
    </b:Author>
    <b:RefOrder>4</b:RefOrder>
  </b:Source>
  <b:Source>
    <b:Tag>San09</b:Tag>
    <b:SourceType>JournalArticle</b:SourceType>
    <b:Guid>{88B5C168-8995-49C1-9339-3539BB960966}</b:Guid>
    <b:Author>
      <b:Author>
        <b:NameList>
          <b:Person>
            <b:Last>Laan</b:Last>
            <b:First>Sandra</b:First>
            <b:Middle>van der</b:Middle>
          </b:Person>
        </b:NameList>
      </b:Author>
    </b:Author>
    <b:Title>The role of theory in explaining motivation for corporate social disclosures: voluntary  disclosures vs 'solicited' disclosure</b:Title>
    <b:JournalName>Australasian Accounting, Business and Finance Journal</b:JournalName>
    <b:Year>2009</b:Year>
    <b:Pages>15-29</b:Pages>
    <b:RefOrder>25</b:RefOrder>
  </b:Source>
  <b:Source>
    <b:Tag>Pet08</b:Tag>
    <b:SourceType>Misc</b:SourceType>
    <b:Guid>{95CDD4F7-E20A-4E4C-A3C6-C3BC168A65A9}</b:Guid>
    <b:Title>De betekenis van de accountant in een dynamische wereld </b:Title>
    <b:Year>2008</b:Year>
    <b:Author>
      <b:Author>
        <b:NameList>
          <b:Person>
            <b:Last>Eimers</b:Last>
            <b:First>Peter</b:First>
          </b:Person>
        </b:NameList>
      </b:Author>
    </b:Author>
    <b:Month>December</b:Month>
    <b:City>Amsterdam</b:City>
    <b:Publisher>Vrije Universiteit Amsterdam</b:Publisher>
    <b:RefOrder>3</b:RefOrder>
  </b:Source>
  <b:Source>
    <b:Tag>Mar08</b:Tag>
    <b:SourceType>ArticleInAPeriodical</b:SourceType>
    <b:Guid>{18FF080A-4163-4F62-8034-EE8DB6BC331B}</b:Guid>
    <b:Title>Uit balans</b:Title>
    <b:Year>2008</b:Year>
    <b:Month>September</b:Month>
    <b:Author>
      <b:Author>
        <b:NameList>
          <b:Person>
            <b:Last>Hoogendoorn</b:Last>
            <b:First>Martin</b:First>
          </b:Person>
        </b:NameList>
      </b:Author>
    </b:Author>
    <b:PeriodicalTitle>Maandblad voor Accountancy en Bedrijfseconomie</b:PeriodicalTitle>
    <b:Pages>360-362</b:Pages>
    <b:RefOrder>14</b:RefOrder>
  </b:Source>
  <b:Source>
    <b:Tag>Kam92</b:Tag>
    <b:SourceType>JournalArticle</b:SourceType>
    <b:Guid>{9501BB38-3C41-42CD-BEE6-A9CBD879D715}</b:Guid>
    <b:Title>Measuring brand value with scanner data</b:Title>
    <b:Year>1992</b:Year>
    <b:Pages>9-22</b:Pages>
    <b:Author>
      <b:Author>
        <b:NameList>
          <b:Person>
            <b:Last>Kamakura</b:Last>
            <b:First>Wagner</b:First>
          </b:Person>
          <b:Person>
            <b:Last>Russel</b:Last>
            <b:First>Garry</b:First>
          </b:Person>
        </b:NameList>
      </b:Author>
    </b:Author>
    <b:JournalName>International Journal of Research in Marketing</b:JournalName>
    <b:RefOrder>18</b:RefOrder>
  </b:Source>
  <b:Source>
    <b:Tag>Min</b:Tag>
    <b:SourceType>InternetSite</b:SourceType>
    <b:Guid>{BE7637AA-1992-4D9C-B250-732864794546}</b:Guid>
    <b:Title>over de Transparantiebenchmark</b:Title>
    <b:Author>
      <b:Author>
        <b:Corporate>Ministerie van Economische Zaken</b:Corporate>
      </b:Author>
    </b:Author>
    <b:InternetSiteTitle>transparantiebenchmark</b:InternetSiteTitle>
    <b:URL>http://www.transparantiebenchmark.nl/Over%20Transparantiebenchmark</b:URL>
    <b:Year>2014</b:Year>
    <b:RefOrder>41</b:RefOrder>
  </b:Source>
  <b:Source>
    <b:Tag>Ver10</b:Tag>
    <b:SourceType>Book</b:SourceType>
    <b:Guid>{0C7A163F-DABA-4F25-B23B-9C2A47B7C106}</b:Guid>
    <b:Title>De nieuwe jaarverslaggeving</b:Title>
    <b:Year>2010</b:Year>
    <b:Author>
      <b:Author>
        <b:NameList>
          <b:Person>
            <b:Last>Vergoossen</b:Last>
            <b:First>Rudolphus</b:First>
            <b:Middle>Gerardus Albertus</b:Middle>
          </b:Person>
        </b:NameList>
      </b:Author>
    </b:Author>
    <b:City>Deventer</b:City>
    <b:Publisher>Kluwer</b:Publisher>
    <b:RefOrder>47</b:RefOrder>
  </b:Source>
  <b:Source>
    <b:Tag>OES</b:Tag>
    <b:SourceType>DocumentFromInternetSite</b:SourceType>
    <b:Guid>{8EAF1C0F-070C-41DB-8080-4D64755BC50C}</b:Guid>
    <b:Title>Informatieverstrekking</b:Title>
    <b:InternetSiteTitle>Nationaal Contactpunt OESO-richtlijnen</b:InternetSiteTitle>
    <b:URL>http://www.oesorichtlijnen.nl/oeso-richtlijnen/informatieverstrekking</b:URL>
    <b:Author>
      <b:Author>
        <b:Corporate>OESO</b:Corporate>
      </b:Author>
    </b:Author>
    <b:Year>2014</b:Year>
    <b:RefOrder>50</b:RefOrder>
  </b:Source>
  <b:Source>
    <b:Tag>Acc</b:Tag>
    <b:SourceType>InternetSite</b:SourceType>
    <b:Guid>{D01246A6-5B3A-40BF-9500-ED75994F9361}</b:Guid>
    <b:Title>The AA1000 Standards</b:Title>
    <b:InternetSiteTitle>AccountAbility</b:InternetSiteTitle>
    <b:URL>http://www.accountability.org/standards/index.html</b:URL>
    <b:Author>
      <b:Author>
        <b:Corporate>AccountAbility</b:Corporate>
      </b:Author>
    </b:Author>
    <b:Year>2014</b:Year>
    <b:RefOrder>49</b:RefOrder>
  </b:Source>
  <b:Source>
    <b:Tag>Phi05</b:Tag>
    <b:SourceType>JournalArticle</b:SourceType>
    <b:Guid>{712D1D95-F333-4698-AB6A-6B851C976F4B}</b:Guid>
    <b:Title>De actuele waarde van Limpergiaans vertrouwen</b:Title>
    <b:Year>2005</b:Year>
    <b:Author>
      <b:Author>
        <b:NameList>
          <b:Person>
            <b:Last>Wallage </b:Last>
            <b:First>Philip</b:First>
          </b:Person>
        </b:NameList>
      </b:Author>
    </b:Author>
    <b:JournalName>Maandblad voor Accountancy en Bedrijfseconomie</b:JournalName>
    <b:Pages>125-131</b:Pages>
    <b:RefOrder>77</b:RefOrder>
  </b:Source>
  <b:Source>
    <b:Tag>Ver11</b:Tag>
    <b:SourceType>Report</b:SourceType>
    <b:Guid>{32CFB904-6EA9-4B9D-A950-136A84198AC6}</b:Guid>
    <b:Title>Wat is de waarde van de controleverklaring</b:Title>
    <b:Year>2011</b:Year>
    <b:Publisher>BDO</b:Publisher>
    <b:Author>
      <b:Author>
        <b:NameList>
          <b:Person>
            <b:Last>Vergossen</b:Last>
            <b:First>Ruud</b:First>
          </b:Person>
          <b:Person>
            <b:Last>Litjens</b:Last>
            <b:First>Robin</b:First>
          </b:Person>
        </b:NameList>
      </b:Author>
    </b:Author>
    <b:RefOrder>57</b:RefOrder>
  </b:Source>
  <b:Source>
    <b:Tag>Era14</b:Tag>
    <b:SourceType>InternetSite</b:SourceType>
    <b:Guid>{51298185-B531-40E5-81BB-73BCFC931D10}</b:Guid>
    <b:Title>Corporate Social Responsibility</b:Title>
    <b:Year>2014</b:Year>
    <b:Author>
      <b:Author>
        <b:Corporate>Erasmus Universiteit Rottedam</b:Corporate>
      </b:Author>
    </b:Author>
    <b:InternetSiteTitle>Erasmus School of Accounting &amp; Assurance</b:InternetSiteTitle>
    <b:Month>Juni</b:Month>
    <b:Day>12</b:Day>
    <b:URL>http://www.eur.nl/esaa/executive_programs/corporate_social_responsibility/?gclid=CMT17Jzs9L4CFSvjwgodE6EAHQ</b:URL>
    <b:RefOrder>55</b:RefOrder>
  </b:Source>
  <b:Source>
    <b:Tag>ICA08</b:Tag>
    <b:SourceType>Report</b:SourceType>
    <b:Guid>{B586ADFF-2F88-4C69-A090-7FE62188F143}</b:Guid>
    <b:Title>Assurance on non-financial information</b:Title>
    <b:Year>2008</b:Year>
    <b:Author>
      <b:Author>
        <b:Corporate>ICAEW Audit and Assurance Faculty</b:Corporate>
      </b:Author>
    </b:Author>
    <b:Publisher>Institute of Chartered Accountants in England and Wakes</b:Publisher>
    <b:RefOrder>56</b:RefOrder>
  </b:Source>
  <b:Source>
    <b:Tag>ThL32</b:Tag>
    <b:SourceType>Misc</b:SourceType>
    <b:Guid>{A41F8272-3CC1-4BBC-BD42-4D9E8840BDA4}</b:Guid>
    <b:Title>The function of the accountant and the theory of inspired confidence</b:Title>
    <b:Year>1932</b:Year>
    <b:Publisher>Limperg institute</b:Publisher>
    <b:Author>
      <b:Author>
        <b:NameList>
          <b:Person>
            <b:Last>Limperg</b:Last>
            <b:First>Th.</b:First>
          </b:Person>
        </b:NameList>
      </b:Author>
    </b:Author>
    <b:Month>Februari</b:Month>
    <b:CountryRegion>Nederland</b:CountryRegion>
    <b:RefOrder>78</b:RefOrder>
  </b:Source>
  <b:Source>
    <b:Tag>Dic09</b:Tag>
    <b:SourceType>DocumentFromInternetSite</b:SourceType>
    <b:Guid>{37A8AEA1-8DBD-44C2-8AB4-CAA304AD916B}</b:Guid>
    <b:Title>Assurance: verwachtingskloof ten aanzien van accountants groter dan ooit</b:Title>
    <b:Year>2009</b:Year>
    <b:Month>december</b:Month>
    <b:Day>23</b:Day>
    <b:Author>
      <b:Author>
        <b:NameList>
          <b:Person>
            <b:Last>Onzenoort</b:Last>
            <b:First>Dick</b:First>
            <b:Middle>van</b:Middle>
          </b:Person>
        </b:NameList>
      </b:Author>
    </b:Author>
    <b:InternetSiteTitle>Accountancy nieuws</b:InternetSiteTitle>
    <b:URL>http://www.accountancynieuws.nl/actueel/vaktechniek/assurance-verwachtingskloof-ten-aanzien-van.89180.lynkx#.U5qVnvl_uAU</b:URL>
    <b:RefOrder>79</b:RefOrder>
  </b:Source>
  <b:Source>
    <b:Tag>PhW00</b:Tag>
    <b:SourceType>JournalArticle</b:SourceType>
    <b:Guid>{7D5C89EF-C703-4632-83F7-8D6E4ED036C7}</b:Guid>
    <b:Author>
      <b:Author>
        <b:NameList>
          <b:Person>
            <b:Last>Wallage</b:Last>
          </b:Person>
        </b:NameList>
      </b:Author>
    </b:Author>
    <b:Title>Verificatie van integrale ondernemingsverslaggeving</b:Title>
    <b:JournalName>Maandblad voor Accountancy en Bedrijfseconomie</b:JournalName>
    <b:Year>2000</b:Year>
    <b:Pages>384-391</b:Pages>
    <b:RefOrder>80</b:RefOrder>
  </b:Source>
</b:Sources>
</file>

<file path=customXml/itemProps1.xml><?xml version="1.0" encoding="utf-8"?>
<ds:datastoreItem xmlns:ds="http://schemas.openxmlformats.org/officeDocument/2006/customXml" ds:itemID="{AEB3E0A4-B49B-49B9-9B92-E9B2F5F9E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20162</Words>
  <Characters>114926</Characters>
  <Application>Microsoft Office Word</Application>
  <DocSecurity>4</DocSecurity>
  <Lines>957</Lines>
  <Paragraphs>269</Paragraphs>
  <ScaleCrop>false</ScaleCrop>
  <HeadingPairs>
    <vt:vector size="2" baseType="variant">
      <vt:variant>
        <vt:lpstr>Titel</vt:lpstr>
      </vt:variant>
      <vt:variant>
        <vt:i4>1</vt:i4>
      </vt:variant>
    </vt:vector>
  </HeadingPairs>
  <TitlesOfParts>
    <vt:vector size="1" baseType="lpstr">
      <vt:lpstr/>
    </vt:vector>
  </TitlesOfParts>
  <Company>Vinny27</Company>
  <LinksUpToDate>false</LinksUpToDate>
  <CharactersWithSpaces>134819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Maatschappelijke verslaggeving &amp; de accountant</dc:title>
  <dc:creator>Esmée</dc:creator>
  <cp:lastModifiedBy>M.C. Vermeulen</cp:lastModifiedBy>
  <cp:revision>2</cp:revision>
  <dcterms:created xsi:type="dcterms:W3CDTF">2014-07-02T08:23:00Z</dcterms:created>
  <dcterms:modified xsi:type="dcterms:W3CDTF">2014-07-02T08:23:00Z</dcterms:modified>
</cp:coreProperties>
</file>