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lang w:val="en-GB"/>
        </w:rPr>
        <w:id w:val="-1512378653"/>
        <w:docPartObj>
          <w:docPartGallery w:val="Cover Pages"/>
          <w:docPartUnique/>
        </w:docPartObj>
      </w:sdtPr>
      <w:sdtEndPr>
        <w:rPr>
          <w:rFonts w:cs="Times New Roman"/>
        </w:rPr>
      </w:sdtEndPr>
      <w:sdtContent>
        <w:p w:rsidR="002D4293" w:rsidRPr="003569BE" w:rsidRDefault="002D4293">
          <w:pPr>
            <w:rPr>
              <w:lang w:val="en-GB"/>
            </w:rPr>
          </w:pPr>
        </w:p>
        <w:p w:rsidR="00E2483A" w:rsidRPr="003569BE" w:rsidRDefault="000E4BAF">
          <w:pPr>
            <w:jc w:val="left"/>
            <w:rPr>
              <w:rFonts w:cs="Times New Roman"/>
              <w:lang w:val="en-GB"/>
            </w:rPr>
          </w:pPr>
          <w:r w:rsidRPr="000E4BAF">
            <w:rPr>
              <w:noProof/>
              <w:lang w:eastAsia="ro-RO"/>
            </w:rPr>
            <w:pict>
              <v:shapetype id="_x0000_t202" coordsize="21600,21600" o:spt="202" path="m,l,21600r21600,l21600,xe">
                <v:stroke joinstyle="miter"/>
                <v:path gradientshapeok="t" o:connecttype="rect"/>
              </v:shapetype>
              <v:shape id="Text Box 128" o:spid="_x0000_s1026" type="#_x0000_t202" style="position:absolute;margin-left:87.4pt;margin-top:678.05pt;width:523.45pt;height:32.95pt;z-index:251667456;visibility:visible;mso-wrap-style:square;mso-width-percent:1154;mso-height-percent:0;mso-wrap-distance-left:9pt;mso-wrap-distance-top:0;mso-wrap-distance-right:9pt;mso-wrap-distance-bottom:0;mso-position-horizontal:absolute;mso-position-horizontal-relative:page;mso-position-vertical:absolute;mso-position-vertical-relative:margin;mso-width-percent:1154;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" filled="f" stroked="f" strokeweight=".5pt">
                <v:path arrowok="t"/>
                <v:textbox style="mso-fit-shape-to-text:t" inset="1in,0,86.4pt,0">
                  <w:txbxContent>
                    <w:p w:rsidR="003569BE" w:rsidRDefault="000E4BAF">
                      <w:pPr>
                        <w:pStyle w:val="NoSpacing"/>
                        <w:rPr>
                          <w:caps/>
                          <w:color w:val="7F7F7F" w:themeColor="text1" w:themeTint="80"/>
                          <w:sz w:val="18"/>
                          <w:szCs w:val="18"/>
                        </w:rPr>
                      </w:pPr>
                      <w:sdt>
                        <w:sdtPr>
                          <w:rPr>
                            <w:caps/>
                            <w:color w:val="7F7F7F" w:themeColor="text1" w:themeTint="80"/>
                            <w:sz w:val="18"/>
                            <w:szCs w:val="18"/>
                          </w:rPr>
                          <w:alias w:val="Company"/>
                          <w:tag w:val=""/>
                          <w:id w:val="-104206248"/>
                          <w:dataBinding w:prefixMappings="xmlns:ns0='http://schemas.openxmlformats.org/officeDocument/2006/extended-properties' " w:xpath="/ns0:Properties[1]/ns0:Company[1]" w:storeItemID="{6668398D-A668-4E3E-A5EB-62B293D839F1}"/>
                          <w:text/>
                        </w:sdtPr>
                        <w:sdtContent>
                          <w:r w:rsidR="003569BE">
                            <w:rPr>
                              <w:caps/>
                              <w:color w:val="7F7F7F" w:themeColor="text1" w:themeTint="80"/>
                              <w:sz w:val="18"/>
                              <w:szCs w:val="18"/>
                              <w:lang w:val="ro-RO"/>
                            </w:rPr>
                            <w:t>Erasmus University Rotterdam</w:t>
                          </w:r>
                        </w:sdtContent>
                      </w:sdt>
                    </w:p>
                    <w:p w:rsidR="003569BE" w:rsidRDefault="003569BE">
                      <w:pPr>
                        <w:pStyle w:val="NoSpacing"/>
                        <w:rPr>
                          <w:caps/>
                          <w:color w:val="7F7F7F" w:themeColor="text1" w:themeTint="80"/>
                          <w:sz w:val="18"/>
                          <w:szCs w:val="18"/>
                        </w:rPr>
                      </w:pPr>
                      <w:r>
                        <w:rPr>
                          <w:caps/>
                          <w:color w:val="7F7F7F" w:themeColor="text1" w:themeTint="80"/>
                          <w:sz w:val="18"/>
                          <w:szCs w:val="18"/>
                        </w:rPr>
                        <w:t>Erasmus school of economics</w:t>
                      </w:r>
                    </w:p>
                    <w:p w:rsidR="003569BE" w:rsidRDefault="003569BE">
                      <w:pPr>
                        <w:pStyle w:val="NoSpacing"/>
                        <w:rPr>
                          <w:color w:val="7F7F7F" w:themeColor="text1" w:themeTint="80"/>
                          <w:sz w:val="18"/>
                          <w:szCs w:val="18"/>
                        </w:rPr>
                      </w:pPr>
                      <w:r>
                        <w:rPr>
                          <w:caps/>
                          <w:color w:val="7F7F7F" w:themeColor="text1" w:themeTint="80"/>
                          <w:sz w:val="18"/>
                          <w:szCs w:val="18"/>
                        </w:rPr>
                        <w:t>ACCOUNTING, AUDITING AND CONTROL (</w:t>
                      </w:r>
                      <w:r w:rsidRPr="0084393F">
                        <w:rPr>
                          <w:caps/>
                          <w:color w:val="7F7F7F" w:themeColor="text1" w:themeTint="80"/>
                          <w:sz w:val="18"/>
                          <w:szCs w:val="18"/>
                        </w:rPr>
                        <w:t>FEM11112</w:t>
                      </w:r>
                      <w:r>
                        <w:rPr>
                          <w:caps/>
                          <w:color w:val="7F7F7F" w:themeColor="text1" w:themeTint="80"/>
                          <w:sz w:val="18"/>
                          <w:szCs w:val="18"/>
                        </w:rPr>
                        <w:t>)</w:t>
                      </w:r>
                    </w:p>
                  </w:txbxContent>
                </v:textbox>
                <w10:wrap type="square" anchorx="page" anchory="margin"/>
              </v:shape>
            </w:pict>
          </w:r>
          <w:r w:rsidRPr="000E4BAF">
            <w:rPr>
              <w:noProof/>
              <w:lang w:eastAsia="ro-RO"/>
            </w:rPr>
            <w:pict>
              <v:shape id="Text Box 129" o:spid="_x0000_s1027" type="#_x0000_t202" style="position:absolute;margin-left:36pt;margin-top:600.75pt;width:523.1pt;height:135.75pt;z-index:251666432;visibility:visible;mso-wrap-style:square;mso-width-percent:1154;mso-height-percent:0;mso-wrap-distance-left:9pt;mso-wrap-distance-top:0;mso-wrap-distance-right:9pt;mso-wrap-distance-bottom:0;mso-position-horizontal:absolute;mso-position-horizontal-relative:page;mso-position-vertical:absolute;mso-position-vertical-relative:page;mso-width-percent:1154;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" filled="f" stroked="f" strokeweight=".5pt">
                <v:textbox inset="1in,0,86.4pt,0">
                  <w:txbxContent>
                    <w:sdt>
                      <w:sdtPr>
                        <w:rPr>
                          <w:caps/>
                          <w:color w:val="5B9BD5" w:themeColor="accent1"/>
                          <w:sz w:val="28"/>
                          <w:szCs w:val="28"/>
                        </w:rPr>
                        <w:alias w:val="Subtitle"/>
                        <w:tag w:val=""/>
                        <w:id w:val="1364484742"/>
                        <w:dataBinding w:prefixMappings="xmlns:ns0='http://purl.org/dc/elements/1.1/' xmlns:ns1='http://schemas.openxmlformats.org/package/2006/metadata/core-properties' " w:xpath="/ns1:coreProperties[1]/ns0:subject[1]" w:storeItemID="{6C3C8BC8-F283-45AE-878A-BAB7291924A1}"/>
                        <w:text/>
                      </w:sdtPr>
                      <w:sdtContent>
                        <w:p w:rsidR="003569BE" w:rsidRDefault="003569BE">
                          <w:pPr>
                            <w:pStyle w:val="NoSpacing"/>
                            <w:spacing w:before="40" w:after="40"/>
                            <w:rPr>
                              <w:caps/>
                              <w:color w:val="5B9BD5" w:themeColor="accent1"/>
                              <w:sz w:val="28"/>
                              <w:szCs w:val="28"/>
                            </w:rPr>
                          </w:pPr>
                          <w:r w:rsidRPr="00D252C8">
                            <w:rPr>
                              <w:caps/>
                              <w:color w:val="5B9BD5" w:themeColor="accent1"/>
                              <w:sz w:val="28"/>
                              <w:szCs w:val="28"/>
                            </w:rPr>
                            <w:t>The Behaviour of Management in a Mandatory Audit Firm Rotation Setting (An Analysis of the Magnitude of the Use of Earnings Management)</w:t>
                          </w:r>
                        </w:p>
                      </w:sdtContent>
                    </w:sdt>
                    <w:p w:rsidR="007C5611" w:rsidRDefault="000E4BAF">
                      <w:pPr>
                        <w:pStyle w:val="NoSpacing"/>
                        <w:spacing w:before="40" w:after="40"/>
                        <w:rPr>
                          <w:caps/>
                          <w:color w:val="1F4E79" w:themeColor="accent1" w:themeShade="80"/>
                          <w:sz w:val="24"/>
                          <w:szCs w:val="24"/>
                        </w:rPr>
                      </w:pPr>
                      <w:sdt>
                        <w:sdtPr>
                          <w:rPr>
                            <w:caps/>
                            <w:color w:val="1F4E79" w:themeColor="accent1" w:themeShade="80"/>
                            <w:sz w:val="24"/>
                            <w:szCs w:val="24"/>
                          </w:rPr>
                          <w:alias w:val="Author"/>
                          <w:tag w:val=""/>
                          <w:id w:val="-166169913"/>
                          <w:dataBinding w:prefixMappings="xmlns:ns0='http://purl.org/dc/elements/1.1/' xmlns:ns1='http://schemas.openxmlformats.org/package/2006/metadata/core-properties' " w:xpath="/ns1:coreProperties[1]/ns0:creator[1]" w:storeItemID="{6C3C8BC8-F283-45AE-878A-BAB7291924A1}"/>
                          <w:text/>
                        </w:sdtPr>
                        <w:sdtContent>
                          <w:r w:rsidR="007C5611">
                            <w:rPr>
                              <w:caps/>
                              <w:color w:val="1F4E79" w:themeColor="accent1" w:themeShade="80"/>
                              <w:sz w:val="24"/>
                              <w:szCs w:val="24"/>
                            </w:rPr>
                            <w:t xml:space="preserve">Author: </w:t>
                          </w:r>
                          <w:r w:rsidR="003569BE" w:rsidRPr="00E2483A">
                            <w:rPr>
                              <w:caps/>
                              <w:color w:val="1F4E79" w:themeColor="accent1" w:themeShade="80"/>
                              <w:sz w:val="24"/>
                              <w:szCs w:val="24"/>
                              <w:lang w:val="ro-RO"/>
                            </w:rPr>
                            <w:t>Adrian vandraș</w:t>
                          </w:r>
                        </w:sdtContent>
                      </w:sdt>
                    </w:p>
                    <w:p w:rsidR="003569BE" w:rsidRDefault="007C5611">
                      <w:pPr>
                        <w:pStyle w:val="NoSpacing"/>
                        <w:spacing w:before="40" w:after="40"/>
                        <w:rPr>
                          <w:caps/>
                          <w:color w:val="1F4E79" w:themeColor="accent1" w:themeShade="80"/>
                          <w:sz w:val="24"/>
                          <w:szCs w:val="24"/>
                        </w:rPr>
                      </w:pPr>
                      <w:r>
                        <w:rPr>
                          <w:caps/>
                          <w:color w:val="1F4E79" w:themeColor="accent1" w:themeShade="80"/>
                          <w:sz w:val="24"/>
                          <w:szCs w:val="24"/>
                        </w:rPr>
                        <w:t>STUDENT NUMBER: 387535</w:t>
                      </w:r>
                      <w:r w:rsidR="003569BE">
                        <w:rPr>
                          <w:caps/>
                          <w:color w:val="1F4E79" w:themeColor="accent1" w:themeShade="80"/>
                          <w:sz w:val="24"/>
                          <w:szCs w:val="24"/>
                        </w:rPr>
                        <w:t xml:space="preserve"> </w:t>
                      </w:r>
                    </w:p>
                    <w:p w:rsidR="007C5611" w:rsidRDefault="007C5611">
                      <w:pPr>
                        <w:pStyle w:val="NoSpacing"/>
                        <w:spacing w:before="40" w:after="40"/>
                        <w:rPr>
                          <w:caps/>
                          <w:color w:val="1F4E79" w:themeColor="accent1" w:themeShade="80"/>
                          <w:sz w:val="24"/>
                          <w:szCs w:val="24"/>
                        </w:rPr>
                      </w:pPr>
                      <w:r>
                        <w:rPr>
                          <w:caps/>
                          <w:color w:val="1F4E79" w:themeColor="accent1" w:themeShade="80"/>
                          <w:sz w:val="24"/>
                          <w:szCs w:val="24"/>
                        </w:rPr>
                        <w:t>DATE: 25.08.2014</w:t>
                      </w:r>
                    </w:p>
                    <w:p w:rsidR="007C5611" w:rsidRDefault="007C5611">
                      <w:pPr>
                        <w:pStyle w:val="NoSpacing"/>
                        <w:spacing w:before="40" w:after="40"/>
                        <w:rPr>
                          <w:caps/>
                          <w:color w:val="1F4E79" w:themeColor="accent1" w:themeShade="80"/>
                          <w:sz w:val="24"/>
                          <w:szCs w:val="24"/>
                        </w:rPr>
                      </w:pPr>
                      <w:r>
                        <w:rPr>
                          <w:caps/>
                          <w:color w:val="1F4E79" w:themeColor="accent1" w:themeShade="80"/>
                          <w:sz w:val="24"/>
                          <w:szCs w:val="24"/>
                        </w:rPr>
                        <w:t>SUPERVISOR: E.A. de Knecht Ra</w:t>
                      </w:r>
                    </w:p>
                    <w:p w:rsidR="007C5611" w:rsidRPr="00E2483A" w:rsidRDefault="007C5611">
                      <w:pPr>
                        <w:pStyle w:val="NoSpacing"/>
                        <w:spacing w:before="40" w:after="40"/>
                        <w:rPr>
                          <w:caps/>
                          <w:color w:val="1F4E79" w:themeColor="accent1" w:themeShade="80"/>
                          <w:sz w:val="24"/>
                          <w:szCs w:val="24"/>
                        </w:rPr>
                      </w:pPr>
                      <w:r>
                        <w:rPr>
                          <w:caps/>
                          <w:color w:val="1F4E79" w:themeColor="accent1" w:themeShade="80"/>
                          <w:sz w:val="24"/>
                          <w:szCs w:val="24"/>
                        </w:rPr>
                        <w:t>CO-reader: Dr. Sc. Ind. van der boom</w:t>
                      </w:r>
                    </w:p>
                  </w:txbxContent>
                </v:textbox>
                <w10:wrap type="square" anchorx="page" anchory="page"/>
              </v:shape>
            </w:pict>
          </w:r>
          <w:r w:rsidRPr="000E4BAF">
            <w:rPr>
              <w:noProof/>
              <w:lang w:eastAsia="ro-RO"/>
            </w:rPr>
            <w:pict>
              <v:group id="Group 125" o:spid="_x0000_s1028" style="position:absolute;margin-left:0;margin-top:0;width:523.45pt;height:563.35pt;z-index:-251652096;mso-width-percent:1154;mso-height-percent:670;mso-top-percent:45;mso-position-horizontal:center;mso-position-horizontal-relative:margin;mso-position-vertical-relative:page;mso-width-percent:1154;mso-height-percent:670;mso-top-percent:45;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">
                <o:lock v:ext="edit" aspectratio="t"/>
                <v:shape id="Freeform 10" o:spid="_x0000_s1029" style="position:absolute;width:55575;height:54044;visibility:visible;mso-wrap-style:square;v-text-anchor:bottom" coordsize="720,7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aWLsQA&#10;AADcAAAADwAAAGRycy9kb3ducmV2LnhtbERPTWvCQBC9F/wPywje6sZAbY2uIi1FEYUavXgbs2MS&#10;zM6G7KrRX+8WCr3N433OZNaaSlypcaVlBYN+BII4s7rkXMF+9/36AcJ5ZI2VZVJwJwezaedlgom2&#10;N97SNfW5CCHsElRQeF8nUrqsIIOub2viwJ1sY9AH2ORSN3gL4aaScRQNpcGSQ0OBNX0WlJ3Ti1FQ&#10;refHXbz4Wq9+Hm+HTYzvqzQ7KtXrtvMxCE+t/xf/uZc6zI9H8PtMuEBO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Wli7EAAAA3AAAAA8AAAAAAAAAAAAAAAAAmAIAAGRycy9k&#10;b3ducmV2LnhtbFBLBQYAAAAABAAEAPUAAACJAwAAAAA=&#10;" adj="-11796480,,5400" path="m,c,644,,644,,644v23,6,62,14,113,21c250,685,476,700,720,644v,-27,,-27,,-27c720,,720,,720,,,,,,,e" fillcolor="#5d6d85" stroked="f">
                  <v:fill color2="#334258" rotate="t" colors="0 #5d6d85;.5 #485972;1 #334258" focus="100%" type="gradient">
                    <o:fill v:ext="view" type="gradientUnscaled"/>
                  </v:fill>
                  <v:stroke joinstyle="miter"/>
                  <v:formulas/>
                  <v:path arrowok="t" o:connecttype="custom" o:connectlocs="0,0;0,383876539;67324636,396394288;428971075,383876539;428971075,367782313;428971075,0;0,0" o:connectangles="0,0,0,0,0,0,0" textboxrect="0,0,720,700"/>
                  <v:textbox inset="1in,86.4pt,86.4pt,86.4pt">
                    <w:txbxContent>
                      <w:p w:rsidR="003569BE" w:rsidRDefault="000E4BAF">
                        <w:pPr>
                          <w:rPr>
                            <w:color w:val="FFFFFF" w:themeColor="background1"/>
                            <w:sz w:val="72"/>
                            <w:szCs w:val="72"/>
                          </w:rPr>
                        </w:pPr>
                        <w:sdt>
                          <w:sdtPr>
                            <w:rPr>
                              <w:color w:val="FFFFFF" w:themeColor="background1"/>
                              <w:sz w:val="72"/>
                              <w:szCs w:val="72"/>
                            </w:rPr>
                            <w:alias w:val="Title"/>
                            <w:tag w:val=""/>
                            <w:id w:val="-1914241241"/>
                            <w:dataBinding w:prefixMappings="xmlns:ns0='http://purl.org/dc/elements/1.1/' xmlns:ns1='http://schemas.openxmlformats.org/package/2006/metadata/core-properties' " w:xpath="/ns1:coreProperties[1]/ns0:title[1]" w:storeItemID="{6C3C8BC8-F283-45AE-878A-BAB7291924A1}"/>
                            <w:text/>
                          </w:sdtPr>
                          <w:sdtContent>
                            <w:r w:rsidR="003569BE">
                              <w:rPr>
                                <w:color w:val="FFFFFF" w:themeColor="background1"/>
                                <w:sz w:val="72"/>
                                <w:szCs w:val="72"/>
                              </w:rPr>
                              <w:t>Master Thesis</w:t>
                            </w:r>
                          </w:sdtContent>
                        </w:sdt>
                      </w:p>
                    </w:txbxContent>
                  </v:textbox>
                </v:shape>
                <v:shape id="Freeform 11" o:spid="_x0000_s1030" style="position:absolute;left:8763;top:47697;width:46850;height:5099;visibility:visible;mso-wrap-style:square;v-text-anchor:bottom" coordsize="60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NX78IA&#10;AADcAAAADwAAAGRycy9kb3ducmV2LnhtbERPTYvCMBC9L/gfwgje1rQrLFKNIoLgYRGtVehtaMa2&#10;2ExKE2v995uFBW/zeJ+zXA+mET11rrasIJ5GIIgLq2suFWTn3ecchPPIGhvLpOBFDtar0ccSE22f&#10;fKI+9aUIIewSVFB53yZSuqIig25qW+LA3Wxn0AfYlVJ3+AzhppFfUfQtDdYcGipsaVtRcU8fRsFm&#10;nl8fP9Re8v6YHw6n9JLFWazUZDxsFiA8Df4t/nfvdZg/i+HvmXCB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k1fvwgAAANwAAAAPAAAAAAAAAAAAAAAAAJgCAABkcnMvZG93&#10;bnJldi54bWxQSwUGAAAAAAQABAD1AAAAhwMAAAAA&#10;" path="m607,c450,44,300,57,176,57,109,57,49,53,,48,66,58,152,66,251,66,358,66,480,56,607,27,607,,607,,607,e" fillcolor="white [3212]" stroked="f">
                  <v:fill opacity="19789f"/>
                  <v:path arrowok="t" o:connecttype="custom" o:connectlocs="361604045,0;104847290,34022150;0,28650199;149526522,39394024;361604045,16115776;361604045,0" o:connectangles="0,0,0,0,0,0"/>
                </v:shape>
                <w10:wrap anchorx="margin" anchory="page"/>
              </v:group>
            </w:pict>
          </w:r>
          <w:r w:rsidRPr="000E4BAF">
            <w:rPr>
              <w:noProof/>
              <w:lang w:eastAsia="ro-RO"/>
            </w:rPr>
            <w:pict>
              <v:rect id="Rectangle 130" o:spid="_x0000_s1031" style="position:absolute;margin-left:4.55pt;margin-top:0;width:45.25pt;height:82.25pt;z-index:251665408;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" fillcolor="#5b9bd5 [3204]" stroked="f" strokeweight="1pt">
                <v:path arrowok="t"/>
                <o:lock v:ext="edit" aspectratio="t"/>
                <v:textbox inset="3.6pt,,3.6pt">
                  <w:txbxContent>
                    <w:sdt>
                      <w:sdtPr>
                        <w:rPr>
                          <w:color w:val="FFFFFF" w:themeColor="background1"/>
                          <w:sz w:val="24"/>
                          <w:szCs w:val="24"/>
                        </w:rPr>
                        <w:alias w:val="Year"/>
                        <w:tag w:val=""/>
                        <w:id w:val="-1050301443"/>
                        <w:dataBinding w:prefixMappings="xmlns:ns0='http://schemas.microsoft.com/office/2006/coverPageProps' " w:xpath="/ns0:CoverPageProperties[1]/ns0:PublishDate[1]" w:storeItemID="{55AF091B-3C7A-41E3-B477-F2FDAA23CFDA}"/>
                        <w:date w:fullDate="2014-01-01T00:00:00Z">
                          <w:dateFormat w:val="yyyy"/>
                          <w:lid w:val="en-US"/>
                          <w:storeMappedDataAs w:val="dateTime"/>
                          <w:calendar w:val="gregorian"/>
                        </w:date>
                      </w:sdtPr>
                      <w:sdtContent>
                        <w:p w:rsidR="003569BE" w:rsidRDefault="003569BE">
                          <w:pPr>
                            <w:pStyle w:val="NoSpacing"/>
                            <w:jc w:val="right"/>
                            <w:rPr>
                              <w:color w:val="FFFFFF" w:themeColor="background1"/>
                              <w:sz w:val="24"/>
                              <w:szCs w:val="24"/>
                            </w:rPr>
                          </w:pPr>
                          <w:r>
                            <w:rPr>
                              <w:color w:val="FFFFFF" w:themeColor="background1"/>
                              <w:sz w:val="24"/>
                              <w:szCs w:val="24"/>
                            </w:rPr>
                            <w:t>2014</w:t>
                          </w:r>
                        </w:p>
                      </w:sdtContent>
                    </w:sdt>
                  </w:txbxContent>
                </v:textbox>
                <w10:wrap anchorx="margin" anchory="page"/>
              </v:rect>
            </w:pict>
          </w:r>
          <w:r w:rsidR="002D4293" w:rsidRPr="003569BE">
            <w:rPr>
              <w:rFonts w:cs="Times New Roman"/>
              <w:lang w:val="en-GB"/>
            </w:rPr>
            <w:br w:type="page"/>
          </w:r>
          <w:r w:rsidR="00E2483A" w:rsidRPr="003569BE">
            <w:rPr>
              <w:rFonts w:cs="Times New Roman"/>
              <w:lang w:val="en-GB"/>
            </w:rPr>
            <w:lastRenderedPageBreak/>
            <w:t>ERASMUS UNIVERSITY ROTTERDAM</w:t>
          </w:r>
        </w:p>
        <w:p w:rsidR="00E2483A" w:rsidRPr="003569BE" w:rsidRDefault="00E2483A">
          <w:pPr>
            <w:jc w:val="left"/>
            <w:rPr>
              <w:rFonts w:cs="Times New Roman"/>
              <w:lang w:val="en-GB"/>
            </w:rPr>
          </w:pPr>
          <w:r w:rsidRPr="003569BE">
            <w:rPr>
              <w:rFonts w:cs="Times New Roman"/>
              <w:lang w:val="en-GB"/>
            </w:rPr>
            <w:t>ERASMUS SCHOOL OF ECONOMICS</w:t>
          </w:r>
        </w:p>
        <w:p w:rsidR="00E2483A" w:rsidRPr="003569BE" w:rsidRDefault="00E2483A" w:rsidP="003F712B">
          <w:pPr>
            <w:spacing w:after="400"/>
            <w:jc w:val="left"/>
            <w:rPr>
              <w:rFonts w:cs="Times New Roman"/>
              <w:lang w:val="en-GB"/>
            </w:rPr>
          </w:pPr>
          <w:r w:rsidRPr="003569BE">
            <w:rPr>
              <w:rFonts w:cs="Times New Roman"/>
              <w:lang w:val="en-GB"/>
            </w:rPr>
            <w:t>Accounting, Auditing &amp; Control Master Programme</w:t>
          </w:r>
        </w:p>
        <w:p w:rsidR="00E2483A" w:rsidRPr="003569BE" w:rsidRDefault="00E2483A" w:rsidP="00E2483A">
          <w:pPr>
            <w:jc w:val="center"/>
            <w:rPr>
              <w:rFonts w:cs="Times New Roman"/>
              <w:b/>
              <w:sz w:val="32"/>
              <w:szCs w:val="32"/>
              <w:lang w:val="en-GB"/>
            </w:rPr>
          </w:pPr>
          <w:r w:rsidRPr="003569BE">
            <w:rPr>
              <w:rFonts w:cs="Times New Roman"/>
              <w:b/>
              <w:sz w:val="32"/>
              <w:szCs w:val="32"/>
              <w:lang w:val="en-GB"/>
            </w:rPr>
            <w:t>The Behaviour of Management in a Mandatory Audit Firm Rotation Setting (An Analysis of the Magnitude of the Use of Earnings Management)</w:t>
          </w:r>
        </w:p>
        <w:p w:rsidR="00E2483A" w:rsidRPr="003569BE" w:rsidRDefault="00E2483A" w:rsidP="003F712B">
          <w:pPr>
            <w:spacing w:after="240"/>
            <w:jc w:val="center"/>
            <w:rPr>
              <w:rFonts w:cs="Times New Roman"/>
              <w:i/>
              <w:szCs w:val="24"/>
              <w:lang w:val="en-GB"/>
            </w:rPr>
          </w:pPr>
          <w:r w:rsidRPr="003569BE">
            <w:rPr>
              <w:rFonts w:cs="Times New Roman"/>
              <w:i/>
              <w:szCs w:val="24"/>
              <w:lang w:val="en-GB"/>
            </w:rPr>
            <w:t xml:space="preserve">- Evidence from Italy </w:t>
          </w:r>
          <w:r w:rsidR="00876E5A" w:rsidRPr="003569BE">
            <w:rPr>
              <w:rFonts w:cs="Times New Roman"/>
              <w:i/>
              <w:szCs w:val="24"/>
              <w:lang w:val="en-GB"/>
            </w:rPr>
            <w:t>–</w:t>
          </w:r>
        </w:p>
        <w:p w:rsidR="00876E5A" w:rsidRPr="003569BE" w:rsidRDefault="000E4BAF" w:rsidP="00517394">
          <w:pPr>
            <w:spacing w:after="0" w:line="240" w:lineRule="auto"/>
            <w:jc w:val="center"/>
            <w:rPr>
              <w:rFonts w:cs="Times New Roman"/>
              <w:b/>
              <w:szCs w:val="24"/>
              <w:lang w:val="en-GB"/>
            </w:rPr>
          </w:pPr>
          <w:r w:rsidRPr="000E4BAF">
            <w:rPr>
              <w:noProof/>
              <w:lang w:eastAsia="ro-RO"/>
            </w:rPr>
            <w:pict>
              <v:shape id="Text Box 33" o:spid="_x0000_s1032" type="#_x0000_t202" style="position:absolute;left:0;text-align:left;margin-left:-22.25pt;margin-top:18.5pt;width:498.4pt;height:353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">
                <v:textbox>
                  <w:txbxContent>
                    <w:p w:rsidR="003569BE" w:rsidRPr="00B340DE" w:rsidRDefault="003569BE" w:rsidP="00142D96">
                      <w:pPr>
                        <w:spacing w:line="360" w:lineRule="auto"/>
                        <w:rPr>
                          <w:lang w:val="en-GB"/>
                        </w:rPr>
                      </w:pPr>
                      <w:r w:rsidRPr="00B340DE">
                        <w:rPr>
                          <w:lang w:val="en-GB"/>
                        </w:rPr>
                        <w:t xml:space="preserve">In order to restore the confidence in the audit profession, the Dutch Parliament has imposed a mandatory audit firm rotation rule, which will be implemented </w:t>
                      </w:r>
                      <w:r>
                        <w:rPr>
                          <w:lang w:val="en-GB"/>
                        </w:rPr>
                        <w:t xml:space="preserve">in the Netherlands </w:t>
                      </w:r>
                      <w:r w:rsidRPr="00B340DE">
                        <w:rPr>
                          <w:lang w:val="en-GB"/>
                        </w:rPr>
                        <w:t>starting from 1</w:t>
                      </w:r>
                      <w:r w:rsidRPr="00B340DE">
                        <w:rPr>
                          <w:vertAlign w:val="superscript"/>
                          <w:lang w:val="en-GB"/>
                        </w:rPr>
                        <w:t>st</w:t>
                      </w:r>
                      <w:r w:rsidRPr="00B340DE">
                        <w:rPr>
                          <w:lang w:val="en-GB"/>
                        </w:rPr>
                        <w:t xml:space="preserve"> of January 2016. Because tension exists in prior research regarding the effects of mandatory audit firm rotation, answering the research question of this thesis provides valuable insights for both academics and practitioners. This thesis investigates the effect mandatory audit firm rotation has on the behavio</w:t>
                      </w:r>
                      <w:r>
                        <w:rPr>
                          <w:lang w:val="en-GB"/>
                        </w:rPr>
                        <w:t>u</w:t>
                      </w:r>
                      <w:r w:rsidRPr="00B340DE">
                        <w:rPr>
                          <w:lang w:val="en-GB"/>
                        </w:rPr>
                        <w:t>r</w:t>
                      </w:r>
                      <w:r>
                        <w:rPr>
                          <w:lang w:val="en-GB"/>
                        </w:rPr>
                        <w:t xml:space="preserve"> of the management in terms of earnings management. The sample used for testing this relationship consists of 357 firm-year observations from 44 unique Italian public listed firms, during the period 2005-2013. In Italy, mandatory audit firm rotation is active since 1974, and consequently provides with a proper setting for investigating this relationship. In addition, this setting increases the external validity of this thesis. Two hypotheses are formulated for answering the main research question. Hypothesis 1 investigates the correlation between audit firm tenure and the amount of discretionary accruals; this hypothesis is confirmed, indicating a significant positive correlation, in contrast with the findings from other studies in prior research, which show evidence for a negative correlation. Hypothesis 2 investigates the effect of the auditor rotation on the amount of discretionary accruals in the first year after the rotation, compared to the year prior to the rotation; no conclusive results derived from testing this hypothesis, consequently hypothesis 2 is not accepted, nor rejected.</w:t>
                      </w:r>
                    </w:p>
                  </w:txbxContent>
                </v:textbox>
                <w10:wrap type="square"/>
              </v:shape>
            </w:pict>
          </w:r>
          <w:r w:rsidR="00876E5A" w:rsidRPr="003569BE">
            <w:rPr>
              <w:rFonts w:cs="Times New Roman"/>
              <w:b/>
              <w:szCs w:val="24"/>
              <w:lang w:val="en-GB"/>
            </w:rPr>
            <w:t>Abstract</w:t>
          </w:r>
        </w:p>
        <w:p w:rsidR="007C5611" w:rsidRDefault="007C5611">
          <w:pPr>
            <w:jc w:val="left"/>
            <w:rPr>
              <w:rFonts w:cs="Times New Roman"/>
              <w:lang w:val="en-GB"/>
            </w:rPr>
          </w:pPr>
        </w:p>
        <w:p w:rsidR="007C5611" w:rsidRDefault="007C5611">
          <w:pPr>
            <w:jc w:val="left"/>
            <w:rPr>
              <w:rFonts w:cs="Times New Roman"/>
              <w:lang w:val="en-GB"/>
            </w:rPr>
          </w:pPr>
        </w:p>
        <w:p w:rsidR="007C5611" w:rsidRDefault="007C5611">
          <w:pPr>
            <w:jc w:val="left"/>
            <w:rPr>
              <w:rFonts w:cs="Times New Roman"/>
              <w:lang w:val="en-GB"/>
            </w:rPr>
          </w:pPr>
        </w:p>
        <w:p w:rsidR="007C5611" w:rsidRDefault="002C6511">
          <w:pPr>
            <w:jc w:val="left"/>
            <w:rPr>
              <w:rFonts w:cs="Times New Roman"/>
              <w:lang w:val="en-GB"/>
            </w:rPr>
          </w:pPr>
          <w:r w:rsidRPr="003569BE">
            <w:rPr>
              <w:rFonts w:cs="Times New Roman"/>
              <w:lang w:val="en-GB"/>
            </w:rPr>
            <w:t>S</w:t>
          </w:r>
          <w:r w:rsidR="00B60703" w:rsidRPr="003569BE">
            <w:rPr>
              <w:rFonts w:cs="Times New Roman"/>
              <w:lang w:val="en-GB"/>
            </w:rPr>
            <w:t>pec</w:t>
          </w:r>
          <w:r w:rsidR="004A1960" w:rsidRPr="003569BE">
            <w:rPr>
              <w:rFonts w:cs="Times New Roman"/>
              <w:lang w:val="en-GB"/>
            </w:rPr>
            <w:t>ial thanks to Mr. E. A. de Knec</w:t>
          </w:r>
          <w:r w:rsidR="00B60703" w:rsidRPr="003569BE">
            <w:rPr>
              <w:rFonts w:cs="Times New Roman"/>
              <w:lang w:val="en-GB"/>
            </w:rPr>
            <w:t>h</w:t>
          </w:r>
          <w:r w:rsidR="004A1960" w:rsidRPr="003569BE">
            <w:rPr>
              <w:rFonts w:cs="Times New Roman"/>
              <w:lang w:val="en-GB"/>
            </w:rPr>
            <w:t>t</w:t>
          </w:r>
          <w:r w:rsidR="00B60703" w:rsidRPr="003569BE">
            <w:rPr>
              <w:rFonts w:cs="Times New Roman"/>
              <w:lang w:val="en-GB"/>
            </w:rPr>
            <w:t xml:space="preserve"> RA</w:t>
          </w:r>
          <w:r w:rsidR="003569BE" w:rsidRPr="003569BE">
            <w:rPr>
              <w:rFonts w:cs="Times New Roman"/>
              <w:lang w:val="en-GB"/>
            </w:rPr>
            <w:t>,</w:t>
          </w:r>
          <w:r w:rsidR="00B60703" w:rsidRPr="003569BE">
            <w:rPr>
              <w:rFonts w:cs="Times New Roman"/>
              <w:lang w:val="en-GB"/>
            </w:rPr>
            <w:t xml:space="preserve"> for the contribution to the development of this thesis. His constant feedback and support were essential during the writing process.</w:t>
          </w:r>
        </w:p>
        <w:p w:rsidR="007C5611" w:rsidRDefault="007C5611">
          <w:pPr>
            <w:jc w:val="left"/>
            <w:rPr>
              <w:rFonts w:cs="Times New Roman"/>
              <w:lang w:val="en-GB"/>
            </w:rPr>
          </w:pPr>
          <w:r>
            <w:rPr>
              <w:rFonts w:cs="Times New Roman"/>
              <w:lang w:val="en-GB"/>
            </w:rPr>
            <w:br w:type="page"/>
          </w:r>
        </w:p>
        <w:sdt>
          <w:sdtPr>
            <w:rPr>
              <w:rFonts w:ascii="Times New Roman" w:eastAsiaTheme="minorHAnsi" w:hAnsi="Times New Roman" w:cstheme="minorBidi"/>
              <w:color w:val="auto"/>
              <w:sz w:val="24"/>
              <w:szCs w:val="22"/>
              <w:lang w:val="en-GB"/>
            </w:rPr>
            <w:id w:val="2002766217"/>
            <w:docPartObj>
              <w:docPartGallery w:val="Table of Contents"/>
              <w:docPartUnique/>
            </w:docPartObj>
          </w:sdtPr>
          <w:sdtEndPr>
            <w:rPr>
              <w:b/>
              <w:bCs/>
              <w:noProof/>
            </w:rPr>
          </w:sdtEndPr>
          <w:sdtContent>
            <w:p w:rsidR="00FD4A1C" w:rsidRPr="003569BE" w:rsidRDefault="00FD4A1C">
              <w:pPr>
                <w:pStyle w:val="TOCHeading"/>
                <w:rPr>
                  <w:lang w:val="en-GB"/>
                </w:rPr>
              </w:pPr>
              <w:r w:rsidRPr="003569BE">
                <w:rPr>
                  <w:rFonts w:ascii="Times New Roman" w:hAnsi="Times New Roman" w:cs="Times New Roman"/>
                  <w:lang w:val="en-GB"/>
                </w:rPr>
                <w:t>Table of Contents</w:t>
              </w:r>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r w:rsidRPr="000E4BAF">
                <w:rPr>
                  <w:lang w:val="en-GB"/>
                </w:rPr>
                <w:fldChar w:fldCharType="begin"/>
              </w:r>
              <w:r w:rsidR="00FD4A1C" w:rsidRPr="003569BE">
                <w:rPr>
                  <w:lang w:val="en-GB"/>
                </w:rPr>
                <w:instrText xml:space="preserve"> TOC \o "1-3" \h \z \u </w:instrText>
              </w:r>
              <w:r w:rsidRPr="000E4BAF">
                <w:rPr>
                  <w:lang w:val="en-GB"/>
                </w:rPr>
                <w:fldChar w:fldCharType="separate"/>
              </w:r>
              <w:hyperlink w:anchor="_Toc396633532" w:history="1">
                <w:r w:rsidR="00A03444" w:rsidRPr="003569BE">
                  <w:rPr>
                    <w:rStyle w:val="Hyperlink"/>
                    <w:rFonts w:cs="Times New Roman"/>
                    <w:noProof/>
                    <w:lang w:val="en-GB"/>
                  </w:rPr>
                  <w:t>1.</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Introduction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_Toc396633532 \h </w:instrText>
                </w:r>
                <w:r w:rsidRPr="003569BE">
                  <w:rPr>
                    <w:noProof/>
                    <w:webHidden/>
                    <w:lang w:val="en-GB"/>
                  </w:rPr>
                </w:r>
                <w:r w:rsidRPr="003569BE">
                  <w:rPr>
                    <w:noProof/>
                    <w:webHidden/>
                    <w:lang w:val="en-GB"/>
                  </w:rPr>
                  <w:fldChar w:fldCharType="separate"/>
                </w:r>
                <w:r w:rsidR="008C0931" w:rsidRPr="003569BE">
                  <w:rPr>
                    <w:noProof/>
                    <w:webHidden/>
                    <w:lang w:val="en-GB"/>
                  </w:rPr>
                  <w:t>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3" w:history="1">
                <w:r w:rsidR="00A03444" w:rsidRPr="003569BE">
                  <w:rPr>
                    <w:rStyle w:val="Hyperlink"/>
                    <w:noProof/>
                    <w:lang w:val="en-GB"/>
                  </w:rPr>
                  <w:t>1.1.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Motivation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_Toc396633533 \h </w:instrText>
                </w:r>
                <w:r w:rsidRPr="003569BE">
                  <w:rPr>
                    <w:noProof/>
                    <w:webHidden/>
                    <w:lang w:val="en-GB"/>
                  </w:rPr>
                </w:r>
                <w:r w:rsidRPr="003569BE">
                  <w:rPr>
                    <w:noProof/>
                    <w:webHidden/>
                    <w:lang w:val="en-GB"/>
                  </w:rPr>
                  <w:fldChar w:fldCharType="separate"/>
                </w:r>
                <w:r w:rsidR="008C0931" w:rsidRPr="003569BE">
                  <w:rPr>
                    <w:noProof/>
                    <w:webHidden/>
                    <w:lang w:val="en-GB"/>
                  </w:rPr>
                  <w:t>2</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4" w:history="1">
                <w:r w:rsidR="00A03444" w:rsidRPr="003569BE">
                  <w:rPr>
                    <w:rStyle w:val="Hyperlink"/>
                    <w:rFonts w:cs="Times New Roman"/>
                    <w:noProof/>
                    <w:lang w:val="en-GB"/>
                  </w:rPr>
                  <w:t>1.2.</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Research Question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_Toc396633534 \h </w:instrText>
                </w:r>
                <w:r w:rsidRPr="003569BE">
                  <w:rPr>
                    <w:noProof/>
                    <w:webHidden/>
                    <w:lang w:val="en-GB"/>
                  </w:rPr>
                </w:r>
                <w:r w:rsidRPr="003569BE">
                  <w:rPr>
                    <w:noProof/>
                    <w:webHidden/>
                    <w:lang w:val="en-GB"/>
                  </w:rPr>
                  <w:fldChar w:fldCharType="separate"/>
                </w:r>
                <w:r w:rsidR="008C0931" w:rsidRPr="003569BE">
                  <w:rPr>
                    <w:noProof/>
                    <w:webHidden/>
                    <w:lang w:val="en-GB"/>
                  </w:rPr>
                  <w:t>3</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5" w:history="1">
                <w:r w:rsidR="00A03444" w:rsidRPr="003569BE">
                  <w:rPr>
                    <w:rStyle w:val="Hyperlink"/>
                    <w:rFonts w:cs="Times New Roman"/>
                    <w:noProof/>
                    <w:lang w:val="en-GB"/>
                  </w:rPr>
                  <w:t>1.3.</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Methodology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_Toc396633535 \h </w:instrText>
                </w:r>
                <w:r w:rsidRPr="003569BE">
                  <w:rPr>
                    <w:noProof/>
                    <w:webHidden/>
                    <w:lang w:val="en-GB"/>
                  </w:rPr>
                </w:r>
                <w:r w:rsidRPr="003569BE">
                  <w:rPr>
                    <w:noProof/>
                    <w:webHidden/>
                    <w:lang w:val="en-GB"/>
                  </w:rPr>
                  <w:fldChar w:fldCharType="separate"/>
                </w:r>
                <w:r w:rsidR="008C0931" w:rsidRPr="003569BE">
                  <w:rPr>
                    <w:noProof/>
                    <w:webHidden/>
                    <w:lang w:val="en-GB"/>
                  </w:rPr>
                  <w:t>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6" w:history="1">
                <w:r w:rsidR="00A03444" w:rsidRPr="003569BE">
                  <w:rPr>
                    <w:rStyle w:val="Hyperlink"/>
                    <w:rFonts w:cs="Times New Roman"/>
                    <w:noProof/>
                    <w:lang w:val="en-GB"/>
                  </w:rPr>
                  <w:t>1.4.</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Limitations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_Toc396633536 \h </w:instrText>
                </w:r>
                <w:r w:rsidRPr="003569BE">
                  <w:rPr>
                    <w:noProof/>
                    <w:webHidden/>
                    <w:lang w:val="en-GB"/>
                  </w:rPr>
                </w:r>
                <w:r w:rsidRPr="003569BE">
                  <w:rPr>
                    <w:noProof/>
                    <w:webHidden/>
                    <w:lang w:val="en-GB"/>
                  </w:rPr>
                  <w:fldChar w:fldCharType="separate"/>
                </w:r>
                <w:r w:rsidR="008C0931" w:rsidRPr="003569BE">
                  <w:rPr>
                    <w:noProof/>
                    <w:webHidden/>
                    <w:lang w:val="en-GB"/>
                  </w:rPr>
                  <w:t>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7" w:history="1">
                <w:r w:rsidR="00A03444" w:rsidRPr="003569BE">
                  <w:rPr>
                    <w:rStyle w:val="Hyperlink"/>
                    <w:rFonts w:cs="Times New Roman"/>
                    <w:noProof/>
                    <w:lang w:val="en-GB"/>
                  </w:rPr>
                  <w:t>1.5.</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Structure of the Thesis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_Toc396633537 \h </w:instrText>
                </w:r>
                <w:r w:rsidRPr="003569BE">
                  <w:rPr>
                    <w:noProof/>
                    <w:webHidden/>
                    <w:lang w:val="en-GB"/>
                  </w:rPr>
                </w:r>
                <w:r w:rsidRPr="003569BE">
                  <w:rPr>
                    <w:noProof/>
                    <w:webHidden/>
                    <w:lang w:val="en-GB"/>
                  </w:rPr>
                  <w:fldChar w:fldCharType="separate"/>
                </w:r>
                <w:r w:rsidR="008C0931" w:rsidRPr="003569BE">
                  <w:rPr>
                    <w:noProof/>
                    <w:webHidden/>
                    <w:lang w:val="en-GB"/>
                  </w:rPr>
                  <w:t>6</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38" w:history="1">
                <w:r w:rsidR="00A03444" w:rsidRPr="003569BE">
                  <w:rPr>
                    <w:rStyle w:val="Hyperlink"/>
                    <w:noProof/>
                    <w:lang w:val="en-GB"/>
                  </w:rPr>
                  <w:t>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Background</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_Toc396633538 \h </w:instrText>
                </w:r>
                <w:r w:rsidRPr="003569BE">
                  <w:rPr>
                    <w:noProof/>
                    <w:webHidden/>
                    <w:lang w:val="en-GB"/>
                  </w:rPr>
                </w:r>
                <w:r w:rsidRPr="003569BE">
                  <w:rPr>
                    <w:noProof/>
                    <w:webHidden/>
                    <w:lang w:val="en-GB"/>
                  </w:rPr>
                  <w:fldChar w:fldCharType="separate"/>
                </w:r>
                <w:r w:rsidR="008C0931" w:rsidRPr="003569BE">
                  <w:rPr>
                    <w:noProof/>
                    <w:webHidden/>
                    <w:lang w:val="en-GB"/>
                  </w:rPr>
                  <w:t>7</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39" w:history="1">
                <w:r w:rsidR="00A03444" w:rsidRPr="003569BE">
                  <w:rPr>
                    <w:rStyle w:val="Hyperlink"/>
                    <w:noProof/>
                    <w:lang w:val="en-GB"/>
                  </w:rPr>
                  <w:t>2.1.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Mandatory Audit Firm Rotation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_Toc396633539 \h </w:instrText>
                </w:r>
                <w:r w:rsidRPr="003569BE">
                  <w:rPr>
                    <w:noProof/>
                    <w:webHidden/>
                    <w:lang w:val="en-GB"/>
                  </w:rPr>
                </w:r>
                <w:r w:rsidRPr="003569BE">
                  <w:rPr>
                    <w:noProof/>
                    <w:webHidden/>
                    <w:lang w:val="en-GB"/>
                  </w:rPr>
                  <w:fldChar w:fldCharType="separate"/>
                </w:r>
                <w:r w:rsidR="008C0931" w:rsidRPr="003569BE">
                  <w:rPr>
                    <w:noProof/>
                    <w:webHidden/>
                    <w:lang w:val="en-GB"/>
                  </w:rPr>
                  <w:t>7</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0" w:history="1">
                <w:r w:rsidR="00A03444" w:rsidRPr="003569BE">
                  <w:rPr>
                    <w:rStyle w:val="Hyperlink"/>
                    <w:noProof/>
                    <w:lang w:val="en-GB"/>
                  </w:rPr>
                  <w:t>2.1.1.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 xml:space="preserve">What is the theoretical content of </w:t>
                </w:r>
                <w:r w:rsidR="00A03444" w:rsidRPr="003569BE">
                  <w:rPr>
                    <w:rStyle w:val="Hyperlink"/>
                    <w:rFonts w:cs="Times New Roman"/>
                    <w:noProof/>
                    <w:lang w:val="en-GB"/>
                  </w:rPr>
                  <w:t>mandatory audit firm rotation</w:t>
                </w:r>
                <w:r w:rsidR="00A03444" w:rsidRPr="003569BE">
                  <w:rPr>
                    <w:rStyle w:val="Hyperlink"/>
                    <w:noProof/>
                    <w:lang w:val="en-GB"/>
                  </w:rPr>
                  <w: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_Toc396633540 \h </w:instrText>
                </w:r>
                <w:r w:rsidRPr="003569BE">
                  <w:rPr>
                    <w:noProof/>
                    <w:webHidden/>
                    <w:lang w:val="en-GB"/>
                  </w:rPr>
                </w:r>
                <w:r w:rsidRPr="003569BE">
                  <w:rPr>
                    <w:noProof/>
                    <w:webHidden/>
                    <w:lang w:val="en-GB"/>
                  </w:rPr>
                  <w:fldChar w:fldCharType="separate"/>
                </w:r>
                <w:r w:rsidR="008C0931" w:rsidRPr="003569BE">
                  <w:rPr>
                    <w:noProof/>
                    <w:webHidden/>
                    <w:lang w:val="en-GB"/>
                  </w:rPr>
                  <w:t>7</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1" w:history="1">
                <w:r w:rsidR="00A03444" w:rsidRPr="003569BE">
                  <w:rPr>
                    <w:rStyle w:val="Hyperlink"/>
                    <w:noProof/>
                    <w:lang w:val="en-GB"/>
                  </w:rPr>
                  <w:t>2.1.2.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Evolution of Mandatory Audit Firm Rotation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_Toc396633541 \h </w:instrText>
                </w:r>
                <w:r w:rsidRPr="003569BE">
                  <w:rPr>
                    <w:noProof/>
                    <w:webHidden/>
                    <w:lang w:val="en-GB"/>
                  </w:rPr>
                </w:r>
                <w:r w:rsidRPr="003569BE">
                  <w:rPr>
                    <w:noProof/>
                    <w:webHidden/>
                    <w:lang w:val="en-GB"/>
                  </w:rPr>
                  <w:fldChar w:fldCharType="separate"/>
                </w:r>
                <w:r w:rsidR="008C0931" w:rsidRPr="003569BE">
                  <w:rPr>
                    <w:noProof/>
                    <w:webHidden/>
                    <w:lang w:val="en-GB"/>
                  </w:rPr>
                  <w:t>7</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2" w:history="1">
                <w:r w:rsidR="00A03444" w:rsidRPr="003569BE">
                  <w:rPr>
                    <w:rStyle w:val="Hyperlink"/>
                    <w:noProof/>
                    <w:lang w:val="en-GB"/>
                  </w:rPr>
                  <w:t>2.1.3.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MAFR – Potential Advantages vs. Potential Disadvantages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_Toc396633542 \h </w:instrText>
                </w:r>
                <w:r w:rsidRPr="003569BE">
                  <w:rPr>
                    <w:noProof/>
                    <w:webHidden/>
                    <w:lang w:val="en-GB"/>
                  </w:rPr>
                </w:r>
                <w:r w:rsidRPr="003569BE">
                  <w:rPr>
                    <w:noProof/>
                    <w:webHidden/>
                    <w:lang w:val="en-GB"/>
                  </w:rPr>
                  <w:fldChar w:fldCharType="separate"/>
                </w:r>
                <w:r w:rsidR="008C0931" w:rsidRPr="003569BE">
                  <w:rPr>
                    <w:noProof/>
                    <w:webHidden/>
                    <w:lang w:val="en-GB"/>
                  </w:rPr>
                  <w:t>9</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3" w:history="1">
                <w:r w:rsidR="00A03444" w:rsidRPr="003569BE">
                  <w:rPr>
                    <w:rStyle w:val="Hyperlink"/>
                    <w:noProof/>
                    <w:lang w:val="en-GB"/>
                  </w:rPr>
                  <w:t>2.1.4.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Advocates vs. Opponents of MAFR: What are the positions of the regulators and of the dependent bodies?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_Toc396633543 \h </w:instrText>
                </w:r>
                <w:r w:rsidRPr="003569BE">
                  <w:rPr>
                    <w:noProof/>
                    <w:webHidden/>
                    <w:lang w:val="en-GB"/>
                  </w:rPr>
                </w:r>
                <w:r w:rsidRPr="003569BE">
                  <w:rPr>
                    <w:noProof/>
                    <w:webHidden/>
                    <w:lang w:val="en-GB"/>
                  </w:rPr>
                  <w:fldChar w:fldCharType="separate"/>
                </w:r>
                <w:r w:rsidR="008C0931" w:rsidRPr="003569BE">
                  <w:rPr>
                    <w:noProof/>
                    <w:webHidden/>
                    <w:lang w:val="en-GB"/>
                  </w:rPr>
                  <w:t>10</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44" w:history="1">
                <w:r w:rsidR="00A03444" w:rsidRPr="003569BE">
                  <w:rPr>
                    <w:rStyle w:val="Hyperlink"/>
                    <w:noProof/>
                    <w:lang w:val="en-GB"/>
                  </w:rPr>
                  <w:t>2.2.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_Toc396633544 \h </w:instrText>
                </w:r>
                <w:r w:rsidRPr="003569BE">
                  <w:rPr>
                    <w:noProof/>
                    <w:webHidden/>
                    <w:lang w:val="en-GB"/>
                  </w:rPr>
                </w:r>
                <w:r w:rsidRPr="003569BE">
                  <w:rPr>
                    <w:noProof/>
                    <w:webHidden/>
                    <w:lang w:val="en-GB"/>
                  </w:rPr>
                  <w:fldChar w:fldCharType="separate"/>
                </w:r>
                <w:r w:rsidR="008C0931" w:rsidRPr="003569BE">
                  <w:rPr>
                    <w:noProof/>
                    <w:webHidden/>
                    <w:lang w:val="en-GB"/>
                  </w:rPr>
                  <w:t>11</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5" w:history="1">
                <w:r w:rsidR="00A03444" w:rsidRPr="003569BE">
                  <w:rPr>
                    <w:rStyle w:val="Hyperlink"/>
                    <w:noProof/>
                    <w:lang w:val="en-GB"/>
                  </w:rPr>
                  <w:t>2.2.1.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Defining the term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_Toc396633545 \h </w:instrText>
                </w:r>
                <w:r w:rsidRPr="003569BE">
                  <w:rPr>
                    <w:noProof/>
                    <w:webHidden/>
                    <w:lang w:val="en-GB"/>
                  </w:rPr>
                </w:r>
                <w:r w:rsidRPr="003569BE">
                  <w:rPr>
                    <w:noProof/>
                    <w:webHidden/>
                    <w:lang w:val="en-GB"/>
                  </w:rPr>
                  <w:fldChar w:fldCharType="separate"/>
                </w:r>
                <w:r w:rsidR="008C0931" w:rsidRPr="003569BE">
                  <w:rPr>
                    <w:noProof/>
                    <w:webHidden/>
                    <w:lang w:val="en-GB"/>
                  </w:rPr>
                  <w:t>11</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6" w:history="1">
                <w:r w:rsidR="00A03444" w:rsidRPr="003569BE">
                  <w:rPr>
                    <w:rStyle w:val="Hyperlink"/>
                    <w:noProof/>
                    <w:lang w:val="en-GB"/>
                  </w:rPr>
                  <w:t>2.2.2.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Accrual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_Toc396633546 \h </w:instrText>
                </w:r>
                <w:r w:rsidRPr="003569BE">
                  <w:rPr>
                    <w:noProof/>
                    <w:webHidden/>
                    <w:lang w:val="en-GB"/>
                  </w:rPr>
                </w:r>
                <w:r w:rsidRPr="003569BE">
                  <w:rPr>
                    <w:noProof/>
                    <w:webHidden/>
                    <w:lang w:val="en-GB"/>
                  </w:rPr>
                  <w:fldChar w:fldCharType="separate"/>
                </w:r>
                <w:r w:rsidR="008C0931" w:rsidRPr="003569BE">
                  <w:rPr>
                    <w:noProof/>
                    <w:webHidden/>
                    <w:lang w:val="en-GB"/>
                  </w:rPr>
                  <w:t>12</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7" w:history="1">
                <w:r w:rsidR="00A03444" w:rsidRPr="003569BE">
                  <w:rPr>
                    <w:rStyle w:val="Hyperlink"/>
                    <w:noProof/>
                    <w:lang w:val="en-GB"/>
                  </w:rPr>
                  <w:t>2.2.3.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Real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_Toc396633547 \h </w:instrText>
                </w:r>
                <w:r w:rsidRPr="003569BE">
                  <w:rPr>
                    <w:noProof/>
                    <w:webHidden/>
                    <w:lang w:val="en-GB"/>
                  </w:rPr>
                </w:r>
                <w:r w:rsidRPr="003569BE">
                  <w:rPr>
                    <w:noProof/>
                    <w:webHidden/>
                    <w:lang w:val="en-GB"/>
                  </w:rPr>
                  <w:fldChar w:fldCharType="separate"/>
                </w:r>
                <w:r w:rsidR="008C0931" w:rsidRPr="003569BE">
                  <w:rPr>
                    <w:noProof/>
                    <w:webHidden/>
                    <w:lang w:val="en-GB"/>
                  </w:rPr>
                  <w:t>15</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8" w:history="1">
                <w:r w:rsidR="00A03444" w:rsidRPr="003569BE">
                  <w:rPr>
                    <w:rStyle w:val="Hyperlink"/>
                    <w:noProof/>
                    <w:lang w:val="en-GB"/>
                  </w:rPr>
                  <w:t>2.2.4.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Incentives for the Use of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_Toc396633548 \h </w:instrText>
                </w:r>
                <w:r w:rsidRPr="003569BE">
                  <w:rPr>
                    <w:noProof/>
                    <w:webHidden/>
                    <w:lang w:val="en-GB"/>
                  </w:rPr>
                </w:r>
                <w:r w:rsidRPr="003569BE">
                  <w:rPr>
                    <w:noProof/>
                    <w:webHidden/>
                    <w:lang w:val="en-GB"/>
                  </w:rPr>
                  <w:fldChar w:fldCharType="separate"/>
                </w:r>
                <w:r w:rsidR="008C0931" w:rsidRPr="003569BE">
                  <w:rPr>
                    <w:noProof/>
                    <w:webHidden/>
                    <w:lang w:val="en-GB"/>
                  </w:rPr>
                  <w:t>16</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49" w:history="1">
                <w:r w:rsidR="00A03444" w:rsidRPr="003569BE">
                  <w:rPr>
                    <w:rStyle w:val="Hyperlink"/>
                    <w:noProof/>
                    <w:lang w:val="en-GB"/>
                  </w:rPr>
                  <w:t>2.2.5.</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What are the positions of the regulators and of the dependent bodies?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_Toc396633549 \h </w:instrText>
                </w:r>
                <w:r w:rsidRPr="003569BE">
                  <w:rPr>
                    <w:noProof/>
                    <w:webHidden/>
                    <w:lang w:val="en-GB"/>
                  </w:rPr>
                </w:r>
                <w:r w:rsidRPr="003569BE">
                  <w:rPr>
                    <w:noProof/>
                    <w:webHidden/>
                    <w:lang w:val="en-GB"/>
                  </w:rPr>
                  <w:fldChar w:fldCharType="separate"/>
                </w:r>
                <w:r w:rsidR="008C0931" w:rsidRPr="003569BE">
                  <w:rPr>
                    <w:noProof/>
                    <w:webHidden/>
                    <w:lang w:val="en-GB"/>
                  </w:rPr>
                  <w:t>17</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0" w:history="1">
                <w:r w:rsidR="00A03444" w:rsidRPr="003569BE">
                  <w:rPr>
                    <w:rStyle w:val="Hyperlink"/>
                    <w:noProof/>
                    <w:lang w:val="en-GB"/>
                  </w:rPr>
                  <w:t>2.3.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Agency Theory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_Toc396633550 \h </w:instrText>
                </w:r>
                <w:r w:rsidRPr="003569BE">
                  <w:rPr>
                    <w:noProof/>
                    <w:webHidden/>
                    <w:lang w:val="en-GB"/>
                  </w:rPr>
                </w:r>
                <w:r w:rsidRPr="003569BE">
                  <w:rPr>
                    <w:noProof/>
                    <w:webHidden/>
                    <w:lang w:val="en-GB"/>
                  </w:rPr>
                  <w:fldChar w:fldCharType="separate"/>
                </w:r>
                <w:r w:rsidR="008C0931" w:rsidRPr="003569BE">
                  <w:rPr>
                    <w:noProof/>
                    <w:webHidden/>
                    <w:lang w:val="en-GB"/>
                  </w:rPr>
                  <w:t>17</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1" w:history="1">
                <w:r w:rsidR="00A03444" w:rsidRPr="003569BE">
                  <w:rPr>
                    <w:rStyle w:val="Hyperlink"/>
                    <w:noProof/>
                    <w:lang w:val="en-GB"/>
                  </w:rPr>
                  <w:t>2.4.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Positive Accounting Theory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_Toc396633551 \h </w:instrText>
                </w:r>
                <w:r w:rsidRPr="003569BE">
                  <w:rPr>
                    <w:noProof/>
                    <w:webHidden/>
                    <w:lang w:val="en-GB"/>
                  </w:rPr>
                </w:r>
                <w:r w:rsidRPr="003569BE">
                  <w:rPr>
                    <w:noProof/>
                    <w:webHidden/>
                    <w:lang w:val="en-GB"/>
                  </w:rPr>
                  <w:fldChar w:fldCharType="separate"/>
                </w:r>
                <w:r w:rsidR="008C0931" w:rsidRPr="003569BE">
                  <w:rPr>
                    <w:noProof/>
                    <w:webHidden/>
                    <w:lang w:val="en-GB"/>
                  </w:rPr>
                  <w:t>18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2" w:history="1">
                <w:r w:rsidR="00A03444" w:rsidRPr="003569BE">
                  <w:rPr>
                    <w:rStyle w:val="Hyperlink"/>
                    <w:noProof/>
                    <w:lang w:val="en-GB"/>
                  </w:rPr>
                  <w:t>2.5.</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Legitimacy Theory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_Toc396633552 \h </w:instrText>
                </w:r>
                <w:r w:rsidRPr="003569BE">
                  <w:rPr>
                    <w:noProof/>
                    <w:webHidden/>
                    <w:lang w:val="en-GB"/>
                  </w:rPr>
                </w:r>
                <w:r w:rsidRPr="003569BE">
                  <w:rPr>
                    <w:noProof/>
                    <w:webHidden/>
                    <w:lang w:val="en-GB"/>
                  </w:rPr>
                  <w:fldChar w:fldCharType="separate"/>
                </w:r>
                <w:r w:rsidR="008C0931" w:rsidRPr="003569BE">
                  <w:rPr>
                    <w:noProof/>
                    <w:webHidden/>
                    <w:lang w:val="en-GB"/>
                  </w:rPr>
                  <w:t>19</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3" w:history="1">
                <w:r w:rsidR="00A03444" w:rsidRPr="003569BE">
                  <w:rPr>
                    <w:rStyle w:val="Hyperlink"/>
                    <w:noProof/>
                    <w:lang w:val="en-GB"/>
                  </w:rPr>
                  <w:t>2.6.</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_Toc396633553 \h </w:instrText>
                </w:r>
                <w:r w:rsidRPr="003569BE">
                  <w:rPr>
                    <w:noProof/>
                    <w:webHidden/>
                    <w:lang w:val="en-GB"/>
                  </w:rPr>
                </w:r>
                <w:r w:rsidRPr="003569BE">
                  <w:rPr>
                    <w:noProof/>
                    <w:webHidden/>
                    <w:lang w:val="en-GB"/>
                  </w:rPr>
                  <w:fldChar w:fldCharType="separate"/>
                </w:r>
                <w:r w:rsidR="008C0931" w:rsidRPr="003569BE">
                  <w:rPr>
                    <w:noProof/>
                    <w:webHidden/>
                    <w:lang w:val="en-GB"/>
                  </w:rPr>
                  <w:t>20</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54" w:history="1">
                <w:r w:rsidR="00A03444" w:rsidRPr="003569BE">
                  <w:rPr>
                    <w:rStyle w:val="Hyperlink"/>
                    <w:noProof/>
                    <w:lang w:val="en-GB"/>
                  </w:rPr>
                  <w:t>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Models for Detecting and Measuring the Use of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_Toc396633554 \h </w:instrText>
                </w:r>
                <w:r w:rsidRPr="003569BE">
                  <w:rPr>
                    <w:noProof/>
                    <w:webHidden/>
                    <w:lang w:val="en-GB"/>
                  </w:rPr>
                </w:r>
                <w:r w:rsidRPr="003569BE">
                  <w:rPr>
                    <w:noProof/>
                    <w:webHidden/>
                    <w:lang w:val="en-GB"/>
                  </w:rPr>
                  <w:fldChar w:fldCharType="separate"/>
                </w:r>
                <w:r w:rsidR="008C0931" w:rsidRPr="003569BE">
                  <w:rPr>
                    <w:noProof/>
                    <w:webHidden/>
                    <w:lang w:val="en-GB"/>
                  </w:rPr>
                  <w:t>21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5" w:history="1">
                <w:r w:rsidR="00A03444" w:rsidRPr="003569BE">
                  <w:rPr>
                    <w:rStyle w:val="Hyperlink"/>
                    <w:noProof/>
                    <w:lang w:val="en-GB"/>
                  </w:rPr>
                  <w:t>3.1.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Jones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_Toc396633555 \h </w:instrText>
                </w:r>
                <w:r w:rsidRPr="003569BE">
                  <w:rPr>
                    <w:noProof/>
                    <w:webHidden/>
                    <w:lang w:val="en-GB"/>
                  </w:rPr>
                </w:r>
                <w:r w:rsidRPr="003569BE">
                  <w:rPr>
                    <w:noProof/>
                    <w:webHidden/>
                    <w:lang w:val="en-GB"/>
                  </w:rPr>
                  <w:fldChar w:fldCharType="separate"/>
                </w:r>
                <w:r w:rsidR="008C0931" w:rsidRPr="003569BE">
                  <w:rPr>
                    <w:noProof/>
                    <w:webHidden/>
                    <w:lang w:val="en-GB"/>
                  </w:rPr>
                  <w:t>21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6" w:history="1">
                <w:r w:rsidR="00A03444" w:rsidRPr="003569BE">
                  <w:rPr>
                    <w:rStyle w:val="Hyperlink"/>
                    <w:noProof/>
                    <w:lang w:val="en-GB"/>
                  </w:rPr>
                  <w:t>3.2.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Modified Jones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_Toc396633556 \h </w:instrText>
                </w:r>
                <w:r w:rsidRPr="003569BE">
                  <w:rPr>
                    <w:noProof/>
                    <w:webHidden/>
                    <w:lang w:val="en-GB"/>
                  </w:rPr>
                </w:r>
                <w:r w:rsidRPr="003569BE">
                  <w:rPr>
                    <w:noProof/>
                    <w:webHidden/>
                    <w:lang w:val="en-GB"/>
                  </w:rPr>
                  <w:fldChar w:fldCharType="separate"/>
                </w:r>
                <w:r w:rsidR="008C0931" w:rsidRPr="003569BE">
                  <w:rPr>
                    <w:noProof/>
                    <w:webHidden/>
                    <w:lang w:val="en-GB"/>
                  </w:rPr>
                  <w:t>23</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7" w:history="1">
                <w:r w:rsidR="00A03444" w:rsidRPr="003569BE">
                  <w:rPr>
                    <w:rStyle w:val="Hyperlink"/>
                    <w:noProof/>
                    <w:lang w:val="en-GB"/>
                  </w:rPr>
                  <w:t>3.3.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The Industry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_Toc396633557 \h </w:instrText>
                </w:r>
                <w:r w:rsidRPr="003569BE">
                  <w:rPr>
                    <w:noProof/>
                    <w:webHidden/>
                    <w:lang w:val="en-GB"/>
                  </w:rPr>
                </w:r>
                <w:r w:rsidRPr="003569BE">
                  <w:rPr>
                    <w:noProof/>
                    <w:webHidden/>
                    <w:lang w:val="en-GB"/>
                  </w:rPr>
                  <w:fldChar w:fldCharType="separate"/>
                </w:r>
                <w:r w:rsidR="008C0931" w:rsidRPr="003569BE">
                  <w:rPr>
                    <w:noProof/>
                    <w:webHidden/>
                    <w:lang w:val="en-GB"/>
                  </w:rPr>
                  <w:t>24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8" w:history="1">
                <w:r w:rsidR="00A03444" w:rsidRPr="003569BE">
                  <w:rPr>
                    <w:rStyle w:val="Hyperlink"/>
                    <w:noProof/>
                    <w:lang w:val="en-GB"/>
                  </w:rPr>
                  <w:t>3.4.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The Healy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_Toc396633558 \h </w:instrText>
                </w:r>
                <w:r w:rsidRPr="003569BE">
                  <w:rPr>
                    <w:noProof/>
                    <w:webHidden/>
                    <w:lang w:val="en-GB"/>
                  </w:rPr>
                </w:r>
                <w:r w:rsidRPr="003569BE">
                  <w:rPr>
                    <w:noProof/>
                    <w:webHidden/>
                    <w:lang w:val="en-GB"/>
                  </w:rPr>
                  <w:fldChar w:fldCharType="separate"/>
                </w:r>
                <w:r w:rsidR="008C0931" w:rsidRPr="003569BE">
                  <w:rPr>
                    <w:noProof/>
                    <w:webHidden/>
                    <w:lang w:val="en-GB"/>
                  </w:rPr>
                  <w:t>24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59" w:history="1">
                <w:r w:rsidR="00A03444" w:rsidRPr="003569BE">
                  <w:rPr>
                    <w:rStyle w:val="Hyperlink"/>
                    <w:rFonts w:cs="Times New Roman"/>
                    <w:noProof/>
                    <w:lang w:val="en-GB"/>
                  </w:rPr>
                  <w:t>3.5.</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 xml:space="preserve">The </w:t>
                </w:r>
                <w:r w:rsidR="00A03444" w:rsidRPr="003569BE">
                  <w:rPr>
                    <w:rStyle w:val="Hyperlink"/>
                    <w:noProof/>
                    <w:lang w:val="en-GB"/>
                  </w:rPr>
                  <w:t>DeAngelo</w:t>
                </w:r>
                <w:r w:rsidR="00A03444" w:rsidRPr="003569BE">
                  <w:rPr>
                    <w:rStyle w:val="Hyperlink"/>
                    <w:rFonts w:cs="Times New Roman"/>
                    <w:noProof/>
                    <w:lang w:val="en-GB"/>
                  </w:rPr>
                  <w:t xml:space="preserve">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_Toc396633559 \h </w:instrText>
                </w:r>
                <w:r w:rsidRPr="003569BE">
                  <w:rPr>
                    <w:noProof/>
                    <w:webHidden/>
                    <w:lang w:val="en-GB"/>
                  </w:rPr>
                </w:r>
                <w:r w:rsidRPr="003569BE">
                  <w:rPr>
                    <w:noProof/>
                    <w:webHidden/>
                    <w:lang w:val="en-GB"/>
                  </w:rPr>
                  <w:fldChar w:fldCharType="separate"/>
                </w:r>
                <w:r w:rsidR="008C0931" w:rsidRPr="003569BE">
                  <w:rPr>
                    <w:noProof/>
                    <w:webHidden/>
                    <w:lang w:val="en-GB"/>
                  </w:rPr>
                  <w:t>24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0" w:history="1">
                <w:r w:rsidR="00A03444" w:rsidRPr="003569BE">
                  <w:rPr>
                    <w:rStyle w:val="Hyperlink"/>
                    <w:noProof/>
                    <w:lang w:val="en-GB"/>
                  </w:rPr>
                  <w:t>3.6.</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McNichols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_Toc396633560 \h </w:instrText>
                </w:r>
                <w:r w:rsidRPr="003569BE">
                  <w:rPr>
                    <w:noProof/>
                    <w:webHidden/>
                    <w:lang w:val="en-GB"/>
                  </w:rPr>
                </w:r>
                <w:r w:rsidRPr="003569BE">
                  <w:rPr>
                    <w:noProof/>
                    <w:webHidden/>
                    <w:lang w:val="en-GB"/>
                  </w:rPr>
                  <w:fldChar w:fldCharType="separate"/>
                </w:r>
                <w:r w:rsidR="008C0931" w:rsidRPr="003569BE">
                  <w:rPr>
                    <w:noProof/>
                    <w:webHidden/>
                    <w:lang w:val="en-GB"/>
                  </w:rPr>
                  <w:t>25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1" w:history="1">
                <w:r w:rsidR="00A03444" w:rsidRPr="003569BE">
                  <w:rPr>
                    <w:rStyle w:val="Hyperlink"/>
                    <w:noProof/>
                    <w:lang w:val="en-GB"/>
                  </w:rPr>
                  <w:t>3.7.</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Forward Looking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_Toc396633561 \h </w:instrText>
                </w:r>
                <w:r w:rsidRPr="003569BE">
                  <w:rPr>
                    <w:noProof/>
                    <w:webHidden/>
                    <w:lang w:val="en-GB"/>
                  </w:rPr>
                </w:r>
                <w:r w:rsidRPr="003569BE">
                  <w:rPr>
                    <w:noProof/>
                    <w:webHidden/>
                    <w:lang w:val="en-GB"/>
                  </w:rPr>
                  <w:fldChar w:fldCharType="separate"/>
                </w:r>
                <w:r w:rsidR="008C0931" w:rsidRPr="003569BE">
                  <w:rPr>
                    <w:noProof/>
                    <w:webHidden/>
                    <w:lang w:val="en-GB"/>
                  </w:rPr>
                  <w:t>25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2" w:history="1">
                <w:r w:rsidR="00A03444" w:rsidRPr="003569BE">
                  <w:rPr>
                    <w:rStyle w:val="Hyperlink"/>
                    <w:noProof/>
                    <w:lang w:val="en-GB"/>
                  </w:rPr>
                  <w:t>3.8.</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Performance Matched Model</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_Toc396633562 \h </w:instrText>
                </w:r>
                <w:r w:rsidRPr="003569BE">
                  <w:rPr>
                    <w:noProof/>
                    <w:webHidden/>
                    <w:lang w:val="en-GB"/>
                  </w:rPr>
                </w:r>
                <w:r w:rsidRPr="003569BE">
                  <w:rPr>
                    <w:noProof/>
                    <w:webHidden/>
                    <w:lang w:val="en-GB"/>
                  </w:rPr>
                  <w:fldChar w:fldCharType="separate"/>
                </w:r>
                <w:r w:rsidR="008C0931" w:rsidRPr="003569BE">
                  <w:rPr>
                    <w:noProof/>
                    <w:webHidden/>
                    <w:lang w:val="en-GB"/>
                  </w:rPr>
                  <w:t>25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3" w:history="1">
                <w:r w:rsidR="00A03444" w:rsidRPr="003569BE">
                  <w:rPr>
                    <w:rStyle w:val="Hyperlink"/>
                    <w:noProof/>
                    <w:lang w:val="en-GB"/>
                  </w:rPr>
                  <w:t>3.9.</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Which earnings management measurement models to test the hypotheses in this thesis will be used?</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_Toc396633563 \h </w:instrText>
                </w:r>
                <w:r w:rsidRPr="003569BE">
                  <w:rPr>
                    <w:noProof/>
                    <w:webHidden/>
                    <w:lang w:val="en-GB"/>
                  </w:rPr>
                </w:r>
                <w:r w:rsidRPr="003569BE">
                  <w:rPr>
                    <w:noProof/>
                    <w:webHidden/>
                    <w:lang w:val="en-GB"/>
                  </w:rPr>
                  <w:fldChar w:fldCharType="separate"/>
                </w:r>
                <w:r w:rsidR="008C0931" w:rsidRPr="003569BE">
                  <w:rPr>
                    <w:noProof/>
                    <w:webHidden/>
                    <w:lang w:val="en-GB"/>
                  </w:rPr>
                  <w:t>26</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64" w:history="1">
                <w:r w:rsidR="00A03444" w:rsidRPr="003569BE">
                  <w:rPr>
                    <w:rStyle w:val="Hyperlink"/>
                    <w:noProof/>
                    <w:lang w:val="en-GB"/>
                  </w:rPr>
                  <w:t>3.10.</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_Toc396633564 \h </w:instrText>
                </w:r>
                <w:r w:rsidRPr="003569BE">
                  <w:rPr>
                    <w:noProof/>
                    <w:webHidden/>
                    <w:lang w:val="en-GB"/>
                  </w:rPr>
                </w:r>
                <w:r w:rsidRPr="003569BE">
                  <w:rPr>
                    <w:noProof/>
                    <w:webHidden/>
                    <w:lang w:val="en-GB"/>
                  </w:rPr>
                  <w:fldChar w:fldCharType="separate"/>
                </w:r>
                <w:r w:rsidR="008C0931" w:rsidRPr="003569BE">
                  <w:rPr>
                    <w:noProof/>
                    <w:webHidden/>
                    <w:lang w:val="en-GB"/>
                  </w:rPr>
                  <w:t>26</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65" w:history="1">
                <w:r w:rsidR="00A03444" w:rsidRPr="003569BE">
                  <w:rPr>
                    <w:rStyle w:val="Hyperlink"/>
                    <w:noProof/>
                    <w:lang w:val="en-GB"/>
                  </w:rPr>
                  <w:t>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Evidence from Prior Research</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_Toc396633565 \h </w:instrText>
                </w:r>
                <w:r w:rsidRPr="003569BE">
                  <w:rPr>
                    <w:noProof/>
                    <w:webHidden/>
                    <w:lang w:val="en-GB"/>
                  </w:rPr>
                </w:r>
                <w:r w:rsidRPr="003569BE">
                  <w:rPr>
                    <w:noProof/>
                    <w:webHidden/>
                    <w:lang w:val="en-GB"/>
                  </w:rPr>
                  <w:fldChar w:fldCharType="separate"/>
                </w:r>
                <w:r w:rsidR="008C0931" w:rsidRPr="003569BE">
                  <w:rPr>
                    <w:noProof/>
                    <w:webHidden/>
                    <w:lang w:val="en-GB"/>
                  </w:rPr>
                  <w:t>28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6" w:history="1">
                <w:r w:rsidR="00A03444" w:rsidRPr="003569BE">
                  <w:rPr>
                    <w:rStyle w:val="Hyperlink"/>
                    <w:rFonts w:cs="Times New Roman"/>
                    <w:noProof/>
                    <w:lang w:val="en-GB"/>
                  </w:rPr>
                  <w:t>4.1.</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The relationship between MAFR and the auditor independence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_Toc396633566 \h </w:instrText>
                </w:r>
                <w:r w:rsidRPr="003569BE">
                  <w:rPr>
                    <w:noProof/>
                    <w:webHidden/>
                    <w:lang w:val="en-GB"/>
                  </w:rPr>
                </w:r>
                <w:r w:rsidRPr="003569BE">
                  <w:rPr>
                    <w:noProof/>
                    <w:webHidden/>
                    <w:lang w:val="en-GB"/>
                  </w:rPr>
                  <w:fldChar w:fldCharType="separate"/>
                </w:r>
                <w:r w:rsidR="008C0931" w:rsidRPr="003569BE">
                  <w:rPr>
                    <w:noProof/>
                    <w:webHidden/>
                    <w:lang w:val="en-GB"/>
                  </w:rPr>
                  <w:t>28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67" w:history="1">
                <w:r w:rsidR="00A03444" w:rsidRPr="003569BE">
                  <w:rPr>
                    <w:rStyle w:val="Hyperlink"/>
                    <w:rFonts w:cs="Times New Roman"/>
                    <w:noProof/>
                    <w:lang w:val="en-GB"/>
                  </w:rPr>
                  <w:t>4.2.</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 xml:space="preserve">The relationship </w:t>
                </w:r>
                <w:r w:rsidR="00A03444" w:rsidRPr="003569BE">
                  <w:rPr>
                    <w:rStyle w:val="Hyperlink"/>
                    <w:noProof/>
                    <w:lang w:val="en-GB"/>
                  </w:rPr>
                  <w:t>between</w:t>
                </w:r>
                <w:r w:rsidR="00A03444" w:rsidRPr="003569BE">
                  <w:rPr>
                    <w:rStyle w:val="Hyperlink"/>
                    <w:rFonts w:cs="Times New Roman"/>
                    <w:noProof/>
                    <w:lang w:val="en-GB"/>
                  </w:rPr>
                  <w:t xml:space="preserve"> MAFR and the use of earnings management analysed in two steps: (1) the effect of MAFR on the audit quality and (2) the effect of the audit quality on the use of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_Toc396633567 \h </w:instrText>
                </w:r>
                <w:r w:rsidRPr="003569BE">
                  <w:rPr>
                    <w:noProof/>
                    <w:webHidden/>
                    <w:lang w:val="en-GB"/>
                  </w:rPr>
                </w:r>
                <w:r w:rsidRPr="003569BE">
                  <w:rPr>
                    <w:noProof/>
                    <w:webHidden/>
                    <w:lang w:val="en-GB"/>
                  </w:rPr>
                  <w:fldChar w:fldCharType="separate"/>
                </w:r>
                <w:r w:rsidR="008C0931" w:rsidRPr="003569BE">
                  <w:rPr>
                    <w:noProof/>
                    <w:webHidden/>
                    <w:lang w:val="en-GB"/>
                  </w:rPr>
                  <w:t>29</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68" w:history="1">
                <w:r w:rsidR="00A03444" w:rsidRPr="003569BE">
                  <w:rPr>
                    <w:rStyle w:val="Hyperlink"/>
                    <w:rFonts w:cs="Times New Roman"/>
                    <w:noProof/>
                    <w:lang w:val="en-GB"/>
                  </w:rPr>
                  <w:t>4.2.1.</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The effect of MAFR on the audit quality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_Toc396633568 \h </w:instrText>
                </w:r>
                <w:r w:rsidRPr="003569BE">
                  <w:rPr>
                    <w:noProof/>
                    <w:webHidden/>
                    <w:lang w:val="en-GB"/>
                  </w:rPr>
                </w:r>
                <w:r w:rsidRPr="003569BE">
                  <w:rPr>
                    <w:noProof/>
                    <w:webHidden/>
                    <w:lang w:val="en-GB"/>
                  </w:rPr>
                  <w:fldChar w:fldCharType="separate"/>
                </w:r>
                <w:r w:rsidR="008C0931" w:rsidRPr="003569BE">
                  <w:rPr>
                    <w:noProof/>
                    <w:webHidden/>
                    <w:lang w:val="en-GB"/>
                  </w:rPr>
                  <w:t>30</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69" w:history="1">
                <w:r w:rsidR="00A03444" w:rsidRPr="003569BE">
                  <w:rPr>
                    <w:rStyle w:val="Hyperlink"/>
                    <w:rFonts w:cs="Times New Roman"/>
                    <w:noProof/>
                    <w:lang w:val="en-GB"/>
                  </w:rPr>
                  <w:t>4.2.2.</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The effect of auditors’ behaviour on the use of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_Toc396633569 \h </w:instrText>
                </w:r>
                <w:r w:rsidRPr="003569BE">
                  <w:rPr>
                    <w:noProof/>
                    <w:webHidden/>
                    <w:lang w:val="en-GB"/>
                  </w:rPr>
                </w:r>
                <w:r w:rsidRPr="003569BE">
                  <w:rPr>
                    <w:noProof/>
                    <w:webHidden/>
                    <w:lang w:val="en-GB"/>
                  </w:rPr>
                  <w:fldChar w:fldCharType="separate"/>
                </w:r>
                <w:r w:rsidR="008C0931" w:rsidRPr="003569BE">
                  <w:rPr>
                    <w:noProof/>
                    <w:webHidden/>
                    <w:lang w:val="en-GB"/>
                  </w:rPr>
                  <w:t>31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0" w:history="1">
                <w:r w:rsidR="00A03444" w:rsidRPr="003569BE">
                  <w:rPr>
                    <w:rStyle w:val="Hyperlink"/>
                    <w:rFonts w:cs="Times New Roman"/>
                    <w:noProof/>
                    <w:lang w:val="en-GB"/>
                  </w:rPr>
                  <w:t>4.3.</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The relationship between the audit tenure and the use of earnings management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_Toc396633570 \h </w:instrText>
                </w:r>
                <w:r w:rsidRPr="003569BE">
                  <w:rPr>
                    <w:noProof/>
                    <w:webHidden/>
                    <w:lang w:val="en-GB"/>
                  </w:rPr>
                </w:r>
                <w:r w:rsidRPr="003569BE">
                  <w:rPr>
                    <w:noProof/>
                    <w:webHidden/>
                    <w:lang w:val="en-GB"/>
                  </w:rPr>
                  <w:fldChar w:fldCharType="separate"/>
                </w:r>
                <w:r w:rsidR="008C0931" w:rsidRPr="003569BE">
                  <w:rPr>
                    <w:noProof/>
                    <w:webHidden/>
                    <w:lang w:val="en-GB"/>
                  </w:rPr>
                  <w:t>33</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1" w:history="1">
                <w:r w:rsidR="00A03444" w:rsidRPr="003569BE">
                  <w:rPr>
                    <w:rStyle w:val="Hyperlink"/>
                    <w:rFonts w:cs="Times New Roman"/>
                    <w:noProof/>
                    <w:lang w:val="en-GB"/>
                  </w:rPr>
                  <w:t>4.4.</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Comparative Assessment of the Prior Literature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_Toc396633571 \h </w:instrText>
                </w:r>
                <w:r w:rsidRPr="003569BE">
                  <w:rPr>
                    <w:noProof/>
                    <w:webHidden/>
                    <w:lang w:val="en-GB"/>
                  </w:rPr>
                </w:r>
                <w:r w:rsidRPr="003569BE">
                  <w:rPr>
                    <w:noProof/>
                    <w:webHidden/>
                    <w:lang w:val="en-GB"/>
                  </w:rPr>
                  <w:fldChar w:fldCharType="separate"/>
                </w:r>
                <w:r w:rsidR="008C0931" w:rsidRPr="003569BE">
                  <w:rPr>
                    <w:noProof/>
                    <w:webHidden/>
                    <w:lang w:val="en-GB"/>
                  </w:rPr>
                  <w:t>36</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2" w:history="1">
                <w:r w:rsidR="00A03444" w:rsidRPr="003569BE">
                  <w:rPr>
                    <w:rStyle w:val="Hyperlink"/>
                    <w:rFonts w:cs="Times New Roman"/>
                    <w:noProof/>
                    <w:lang w:val="en-GB"/>
                  </w:rPr>
                  <w:t>4.5.</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_Toc396633572 \h </w:instrText>
                </w:r>
                <w:r w:rsidRPr="003569BE">
                  <w:rPr>
                    <w:noProof/>
                    <w:webHidden/>
                    <w:lang w:val="en-GB"/>
                  </w:rPr>
                </w:r>
                <w:r w:rsidRPr="003569BE">
                  <w:rPr>
                    <w:noProof/>
                    <w:webHidden/>
                    <w:lang w:val="en-GB"/>
                  </w:rPr>
                  <w:fldChar w:fldCharType="separate"/>
                </w:r>
                <w:r w:rsidR="008C0931" w:rsidRPr="003569BE">
                  <w:rPr>
                    <w:noProof/>
                    <w:webHidden/>
                    <w:lang w:val="en-GB"/>
                  </w:rPr>
                  <w:t>37</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73" w:history="1">
                <w:r w:rsidR="00A03444" w:rsidRPr="003569BE">
                  <w:rPr>
                    <w:rStyle w:val="Hyperlink"/>
                    <w:noProof/>
                    <w:lang w:val="en-GB"/>
                  </w:rPr>
                  <w:t>5.</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Hypotheses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_Toc396633573 \h </w:instrText>
                </w:r>
                <w:r w:rsidRPr="003569BE">
                  <w:rPr>
                    <w:noProof/>
                    <w:webHidden/>
                    <w:lang w:val="en-GB"/>
                  </w:rPr>
                </w:r>
                <w:r w:rsidRPr="003569BE">
                  <w:rPr>
                    <w:noProof/>
                    <w:webHidden/>
                    <w:lang w:val="en-GB"/>
                  </w:rPr>
                  <w:fldChar w:fldCharType="separate"/>
                </w:r>
                <w:r w:rsidR="008C0931" w:rsidRPr="003569BE">
                  <w:rPr>
                    <w:noProof/>
                    <w:webHidden/>
                    <w:lang w:val="en-GB"/>
                  </w:rPr>
                  <w:t>38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4" w:history="1">
                <w:r w:rsidR="00A03444" w:rsidRPr="003569BE">
                  <w:rPr>
                    <w:rStyle w:val="Hyperlink"/>
                    <w:rFonts w:cs="Times New Roman"/>
                    <w:noProof/>
                    <w:lang w:val="en-GB"/>
                  </w:rPr>
                  <w:t>5.1.</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Hypotheses Development</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_Toc396633574 \h </w:instrText>
                </w:r>
                <w:r w:rsidRPr="003569BE">
                  <w:rPr>
                    <w:noProof/>
                    <w:webHidden/>
                    <w:lang w:val="en-GB"/>
                  </w:rPr>
                </w:r>
                <w:r w:rsidRPr="003569BE">
                  <w:rPr>
                    <w:noProof/>
                    <w:webHidden/>
                    <w:lang w:val="en-GB"/>
                  </w:rPr>
                  <w:fldChar w:fldCharType="separate"/>
                </w:r>
                <w:r w:rsidR="008C0931" w:rsidRPr="003569BE">
                  <w:rPr>
                    <w:noProof/>
                    <w:webHidden/>
                    <w:lang w:val="en-GB"/>
                  </w:rPr>
                  <w:t>38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5" w:history="1">
                <w:r w:rsidR="00A03444" w:rsidRPr="003569BE">
                  <w:rPr>
                    <w:rStyle w:val="Hyperlink"/>
                    <w:rFonts w:cs="Times New Roman"/>
                    <w:noProof/>
                    <w:lang w:val="en-GB"/>
                  </w:rPr>
                  <w:t>5.2.</w:t>
                </w:r>
                <w:r w:rsidR="00A03444" w:rsidRPr="003569BE">
                  <w:rPr>
                    <w:rFonts w:asciiTheme="minorHAnsi" w:eastAsiaTheme="minorEastAsia" w:hAnsiTheme="minorHAnsi"/>
                    <w:noProof/>
                    <w:sz w:val="22"/>
                    <w:lang w:val="en-GB" w:eastAsia="ro-RO"/>
                  </w:rPr>
                  <w:tab/>
                </w:r>
                <w:r w:rsidR="00A03444" w:rsidRPr="003569BE">
                  <w:rPr>
                    <w:rStyle w:val="Hyperlink"/>
                    <w:rFonts w:cs="Times New Roman"/>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_Toc396633575 \h </w:instrText>
                </w:r>
                <w:r w:rsidRPr="003569BE">
                  <w:rPr>
                    <w:noProof/>
                    <w:webHidden/>
                    <w:lang w:val="en-GB"/>
                  </w:rPr>
                </w:r>
                <w:r w:rsidRPr="003569BE">
                  <w:rPr>
                    <w:noProof/>
                    <w:webHidden/>
                    <w:lang w:val="en-GB"/>
                  </w:rPr>
                  <w:fldChar w:fldCharType="separate"/>
                </w:r>
                <w:r w:rsidR="008C0931" w:rsidRPr="003569BE">
                  <w:rPr>
                    <w:noProof/>
                    <w:webHidden/>
                    <w:lang w:val="en-GB"/>
                  </w:rPr>
                  <w:t>40</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76" w:history="1">
                <w:r w:rsidR="00A03444" w:rsidRPr="003569BE">
                  <w:rPr>
                    <w:rStyle w:val="Hyperlink"/>
                    <w:rFonts w:cs="Times New Roman"/>
                    <w:noProof/>
                    <w:lang w:val="en-GB"/>
                  </w:rPr>
                  <w:t>6.</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Research</w:t>
                </w:r>
                <w:r w:rsidR="00A03444" w:rsidRPr="003569BE">
                  <w:rPr>
                    <w:rStyle w:val="Hyperlink"/>
                    <w:rFonts w:cs="Times New Roman"/>
                    <w:noProof/>
                    <w:lang w:val="en-GB"/>
                  </w:rPr>
                  <w:t xml:space="preserve"> </w:t>
                </w:r>
                <w:r w:rsidR="00A03444" w:rsidRPr="003569BE">
                  <w:rPr>
                    <w:rStyle w:val="Hyperlink"/>
                    <w:noProof/>
                    <w:lang w:val="en-GB"/>
                  </w:rPr>
                  <w:t>Design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_Toc396633576 \h </w:instrText>
                </w:r>
                <w:r w:rsidRPr="003569BE">
                  <w:rPr>
                    <w:noProof/>
                    <w:webHidden/>
                    <w:lang w:val="en-GB"/>
                  </w:rPr>
                </w:r>
                <w:r w:rsidRPr="003569BE">
                  <w:rPr>
                    <w:noProof/>
                    <w:webHidden/>
                    <w:lang w:val="en-GB"/>
                  </w:rPr>
                  <w:fldChar w:fldCharType="separate"/>
                </w:r>
                <w:r w:rsidR="008C0931" w:rsidRPr="003569BE">
                  <w:rPr>
                    <w:noProof/>
                    <w:webHidden/>
                    <w:lang w:val="en-GB"/>
                  </w:rPr>
                  <w:t>41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7" w:history="1">
                <w:r w:rsidR="00A03444" w:rsidRPr="003569BE">
                  <w:rPr>
                    <w:rStyle w:val="Hyperlink"/>
                    <w:noProof/>
                    <w:lang w:val="en-GB"/>
                  </w:rPr>
                  <w:t>6.1.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Research approach</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_Toc396633577 \h </w:instrText>
                </w:r>
                <w:r w:rsidRPr="003569BE">
                  <w:rPr>
                    <w:noProof/>
                    <w:webHidden/>
                    <w:lang w:val="en-GB"/>
                  </w:rPr>
                </w:r>
                <w:r w:rsidRPr="003569BE">
                  <w:rPr>
                    <w:noProof/>
                    <w:webHidden/>
                    <w:lang w:val="en-GB"/>
                  </w:rPr>
                  <w:fldChar w:fldCharType="separate"/>
                </w:r>
                <w:r w:rsidR="008C0931" w:rsidRPr="003569BE">
                  <w:rPr>
                    <w:noProof/>
                    <w:webHidden/>
                    <w:lang w:val="en-GB"/>
                  </w:rPr>
                  <w:t>41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78" w:history="1">
                <w:r w:rsidR="00A03444" w:rsidRPr="003569BE">
                  <w:rPr>
                    <w:rStyle w:val="Hyperlink"/>
                    <w:noProof/>
                    <w:lang w:val="en-GB"/>
                  </w:rPr>
                  <w:t>6.2.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Research Methodology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_Toc396633578 \h </w:instrText>
                </w:r>
                <w:r w:rsidRPr="003569BE">
                  <w:rPr>
                    <w:noProof/>
                    <w:webHidden/>
                    <w:lang w:val="en-GB"/>
                  </w:rPr>
                </w:r>
                <w:r w:rsidRPr="003569BE">
                  <w:rPr>
                    <w:noProof/>
                    <w:webHidden/>
                    <w:lang w:val="en-GB"/>
                  </w:rPr>
                  <w:fldChar w:fldCharType="separate"/>
                </w:r>
                <w:r w:rsidR="008C0931" w:rsidRPr="003569BE">
                  <w:rPr>
                    <w:noProof/>
                    <w:webHidden/>
                    <w:lang w:val="en-GB"/>
                  </w:rPr>
                  <w:t>42</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79" w:history="1">
                <w:r w:rsidR="00A03444" w:rsidRPr="003569BE">
                  <w:rPr>
                    <w:rStyle w:val="Hyperlink"/>
                    <w:noProof/>
                    <w:lang w:val="en-GB"/>
                  </w:rPr>
                  <w:t>6.2.1.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Measuring the Amount of Discretionary Accruals (the dependent variable)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_Toc396633579 \h </w:instrText>
                </w:r>
                <w:r w:rsidRPr="003569BE">
                  <w:rPr>
                    <w:noProof/>
                    <w:webHidden/>
                    <w:lang w:val="en-GB"/>
                  </w:rPr>
                </w:r>
                <w:r w:rsidRPr="003569BE">
                  <w:rPr>
                    <w:noProof/>
                    <w:webHidden/>
                    <w:lang w:val="en-GB"/>
                  </w:rPr>
                  <w:fldChar w:fldCharType="separate"/>
                </w:r>
                <w:r w:rsidR="008C0931" w:rsidRPr="003569BE">
                  <w:rPr>
                    <w:noProof/>
                    <w:webHidden/>
                    <w:lang w:val="en-GB"/>
                  </w:rPr>
                  <w:t>42</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80" w:history="1">
                <w:r w:rsidR="00A03444" w:rsidRPr="003569BE">
                  <w:rPr>
                    <w:rStyle w:val="Hyperlink"/>
                    <w:noProof/>
                    <w:lang w:val="en-GB"/>
                  </w:rPr>
                  <w:t>6.2.2.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Measuring the length of the audit tenure (the independent variable)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_Toc396633580 \h </w:instrText>
                </w:r>
                <w:r w:rsidRPr="003569BE">
                  <w:rPr>
                    <w:noProof/>
                    <w:webHidden/>
                    <w:lang w:val="en-GB"/>
                  </w:rPr>
                </w:r>
                <w:r w:rsidRPr="003569BE">
                  <w:rPr>
                    <w:noProof/>
                    <w:webHidden/>
                    <w:lang w:val="en-GB"/>
                  </w:rPr>
                  <w:fldChar w:fldCharType="separate"/>
                </w:r>
                <w:r w:rsidR="008C0931" w:rsidRPr="003569BE">
                  <w:rPr>
                    <w:noProof/>
                    <w:webHidden/>
                    <w:lang w:val="en-GB"/>
                  </w:rPr>
                  <w:t>43</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81" w:history="1">
                <w:r w:rsidR="00A03444" w:rsidRPr="003569BE">
                  <w:rPr>
                    <w:rStyle w:val="Hyperlink"/>
                    <w:rFonts w:cs="Times New Roman"/>
                    <w:noProof/>
                    <w:lang w:val="en-GB"/>
                  </w:rPr>
                  <w:t>6.2.3.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Control</w:t>
                </w:r>
                <w:r w:rsidR="00A03444" w:rsidRPr="003569BE">
                  <w:rPr>
                    <w:rStyle w:val="Hyperlink"/>
                    <w:rFonts w:cs="Times New Roman"/>
                    <w:noProof/>
                    <w:lang w:val="en-GB"/>
                  </w:rPr>
                  <w:t xml:space="preserve"> variables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_Toc396633581 \h </w:instrText>
                </w:r>
                <w:r w:rsidRPr="003569BE">
                  <w:rPr>
                    <w:noProof/>
                    <w:webHidden/>
                    <w:lang w:val="en-GB"/>
                  </w:rPr>
                </w:r>
                <w:r w:rsidRPr="003569BE">
                  <w:rPr>
                    <w:noProof/>
                    <w:webHidden/>
                    <w:lang w:val="en-GB"/>
                  </w:rPr>
                  <w:fldChar w:fldCharType="separate"/>
                </w:r>
                <w:r w:rsidR="008C0931" w:rsidRPr="003569BE">
                  <w:rPr>
                    <w:noProof/>
                    <w:webHidden/>
                    <w:lang w:val="en-GB"/>
                  </w:rPr>
                  <w:t>44</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82" w:history="1">
                <w:r w:rsidR="00A03444" w:rsidRPr="003569BE">
                  <w:rPr>
                    <w:rStyle w:val="Hyperlink"/>
                    <w:noProof/>
                    <w:lang w:val="en-GB"/>
                  </w:rPr>
                  <w:t>6.2.4.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Testing the hypotheses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_Toc396633582 \h </w:instrText>
                </w:r>
                <w:r w:rsidRPr="003569BE">
                  <w:rPr>
                    <w:noProof/>
                    <w:webHidden/>
                    <w:lang w:val="en-GB"/>
                  </w:rPr>
                </w:r>
                <w:r w:rsidRPr="003569BE">
                  <w:rPr>
                    <w:noProof/>
                    <w:webHidden/>
                    <w:lang w:val="en-GB"/>
                  </w:rPr>
                  <w:fldChar w:fldCharType="separate"/>
                </w:r>
                <w:r w:rsidR="008C0931" w:rsidRPr="003569BE">
                  <w:rPr>
                    <w:noProof/>
                    <w:webHidden/>
                    <w:lang w:val="en-GB"/>
                  </w:rPr>
                  <w:t>45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83" w:history="1">
                <w:r w:rsidR="00A03444" w:rsidRPr="003569BE">
                  <w:rPr>
                    <w:rStyle w:val="Hyperlink"/>
                    <w:rFonts w:cs="Times New Roman"/>
                    <w:noProof/>
                    <w:lang w:val="en-GB"/>
                  </w:rPr>
                  <w:t>6.3.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Validity</w:t>
                </w:r>
                <w:r w:rsidR="00A03444" w:rsidRPr="003569BE">
                  <w:rPr>
                    <w:rStyle w:val="Hyperlink"/>
                    <w:rFonts w:cs="Times New Roman"/>
                    <w:noProof/>
                    <w:lang w:val="en-GB"/>
                  </w:rPr>
                  <w:t xml:space="preserve"> framework</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_Toc396633583 \h </w:instrText>
                </w:r>
                <w:r w:rsidRPr="003569BE">
                  <w:rPr>
                    <w:noProof/>
                    <w:webHidden/>
                    <w:lang w:val="en-GB"/>
                  </w:rPr>
                </w:r>
                <w:r w:rsidRPr="003569BE">
                  <w:rPr>
                    <w:noProof/>
                    <w:webHidden/>
                    <w:lang w:val="en-GB"/>
                  </w:rPr>
                  <w:fldChar w:fldCharType="separate"/>
                </w:r>
                <w:r w:rsidR="008C0931" w:rsidRPr="003569BE">
                  <w:rPr>
                    <w:noProof/>
                    <w:webHidden/>
                    <w:lang w:val="en-GB"/>
                  </w:rPr>
                  <w:t>45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84" w:history="1">
                <w:r w:rsidR="00A03444" w:rsidRPr="003569BE">
                  <w:rPr>
                    <w:rStyle w:val="Hyperlink"/>
                    <w:noProof/>
                    <w:lang w:val="en-GB"/>
                  </w:rPr>
                  <w:t>6.4.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Sample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_Toc396633584 \h </w:instrText>
                </w:r>
                <w:r w:rsidRPr="003569BE">
                  <w:rPr>
                    <w:noProof/>
                    <w:webHidden/>
                    <w:lang w:val="en-GB"/>
                  </w:rPr>
                </w:r>
                <w:r w:rsidRPr="003569BE">
                  <w:rPr>
                    <w:noProof/>
                    <w:webHidden/>
                    <w:lang w:val="en-GB"/>
                  </w:rPr>
                  <w:fldChar w:fldCharType="separate"/>
                </w:r>
                <w:r w:rsidR="008C0931" w:rsidRPr="003569BE">
                  <w:rPr>
                    <w:noProof/>
                    <w:webHidden/>
                    <w:lang w:val="en-GB"/>
                  </w:rPr>
                  <w:t>48</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85" w:history="1">
                <w:r w:rsidR="00A03444" w:rsidRPr="003569BE">
                  <w:rPr>
                    <w:rStyle w:val="Hyperlink"/>
                    <w:noProof/>
                    <w:lang w:val="en-GB"/>
                  </w:rPr>
                  <w:t>6.4.1.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Sample Selection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_Toc396633585 \h </w:instrText>
                </w:r>
                <w:r w:rsidRPr="003569BE">
                  <w:rPr>
                    <w:noProof/>
                    <w:webHidden/>
                    <w:lang w:val="en-GB"/>
                  </w:rPr>
                </w:r>
                <w:r w:rsidRPr="003569BE">
                  <w:rPr>
                    <w:noProof/>
                    <w:webHidden/>
                    <w:lang w:val="en-GB"/>
                  </w:rPr>
                  <w:fldChar w:fldCharType="separate"/>
                </w:r>
                <w:r w:rsidR="008C0931" w:rsidRPr="003569BE">
                  <w:rPr>
                    <w:noProof/>
                    <w:webHidden/>
                    <w:lang w:val="en-GB"/>
                  </w:rPr>
                  <w:t>48</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86" w:history="1">
                <w:r w:rsidR="00A03444" w:rsidRPr="003569BE">
                  <w:rPr>
                    <w:rStyle w:val="Hyperlink"/>
                    <w:noProof/>
                    <w:lang w:val="en-GB"/>
                  </w:rPr>
                  <w:t>6.4.2.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Data Collection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_Toc396633586 \h </w:instrText>
                </w:r>
                <w:r w:rsidRPr="003569BE">
                  <w:rPr>
                    <w:noProof/>
                    <w:webHidden/>
                    <w:lang w:val="en-GB"/>
                  </w:rPr>
                </w:r>
                <w:r w:rsidRPr="003569BE">
                  <w:rPr>
                    <w:noProof/>
                    <w:webHidden/>
                    <w:lang w:val="en-GB"/>
                  </w:rPr>
                  <w:fldChar w:fldCharType="separate"/>
                </w:r>
                <w:r w:rsidR="008C0931" w:rsidRPr="003569BE">
                  <w:rPr>
                    <w:noProof/>
                    <w:webHidden/>
                    <w:lang w:val="en-GB"/>
                  </w:rPr>
                  <w:t>50</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87" w:history="1">
                <w:r w:rsidR="00A03444" w:rsidRPr="003569BE">
                  <w:rPr>
                    <w:rStyle w:val="Hyperlink"/>
                    <w:noProof/>
                    <w:lang w:val="en-GB"/>
                  </w:rPr>
                  <w:t>6.5.</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_Toc396633587 \h </w:instrText>
                </w:r>
                <w:r w:rsidRPr="003569BE">
                  <w:rPr>
                    <w:noProof/>
                    <w:webHidden/>
                    <w:lang w:val="en-GB"/>
                  </w:rPr>
                </w:r>
                <w:r w:rsidRPr="003569BE">
                  <w:rPr>
                    <w:noProof/>
                    <w:webHidden/>
                    <w:lang w:val="en-GB"/>
                  </w:rPr>
                  <w:fldChar w:fldCharType="separate"/>
                </w:r>
                <w:r w:rsidR="008C0931" w:rsidRPr="003569BE">
                  <w:rPr>
                    <w:noProof/>
                    <w:webHidden/>
                    <w:lang w:val="en-GB"/>
                  </w:rPr>
                  <w:t>50</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588" w:history="1">
                <w:r w:rsidR="00A03444" w:rsidRPr="003569BE">
                  <w:rPr>
                    <w:rStyle w:val="Hyperlink"/>
                    <w:noProof/>
                    <w:lang w:val="en-GB"/>
                  </w:rPr>
                  <w:t>7.</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Results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_Toc396633588 \h </w:instrText>
                </w:r>
                <w:r w:rsidRPr="003569BE">
                  <w:rPr>
                    <w:noProof/>
                    <w:webHidden/>
                    <w:lang w:val="en-GB"/>
                  </w:rPr>
                </w:r>
                <w:r w:rsidRPr="003569BE">
                  <w:rPr>
                    <w:noProof/>
                    <w:webHidden/>
                    <w:lang w:val="en-GB"/>
                  </w:rPr>
                  <w:fldChar w:fldCharType="separate"/>
                </w:r>
                <w:r w:rsidR="008C0931" w:rsidRPr="003569BE">
                  <w:rPr>
                    <w:noProof/>
                    <w:webHidden/>
                    <w:lang w:val="en-GB"/>
                  </w:rPr>
                  <w:t>51</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89" w:history="1">
                <w:r w:rsidR="00A03444" w:rsidRPr="003569BE">
                  <w:rPr>
                    <w:rStyle w:val="Hyperlink"/>
                    <w:noProof/>
                    <w:lang w:val="en-GB"/>
                  </w:rPr>
                  <w:t>7.1.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Quality Tests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_Toc396633589 \h </w:instrText>
                </w:r>
                <w:r w:rsidRPr="003569BE">
                  <w:rPr>
                    <w:noProof/>
                    <w:webHidden/>
                    <w:lang w:val="en-GB"/>
                  </w:rPr>
                </w:r>
                <w:r w:rsidRPr="003569BE">
                  <w:rPr>
                    <w:noProof/>
                    <w:webHidden/>
                    <w:lang w:val="en-GB"/>
                  </w:rPr>
                  <w:fldChar w:fldCharType="separate"/>
                </w:r>
                <w:r w:rsidR="008C0931" w:rsidRPr="003569BE">
                  <w:rPr>
                    <w:noProof/>
                    <w:webHidden/>
                    <w:lang w:val="en-GB"/>
                  </w:rPr>
                  <w:t>51</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0" w:history="1">
                <w:r w:rsidR="00A03444" w:rsidRPr="003569BE">
                  <w:rPr>
                    <w:rStyle w:val="Hyperlink"/>
                    <w:noProof/>
                    <w:lang w:val="en-GB"/>
                  </w:rPr>
                  <w:t>7.1.1.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Normal Distribution of the Sample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_Toc396633590 \h </w:instrText>
                </w:r>
                <w:r w:rsidRPr="003569BE">
                  <w:rPr>
                    <w:noProof/>
                    <w:webHidden/>
                    <w:lang w:val="en-GB"/>
                  </w:rPr>
                </w:r>
                <w:r w:rsidRPr="003569BE">
                  <w:rPr>
                    <w:noProof/>
                    <w:webHidden/>
                    <w:lang w:val="en-GB"/>
                  </w:rPr>
                  <w:fldChar w:fldCharType="separate"/>
                </w:r>
                <w:r w:rsidR="008C0931" w:rsidRPr="003569BE">
                  <w:rPr>
                    <w:noProof/>
                    <w:webHidden/>
                    <w:lang w:val="en-GB"/>
                  </w:rPr>
                  <w:t>51</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1" w:history="1">
                <w:r w:rsidR="00A03444" w:rsidRPr="003569BE">
                  <w:rPr>
                    <w:rStyle w:val="Hyperlink"/>
                    <w:noProof/>
                    <w:lang w:val="en-GB"/>
                  </w:rPr>
                  <w:t>7.1.2.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Outliers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_Toc396633591 \h </w:instrText>
                </w:r>
                <w:r w:rsidRPr="003569BE">
                  <w:rPr>
                    <w:noProof/>
                    <w:webHidden/>
                    <w:lang w:val="en-GB"/>
                  </w:rPr>
                </w:r>
                <w:r w:rsidRPr="003569BE">
                  <w:rPr>
                    <w:noProof/>
                    <w:webHidden/>
                    <w:lang w:val="en-GB"/>
                  </w:rPr>
                  <w:fldChar w:fldCharType="separate"/>
                </w:r>
                <w:r w:rsidR="008C0931" w:rsidRPr="003569BE">
                  <w:rPr>
                    <w:noProof/>
                    <w:webHidden/>
                    <w:lang w:val="en-GB"/>
                  </w:rPr>
                  <w:t>52</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2" w:history="1">
                <w:r w:rsidR="00A03444" w:rsidRPr="003569BE">
                  <w:rPr>
                    <w:rStyle w:val="Hyperlink"/>
                    <w:noProof/>
                    <w:lang w:val="en-GB"/>
                  </w:rPr>
                  <w:t>7.1.3.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Homoscedasticity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_Toc396633592 \h </w:instrText>
                </w:r>
                <w:r w:rsidRPr="003569BE">
                  <w:rPr>
                    <w:noProof/>
                    <w:webHidden/>
                    <w:lang w:val="en-GB"/>
                  </w:rPr>
                </w:r>
                <w:r w:rsidRPr="003569BE">
                  <w:rPr>
                    <w:noProof/>
                    <w:webHidden/>
                    <w:lang w:val="en-GB"/>
                  </w:rPr>
                  <w:fldChar w:fldCharType="separate"/>
                </w:r>
                <w:r w:rsidR="008C0931" w:rsidRPr="003569BE">
                  <w:rPr>
                    <w:noProof/>
                    <w:webHidden/>
                    <w:lang w:val="en-GB"/>
                  </w:rPr>
                  <w:t>53</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3" w:history="1">
                <w:r w:rsidR="00A03444" w:rsidRPr="003569BE">
                  <w:rPr>
                    <w:rStyle w:val="Hyperlink"/>
                    <w:noProof/>
                    <w:lang w:val="en-GB"/>
                  </w:rPr>
                  <w:t>7.1.4.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Multicollinearity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_Toc396633593 \h </w:instrText>
                </w:r>
                <w:r w:rsidRPr="003569BE">
                  <w:rPr>
                    <w:noProof/>
                    <w:webHidden/>
                    <w:lang w:val="en-GB"/>
                  </w:rPr>
                </w:r>
                <w:r w:rsidRPr="003569BE">
                  <w:rPr>
                    <w:noProof/>
                    <w:webHidden/>
                    <w:lang w:val="en-GB"/>
                  </w:rPr>
                  <w:fldChar w:fldCharType="separate"/>
                </w:r>
                <w:r w:rsidR="008C0931" w:rsidRPr="003569BE">
                  <w:rPr>
                    <w:noProof/>
                    <w:webHidden/>
                    <w:lang w:val="en-GB"/>
                  </w:rPr>
                  <w:t>54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94" w:history="1">
                <w:r w:rsidR="00A03444" w:rsidRPr="003569BE">
                  <w:rPr>
                    <w:rStyle w:val="Hyperlink"/>
                    <w:noProof/>
                    <w:lang w:val="en-GB"/>
                  </w:rPr>
                  <w:t>7.2.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Earnings Management Model Results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_Toc396633594 \h </w:instrText>
                </w:r>
                <w:r w:rsidRPr="003569BE">
                  <w:rPr>
                    <w:noProof/>
                    <w:webHidden/>
                    <w:lang w:val="en-GB"/>
                  </w:rPr>
                </w:r>
                <w:r w:rsidRPr="003569BE">
                  <w:rPr>
                    <w:noProof/>
                    <w:webHidden/>
                    <w:lang w:val="en-GB"/>
                  </w:rPr>
                  <w:fldChar w:fldCharType="separate"/>
                </w:r>
                <w:r w:rsidR="008C0931" w:rsidRPr="003569BE">
                  <w:rPr>
                    <w:noProof/>
                    <w:webHidden/>
                    <w:lang w:val="en-GB"/>
                  </w:rPr>
                  <w:t>55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95" w:history="1">
                <w:r w:rsidR="00A03444" w:rsidRPr="003569BE">
                  <w:rPr>
                    <w:rStyle w:val="Hyperlink"/>
                    <w:noProof/>
                    <w:lang w:val="en-GB"/>
                  </w:rPr>
                  <w:t>7.3.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Hypotheses Testing Results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_Toc396633595 \h </w:instrText>
                </w:r>
                <w:r w:rsidRPr="003569BE">
                  <w:rPr>
                    <w:noProof/>
                    <w:webHidden/>
                    <w:lang w:val="en-GB"/>
                  </w:rPr>
                </w:r>
                <w:r w:rsidRPr="003569BE">
                  <w:rPr>
                    <w:noProof/>
                    <w:webHidden/>
                    <w:lang w:val="en-GB"/>
                  </w:rPr>
                  <w:fldChar w:fldCharType="separate"/>
                </w:r>
                <w:r w:rsidR="008C0931" w:rsidRPr="003569BE">
                  <w:rPr>
                    <w:noProof/>
                    <w:webHidden/>
                    <w:lang w:val="en-GB"/>
                  </w:rPr>
                  <w:t>57</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6" w:history="1">
                <w:r w:rsidR="00A03444" w:rsidRPr="003569BE">
                  <w:rPr>
                    <w:rStyle w:val="Hyperlink"/>
                    <w:noProof/>
                    <w:lang w:val="en-GB"/>
                  </w:rPr>
                  <w:t>7.3.1.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Hypothesis 1</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_Toc396633596 \h </w:instrText>
                </w:r>
                <w:r w:rsidRPr="003569BE">
                  <w:rPr>
                    <w:noProof/>
                    <w:webHidden/>
                    <w:lang w:val="en-GB"/>
                  </w:rPr>
                </w:r>
                <w:r w:rsidRPr="003569BE">
                  <w:rPr>
                    <w:noProof/>
                    <w:webHidden/>
                    <w:lang w:val="en-GB"/>
                  </w:rPr>
                  <w:fldChar w:fldCharType="separate"/>
                </w:r>
                <w:r w:rsidR="008C0931" w:rsidRPr="003569BE">
                  <w:rPr>
                    <w:noProof/>
                    <w:webHidden/>
                    <w:lang w:val="en-GB"/>
                  </w:rPr>
                  <w:t>57</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7" w:history="1">
                <w:r w:rsidR="00A03444" w:rsidRPr="003569BE">
                  <w:rPr>
                    <w:rStyle w:val="Hyperlink"/>
                    <w:noProof/>
                    <w:lang w:val="en-GB"/>
                  </w:rPr>
                  <w:t>7.3.2.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Hypothesis 2</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_Toc396633597 \h </w:instrText>
                </w:r>
                <w:r w:rsidRPr="003569BE">
                  <w:rPr>
                    <w:noProof/>
                    <w:webHidden/>
                    <w:lang w:val="en-GB"/>
                  </w:rPr>
                </w:r>
                <w:r w:rsidRPr="003569BE">
                  <w:rPr>
                    <w:noProof/>
                    <w:webHidden/>
                    <w:lang w:val="en-GB"/>
                  </w:rPr>
                  <w:fldChar w:fldCharType="separate"/>
                </w:r>
                <w:r w:rsidR="008C0931" w:rsidRPr="003569BE">
                  <w:rPr>
                    <w:noProof/>
                    <w:webHidden/>
                    <w:lang w:val="en-GB"/>
                  </w:rPr>
                  <w:t>58</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598" w:history="1">
                <w:r w:rsidR="00A03444" w:rsidRPr="003569BE">
                  <w:rPr>
                    <w:rStyle w:val="Hyperlink"/>
                    <w:noProof/>
                    <w:lang w:val="en-GB"/>
                  </w:rPr>
                  <w:t>7.4.</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Comparison with Prior Research</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_Toc396633598 \h </w:instrText>
                </w:r>
                <w:r w:rsidRPr="003569BE">
                  <w:rPr>
                    <w:noProof/>
                    <w:webHidden/>
                    <w:lang w:val="en-GB"/>
                  </w:rPr>
                </w:r>
                <w:r w:rsidRPr="003569BE">
                  <w:rPr>
                    <w:noProof/>
                    <w:webHidden/>
                    <w:lang w:val="en-GB"/>
                  </w:rPr>
                  <w:fldChar w:fldCharType="separate"/>
                </w:r>
                <w:r w:rsidR="008C0931" w:rsidRPr="003569BE">
                  <w:rPr>
                    <w:noProof/>
                    <w:webHidden/>
                    <w:lang w:val="en-GB"/>
                  </w:rPr>
                  <w:t>59</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599" w:history="1">
                <w:r w:rsidR="00A03444" w:rsidRPr="003569BE">
                  <w:rPr>
                    <w:rStyle w:val="Hyperlink"/>
                    <w:noProof/>
                    <w:lang w:val="en-GB"/>
                  </w:rPr>
                  <w:t>7.4.1.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Comparison to Davis et Al. (2000)</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_Toc396633599 \h </w:instrText>
                </w:r>
                <w:r w:rsidRPr="003569BE">
                  <w:rPr>
                    <w:noProof/>
                    <w:webHidden/>
                    <w:lang w:val="en-GB"/>
                  </w:rPr>
                </w:r>
                <w:r w:rsidRPr="003569BE">
                  <w:rPr>
                    <w:noProof/>
                    <w:webHidden/>
                    <w:lang w:val="en-GB"/>
                  </w:rPr>
                  <w:fldChar w:fldCharType="separate"/>
                </w:r>
                <w:r w:rsidR="008C0931" w:rsidRPr="003569BE">
                  <w:rPr>
                    <w:noProof/>
                    <w:webHidden/>
                    <w:lang w:val="en-GB"/>
                  </w:rPr>
                  <w:t>59</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600" w:history="1">
                <w:r w:rsidR="00A03444" w:rsidRPr="003569BE">
                  <w:rPr>
                    <w:rStyle w:val="Hyperlink"/>
                    <w:noProof/>
                    <w:lang w:val="en-GB"/>
                  </w:rPr>
                  <w:t>7.4.2.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Comparison to Myers et Al. (2003)</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_Toc396633600 \h </w:instrText>
                </w:r>
                <w:r w:rsidRPr="003569BE">
                  <w:rPr>
                    <w:noProof/>
                    <w:webHidden/>
                    <w:lang w:val="en-GB"/>
                  </w:rPr>
                </w:r>
                <w:r w:rsidRPr="003569BE">
                  <w:rPr>
                    <w:noProof/>
                    <w:webHidden/>
                    <w:lang w:val="en-GB"/>
                  </w:rPr>
                  <w:fldChar w:fldCharType="separate"/>
                </w:r>
                <w:r w:rsidR="008C0931" w:rsidRPr="003569BE">
                  <w:rPr>
                    <w:noProof/>
                    <w:webHidden/>
                    <w:lang w:val="en-GB"/>
                  </w:rPr>
                  <w:t>61</w:t>
                </w:r>
                <w:r w:rsidRPr="003569BE">
                  <w:rPr>
                    <w:noProof/>
                    <w:webHidden/>
                    <w:lang w:val="en-GB"/>
                  </w:rPr>
                  <w:fldChar w:fldCharType="end"/>
                </w:r>
              </w:hyperlink>
            </w:p>
            <w:p w:rsidR="00A03444" w:rsidRPr="003569BE" w:rsidRDefault="000E4BAF">
              <w:pPr>
                <w:pStyle w:val="TOC2"/>
                <w:tabs>
                  <w:tab w:val="left" w:pos="1100"/>
                  <w:tab w:val="right" w:leader="dot" w:pos="9062"/>
                </w:tabs>
                <w:rPr>
                  <w:rFonts w:asciiTheme="minorHAnsi" w:eastAsiaTheme="minorEastAsia" w:hAnsiTheme="minorHAnsi"/>
                  <w:noProof/>
                  <w:sz w:val="22"/>
                  <w:lang w:val="en-GB" w:eastAsia="ro-RO"/>
                </w:rPr>
              </w:pPr>
              <w:hyperlink w:anchor="_Toc396633601" w:history="1">
                <w:r w:rsidR="00A03444" w:rsidRPr="003569BE">
                  <w:rPr>
                    <w:rStyle w:val="Hyperlink"/>
                    <w:noProof/>
                    <w:lang w:val="en-GB"/>
                  </w:rPr>
                  <w:t>7.4.3.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Comparison to Chen et Al. (2008)</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_Toc396633601 \h </w:instrText>
                </w:r>
                <w:r w:rsidRPr="003569BE">
                  <w:rPr>
                    <w:noProof/>
                    <w:webHidden/>
                    <w:lang w:val="en-GB"/>
                  </w:rPr>
                </w:r>
                <w:r w:rsidRPr="003569BE">
                  <w:rPr>
                    <w:noProof/>
                    <w:webHidden/>
                    <w:lang w:val="en-GB"/>
                  </w:rPr>
                  <w:fldChar w:fldCharType="separate"/>
                </w:r>
                <w:r w:rsidR="008C0931" w:rsidRPr="003569BE">
                  <w:rPr>
                    <w:noProof/>
                    <w:webHidden/>
                    <w:lang w:val="en-GB"/>
                  </w:rPr>
                  <w:t>62</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602" w:history="1">
                <w:r w:rsidR="00A03444" w:rsidRPr="003569BE">
                  <w:rPr>
                    <w:rStyle w:val="Hyperlink"/>
                    <w:noProof/>
                    <w:lang w:val="en-GB"/>
                  </w:rPr>
                  <w:t>7.5.</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Summary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_Toc396633602 \h </w:instrText>
                </w:r>
                <w:r w:rsidRPr="003569BE">
                  <w:rPr>
                    <w:noProof/>
                    <w:webHidden/>
                    <w:lang w:val="en-GB"/>
                  </w:rPr>
                </w:r>
                <w:r w:rsidRPr="003569BE">
                  <w:rPr>
                    <w:noProof/>
                    <w:webHidden/>
                    <w:lang w:val="en-GB"/>
                  </w:rPr>
                  <w:fldChar w:fldCharType="separate"/>
                </w:r>
                <w:r w:rsidR="008C0931" w:rsidRPr="003569BE">
                  <w:rPr>
                    <w:noProof/>
                    <w:webHidden/>
                    <w:lang w:val="en-GB"/>
                  </w:rPr>
                  <w:t>62</w:t>
                </w:r>
                <w:r w:rsidRPr="003569BE">
                  <w:rPr>
                    <w:noProof/>
                    <w:webHidden/>
                    <w:lang w:val="en-GB"/>
                  </w:rPr>
                  <w:fldChar w:fldCharType="end"/>
                </w:r>
              </w:hyperlink>
            </w:p>
            <w:p w:rsidR="00A03444" w:rsidRPr="003569BE" w:rsidRDefault="000E4BAF">
              <w:pPr>
                <w:pStyle w:val="TOC1"/>
                <w:tabs>
                  <w:tab w:val="left" w:pos="440"/>
                  <w:tab w:val="right" w:leader="dot" w:pos="9062"/>
                </w:tabs>
                <w:rPr>
                  <w:rFonts w:asciiTheme="minorHAnsi" w:eastAsiaTheme="minorEastAsia" w:hAnsiTheme="minorHAnsi"/>
                  <w:noProof/>
                  <w:sz w:val="22"/>
                  <w:lang w:val="en-GB" w:eastAsia="ro-RO"/>
                </w:rPr>
              </w:pPr>
              <w:hyperlink w:anchor="_Toc396633603" w:history="1">
                <w:r w:rsidR="00A03444" w:rsidRPr="003569BE">
                  <w:rPr>
                    <w:rStyle w:val="Hyperlink"/>
                    <w:noProof/>
                    <w:lang w:val="en-GB"/>
                  </w:rPr>
                  <w:t>8.</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Conclusions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_Toc396633603 \h </w:instrText>
                </w:r>
                <w:r w:rsidRPr="003569BE">
                  <w:rPr>
                    <w:noProof/>
                    <w:webHidden/>
                    <w:lang w:val="en-GB"/>
                  </w:rPr>
                </w:r>
                <w:r w:rsidRPr="003569BE">
                  <w:rPr>
                    <w:noProof/>
                    <w:webHidden/>
                    <w:lang w:val="en-GB"/>
                  </w:rPr>
                  <w:fldChar w:fldCharType="separate"/>
                </w:r>
                <w:r w:rsidR="008C0931" w:rsidRPr="003569BE">
                  <w:rPr>
                    <w:noProof/>
                    <w:webHidden/>
                    <w:lang w:val="en-GB"/>
                  </w:rPr>
                  <w:t>64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604" w:history="1">
                <w:r w:rsidR="00A03444" w:rsidRPr="003569BE">
                  <w:rPr>
                    <w:rStyle w:val="Hyperlink"/>
                    <w:noProof/>
                    <w:lang w:val="en-GB"/>
                  </w:rPr>
                  <w:t>8.1.</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Concluding Remarks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_Toc396633604 \h </w:instrText>
                </w:r>
                <w:r w:rsidRPr="003569BE">
                  <w:rPr>
                    <w:noProof/>
                    <w:webHidden/>
                    <w:lang w:val="en-GB"/>
                  </w:rPr>
                </w:r>
                <w:r w:rsidRPr="003569BE">
                  <w:rPr>
                    <w:noProof/>
                    <w:webHidden/>
                    <w:lang w:val="en-GB"/>
                  </w:rPr>
                  <w:fldChar w:fldCharType="separate"/>
                </w:r>
                <w:r w:rsidR="008C0931" w:rsidRPr="003569BE">
                  <w:rPr>
                    <w:noProof/>
                    <w:webHidden/>
                    <w:lang w:val="en-GB"/>
                  </w:rPr>
                  <w:t>64</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605" w:history="1">
                <w:r w:rsidR="00A03444" w:rsidRPr="003569BE">
                  <w:rPr>
                    <w:rStyle w:val="Hyperlink"/>
                    <w:noProof/>
                    <w:lang w:val="en-GB"/>
                  </w:rPr>
                  <w:t>8.2.</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Limitations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_Toc396633605 \h </w:instrText>
                </w:r>
                <w:r w:rsidRPr="003569BE">
                  <w:rPr>
                    <w:noProof/>
                    <w:webHidden/>
                    <w:lang w:val="en-GB"/>
                  </w:rPr>
                </w:r>
                <w:r w:rsidRPr="003569BE">
                  <w:rPr>
                    <w:noProof/>
                    <w:webHidden/>
                    <w:lang w:val="en-GB"/>
                  </w:rPr>
                  <w:fldChar w:fldCharType="separate"/>
                </w:r>
                <w:r w:rsidR="008C0931" w:rsidRPr="003569BE">
                  <w:rPr>
                    <w:noProof/>
                    <w:webHidden/>
                    <w:lang w:val="en-GB"/>
                  </w:rPr>
                  <w:t>65</w:t>
                </w:r>
                <w:r w:rsidRPr="003569BE">
                  <w:rPr>
                    <w:noProof/>
                    <w:webHidden/>
                    <w:lang w:val="en-GB"/>
                  </w:rPr>
                  <w:fldChar w:fldCharType="end"/>
                </w:r>
              </w:hyperlink>
            </w:p>
            <w:p w:rsidR="00A03444" w:rsidRPr="003569BE" w:rsidRDefault="000E4BAF">
              <w:pPr>
                <w:pStyle w:val="TOC2"/>
                <w:tabs>
                  <w:tab w:val="left" w:pos="880"/>
                  <w:tab w:val="right" w:leader="dot" w:pos="9062"/>
                </w:tabs>
                <w:rPr>
                  <w:rFonts w:asciiTheme="minorHAnsi" w:eastAsiaTheme="minorEastAsia" w:hAnsiTheme="minorHAnsi"/>
                  <w:noProof/>
                  <w:sz w:val="22"/>
                  <w:lang w:val="en-GB" w:eastAsia="ro-RO"/>
                </w:rPr>
              </w:pPr>
              <w:hyperlink w:anchor="_Toc396633606" w:history="1">
                <w:r w:rsidR="00A03444" w:rsidRPr="003569BE">
                  <w:rPr>
                    <w:rStyle w:val="Hyperlink"/>
                    <w:noProof/>
                    <w:lang w:val="en-GB"/>
                  </w:rPr>
                  <w:t>8.3.</w:t>
                </w:r>
                <w:r w:rsidR="00A03444" w:rsidRPr="003569BE">
                  <w:rPr>
                    <w:rFonts w:asciiTheme="minorHAnsi" w:eastAsiaTheme="minorEastAsia" w:hAnsiTheme="minorHAnsi"/>
                    <w:noProof/>
                    <w:sz w:val="22"/>
                    <w:lang w:val="en-GB" w:eastAsia="ro-RO"/>
                  </w:rPr>
                  <w:tab/>
                </w:r>
                <w:r w:rsidR="00A03444" w:rsidRPr="003569BE">
                  <w:rPr>
                    <w:rStyle w:val="Hyperlink"/>
                    <w:noProof/>
                    <w:lang w:val="en-GB"/>
                  </w:rPr>
                  <w:t>Recommendations for Future Research</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_Toc396633606 \h </w:instrText>
                </w:r>
                <w:r w:rsidRPr="003569BE">
                  <w:rPr>
                    <w:noProof/>
                    <w:webHidden/>
                    <w:lang w:val="en-GB"/>
                  </w:rPr>
                </w:r>
                <w:r w:rsidRPr="003569BE">
                  <w:rPr>
                    <w:noProof/>
                    <w:webHidden/>
                    <w:lang w:val="en-GB"/>
                  </w:rPr>
                  <w:fldChar w:fldCharType="separate"/>
                </w:r>
                <w:r w:rsidR="008C0931" w:rsidRPr="003569BE">
                  <w:rPr>
                    <w:noProof/>
                    <w:webHidden/>
                    <w:lang w:val="en-GB"/>
                  </w:rPr>
                  <w:t>66</w:t>
                </w:r>
                <w:r w:rsidRPr="003569BE">
                  <w:rPr>
                    <w:noProof/>
                    <w:webHidden/>
                    <w:lang w:val="en-GB"/>
                  </w:rPr>
                  <w:fldChar w:fldCharType="end"/>
                </w:r>
              </w:hyperlink>
            </w:p>
            <w:p w:rsidR="00A03444" w:rsidRPr="003569BE" w:rsidRDefault="000E4BAF">
              <w:pPr>
                <w:pStyle w:val="TOC1"/>
                <w:tabs>
                  <w:tab w:val="right" w:leader="dot" w:pos="9062"/>
                </w:tabs>
                <w:rPr>
                  <w:rFonts w:asciiTheme="minorHAnsi" w:eastAsiaTheme="minorEastAsia" w:hAnsiTheme="minorHAnsi"/>
                  <w:noProof/>
                  <w:sz w:val="22"/>
                  <w:lang w:val="en-GB" w:eastAsia="ro-RO"/>
                </w:rPr>
              </w:pPr>
              <w:hyperlink w:anchor="_Toc396633607" w:history="1">
                <w:r w:rsidR="00A03444" w:rsidRPr="003569BE">
                  <w:rPr>
                    <w:rStyle w:val="Hyperlink"/>
                    <w:noProof/>
                    <w:lang w:val="en-GB"/>
                  </w:rPr>
                  <w:t>References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_Toc396633607 \h </w:instrText>
                </w:r>
                <w:r w:rsidRPr="003569BE">
                  <w:rPr>
                    <w:noProof/>
                    <w:webHidden/>
                    <w:lang w:val="en-GB"/>
                  </w:rPr>
                </w:r>
                <w:r w:rsidRPr="003569BE">
                  <w:rPr>
                    <w:noProof/>
                    <w:webHidden/>
                    <w:lang w:val="en-GB"/>
                  </w:rPr>
                  <w:fldChar w:fldCharType="separate"/>
                </w:r>
                <w:r w:rsidR="008C0931" w:rsidRPr="003569BE">
                  <w:rPr>
                    <w:noProof/>
                    <w:webHidden/>
                    <w:lang w:val="en-GB"/>
                  </w:rPr>
                  <w:t>67</w:t>
                </w:r>
                <w:r w:rsidRPr="003569BE">
                  <w:rPr>
                    <w:noProof/>
                    <w:webHidden/>
                    <w:lang w:val="en-GB"/>
                  </w:rPr>
                  <w:fldChar w:fldCharType="end"/>
                </w:r>
              </w:hyperlink>
            </w:p>
            <w:p w:rsidR="00A03444" w:rsidRPr="003569BE" w:rsidRDefault="000E4BAF">
              <w:pPr>
                <w:pStyle w:val="TOC1"/>
                <w:tabs>
                  <w:tab w:val="right" w:leader="dot" w:pos="9062"/>
                </w:tabs>
                <w:rPr>
                  <w:rFonts w:asciiTheme="minorHAnsi" w:eastAsiaTheme="minorEastAsia" w:hAnsiTheme="minorHAnsi"/>
                  <w:noProof/>
                  <w:sz w:val="22"/>
                  <w:lang w:val="en-GB" w:eastAsia="ro-RO"/>
                </w:rPr>
              </w:pPr>
              <w:hyperlink w:anchor="_Toc396633608" w:history="1">
                <w:r w:rsidR="00A03444" w:rsidRPr="003569BE">
                  <w:rPr>
                    <w:rStyle w:val="Hyperlink"/>
                    <w:noProof/>
                    <w:lang w:val="en-GB"/>
                  </w:rPr>
                  <w:t>Appendices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_Toc396633608 \h </w:instrText>
                </w:r>
                <w:r w:rsidRPr="003569BE">
                  <w:rPr>
                    <w:noProof/>
                    <w:webHidden/>
                    <w:lang w:val="en-GB"/>
                  </w:rPr>
                </w:r>
                <w:r w:rsidRPr="003569BE">
                  <w:rPr>
                    <w:noProof/>
                    <w:webHidden/>
                    <w:lang w:val="en-GB"/>
                  </w:rPr>
                  <w:fldChar w:fldCharType="separate"/>
                </w:r>
                <w:r w:rsidR="008C0931" w:rsidRPr="003569BE">
                  <w:rPr>
                    <w:noProof/>
                    <w:webHidden/>
                    <w:lang w:val="en-GB"/>
                  </w:rPr>
                  <w:t>71</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09" w:history="1">
                <w:r w:rsidR="00A03444" w:rsidRPr="003569BE">
                  <w:rPr>
                    <w:rStyle w:val="Hyperlink"/>
                    <w:noProof/>
                    <w:lang w:val="en-GB"/>
                  </w:rPr>
                  <w:t>Appendix 1: Summary table of the literature review</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_Toc396633609 \h </w:instrText>
                </w:r>
                <w:r w:rsidRPr="003569BE">
                  <w:rPr>
                    <w:noProof/>
                    <w:webHidden/>
                    <w:lang w:val="en-GB"/>
                  </w:rPr>
                </w:r>
                <w:r w:rsidRPr="003569BE">
                  <w:rPr>
                    <w:noProof/>
                    <w:webHidden/>
                    <w:lang w:val="en-GB"/>
                  </w:rPr>
                  <w:fldChar w:fldCharType="separate"/>
                </w:r>
                <w:r w:rsidR="008C0931" w:rsidRPr="003569BE">
                  <w:rPr>
                    <w:noProof/>
                    <w:webHidden/>
                    <w:lang w:val="en-GB"/>
                  </w:rPr>
                  <w:t>71</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0" w:history="1">
                <w:r w:rsidR="00A03444" w:rsidRPr="003569BE">
                  <w:rPr>
                    <w:rStyle w:val="Hyperlink"/>
                    <w:noProof/>
                    <w:lang w:val="en-GB"/>
                  </w:rPr>
                  <w:t>Appendix</w:t>
                </w:r>
                <w:r w:rsidR="00A03444" w:rsidRPr="003569BE">
                  <w:rPr>
                    <w:rStyle w:val="Hyperlink"/>
                    <w:rFonts w:cs="Times New Roman"/>
                    <w:noProof/>
                    <w:lang w:val="en-GB"/>
                  </w:rPr>
                  <w:t xml:space="preserve"> 2: Sample Information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_Toc396633610 \h </w:instrText>
                </w:r>
                <w:r w:rsidRPr="003569BE">
                  <w:rPr>
                    <w:noProof/>
                    <w:webHidden/>
                    <w:lang w:val="en-GB"/>
                  </w:rPr>
                </w:r>
                <w:r w:rsidRPr="003569BE">
                  <w:rPr>
                    <w:noProof/>
                    <w:webHidden/>
                    <w:lang w:val="en-GB"/>
                  </w:rPr>
                  <w:fldChar w:fldCharType="separate"/>
                </w:r>
                <w:r w:rsidR="008C0931" w:rsidRPr="003569BE">
                  <w:rPr>
                    <w:noProof/>
                    <w:webHidden/>
                    <w:lang w:val="en-GB"/>
                  </w:rPr>
                  <w:t>74</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1" w:history="1">
                <w:r w:rsidR="00A03444" w:rsidRPr="003569BE">
                  <w:rPr>
                    <w:rStyle w:val="Hyperlink"/>
                    <w:rFonts w:cs="Times New Roman"/>
                    <w:noProof/>
                    <w:lang w:val="en-GB"/>
                  </w:rPr>
                  <w:t>Appendix</w:t>
                </w:r>
                <w:r w:rsidR="00A03444" w:rsidRPr="003569BE">
                  <w:rPr>
                    <w:rStyle w:val="Hyperlink"/>
                    <w:noProof/>
                    <w:lang w:val="en-GB"/>
                  </w:rPr>
                  <w:t xml:space="preserve"> 2.1: Sample description</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_Toc396633611 \h </w:instrText>
                </w:r>
                <w:r w:rsidRPr="003569BE">
                  <w:rPr>
                    <w:noProof/>
                    <w:webHidden/>
                    <w:lang w:val="en-GB"/>
                  </w:rPr>
                </w:r>
                <w:r w:rsidRPr="003569BE">
                  <w:rPr>
                    <w:noProof/>
                    <w:webHidden/>
                    <w:lang w:val="en-GB"/>
                  </w:rPr>
                  <w:fldChar w:fldCharType="separate"/>
                </w:r>
                <w:r w:rsidR="008C0931" w:rsidRPr="003569BE">
                  <w:rPr>
                    <w:noProof/>
                    <w:webHidden/>
                    <w:lang w:val="en-GB"/>
                  </w:rPr>
                  <w:t>74</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2" w:history="1">
                <w:r w:rsidR="00A03444" w:rsidRPr="003569BE">
                  <w:rPr>
                    <w:rStyle w:val="Hyperlink"/>
                    <w:rFonts w:cs="Times New Roman"/>
                    <w:noProof/>
                    <w:lang w:val="en-GB"/>
                  </w:rPr>
                  <w:t>Appendix 2.2: Auditors’ distribution in the sample</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_Toc396633612 \h </w:instrText>
                </w:r>
                <w:r w:rsidRPr="003569BE">
                  <w:rPr>
                    <w:noProof/>
                    <w:webHidden/>
                    <w:lang w:val="en-GB"/>
                  </w:rPr>
                </w:r>
                <w:r w:rsidRPr="003569BE">
                  <w:rPr>
                    <w:noProof/>
                    <w:webHidden/>
                    <w:lang w:val="en-GB"/>
                  </w:rPr>
                  <w:fldChar w:fldCharType="separate"/>
                </w:r>
                <w:r w:rsidR="008C0931" w:rsidRPr="003569BE">
                  <w:rPr>
                    <w:noProof/>
                    <w:webHidden/>
                    <w:lang w:val="en-GB"/>
                  </w:rPr>
                  <w:t>74</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3" w:history="1">
                <w:r w:rsidR="00A03444" w:rsidRPr="003569BE">
                  <w:rPr>
                    <w:rStyle w:val="Hyperlink"/>
                    <w:rFonts w:cs="Times New Roman"/>
                    <w:noProof/>
                    <w:lang w:val="en-GB"/>
                  </w:rPr>
                  <w:t>Appendix</w:t>
                </w:r>
                <w:r w:rsidR="00A03444" w:rsidRPr="003569BE">
                  <w:rPr>
                    <w:rStyle w:val="Hyperlink"/>
                    <w:noProof/>
                    <w:lang w:val="en-GB"/>
                  </w:rPr>
                  <w:t xml:space="preserve"> 2.3: Tests for normality</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_Toc396633613 \h </w:instrText>
                </w:r>
                <w:r w:rsidRPr="003569BE">
                  <w:rPr>
                    <w:noProof/>
                    <w:webHidden/>
                    <w:lang w:val="en-GB"/>
                  </w:rPr>
                </w:r>
                <w:r w:rsidRPr="003569BE">
                  <w:rPr>
                    <w:noProof/>
                    <w:webHidden/>
                    <w:lang w:val="en-GB"/>
                  </w:rPr>
                  <w:fldChar w:fldCharType="separate"/>
                </w:r>
                <w:r w:rsidR="008C0931" w:rsidRPr="003569BE">
                  <w:rPr>
                    <w:noProof/>
                    <w:webHidden/>
                    <w:lang w:val="en-GB"/>
                  </w:rPr>
                  <w:t>75</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4" w:history="1">
                <w:r w:rsidR="00A03444" w:rsidRPr="003569BE">
                  <w:rPr>
                    <w:rStyle w:val="Hyperlink"/>
                    <w:noProof/>
                    <w:lang w:val="en-GB"/>
                  </w:rPr>
                  <w:t>Appendix</w:t>
                </w:r>
                <w:r w:rsidR="00A03444" w:rsidRPr="003569BE">
                  <w:rPr>
                    <w:rStyle w:val="Hyperlink"/>
                    <w:rFonts w:cs="Times New Roman"/>
                    <w:noProof/>
                    <w:lang w:val="en-GB"/>
                  </w:rPr>
                  <w:t xml:space="preserve"> 3: </w:t>
                </w:r>
                <w:r w:rsidR="00A03444" w:rsidRPr="003569BE">
                  <w:rPr>
                    <w:rStyle w:val="Hyperlink"/>
                    <w:noProof/>
                    <w:lang w:val="en-GB"/>
                  </w:rPr>
                  <w:t>Estimating</w:t>
                </w:r>
                <w:r w:rsidR="00A03444" w:rsidRPr="003569BE">
                  <w:rPr>
                    <w:rStyle w:val="Hyperlink"/>
                    <w:rFonts w:cs="Times New Roman"/>
                    <w:noProof/>
                    <w:lang w:val="en-GB"/>
                  </w:rPr>
                  <w:t xml:space="preserve"> Discretionary Accruals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_Toc396633614 \h </w:instrText>
                </w:r>
                <w:r w:rsidRPr="003569BE">
                  <w:rPr>
                    <w:noProof/>
                    <w:webHidden/>
                    <w:lang w:val="en-GB"/>
                  </w:rPr>
                </w:r>
                <w:r w:rsidRPr="003569BE">
                  <w:rPr>
                    <w:noProof/>
                    <w:webHidden/>
                    <w:lang w:val="en-GB"/>
                  </w:rPr>
                  <w:fldChar w:fldCharType="separate"/>
                </w:r>
                <w:r w:rsidR="008C0931" w:rsidRPr="003569BE">
                  <w:rPr>
                    <w:noProof/>
                    <w:webHidden/>
                    <w:lang w:val="en-GB"/>
                  </w:rPr>
                  <w:t>77</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5" w:history="1">
                <w:r w:rsidR="00A03444" w:rsidRPr="003569BE">
                  <w:rPr>
                    <w:rStyle w:val="Hyperlink"/>
                    <w:rFonts w:cs="Times New Roman"/>
                    <w:noProof/>
                    <w:lang w:val="en-GB"/>
                  </w:rPr>
                  <w:t xml:space="preserve">Appendix 4: </w:t>
                </w:r>
                <w:r w:rsidR="00A03444" w:rsidRPr="003569BE">
                  <w:rPr>
                    <w:rStyle w:val="Hyperlink"/>
                    <w:noProof/>
                    <w:lang w:val="en-GB"/>
                  </w:rPr>
                  <w:t>Testing</w:t>
                </w:r>
                <w:r w:rsidR="00A03444" w:rsidRPr="003569BE">
                  <w:rPr>
                    <w:rStyle w:val="Hyperlink"/>
                    <w:rFonts w:cs="Times New Roman"/>
                    <w:noProof/>
                    <w:lang w:val="en-GB"/>
                  </w:rPr>
                  <w:t xml:space="preserve"> the Hypotheses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_Toc396633615 \h </w:instrText>
                </w:r>
                <w:r w:rsidRPr="003569BE">
                  <w:rPr>
                    <w:noProof/>
                    <w:webHidden/>
                    <w:lang w:val="en-GB"/>
                  </w:rPr>
                </w:r>
                <w:r w:rsidRPr="003569BE">
                  <w:rPr>
                    <w:noProof/>
                    <w:webHidden/>
                    <w:lang w:val="en-GB"/>
                  </w:rPr>
                  <w:fldChar w:fldCharType="separate"/>
                </w:r>
                <w:r w:rsidR="008C0931" w:rsidRPr="003569BE">
                  <w:rPr>
                    <w:noProof/>
                    <w:webHidden/>
                    <w:lang w:val="en-GB"/>
                  </w:rPr>
                  <w:t>79</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6" w:history="1">
                <w:r w:rsidR="00A03444" w:rsidRPr="003569BE">
                  <w:rPr>
                    <w:rStyle w:val="Hyperlink"/>
                    <w:rFonts w:cs="Times New Roman"/>
                    <w:noProof/>
                    <w:lang w:val="en-GB"/>
                  </w:rPr>
                  <w:t>Appendix 4.1: Hypothesis 1 results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_Toc396633616 \h </w:instrText>
                </w:r>
                <w:r w:rsidRPr="003569BE">
                  <w:rPr>
                    <w:noProof/>
                    <w:webHidden/>
                    <w:lang w:val="en-GB"/>
                  </w:rPr>
                </w:r>
                <w:r w:rsidRPr="003569BE">
                  <w:rPr>
                    <w:noProof/>
                    <w:webHidden/>
                    <w:lang w:val="en-GB"/>
                  </w:rPr>
                  <w:fldChar w:fldCharType="separate"/>
                </w:r>
                <w:r w:rsidR="008C0931" w:rsidRPr="003569BE">
                  <w:rPr>
                    <w:noProof/>
                    <w:webHidden/>
                    <w:lang w:val="en-GB"/>
                  </w:rPr>
                  <w:t>79</w:t>
                </w:r>
                <w:r w:rsidRPr="003569BE">
                  <w:rPr>
                    <w:noProof/>
                    <w:webHidden/>
                    <w:lang w:val="en-GB"/>
                  </w:rPr>
                  <w:fldChar w:fldCharType="end"/>
                </w:r>
              </w:hyperlink>
            </w:p>
            <w:p w:rsidR="00A03444" w:rsidRPr="003569BE" w:rsidRDefault="000E4BAF">
              <w:pPr>
                <w:pStyle w:val="TOC2"/>
                <w:tabs>
                  <w:tab w:val="right" w:leader="dot" w:pos="9062"/>
                </w:tabs>
                <w:rPr>
                  <w:rFonts w:asciiTheme="minorHAnsi" w:eastAsiaTheme="minorEastAsia" w:hAnsiTheme="minorHAnsi"/>
                  <w:noProof/>
                  <w:sz w:val="22"/>
                  <w:lang w:val="en-GB" w:eastAsia="ro-RO"/>
                </w:rPr>
              </w:pPr>
              <w:hyperlink w:anchor="_Toc396633617" w:history="1">
                <w:r w:rsidR="00A03444" w:rsidRPr="003569BE">
                  <w:rPr>
                    <w:rStyle w:val="Hyperlink"/>
                    <w:rFonts w:cs="Times New Roman"/>
                    <w:noProof/>
                    <w:lang w:val="en-GB"/>
                  </w:rPr>
                  <w:t>Appendix 4.2: Hypothesis 2 results</w:t>
                </w:r>
                <w:r w:rsidR="00A03444" w:rsidRPr="003569BE">
                  <w:rPr>
                    <w:noProof/>
                    <w:webHidden/>
                    <w:lang w:val="en-GB"/>
                  </w:rPr>
                  <w:tab/>
                </w:r>
                <w:r w:rsidRPr="003569BE">
                  <w:rPr>
                    <w:noProof/>
                    <w:webHidden/>
                    <w:lang w:val="en-GB"/>
                  </w:rPr>
                  <w:fldChar w:fldCharType="begin"/>
                </w:r>
                <w:r w:rsidR="00A03444" w:rsidRPr="003569BE">
                  <w:rPr>
                    <w:noProof/>
                    <w:webHidden/>
                    <w:lang w:val="en-GB"/>
                  </w:rPr>
                  <w:instrText xml:space="preserve"> PAGEREF _Toc396633617 \h </w:instrText>
                </w:r>
                <w:r w:rsidRPr="003569BE">
                  <w:rPr>
                    <w:noProof/>
                    <w:webHidden/>
                    <w:lang w:val="en-GB"/>
                  </w:rPr>
                </w:r>
                <w:r w:rsidRPr="003569BE">
                  <w:rPr>
                    <w:noProof/>
                    <w:webHidden/>
                    <w:lang w:val="en-GB"/>
                  </w:rPr>
                  <w:fldChar w:fldCharType="separate"/>
                </w:r>
                <w:r w:rsidR="008C0931" w:rsidRPr="003569BE">
                  <w:rPr>
                    <w:noProof/>
                    <w:webHidden/>
                    <w:lang w:val="en-GB"/>
                  </w:rPr>
                  <w:t>81</w:t>
                </w:r>
                <w:r w:rsidRPr="003569BE">
                  <w:rPr>
                    <w:noProof/>
                    <w:webHidden/>
                    <w:lang w:val="en-GB"/>
                  </w:rPr>
                  <w:fldChar w:fldCharType="end"/>
                </w:r>
              </w:hyperlink>
            </w:p>
            <w:p w:rsidR="00FD4A1C" w:rsidRPr="003569BE" w:rsidRDefault="000E4BAF">
              <w:pPr>
                <w:rPr>
                  <w:lang w:val="en-GB"/>
                </w:rPr>
              </w:pPr>
              <w:r w:rsidRPr="003569BE">
                <w:rPr>
                  <w:b/>
                  <w:bCs/>
                  <w:noProof/>
                  <w:lang w:val="en-GB"/>
                </w:rPr>
                <w:fldChar w:fldCharType="end"/>
              </w:r>
            </w:p>
          </w:sdtContent>
        </w:sdt>
        <w:p w:rsidR="002D4293" w:rsidRPr="003569BE" w:rsidRDefault="000E4BAF">
          <w:pPr>
            <w:jc w:val="left"/>
            <w:rPr>
              <w:rFonts w:cs="Times New Roman"/>
              <w:lang w:val="en-GB"/>
            </w:rPr>
          </w:pPr>
        </w:p>
      </w:sdtContent>
    </w:sdt>
    <w:p w:rsidR="00D70438" w:rsidRPr="003569BE" w:rsidRDefault="00D70438" w:rsidP="00846EA1">
      <w:pPr>
        <w:pStyle w:val="Heading1"/>
        <w:numPr>
          <w:ilvl w:val="0"/>
          <w:numId w:val="6"/>
        </w:numPr>
        <w:spacing w:line="360" w:lineRule="auto"/>
        <w:rPr>
          <w:rFonts w:cs="Times New Roman"/>
          <w:lang w:val="en-GB"/>
        </w:rPr>
        <w:sectPr w:rsidR="00D70438" w:rsidRPr="003569BE" w:rsidSect="002D4293">
          <w:footerReference w:type="default" r:id="rId9"/>
          <w:footerReference w:type="first" r:id="rId10"/>
          <w:pgSz w:w="11906" w:h="16838"/>
          <w:pgMar w:top="1417" w:right="1417" w:bottom="1417" w:left="1417" w:header="708" w:footer="708" w:gutter="0"/>
          <w:pgNumType w:start="0"/>
          <w:cols w:space="708"/>
          <w:titlePg/>
          <w:docGrid w:linePitch="360"/>
        </w:sectPr>
      </w:pPr>
    </w:p>
    <w:p w:rsidR="00B329DE" w:rsidRPr="003569BE" w:rsidRDefault="00FA5673" w:rsidP="00846EA1">
      <w:pPr>
        <w:pStyle w:val="Heading1"/>
        <w:numPr>
          <w:ilvl w:val="0"/>
          <w:numId w:val="6"/>
        </w:numPr>
        <w:spacing w:line="360" w:lineRule="auto"/>
        <w:rPr>
          <w:rFonts w:cs="Times New Roman"/>
          <w:lang w:val="en-GB"/>
        </w:rPr>
      </w:pPr>
      <w:bookmarkStart w:id="0" w:name="_Toc396633532"/>
      <w:r w:rsidRPr="003569BE">
        <w:rPr>
          <w:rFonts w:cs="Times New Roman"/>
          <w:lang w:val="en-GB"/>
        </w:rPr>
        <w:lastRenderedPageBreak/>
        <w:t>Introduction</w:t>
      </w:r>
      <w:bookmarkEnd w:id="0"/>
    </w:p>
    <w:p w:rsidR="00B329DE" w:rsidRPr="003569BE" w:rsidRDefault="00B329DE" w:rsidP="00846EA1">
      <w:pPr>
        <w:spacing w:line="360" w:lineRule="auto"/>
        <w:rPr>
          <w:rFonts w:cs="Times New Roman"/>
          <w:szCs w:val="24"/>
          <w:lang w:val="en-GB"/>
        </w:rPr>
      </w:pPr>
      <w:r w:rsidRPr="003569BE">
        <w:rPr>
          <w:rFonts w:cs="Times New Roman"/>
          <w:szCs w:val="24"/>
          <w:lang w:val="en-GB"/>
        </w:rPr>
        <w:t>The purpose of this thesis is to explain the influence of the mandatory audit firm rotation (MAFR) on the magnitude of the use of earnings management in financial reporting. After the widespread major fraud scandals, from Enron to WorldCom and beyond, or the Dutch Ahold, the audit environment and the stakeholders involved started to analyse and debate the auditor-client relationship. Questions like “</w:t>
      </w:r>
      <w:r w:rsidR="00BF33DB" w:rsidRPr="003569BE">
        <w:rPr>
          <w:rFonts w:cs="Times New Roman"/>
          <w:szCs w:val="24"/>
          <w:lang w:val="en-GB"/>
        </w:rPr>
        <w:t xml:space="preserve">In which way </w:t>
      </w:r>
      <w:r w:rsidR="001922A1" w:rsidRPr="003569BE">
        <w:rPr>
          <w:rFonts w:cs="Times New Roman"/>
          <w:szCs w:val="24"/>
          <w:lang w:val="en-GB"/>
        </w:rPr>
        <w:t xml:space="preserve">could </w:t>
      </w:r>
      <w:r w:rsidRPr="003569BE">
        <w:rPr>
          <w:rFonts w:cs="Times New Roman"/>
          <w:szCs w:val="24"/>
          <w:lang w:val="en-GB"/>
        </w:rPr>
        <w:t>audit quality be improved?”</w:t>
      </w:r>
      <w:r w:rsidR="00E44D39" w:rsidRPr="003569BE">
        <w:rPr>
          <w:rFonts w:cs="Times New Roman"/>
          <w:szCs w:val="24"/>
          <w:lang w:val="en-GB"/>
        </w:rPr>
        <w:t>,</w:t>
      </w:r>
      <w:r w:rsidRPr="003569BE">
        <w:rPr>
          <w:rFonts w:cs="Times New Roman"/>
          <w:szCs w:val="24"/>
          <w:lang w:val="en-GB"/>
        </w:rPr>
        <w:t xml:space="preserve"> and “</w:t>
      </w:r>
      <w:r w:rsidR="001922A1" w:rsidRPr="003569BE">
        <w:rPr>
          <w:rFonts w:cs="Times New Roman"/>
          <w:szCs w:val="24"/>
          <w:lang w:val="en-GB"/>
        </w:rPr>
        <w:t>I</w:t>
      </w:r>
      <w:r w:rsidR="00BF33DB" w:rsidRPr="003569BE">
        <w:rPr>
          <w:rFonts w:cs="Times New Roman"/>
          <w:szCs w:val="24"/>
          <w:lang w:val="en-GB"/>
        </w:rPr>
        <w:t xml:space="preserve">n which way </w:t>
      </w:r>
      <w:r w:rsidR="001922A1" w:rsidRPr="003569BE">
        <w:rPr>
          <w:rFonts w:cs="Times New Roman"/>
          <w:szCs w:val="24"/>
          <w:lang w:val="en-GB"/>
        </w:rPr>
        <w:t xml:space="preserve">could the </w:t>
      </w:r>
      <w:r w:rsidRPr="003569BE">
        <w:rPr>
          <w:rFonts w:cs="Times New Roman"/>
          <w:szCs w:val="24"/>
          <w:lang w:val="en-GB"/>
        </w:rPr>
        <w:t>auditor</w:t>
      </w:r>
      <w:r w:rsidR="00476122" w:rsidRPr="003569BE">
        <w:rPr>
          <w:rFonts w:cs="Times New Roman"/>
          <w:szCs w:val="24"/>
          <w:lang w:val="en-GB"/>
        </w:rPr>
        <w:t xml:space="preserve">’s </w:t>
      </w:r>
      <w:r w:rsidRPr="003569BE">
        <w:rPr>
          <w:rFonts w:cs="Times New Roman"/>
          <w:szCs w:val="24"/>
          <w:lang w:val="en-GB"/>
        </w:rPr>
        <w:t>independence be better protected?”</w:t>
      </w:r>
      <w:r w:rsidR="00E44D39" w:rsidRPr="003569BE">
        <w:rPr>
          <w:rFonts w:cs="Times New Roman"/>
          <w:szCs w:val="24"/>
          <w:lang w:val="en-GB"/>
        </w:rPr>
        <w:t xml:space="preserve"> e</w:t>
      </w:r>
      <w:r w:rsidRPr="003569BE">
        <w:rPr>
          <w:rFonts w:cs="Times New Roman"/>
          <w:szCs w:val="24"/>
          <w:lang w:val="en-GB"/>
        </w:rPr>
        <w:t>merged</w:t>
      </w:r>
      <w:r w:rsidR="00E44D39" w:rsidRPr="003569BE">
        <w:rPr>
          <w:rFonts w:cs="Times New Roman"/>
          <w:szCs w:val="24"/>
          <w:lang w:val="en-GB"/>
        </w:rPr>
        <w:t>,</w:t>
      </w:r>
      <w:r w:rsidRPr="003569BE">
        <w:rPr>
          <w:rFonts w:cs="Times New Roman"/>
          <w:szCs w:val="24"/>
          <w:lang w:val="en-GB"/>
        </w:rPr>
        <w:t xml:space="preserve"> and mandatory audit firm rotation became a hot top</w:t>
      </w:r>
      <w:r w:rsidR="00C60060" w:rsidRPr="003569BE">
        <w:rPr>
          <w:rFonts w:cs="Times New Roman"/>
          <w:szCs w:val="24"/>
          <w:lang w:val="en-GB"/>
        </w:rPr>
        <w:t xml:space="preserve">ic in the auditing profession. </w:t>
      </w:r>
      <w:r w:rsidR="00EA4E68" w:rsidRPr="003569BE">
        <w:rPr>
          <w:rFonts w:cs="Times New Roman"/>
          <w:szCs w:val="24"/>
          <w:lang w:val="en-GB"/>
        </w:rPr>
        <w:t xml:space="preserve">According to </w:t>
      </w:r>
      <w:r w:rsidR="00C60060" w:rsidRPr="003569BE">
        <w:rPr>
          <w:rFonts w:cs="Times New Roman"/>
          <w:szCs w:val="24"/>
          <w:lang w:val="en-GB"/>
        </w:rPr>
        <w:t>Healy and Kim (2003)</w:t>
      </w:r>
      <w:r w:rsidR="00EA4E68" w:rsidRPr="003569BE">
        <w:rPr>
          <w:rFonts w:cs="Times New Roman"/>
          <w:szCs w:val="24"/>
          <w:lang w:val="en-GB"/>
        </w:rPr>
        <w:t>,</w:t>
      </w:r>
      <w:r w:rsidR="00C60060" w:rsidRPr="003569BE">
        <w:rPr>
          <w:rFonts w:cs="Times New Roman"/>
          <w:szCs w:val="24"/>
          <w:lang w:val="en-GB"/>
        </w:rPr>
        <w:t xml:space="preserve"> a mandatory audit firm rotation rule </w:t>
      </w:r>
      <w:r w:rsidR="002E4FC4" w:rsidRPr="003569BE">
        <w:rPr>
          <w:rFonts w:cs="Times New Roman"/>
          <w:szCs w:val="24"/>
          <w:lang w:val="en-GB"/>
        </w:rPr>
        <w:t>potentially</w:t>
      </w:r>
      <w:r w:rsidR="00C60060" w:rsidRPr="003569BE">
        <w:rPr>
          <w:rFonts w:cs="Times New Roman"/>
          <w:szCs w:val="24"/>
          <w:lang w:val="en-GB"/>
        </w:rPr>
        <w:t xml:space="preserve"> restore</w:t>
      </w:r>
      <w:r w:rsidR="002E4FC4" w:rsidRPr="003569BE">
        <w:rPr>
          <w:rFonts w:cs="Times New Roman"/>
          <w:szCs w:val="24"/>
          <w:lang w:val="en-GB"/>
        </w:rPr>
        <w:t>s</w:t>
      </w:r>
      <w:r w:rsidR="00C60060" w:rsidRPr="003569BE">
        <w:rPr>
          <w:rFonts w:cs="Times New Roman"/>
          <w:szCs w:val="24"/>
          <w:lang w:val="en-GB"/>
        </w:rPr>
        <w:t xml:space="preserve"> </w:t>
      </w:r>
      <w:r w:rsidR="00BF33DB" w:rsidRPr="003569BE">
        <w:rPr>
          <w:rFonts w:cs="Times New Roman"/>
          <w:szCs w:val="24"/>
          <w:lang w:val="en-GB"/>
        </w:rPr>
        <w:t xml:space="preserve">the </w:t>
      </w:r>
      <w:r w:rsidR="00C60060" w:rsidRPr="003569BE">
        <w:rPr>
          <w:rFonts w:cs="Times New Roman"/>
          <w:szCs w:val="24"/>
          <w:lang w:val="en-GB"/>
        </w:rPr>
        <w:t>confidence in the regulatory system</w:t>
      </w:r>
      <w:r w:rsidR="009F3FC3" w:rsidRPr="003569BE">
        <w:rPr>
          <w:rFonts w:cs="Times New Roman"/>
          <w:szCs w:val="24"/>
          <w:lang w:val="en-GB"/>
        </w:rPr>
        <w:t xml:space="preserve"> and in the auditing profession</w:t>
      </w:r>
      <w:r w:rsidR="00C60060" w:rsidRPr="003569BE">
        <w:rPr>
          <w:rFonts w:cs="Times New Roman"/>
          <w:szCs w:val="24"/>
          <w:lang w:val="en-GB"/>
        </w:rPr>
        <w:t xml:space="preserve">, </w:t>
      </w:r>
      <w:r w:rsidR="00540565" w:rsidRPr="003569BE">
        <w:rPr>
          <w:rFonts w:cs="Times New Roman"/>
          <w:szCs w:val="24"/>
          <w:lang w:val="en-GB"/>
        </w:rPr>
        <w:t>as</w:t>
      </w:r>
      <w:r w:rsidR="00EA4E68" w:rsidRPr="003569BE">
        <w:rPr>
          <w:rFonts w:cs="Times New Roman"/>
          <w:szCs w:val="24"/>
          <w:lang w:val="en-GB"/>
        </w:rPr>
        <w:t xml:space="preserve"> </w:t>
      </w:r>
      <w:r w:rsidR="00540565" w:rsidRPr="003569BE">
        <w:rPr>
          <w:rFonts w:cs="Times New Roman"/>
          <w:szCs w:val="24"/>
          <w:lang w:val="en-GB"/>
        </w:rPr>
        <w:t>was found</w:t>
      </w:r>
      <w:r w:rsidR="00EA4E68" w:rsidRPr="003569BE">
        <w:rPr>
          <w:rFonts w:cs="Times New Roman"/>
          <w:szCs w:val="24"/>
          <w:lang w:val="en-GB"/>
        </w:rPr>
        <w:t xml:space="preserve"> in</w:t>
      </w:r>
      <w:r w:rsidR="00C60060" w:rsidRPr="003569BE">
        <w:rPr>
          <w:rFonts w:cs="Times New Roman"/>
          <w:szCs w:val="24"/>
          <w:lang w:val="en-GB"/>
        </w:rPr>
        <w:t xml:space="preserve"> Italy </w:t>
      </w:r>
      <w:sdt>
        <w:sdtPr>
          <w:rPr>
            <w:rFonts w:cs="Times New Roman"/>
            <w:szCs w:val="24"/>
            <w:lang w:val="en-GB"/>
          </w:rPr>
          <w:id w:val="-852798511"/>
          <w:citation/>
        </w:sdtPr>
        <w:sdtContent>
          <w:r w:rsidR="000E4BAF" w:rsidRPr="003569BE">
            <w:rPr>
              <w:rFonts w:cs="Times New Roman"/>
              <w:szCs w:val="24"/>
              <w:lang w:val="en-GB"/>
            </w:rPr>
            <w:fldChar w:fldCharType="begin"/>
          </w:r>
          <w:r w:rsidR="00B96822" w:rsidRPr="003569BE">
            <w:rPr>
              <w:rFonts w:cs="Times New Roman"/>
              <w:szCs w:val="24"/>
              <w:lang w:val="en-GB"/>
            </w:rPr>
            <w:instrText xml:space="preserve">CITATION Hea03 \l 1033 </w:instrText>
          </w:r>
          <w:r w:rsidR="000E4BAF" w:rsidRPr="003569BE">
            <w:rPr>
              <w:rFonts w:cs="Times New Roman"/>
              <w:szCs w:val="24"/>
              <w:lang w:val="en-GB"/>
            </w:rPr>
            <w:fldChar w:fldCharType="separate"/>
          </w:r>
          <w:r w:rsidR="008F7EB3" w:rsidRPr="003569BE">
            <w:rPr>
              <w:rFonts w:cs="Times New Roman"/>
              <w:noProof/>
              <w:szCs w:val="24"/>
              <w:lang w:val="en-GB"/>
            </w:rPr>
            <w:t>(Healey &amp; Kim, 2003)</w:t>
          </w:r>
          <w:r w:rsidR="000E4BAF" w:rsidRPr="003569BE">
            <w:rPr>
              <w:rFonts w:cs="Times New Roman"/>
              <w:szCs w:val="24"/>
              <w:lang w:val="en-GB"/>
            </w:rPr>
            <w:fldChar w:fldCharType="end"/>
          </w:r>
        </w:sdtContent>
      </w:sdt>
      <w:r w:rsidR="00C60060" w:rsidRPr="003569BE">
        <w:rPr>
          <w:rFonts w:cs="Times New Roman"/>
          <w:szCs w:val="24"/>
          <w:lang w:val="en-GB"/>
        </w:rPr>
        <w:t>.</w:t>
      </w:r>
    </w:p>
    <w:p w:rsidR="00B329DE" w:rsidRPr="003569BE" w:rsidRDefault="00AC4E9D" w:rsidP="00846EA1">
      <w:pPr>
        <w:spacing w:line="360" w:lineRule="auto"/>
        <w:rPr>
          <w:rFonts w:cs="Times New Roman"/>
          <w:szCs w:val="24"/>
          <w:lang w:val="en-GB"/>
        </w:rPr>
      </w:pPr>
      <w:r w:rsidRPr="003569BE">
        <w:rPr>
          <w:rFonts w:cs="Times New Roman"/>
          <w:szCs w:val="24"/>
          <w:lang w:val="en-GB"/>
        </w:rPr>
        <w:t xml:space="preserve">A </w:t>
      </w:r>
      <w:r w:rsidR="001A04AA" w:rsidRPr="003569BE">
        <w:rPr>
          <w:rFonts w:cs="Times New Roman"/>
          <w:szCs w:val="24"/>
          <w:lang w:val="en-GB"/>
        </w:rPr>
        <w:t>mandatory audit firm rotation</w:t>
      </w:r>
      <w:r w:rsidR="004B3A4E" w:rsidRPr="003569BE">
        <w:rPr>
          <w:rFonts w:cs="Times New Roman"/>
          <w:szCs w:val="24"/>
          <w:lang w:val="en-GB"/>
        </w:rPr>
        <w:t xml:space="preserve"> </w:t>
      </w:r>
      <w:r w:rsidRPr="003569BE">
        <w:rPr>
          <w:rFonts w:cs="Times New Roman"/>
          <w:szCs w:val="24"/>
          <w:lang w:val="en-GB"/>
        </w:rPr>
        <w:t xml:space="preserve">setting </w:t>
      </w:r>
      <w:r w:rsidR="00A76BCF" w:rsidRPr="003569BE">
        <w:rPr>
          <w:rFonts w:cs="Times New Roman"/>
          <w:szCs w:val="24"/>
          <w:lang w:val="en-GB"/>
        </w:rPr>
        <w:t xml:space="preserve">requires companies to rotate their auditor </w:t>
      </w:r>
      <w:r w:rsidRPr="003569BE">
        <w:rPr>
          <w:rFonts w:cs="Times New Roman"/>
          <w:szCs w:val="24"/>
          <w:lang w:val="en-GB"/>
        </w:rPr>
        <w:t>after a certain period of time</w:t>
      </w:r>
      <w:r w:rsidR="00A76BCF" w:rsidRPr="003569BE">
        <w:rPr>
          <w:rFonts w:cs="Times New Roman"/>
          <w:szCs w:val="24"/>
          <w:lang w:val="en-GB"/>
        </w:rPr>
        <w:t xml:space="preserve">. </w:t>
      </w:r>
      <w:r w:rsidR="00B329DE" w:rsidRPr="003569BE">
        <w:rPr>
          <w:rFonts w:cs="Times New Roman"/>
          <w:szCs w:val="24"/>
          <w:lang w:val="en-GB"/>
        </w:rPr>
        <w:t xml:space="preserve">Currently, the only European country that has an active MAFR rule is Italy, </w:t>
      </w:r>
      <w:r w:rsidR="00BF33DB" w:rsidRPr="003569BE">
        <w:rPr>
          <w:rFonts w:cs="Times New Roman"/>
          <w:szCs w:val="24"/>
          <w:lang w:val="en-GB"/>
        </w:rPr>
        <w:t xml:space="preserve">in which </w:t>
      </w:r>
      <w:r w:rsidR="006C1820" w:rsidRPr="003569BE">
        <w:rPr>
          <w:rFonts w:cs="Times New Roman"/>
          <w:szCs w:val="24"/>
          <w:lang w:val="en-GB"/>
        </w:rPr>
        <w:t xml:space="preserve">auditors must be rotated </w:t>
      </w:r>
      <w:r w:rsidR="00B329DE" w:rsidRPr="003569BE">
        <w:rPr>
          <w:rFonts w:cs="Times New Roman"/>
          <w:szCs w:val="24"/>
          <w:lang w:val="en-GB"/>
        </w:rPr>
        <w:t>every nine years</w:t>
      </w:r>
      <w:r w:rsidR="006C1820" w:rsidRPr="003569BE">
        <w:rPr>
          <w:rFonts w:cs="Times New Roman"/>
          <w:szCs w:val="24"/>
          <w:lang w:val="en-GB"/>
        </w:rPr>
        <w:t xml:space="preserve"> for public listed companies</w:t>
      </w:r>
      <w:r w:rsidR="00B329DE" w:rsidRPr="003569BE">
        <w:rPr>
          <w:rFonts w:cs="Times New Roman"/>
          <w:szCs w:val="24"/>
          <w:lang w:val="en-GB"/>
        </w:rPr>
        <w:t>. Other countries that use a MAFR rule are Brazil, China, India, Indonesia, Pakistan, Philippines, Singapore and South Korea. In the U.S., MAFR was not implemented. The United States General Accounting Office (GAO)</w:t>
      </w:r>
      <w:r w:rsidR="001922A1" w:rsidRPr="003569BE">
        <w:rPr>
          <w:rFonts w:cs="Times New Roman"/>
          <w:szCs w:val="24"/>
          <w:lang w:val="en-GB"/>
        </w:rPr>
        <w:t>,</w:t>
      </w:r>
      <w:r w:rsidR="00F14CCE" w:rsidRPr="003569BE">
        <w:rPr>
          <w:rFonts w:cs="Times New Roman"/>
          <w:szCs w:val="24"/>
          <w:lang w:val="en-GB"/>
        </w:rPr>
        <w:t xml:space="preserve"> in the November 200</w:t>
      </w:r>
      <w:r w:rsidR="00B329DE" w:rsidRPr="003569BE">
        <w:rPr>
          <w:rFonts w:cs="Times New Roman"/>
          <w:szCs w:val="24"/>
          <w:lang w:val="en-GB"/>
        </w:rPr>
        <w:t>3 published “Required Study on the Potential Effects of Mandatory Audit Firm Rotation”</w:t>
      </w:r>
      <w:r w:rsidR="001922A1" w:rsidRPr="003569BE">
        <w:rPr>
          <w:rFonts w:cs="Times New Roman"/>
          <w:szCs w:val="24"/>
          <w:lang w:val="en-GB"/>
        </w:rPr>
        <w:t>,</w:t>
      </w:r>
      <w:r w:rsidR="00B329DE" w:rsidRPr="003569BE">
        <w:rPr>
          <w:rFonts w:cs="Times New Roman"/>
          <w:szCs w:val="24"/>
          <w:lang w:val="en-GB"/>
        </w:rPr>
        <w:t xml:space="preserve"> </w:t>
      </w:r>
      <w:r w:rsidR="00BF33DB" w:rsidRPr="003569BE">
        <w:rPr>
          <w:rFonts w:cs="Times New Roman"/>
          <w:szCs w:val="24"/>
          <w:lang w:val="en-GB"/>
        </w:rPr>
        <w:t xml:space="preserve">concluded </w:t>
      </w:r>
      <w:r w:rsidR="00B329DE" w:rsidRPr="003569BE">
        <w:rPr>
          <w:rFonts w:cs="Times New Roman"/>
          <w:szCs w:val="24"/>
          <w:lang w:val="en-GB"/>
        </w:rPr>
        <w:t xml:space="preserve">that </w:t>
      </w:r>
      <w:r w:rsidR="00B329DE" w:rsidRPr="003569BE">
        <w:rPr>
          <w:rFonts w:cs="Times New Roman"/>
          <w:i/>
          <w:szCs w:val="24"/>
          <w:lang w:val="en-GB"/>
        </w:rPr>
        <w:t>“GAO believes that mandatory audit firm rotation may not be the most efficient way to strengthen auditor independence and improve audit quality considering the additional financial costs and the loss of institutional knowledge of the public company’s previous auditor of record, as well as the current reforms being implemented. The potential benefits of mandatory audit firm rotation are harder to predict and quantify, through GAO is fairly certain that there will be additional costs”</w:t>
      </w:r>
      <w:r w:rsidR="00B329DE" w:rsidRPr="003569BE">
        <w:rPr>
          <w:rFonts w:cs="Times New Roman"/>
          <w:szCs w:val="24"/>
          <w:lang w:val="en-GB"/>
        </w:rPr>
        <w:t xml:space="preserve"> </w:t>
      </w:r>
      <w:sdt>
        <w:sdtPr>
          <w:rPr>
            <w:rFonts w:cs="Times New Roman"/>
            <w:szCs w:val="24"/>
            <w:lang w:val="en-GB"/>
          </w:rPr>
          <w:id w:val="-1952618296"/>
          <w:citation/>
        </w:sdtPr>
        <w:sdtContent>
          <w:r w:rsidR="000E4BAF" w:rsidRPr="003569BE">
            <w:rPr>
              <w:rFonts w:cs="Times New Roman"/>
              <w:szCs w:val="24"/>
              <w:lang w:val="en-GB"/>
            </w:rPr>
            <w:fldChar w:fldCharType="begin"/>
          </w:r>
          <w:r w:rsidR="00A96353" w:rsidRPr="003569BE">
            <w:rPr>
              <w:rFonts w:cs="Times New Roman"/>
              <w:szCs w:val="24"/>
              <w:lang w:val="en-GB"/>
            </w:rPr>
            <w:instrText xml:space="preserve">CITATION Eur03 \p 1 \t  \l 1033 </w:instrText>
          </w:r>
          <w:r w:rsidR="000E4BAF" w:rsidRPr="003569BE">
            <w:rPr>
              <w:rFonts w:cs="Times New Roman"/>
              <w:szCs w:val="24"/>
              <w:lang w:val="en-GB"/>
            </w:rPr>
            <w:fldChar w:fldCharType="separate"/>
          </w:r>
          <w:r w:rsidR="008F7EB3" w:rsidRPr="003569BE">
            <w:rPr>
              <w:rFonts w:cs="Times New Roman"/>
              <w:noProof/>
              <w:szCs w:val="24"/>
              <w:lang w:val="en-GB"/>
            </w:rPr>
            <w:t>(GAO, 2003, p. 1)</w:t>
          </w:r>
          <w:r w:rsidR="000E4BAF" w:rsidRPr="003569BE">
            <w:rPr>
              <w:rFonts w:cs="Times New Roman"/>
              <w:szCs w:val="24"/>
              <w:lang w:val="en-GB"/>
            </w:rPr>
            <w:fldChar w:fldCharType="end"/>
          </w:r>
        </w:sdtContent>
      </w:sdt>
      <w:r w:rsidR="00500196" w:rsidRPr="003569BE">
        <w:rPr>
          <w:rFonts w:cs="Times New Roman"/>
          <w:noProof/>
          <w:szCs w:val="24"/>
          <w:lang w:val="en-GB"/>
        </w:rPr>
        <w:t>.</w:t>
      </w:r>
      <w:r w:rsidR="00B329DE" w:rsidRPr="003569BE">
        <w:rPr>
          <w:rFonts w:cs="Times New Roman"/>
          <w:szCs w:val="24"/>
          <w:lang w:val="en-GB"/>
        </w:rPr>
        <w:t xml:space="preserve"> </w:t>
      </w:r>
    </w:p>
    <w:p w:rsidR="00B329DE" w:rsidRPr="003569BE" w:rsidRDefault="00B329DE" w:rsidP="00846EA1">
      <w:pPr>
        <w:spacing w:line="360" w:lineRule="auto"/>
        <w:rPr>
          <w:rFonts w:cs="Times New Roman"/>
          <w:szCs w:val="24"/>
          <w:lang w:val="en-GB"/>
        </w:rPr>
      </w:pPr>
      <w:r w:rsidRPr="003569BE">
        <w:rPr>
          <w:rFonts w:cs="Times New Roman"/>
          <w:szCs w:val="24"/>
          <w:lang w:val="en-GB"/>
        </w:rPr>
        <w:t xml:space="preserve">On the other hand, in the European Union the European Commission has proposed mandatory audit firm rotation for all European listed companies </w:t>
      </w:r>
      <w:sdt>
        <w:sdtPr>
          <w:rPr>
            <w:lang w:val="en-GB"/>
          </w:rPr>
          <w:id w:val="-2069557533"/>
          <w:citation/>
        </w:sdtPr>
        <w:sdtContent>
          <w:r w:rsidR="000E4BAF" w:rsidRPr="003569BE">
            <w:rPr>
              <w:rFonts w:cs="Times New Roman"/>
              <w:szCs w:val="24"/>
              <w:lang w:val="en-GB"/>
            </w:rPr>
            <w:fldChar w:fldCharType="begin"/>
          </w:r>
          <w:r w:rsidR="00624A69" w:rsidRPr="003569BE">
            <w:rPr>
              <w:rFonts w:cs="Times New Roman"/>
              <w:szCs w:val="24"/>
              <w:lang w:val="en-GB"/>
            </w:rPr>
            <w:instrText xml:space="preserve">CITATION Eur11 \l 1033 </w:instrText>
          </w:r>
          <w:r w:rsidR="000E4BAF" w:rsidRPr="003569BE">
            <w:rPr>
              <w:rFonts w:cs="Times New Roman"/>
              <w:szCs w:val="24"/>
              <w:lang w:val="en-GB"/>
            </w:rPr>
            <w:fldChar w:fldCharType="separate"/>
          </w:r>
          <w:r w:rsidR="008F7EB3" w:rsidRPr="003569BE">
            <w:rPr>
              <w:rFonts w:cs="Times New Roman"/>
              <w:noProof/>
              <w:szCs w:val="24"/>
              <w:lang w:val="en-GB"/>
            </w:rPr>
            <w:t>(European Commission, 2011)</w:t>
          </w:r>
          <w:r w:rsidR="000E4BAF" w:rsidRPr="003569BE">
            <w:rPr>
              <w:rFonts w:cs="Times New Roman"/>
              <w:szCs w:val="24"/>
              <w:lang w:val="en-GB"/>
            </w:rPr>
            <w:fldChar w:fldCharType="end"/>
          </w:r>
        </w:sdtContent>
      </w:sdt>
      <w:r w:rsidRPr="003569BE">
        <w:rPr>
          <w:rFonts w:cs="Times New Roman"/>
          <w:szCs w:val="24"/>
          <w:lang w:val="en-GB"/>
        </w:rPr>
        <w:t>. Moreover, the Dutch Parliament has recently approved a MAFR rule in The Netherlands, which will be implemented starting from 1</w:t>
      </w:r>
      <w:r w:rsidRPr="003569BE">
        <w:rPr>
          <w:rFonts w:cs="Times New Roman"/>
          <w:szCs w:val="24"/>
          <w:vertAlign w:val="superscript"/>
          <w:lang w:val="en-GB"/>
        </w:rPr>
        <w:t>st</w:t>
      </w:r>
      <w:r w:rsidRPr="003569BE">
        <w:rPr>
          <w:rFonts w:cs="Times New Roman"/>
          <w:szCs w:val="24"/>
          <w:lang w:val="en-GB"/>
        </w:rPr>
        <w:t xml:space="preserve"> of January 2016 for public-interest entities and will require the rotation of auditors every eight years, with a cooling-off period of two years, after which the previous auditor may be mandated again </w:t>
      </w:r>
      <w:sdt>
        <w:sdtPr>
          <w:rPr>
            <w:lang w:val="en-GB"/>
          </w:rPr>
          <w:id w:val="1318534550"/>
          <w:citation/>
        </w:sdtPr>
        <w:sdtContent>
          <w:r w:rsidR="000E4BAF" w:rsidRPr="003569BE">
            <w:rPr>
              <w:rFonts w:cs="Times New Roman"/>
              <w:szCs w:val="24"/>
              <w:lang w:val="en-GB"/>
            </w:rPr>
            <w:fldChar w:fldCharType="begin"/>
          </w:r>
          <w:r w:rsidRPr="003569BE">
            <w:rPr>
              <w:rFonts w:cs="Times New Roman"/>
              <w:szCs w:val="24"/>
              <w:lang w:val="en-GB"/>
            </w:rPr>
            <w:instrText xml:space="preserve">CITATION Sta \l 1033 </w:instrText>
          </w:r>
          <w:r w:rsidR="000E4BAF" w:rsidRPr="003569BE">
            <w:rPr>
              <w:rFonts w:cs="Times New Roman"/>
              <w:szCs w:val="24"/>
              <w:lang w:val="en-GB"/>
            </w:rPr>
            <w:fldChar w:fldCharType="separate"/>
          </w:r>
          <w:r w:rsidR="008F7EB3" w:rsidRPr="003569BE">
            <w:rPr>
              <w:rFonts w:cs="Times New Roman"/>
              <w:noProof/>
              <w:szCs w:val="24"/>
              <w:lang w:val="en-GB"/>
            </w:rPr>
            <w:t>(Staten-Generaal, 2012)</w:t>
          </w:r>
          <w:r w:rsidR="000E4BAF" w:rsidRPr="003569BE">
            <w:rPr>
              <w:rFonts w:cs="Times New Roman"/>
              <w:szCs w:val="24"/>
              <w:lang w:val="en-GB"/>
            </w:rPr>
            <w:fldChar w:fldCharType="end"/>
          </w:r>
        </w:sdtContent>
      </w:sdt>
      <w:r w:rsidRPr="003569BE">
        <w:rPr>
          <w:rFonts w:cs="Times New Roman"/>
          <w:szCs w:val="24"/>
          <w:lang w:val="en-GB"/>
        </w:rPr>
        <w:t>.</w:t>
      </w:r>
      <w:r w:rsidR="00A96353" w:rsidRPr="003569BE">
        <w:rPr>
          <w:rFonts w:cs="Times New Roman"/>
          <w:szCs w:val="24"/>
          <w:lang w:val="en-GB"/>
        </w:rPr>
        <w:t xml:space="preserve"> However, the eight years period is currently subject to discussion and could be lengthened to ten years</w:t>
      </w:r>
      <w:r w:rsidR="006F6F31" w:rsidRPr="003569BE">
        <w:rPr>
          <w:rFonts w:cs="Times New Roman"/>
          <w:szCs w:val="24"/>
          <w:lang w:val="en-GB"/>
        </w:rPr>
        <w:t xml:space="preserve"> </w:t>
      </w:r>
      <w:sdt>
        <w:sdtPr>
          <w:rPr>
            <w:rFonts w:cs="Times New Roman"/>
            <w:szCs w:val="24"/>
            <w:lang w:val="en-GB"/>
          </w:rPr>
          <w:id w:val="-1696154095"/>
          <w:citation/>
        </w:sdtPr>
        <w:sdtContent>
          <w:r w:rsidR="000E4BAF" w:rsidRPr="003569BE">
            <w:rPr>
              <w:rFonts w:cs="Times New Roman"/>
              <w:szCs w:val="24"/>
              <w:lang w:val="en-GB"/>
            </w:rPr>
            <w:fldChar w:fldCharType="begin"/>
          </w:r>
          <w:r w:rsidR="005C72E1" w:rsidRPr="003569BE">
            <w:rPr>
              <w:rFonts w:cs="Times New Roman"/>
              <w:szCs w:val="24"/>
              <w:lang w:val="en-GB"/>
            </w:rPr>
            <w:instrText xml:space="preserve">CITATION Acc14 \l 1033 </w:instrText>
          </w:r>
          <w:r w:rsidR="000E4BAF" w:rsidRPr="003569BE">
            <w:rPr>
              <w:rFonts w:cs="Times New Roman"/>
              <w:szCs w:val="24"/>
              <w:lang w:val="en-GB"/>
            </w:rPr>
            <w:fldChar w:fldCharType="separate"/>
          </w:r>
          <w:r w:rsidR="008F7EB3" w:rsidRPr="003569BE">
            <w:rPr>
              <w:rFonts w:cs="Times New Roman"/>
              <w:noProof/>
              <w:szCs w:val="24"/>
              <w:lang w:val="en-GB"/>
            </w:rPr>
            <w:t>(Accountancynieuws, 2014)</w:t>
          </w:r>
          <w:r w:rsidR="000E4BAF" w:rsidRPr="003569BE">
            <w:rPr>
              <w:rFonts w:cs="Times New Roman"/>
              <w:szCs w:val="24"/>
              <w:lang w:val="en-GB"/>
            </w:rPr>
            <w:fldChar w:fldCharType="end"/>
          </w:r>
        </w:sdtContent>
      </w:sdt>
      <w:r w:rsidR="00A96353" w:rsidRPr="003569BE">
        <w:rPr>
          <w:rFonts w:cs="Times New Roman"/>
          <w:szCs w:val="24"/>
          <w:lang w:val="en-GB"/>
        </w:rPr>
        <w:t>.</w:t>
      </w:r>
    </w:p>
    <w:p w:rsidR="00B329DE" w:rsidRPr="003569BE" w:rsidRDefault="00B329DE" w:rsidP="0075702E">
      <w:pPr>
        <w:tabs>
          <w:tab w:val="left" w:pos="3969"/>
        </w:tabs>
        <w:spacing w:line="360" w:lineRule="auto"/>
        <w:rPr>
          <w:rFonts w:cs="Times New Roman"/>
          <w:bCs/>
          <w:szCs w:val="24"/>
          <w:lang w:val="en-GB"/>
        </w:rPr>
      </w:pPr>
      <w:r w:rsidRPr="003569BE">
        <w:rPr>
          <w:rFonts w:cs="Times New Roman"/>
          <w:szCs w:val="24"/>
          <w:lang w:val="en-GB"/>
        </w:rPr>
        <w:lastRenderedPageBreak/>
        <w:t xml:space="preserve">In this thesis, the relation between the mandatory audit firm rotation and the management’s behaviour in terms of the use of earnings management will be investigated. The content of the term </w:t>
      </w:r>
      <w:r w:rsidRPr="003569BE">
        <w:rPr>
          <w:rFonts w:cs="Times New Roman"/>
          <w:i/>
          <w:szCs w:val="24"/>
          <w:lang w:val="en-GB"/>
        </w:rPr>
        <w:t>“earnings management”</w:t>
      </w:r>
      <w:r w:rsidRPr="003569BE">
        <w:rPr>
          <w:rFonts w:cs="Times New Roman"/>
          <w:szCs w:val="24"/>
          <w:lang w:val="en-GB"/>
        </w:rPr>
        <w:t xml:space="preserve"> in financial reporting implies </w:t>
      </w:r>
      <w:r w:rsidRPr="003569BE">
        <w:rPr>
          <w:rFonts w:cs="Times New Roman"/>
          <w:bCs/>
          <w:szCs w:val="24"/>
          <w:lang w:val="en-GB"/>
        </w:rPr>
        <w:t>“a purposeful intervention in the external financial reporting process, with the intent of obtaining some private gain</w:t>
      </w:r>
      <w:r w:rsidR="008D63C9" w:rsidRPr="003569BE" w:rsidDel="008D63C9">
        <w:rPr>
          <w:rFonts w:cs="Times New Roman"/>
          <w:bCs/>
          <w:szCs w:val="24"/>
          <w:lang w:val="en-GB"/>
        </w:rPr>
        <w:t xml:space="preserve"> </w:t>
      </w:r>
      <w:r w:rsidRPr="003569BE">
        <w:rPr>
          <w:rFonts w:cs="Times New Roman"/>
          <w:bCs/>
          <w:szCs w:val="24"/>
          <w:lang w:val="en-GB"/>
        </w:rPr>
        <w:t xml:space="preserve">(as opposed to, say, merely facilitating the neutral operation of the process)” </w:t>
      </w:r>
      <w:sdt>
        <w:sdtPr>
          <w:rPr>
            <w:rFonts w:cs="Times New Roman"/>
            <w:bCs/>
            <w:szCs w:val="24"/>
            <w:lang w:val="en-GB"/>
          </w:rPr>
          <w:id w:val="-1394648871"/>
          <w:citation/>
        </w:sdtPr>
        <w:sdtContent>
          <w:r w:rsidR="000E4BAF" w:rsidRPr="003569BE">
            <w:rPr>
              <w:rFonts w:cs="Times New Roman"/>
              <w:bCs/>
              <w:szCs w:val="24"/>
              <w:lang w:val="en-GB"/>
            </w:rPr>
            <w:fldChar w:fldCharType="begin"/>
          </w:r>
          <w:r w:rsidR="00500196" w:rsidRPr="003569BE">
            <w:rPr>
              <w:rFonts w:cs="Times New Roman"/>
              <w:noProof/>
              <w:szCs w:val="24"/>
              <w:lang w:val="en-GB"/>
            </w:rPr>
            <w:instrText xml:space="preserve">CITATION Sch99 \p 92 \l 1033 </w:instrText>
          </w:r>
          <w:r w:rsidR="000E4BAF" w:rsidRPr="003569BE">
            <w:rPr>
              <w:rFonts w:cs="Times New Roman"/>
              <w:bCs/>
              <w:szCs w:val="24"/>
              <w:lang w:val="en-GB"/>
            </w:rPr>
            <w:fldChar w:fldCharType="separate"/>
          </w:r>
          <w:r w:rsidR="008F7EB3" w:rsidRPr="003569BE">
            <w:rPr>
              <w:rFonts w:cs="Times New Roman"/>
              <w:noProof/>
              <w:szCs w:val="24"/>
              <w:lang w:val="en-GB"/>
            </w:rPr>
            <w:t>(Schipper, 1989, p. 92)</w:t>
          </w:r>
          <w:r w:rsidR="000E4BAF" w:rsidRPr="003569BE">
            <w:rPr>
              <w:rFonts w:cs="Times New Roman"/>
              <w:bCs/>
              <w:szCs w:val="24"/>
              <w:lang w:val="en-GB"/>
            </w:rPr>
            <w:fldChar w:fldCharType="end"/>
          </w:r>
        </w:sdtContent>
      </w:sdt>
      <w:r w:rsidRPr="003569BE">
        <w:rPr>
          <w:rFonts w:cs="Times New Roman"/>
          <w:bCs/>
          <w:szCs w:val="24"/>
          <w:lang w:val="en-GB"/>
        </w:rPr>
        <w:t xml:space="preserve">. A more extensive description of the term </w:t>
      </w:r>
      <w:r w:rsidRPr="003569BE">
        <w:rPr>
          <w:rFonts w:cs="Times New Roman"/>
          <w:bCs/>
          <w:i/>
          <w:szCs w:val="24"/>
          <w:lang w:val="en-GB"/>
        </w:rPr>
        <w:t>“earnings management”</w:t>
      </w:r>
      <w:r w:rsidRPr="003569BE">
        <w:rPr>
          <w:rFonts w:cs="Times New Roman"/>
          <w:bCs/>
          <w:szCs w:val="24"/>
          <w:lang w:val="en-GB"/>
        </w:rPr>
        <w:t xml:space="preserve"> will be pledged in the succeeding part of this chapter. As for the theoretical explanation of </w:t>
      </w:r>
      <w:r w:rsidR="007C701C" w:rsidRPr="003569BE">
        <w:rPr>
          <w:rFonts w:cs="Times New Roman"/>
          <w:bCs/>
          <w:szCs w:val="24"/>
          <w:lang w:val="en-GB"/>
        </w:rPr>
        <w:t xml:space="preserve">the use of </w:t>
      </w:r>
      <w:r w:rsidRPr="003569BE">
        <w:rPr>
          <w:rFonts w:cs="Times New Roman"/>
          <w:bCs/>
          <w:szCs w:val="24"/>
          <w:lang w:val="en-GB"/>
        </w:rPr>
        <w:t>earnings management and the methods used to determine and measure it, a thorough literature review will be provided in chapter</w:t>
      </w:r>
      <w:r w:rsidR="00D00071" w:rsidRPr="003569BE">
        <w:rPr>
          <w:rFonts w:cs="Times New Roman"/>
          <w:bCs/>
          <w:szCs w:val="24"/>
          <w:lang w:val="en-GB"/>
        </w:rPr>
        <w:t>s</w:t>
      </w:r>
      <w:r w:rsidRPr="003569BE">
        <w:rPr>
          <w:rFonts w:cs="Times New Roman"/>
          <w:bCs/>
          <w:szCs w:val="24"/>
          <w:lang w:val="en-GB"/>
        </w:rPr>
        <w:t xml:space="preserve"> two</w:t>
      </w:r>
      <w:r w:rsidR="00D00071" w:rsidRPr="003569BE">
        <w:rPr>
          <w:rFonts w:cs="Times New Roman"/>
          <w:bCs/>
          <w:szCs w:val="24"/>
          <w:lang w:val="en-GB"/>
        </w:rPr>
        <w:t xml:space="preserve">, three and </w:t>
      </w:r>
      <w:r w:rsidR="00535C29" w:rsidRPr="003569BE">
        <w:rPr>
          <w:rFonts w:cs="Times New Roman"/>
          <w:bCs/>
          <w:szCs w:val="24"/>
          <w:lang w:val="en-GB"/>
        </w:rPr>
        <w:t>four</w:t>
      </w:r>
      <w:r w:rsidRPr="003569BE">
        <w:rPr>
          <w:rFonts w:cs="Times New Roman"/>
          <w:bCs/>
          <w:szCs w:val="24"/>
          <w:lang w:val="en-GB"/>
        </w:rPr>
        <w:t>.</w:t>
      </w:r>
    </w:p>
    <w:p w:rsidR="00B329DE" w:rsidRPr="003569BE" w:rsidRDefault="00B329DE" w:rsidP="00846EA1">
      <w:pPr>
        <w:spacing w:line="360" w:lineRule="auto"/>
        <w:rPr>
          <w:rFonts w:cs="Times New Roman"/>
          <w:bCs/>
          <w:szCs w:val="24"/>
          <w:lang w:val="en-GB"/>
        </w:rPr>
      </w:pPr>
      <w:r w:rsidRPr="003569BE">
        <w:rPr>
          <w:rFonts w:cs="Times New Roman"/>
          <w:bCs/>
          <w:szCs w:val="24"/>
          <w:lang w:val="en-GB"/>
        </w:rPr>
        <w:t xml:space="preserve">The main driver for this thesis is the current debate about the forthcoming MAFR in the Netherlands and its potential consequence for the management’s behaviour in terms of </w:t>
      </w:r>
      <w:r w:rsidR="007C701C" w:rsidRPr="003569BE">
        <w:rPr>
          <w:rFonts w:cs="Times New Roman"/>
          <w:bCs/>
          <w:szCs w:val="24"/>
          <w:lang w:val="en-GB"/>
        </w:rPr>
        <w:t xml:space="preserve">the </w:t>
      </w:r>
      <w:r w:rsidRPr="003569BE">
        <w:rPr>
          <w:rFonts w:cs="Times New Roman"/>
          <w:bCs/>
          <w:szCs w:val="24"/>
          <w:lang w:val="en-GB"/>
        </w:rPr>
        <w:t xml:space="preserve">use of earnings management in the annual financial reporting. </w:t>
      </w:r>
      <w:r w:rsidR="001335CE" w:rsidRPr="003569BE">
        <w:rPr>
          <w:rFonts w:cs="Times New Roman"/>
          <w:bCs/>
          <w:szCs w:val="24"/>
          <w:lang w:val="en-GB"/>
        </w:rPr>
        <w:t>Next</w:t>
      </w:r>
      <w:r w:rsidRPr="003569BE">
        <w:rPr>
          <w:rFonts w:cs="Times New Roman"/>
          <w:bCs/>
          <w:szCs w:val="24"/>
          <w:lang w:val="en-GB"/>
        </w:rPr>
        <w:t xml:space="preserve">, a brief introduction to the topics of MAFR and the use of earnings management will be presented. The succeeding parts of this chapter include stating the research question, </w:t>
      </w:r>
      <w:r w:rsidR="007C701C" w:rsidRPr="003569BE">
        <w:rPr>
          <w:rFonts w:cs="Times New Roman"/>
          <w:bCs/>
          <w:szCs w:val="24"/>
          <w:lang w:val="en-GB"/>
        </w:rPr>
        <w:t xml:space="preserve">commenting </w:t>
      </w:r>
      <w:r w:rsidRPr="003569BE">
        <w:rPr>
          <w:rFonts w:cs="Times New Roman"/>
          <w:bCs/>
          <w:szCs w:val="24"/>
          <w:lang w:val="en-GB"/>
        </w:rPr>
        <w:t xml:space="preserve">the sample to be used in the empirical research, the relevance and the limitations of this thesis. Finally, the chapter will end with </w:t>
      </w:r>
      <w:r w:rsidR="007C701C" w:rsidRPr="003569BE">
        <w:rPr>
          <w:rFonts w:cs="Times New Roman"/>
          <w:bCs/>
          <w:szCs w:val="24"/>
          <w:lang w:val="en-GB"/>
        </w:rPr>
        <w:t xml:space="preserve">the </w:t>
      </w:r>
      <w:r w:rsidRPr="003569BE">
        <w:rPr>
          <w:rFonts w:cs="Times New Roman"/>
          <w:bCs/>
          <w:szCs w:val="24"/>
          <w:lang w:val="en-GB"/>
        </w:rPr>
        <w:t>presentation of the structure of the thesis.</w:t>
      </w:r>
    </w:p>
    <w:p w:rsidR="009B7420" w:rsidRPr="003569BE" w:rsidRDefault="009B7420" w:rsidP="00846EA1">
      <w:pPr>
        <w:pStyle w:val="Heading2"/>
        <w:numPr>
          <w:ilvl w:val="1"/>
          <w:numId w:val="6"/>
        </w:numPr>
        <w:spacing w:line="360" w:lineRule="auto"/>
        <w:rPr>
          <w:lang w:val="en-GB"/>
        </w:rPr>
      </w:pPr>
      <w:bookmarkStart w:id="1" w:name="_Toc396633533"/>
      <w:r w:rsidRPr="003569BE">
        <w:rPr>
          <w:lang w:val="en-GB"/>
        </w:rPr>
        <w:t>Motivation</w:t>
      </w:r>
      <w:bookmarkEnd w:id="1"/>
    </w:p>
    <w:p w:rsidR="00B329DE" w:rsidRPr="003569BE" w:rsidRDefault="00E762C7" w:rsidP="00846EA1">
      <w:pPr>
        <w:spacing w:line="360" w:lineRule="auto"/>
        <w:rPr>
          <w:rFonts w:cs="Times New Roman"/>
          <w:szCs w:val="24"/>
          <w:lang w:val="en-GB"/>
        </w:rPr>
      </w:pPr>
      <w:r w:rsidRPr="003569BE">
        <w:rPr>
          <w:rFonts w:cs="Times New Roman"/>
          <w:szCs w:val="24"/>
          <w:lang w:val="en-GB"/>
        </w:rPr>
        <w:t>Regulators expect auditor’s independenc</w:t>
      </w:r>
      <w:r w:rsidR="007C701C" w:rsidRPr="003569BE">
        <w:rPr>
          <w:rFonts w:cs="Times New Roman"/>
          <w:szCs w:val="24"/>
          <w:lang w:val="en-GB"/>
        </w:rPr>
        <w:t>e</w:t>
      </w:r>
      <w:r w:rsidR="007C701C" w:rsidRPr="003569BE">
        <w:rPr>
          <w:lang w:val="en-GB"/>
        </w:rPr>
        <w:t xml:space="preserve"> </w:t>
      </w:r>
      <w:r w:rsidR="007C701C" w:rsidRPr="003569BE">
        <w:rPr>
          <w:rFonts w:cs="Times New Roman"/>
          <w:szCs w:val="24"/>
          <w:lang w:val="en-GB"/>
        </w:rPr>
        <w:t xml:space="preserve">in a mandatory audit firm rotation setting should </w:t>
      </w:r>
      <w:r w:rsidR="00327709" w:rsidRPr="003569BE">
        <w:rPr>
          <w:rFonts w:cs="Times New Roman"/>
          <w:szCs w:val="24"/>
          <w:lang w:val="en-GB"/>
        </w:rPr>
        <w:t>increase</w:t>
      </w:r>
      <w:r w:rsidRPr="003569BE">
        <w:rPr>
          <w:rFonts w:cs="Times New Roman"/>
          <w:szCs w:val="24"/>
          <w:lang w:val="en-GB"/>
        </w:rPr>
        <w:t xml:space="preserve"> both </w:t>
      </w:r>
      <w:r w:rsidR="007C701C" w:rsidRPr="003569BE">
        <w:rPr>
          <w:rFonts w:cs="Times New Roman"/>
          <w:szCs w:val="24"/>
          <w:lang w:val="en-GB"/>
        </w:rPr>
        <w:t xml:space="preserve">the </w:t>
      </w:r>
      <w:r w:rsidRPr="003569BE">
        <w:rPr>
          <w:rFonts w:cs="Times New Roman"/>
          <w:szCs w:val="24"/>
          <w:lang w:val="en-GB"/>
        </w:rPr>
        <w:t xml:space="preserve">independence in mind and </w:t>
      </w:r>
      <w:r w:rsidR="007C701C" w:rsidRPr="003569BE">
        <w:rPr>
          <w:rFonts w:cs="Times New Roman"/>
          <w:szCs w:val="24"/>
          <w:lang w:val="en-GB"/>
        </w:rPr>
        <w:t xml:space="preserve">the independence </w:t>
      </w:r>
      <w:r w:rsidRPr="003569BE">
        <w:rPr>
          <w:rFonts w:cs="Times New Roman"/>
          <w:szCs w:val="24"/>
          <w:lang w:val="en-GB"/>
        </w:rPr>
        <w:t xml:space="preserve">in appearance. Consequently, this expectation indirectly </w:t>
      </w:r>
      <w:r w:rsidR="007C701C" w:rsidRPr="003569BE">
        <w:rPr>
          <w:rFonts w:cs="Times New Roman"/>
          <w:szCs w:val="24"/>
          <w:lang w:val="en-GB"/>
        </w:rPr>
        <w:t xml:space="preserve">creates </w:t>
      </w:r>
      <w:r w:rsidRPr="003569BE">
        <w:rPr>
          <w:rFonts w:cs="Times New Roman"/>
          <w:szCs w:val="24"/>
          <w:lang w:val="en-GB"/>
        </w:rPr>
        <w:t>a higher degree of the audit quality.</w:t>
      </w:r>
      <w:r w:rsidR="00FA491C" w:rsidRPr="003569BE">
        <w:rPr>
          <w:rFonts w:cs="Times New Roman"/>
          <w:szCs w:val="24"/>
          <w:lang w:val="en-GB"/>
        </w:rPr>
        <w:t xml:space="preserve"> The purpose of this thesis is not to determine the effect MAFR has on the audit quality, but </w:t>
      </w:r>
      <w:r w:rsidR="007F53F7" w:rsidRPr="003569BE">
        <w:rPr>
          <w:rFonts w:cs="Times New Roman"/>
          <w:szCs w:val="24"/>
          <w:lang w:val="en-GB"/>
        </w:rPr>
        <w:t xml:space="preserve">to </w:t>
      </w:r>
      <w:r w:rsidR="003D5D16" w:rsidRPr="003569BE">
        <w:rPr>
          <w:rFonts w:cs="Times New Roman"/>
          <w:szCs w:val="24"/>
          <w:lang w:val="en-GB"/>
        </w:rPr>
        <w:t>investigate</w:t>
      </w:r>
      <w:r w:rsidR="007F53F7" w:rsidRPr="003569BE">
        <w:rPr>
          <w:rFonts w:cs="Times New Roman"/>
          <w:szCs w:val="24"/>
          <w:lang w:val="en-GB"/>
        </w:rPr>
        <w:t xml:space="preserve"> the relationship between MAFR and the magnitude of the use of earnings management.</w:t>
      </w:r>
      <w:r w:rsidR="00D16372" w:rsidRPr="003569BE">
        <w:rPr>
          <w:rFonts w:cs="Times New Roman"/>
          <w:szCs w:val="24"/>
          <w:lang w:val="en-GB"/>
        </w:rPr>
        <w:t xml:space="preserve"> However, a literature review regarding the influence on </w:t>
      </w:r>
      <w:r w:rsidR="007C701C" w:rsidRPr="003569BE">
        <w:rPr>
          <w:rFonts w:cs="Times New Roman"/>
          <w:szCs w:val="24"/>
          <w:lang w:val="en-GB"/>
        </w:rPr>
        <w:t xml:space="preserve">the </w:t>
      </w:r>
      <w:r w:rsidR="00D16372" w:rsidRPr="003569BE">
        <w:rPr>
          <w:rFonts w:cs="Times New Roman"/>
          <w:szCs w:val="24"/>
          <w:lang w:val="en-GB"/>
        </w:rPr>
        <w:t xml:space="preserve">audit quality will be presented </w:t>
      </w:r>
      <w:r w:rsidR="001335CE" w:rsidRPr="003569BE">
        <w:rPr>
          <w:rFonts w:cs="Times New Roman"/>
          <w:szCs w:val="24"/>
          <w:lang w:val="en-GB"/>
        </w:rPr>
        <w:t>later in</w:t>
      </w:r>
      <w:r w:rsidR="00D16372" w:rsidRPr="003569BE">
        <w:rPr>
          <w:rFonts w:cs="Times New Roman"/>
          <w:szCs w:val="24"/>
          <w:lang w:val="en-GB"/>
        </w:rPr>
        <w:t xml:space="preserve"> this thesis</w:t>
      </w:r>
      <w:r w:rsidR="00CF46AE" w:rsidRPr="003569BE">
        <w:rPr>
          <w:rFonts w:cs="Times New Roman"/>
          <w:szCs w:val="24"/>
          <w:lang w:val="en-GB"/>
        </w:rPr>
        <w:t xml:space="preserve">, </w:t>
      </w:r>
      <w:r w:rsidR="007C701C" w:rsidRPr="003569BE">
        <w:rPr>
          <w:rFonts w:cs="Times New Roman"/>
          <w:szCs w:val="24"/>
          <w:lang w:val="en-GB"/>
        </w:rPr>
        <w:t xml:space="preserve">in which </w:t>
      </w:r>
      <w:r w:rsidR="00CF46AE" w:rsidRPr="003569BE">
        <w:rPr>
          <w:rFonts w:cs="Times New Roman"/>
          <w:szCs w:val="24"/>
          <w:lang w:val="en-GB"/>
        </w:rPr>
        <w:t xml:space="preserve">the advocates </w:t>
      </w:r>
      <w:r w:rsidR="00A301F2" w:rsidRPr="003569BE">
        <w:rPr>
          <w:rFonts w:cs="Times New Roman"/>
          <w:szCs w:val="24"/>
          <w:lang w:val="en-GB"/>
        </w:rPr>
        <w:t xml:space="preserve">of MAFR </w:t>
      </w:r>
      <w:r w:rsidR="00CF46AE" w:rsidRPr="003569BE">
        <w:rPr>
          <w:rFonts w:cs="Times New Roman"/>
          <w:szCs w:val="24"/>
          <w:lang w:val="en-GB"/>
        </w:rPr>
        <w:t xml:space="preserve">vs. </w:t>
      </w:r>
      <w:r w:rsidR="00410DA3" w:rsidRPr="003569BE">
        <w:rPr>
          <w:rFonts w:cs="Times New Roman"/>
          <w:szCs w:val="24"/>
          <w:lang w:val="en-GB"/>
        </w:rPr>
        <w:t xml:space="preserve">critics of MAFR situation </w:t>
      </w:r>
      <w:r w:rsidR="00A301F2" w:rsidRPr="003569BE">
        <w:rPr>
          <w:rFonts w:cs="Times New Roman"/>
          <w:szCs w:val="24"/>
          <w:lang w:val="en-GB"/>
        </w:rPr>
        <w:t xml:space="preserve">will be </w:t>
      </w:r>
      <w:r w:rsidR="007C701C" w:rsidRPr="003569BE">
        <w:rPr>
          <w:rFonts w:cs="Times New Roman"/>
          <w:szCs w:val="24"/>
          <w:lang w:val="en-GB"/>
        </w:rPr>
        <w:t>presented</w:t>
      </w:r>
      <w:r w:rsidR="00D16372" w:rsidRPr="003569BE">
        <w:rPr>
          <w:rFonts w:cs="Times New Roman"/>
          <w:szCs w:val="24"/>
          <w:lang w:val="en-GB"/>
        </w:rPr>
        <w:t>.</w:t>
      </w:r>
      <w:r w:rsidR="00AF1FEE" w:rsidRPr="003569BE">
        <w:rPr>
          <w:rFonts w:cs="Times New Roman"/>
          <w:szCs w:val="24"/>
          <w:lang w:val="en-GB"/>
        </w:rPr>
        <w:t xml:space="preserve"> It is </w:t>
      </w:r>
      <w:r w:rsidR="007C701C" w:rsidRPr="003569BE">
        <w:rPr>
          <w:rFonts w:cs="Times New Roman"/>
          <w:szCs w:val="24"/>
          <w:lang w:val="en-GB"/>
        </w:rPr>
        <w:t xml:space="preserve">essential </w:t>
      </w:r>
      <w:r w:rsidR="00AF1FEE" w:rsidRPr="003569BE">
        <w:rPr>
          <w:rFonts w:cs="Times New Roman"/>
          <w:szCs w:val="24"/>
          <w:lang w:val="en-GB"/>
        </w:rPr>
        <w:t xml:space="preserve">to </w:t>
      </w:r>
      <w:r w:rsidR="00C634A8" w:rsidRPr="003569BE">
        <w:rPr>
          <w:rFonts w:cs="Times New Roman"/>
          <w:szCs w:val="24"/>
          <w:lang w:val="en-GB"/>
        </w:rPr>
        <w:t xml:space="preserve">acknowledge that </w:t>
      </w:r>
      <w:r w:rsidR="007C701C" w:rsidRPr="003569BE">
        <w:rPr>
          <w:rFonts w:cs="Times New Roman"/>
          <w:szCs w:val="24"/>
          <w:lang w:val="en-GB"/>
        </w:rPr>
        <w:t xml:space="preserve">the use of </w:t>
      </w:r>
      <w:r w:rsidR="0011534B" w:rsidRPr="003569BE">
        <w:rPr>
          <w:rFonts w:cs="Times New Roman"/>
          <w:szCs w:val="24"/>
          <w:lang w:val="en-GB"/>
        </w:rPr>
        <w:t>earnings management</w:t>
      </w:r>
      <w:r w:rsidR="000B11C0" w:rsidRPr="003569BE">
        <w:rPr>
          <w:rFonts w:cs="Times New Roman"/>
          <w:szCs w:val="24"/>
          <w:lang w:val="en-GB"/>
        </w:rPr>
        <w:t xml:space="preserve"> </w:t>
      </w:r>
      <w:r w:rsidR="0011534B" w:rsidRPr="003569BE">
        <w:rPr>
          <w:rFonts w:cs="Times New Roman"/>
          <w:szCs w:val="24"/>
          <w:lang w:val="en-GB"/>
        </w:rPr>
        <w:t>has an effect</w:t>
      </w:r>
      <w:r w:rsidR="00FE38F2" w:rsidRPr="003569BE">
        <w:rPr>
          <w:rFonts w:cs="Times New Roman"/>
          <w:szCs w:val="24"/>
          <w:lang w:val="en-GB"/>
        </w:rPr>
        <w:t xml:space="preserve"> on</w:t>
      </w:r>
      <w:r w:rsidR="000B11C0" w:rsidRPr="003569BE">
        <w:rPr>
          <w:rFonts w:cs="Times New Roman"/>
          <w:szCs w:val="24"/>
          <w:lang w:val="en-GB"/>
        </w:rPr>
        <w:t xml:space="preserve"> the information usefulness in the annual financial statements.</w:t>
      </w:r>
      <w:r w:rsidR="00C53D54" w:rsidRPr="003569BE">
        <w:rPr>
          <w:rFonts w:cs="Times New Roman"/>
          <w:szCs w:val="24"/>
          <w:lang w:val="en-GB"/>
        </w:rPr>
        <w:t xml:space="preserve"> </w:t>
      </w:r>
    </w:p>
    <w:p w:rsidR="00696A1B" w:rsidRPr="003569BE" w:rsidRDefault="008D63C9" w:rsidP="00846EA1">
      <w:pPr>
        <w:spacing w:line="360" w:lineRule="auto"/>
        <w:rPr>
          <w:rFonts w:cs="Times New Roman"/>
          <w:szCs w:val="24"/>
          <w:lang w:val="en-GB"/>
        </w:rPr>
      </w:pPr>
      <w:r w:rsidRPr="003569BE">
        <w:rPr>
          <w:rFonts w:cs="Times New Roman"/>
          <w:szCs w:val="24"/>
          <w:lang w:val="en-GB"/>
        </w:rPr>
        <w:t>P</w:t>
      </w:r>
      <w:r w:rsidR="00696A1B" w:rsidRPr="003569BE">
        <w:rPr>
          <w:rFonts w:cs="Times New Roman"/>
          <w:szCs w:val="24"/>
          <w:lang w:val="en-GB"/>
        </w:rPr>
        <w:t xml:space="preserve">rior research has found that a </w:t>
      </w:r>
      <w:r w:rsidR="004E6B36" w:rsidRPr="003569BE">
        <w:rPr>
          <w:rFonts w:cs="Times New Roman"/>
          <w:szCs w:val="24"/>
          <w:lang w:val="en-GB"/>
        </w:rPr>
        <w:t xml:space="preserve">MAFR </w:t>
      </w:r>
      <w:r w:rsidR="00F11E21" w:rsidRPr="003569BE">
        <w:rPr>
          <w:rFonts w:cs="Times New Roman"/>
          <w:szCs w:val="24"/>
          <w:lang w:val="en-GB"/>
        </w:rPr>
        <w:t>setting</w:t>
      </w:r>
      <w:r w:rsidR="00AD2127" w:rsidRPr="003569BE">
        <w:rPr>
          <w:rFonts w:cs="Times New Roman"/>
          <w:szCs w:val="24"/>
          <w:lang w:val="en-GB"/>
        </w:rPr>
        <w:t xml:space="preserve"> has an effect on the auditor’s behaviour</w:t>
      </w:r>
      <w:r w:rsidR="00F11E21" w:rsidRPr="003569BE">
        <w:rPr>
          <w:rFonts w:cs="Times New Roman"/>
          <w:szCs w:val="24"/>
          <w:lang w:val="en-GB"/>
        </w:rPr>
        <w:t>.</w:t>
      </w:r>
      <w:r w:rsidR="00475E56" w:rsidRPr="003569BE">
        <w:rPr>
          <w:rFonts w:cs="Times New Roman"/>
          <w:szCs w:val="24"/>
          <w:lang w:val="en-GB"/>
        </w:rPr>
        <w:t xml:space="preserve"> </w:t>
      </w:r>
      <w:r w:rsidR="00A044A8" w:rsidRPr="003569BE">
        <w:rPr>
          <w:rFonts w:cs="Times New Roman"/>
          <w:szCs w:val="24"/>
          <w:lang w:val="en-GB"/>
        </w:rPr>
        <w:t xml:space="preserve">Based on </w:t>
      </w:r>
      <w:r w:rsidRPr="003569BE">
        <w:rPr>
          <w:rFonts w:cs="Times New Roman"/>
          <w:szCs w:val="24"/>
          <w:lang w:val="en-GB"/>
        </w:rPr>
        <w:t xml:space="preserve">different audit tenures </w:t>
      </w:r>
      <w:r w:rsidR="00A044A8" w:rsidRPr="003569BE">
        <w:rPr>
          <w:rFonts w:cs="Times New Roman"/>
          <w:szCs w:val="24"/>
          <w:lang w:val="en-GB"/>
        </w:rPr>
        <w:t xml:space="preserve">that </w:t>
      </w:r>
      <w:r w:rsidRPr="003569BE">
        <w:rPr>
          <w:rFonts w:cs="Times New Roman"/>
          <w:szCs w:val="24"/>
          <w:lang w:val="en-GB"/>
        </w:rPr>
        <w:t xml:space="preserve">were analysed, </w:t>
      </w:r>
      <w:r w:rsidR="00AD2127" w:rsidRPr="003569BE">
        <w:rPr>
          <w:rFonts w:cs="Times New Roman"/>
          <w:szCs w:val="24"/>
          <w:lang w:val="en-GB"/>
        </w:rPr>
        <w:t>a</w:t>
      </w:r>
      <w:r w:rsidR="00475E56" w:rsidRPr="003569BE">
        <w:rPr>
          <w:rFonts w:cs="Times New Roman"/>
          <w:szCs w:val="24"/>
          <w:lang w:val="en-GB"/>
        </w:rPr>
        <w:t xml:space="preserve"> change in the auditor’s behaviour </w:t>
      </w:r>
      <w:r w:rsidR="00A044A8" w:rsidRPr="003569BE">
        <w:rPr>
          <w:rFonts w:cs="Times New Roman"/>
          <w:szCs w:val="24"/>
          <w:lang w:val="en-GB"/>
        </w:rPr>
        <w:t>occurs;</w:t>
      </w:r>
      <w:r w:rsidR="00AD2127" w:rsidRPr="003569BE">
        <w:rPr>
          <w:rFonts w:cs="Times New Roman"/>
          <w:szCs w:val="24"/>
          <w:lang w:val="en-GB"/>
        </w:rPr>
        <w:t xml:space="preserve"> </w:t>
      </w:r>
      <w:r w:rsidR="00A044A8" w:rsidRPr="003569BE">
        <w:rPr>
          <w:rFonts w:cs="Times New Roman"/>
          <w:szCs w:val="24"/>
          <w:lang w:val="en-GB"/>
        </w:rPr>
        <w:t xml:space="preserve">this </w:t>
      </w:r>
      <w:r w:rsidR="00A222EC" w:rsidRPr="003569BE">
        <w:rPr>
          <w:rFonts w:cs="Times New Roman"/>
          <w:szCs w:val="24"/>
          <w:lang w:val="en-GB"/>
        </w:rPr>
        <w:t>can generate</w:t>
      </w:r>
      <w:r w:rsidR="00475E56" w:rsidRPr="003569BE">
        <w:rPr>
          <w:rFonts w:cs="Times New Roman"/>
          <w:szCs w:val="24"/>
          <w:lang w:val="en-GB"/>
        </w:rPr>
        <w:t xml:space="preserve"> </w:t>
      </w:r>
      <w:r w:rsidR="00EE019F" w:rsidRPr="003569BE">
        <w:rPr>
          <w:rFonts w:cs="Times New Roman"/>
          <w:szCs w:val="24"/>
          <w:lang w:val="en-GB"/>
        </w:rPr>
        <w:t xml:space="preserve">levels </w:t>
      </w:r>
      <w:r w:rsidR="00475E56" w:rsidRPr="003569BE">
        <w:rPr>
          <w:rFonts w:cs="Times New Roman"/>
          <w:szCs w:val="24"/>
          <w:lang w:val="en-GB"/>
        </w:rPr>
        <w:t xml:space="preserve">of </w:t>
      </w:r>
      <w:r w:rsidR="00D57218" w:rsidRPr="003569BE">
        <w:rPr>
          <w:rFonts w:cs="Times New Roman"/>
          <w:szCs w:val="24"/>
          <w:lang w:val="en-GB"/>
        </w:rPr>
        <w:t xml:space="preserve">higher or lower </w:t>
      </w:r>
      <w:r w:rsidR="00475E56" w:rsidRPr="003569BE">
        <w:rPr>
          <w:rFonts w:cs="Times New Roman"/>
          <w:szCs w:val="24"/>
          <w:lang w:val="en-GB"/>
        </w:rPr>
        <w:t>audit quality.</w:t>
      </w:r>
      <w:r w:rsidR="0037544F" w:rsidRPr="003569BE">
        <w:rPr>
          <w:rFonts w:cs="Times New Roman"/>
          <w:szCs w:val="24"/>
          <w:lang w:val="en-GB"/>
        </w:rPr>
        <w:t xml:space="preserve"> </w:t>
      </w:r>
      <w:r w:rsidR="00EF3FDA" w:rsidRPr="003569BE">
        <w:rPr>
          <w:rFonts w:cs="Times New Roman"/>
          <w:szCs w:val="24"/>
          <w:lang w:val="en-GB"/>
        </w:rPr>
        <w:t xml:space="preserve">Although it is not the purpose of this thesis to analyse the effect of MAFR on the auditor’s behaviour, but on the management’s behaviour in terms of the use of earning management, </w:t>
      </w:r>
      <w:r w:rsidR="001E2DC3" w:rsidRPr="003569BE">
        <w:rPr>
          <w:rFonts w:cs="Times New Roman"/>
          <w:szCs w:val="24"/>
          <w:lang w:val="en-GB"/>
        </w:rPr>
        <w:t xml:space="preserve">chapter </w:t>
      </w:r>
      <w:r w:rsidR="002045E2" w:rsidRPr="003569BE">
        <w:rPr>
          <w:rFonts w:cs="Times New Roman"/>
          <w:szCs w:val="24"/>
          <w:lang w:val="en-GB"/>
        </w:rPr>
        <w:t>two</w:t>
      </w:r>
      <w:r w:rsidR="0056148C" w:rsidRPr="003569BE">
        <w:rPr>
          <w:rFonts w:cs="Times New Roman"/>
          <w:szCs w:val="24"/>
          <w:lang w:val="en-GB"/>
        </w:rPr>
        <w:t xml:space="preserve"> and chapter four include </w:t>
      </w:r>
      <w:r w:rsidR="002045E2" w:rsidRPr="003569BE">
        <w:rPr>
          <w:rFonts w:cs="Times New Roman"/>
          <w:szCs w:val="24"/>
          <w:lang w:val="en-GB"/>
        </w:rPr>
        <w:lastRenderedPageBreak/>
        <w:t>some comments about this change in the behaviour of the auditor, but no thorough research is performed concerning this matter.</w:t>
      </w:r>
    </w:p>
    <w:p w:rsidR="00453E50" w:rsidRPr="003569BE" w:rsidRDefault="00453E50" w:rsidP="00846EA1">
      <w:pPr>
        <w:spacing w:line="360" w:lineRule="auto"/>
        <w:rPr>
          <w:rFonts w:cs="Times New Roman"/>
          <w:szCs w:val="24"/>
          <w:lang w:val="en-GB"/>
        </w:rPr>
      </w:pPr>
      <w:r w:rsidRPr="003569BE">
        <w:rPr>
          <w:rFonts w:cs="Times New Roman"/>
          <w:szCs w:val="24"/>
          <w:lang w:val="en-GB"/>
        </w:rPr>
        <w:t>The audit</w:t>
      </w:r>
      <w:r w:rsidR="00965615" w:rsidRPr="003569BE">
        <w:rPr>
          <w:rFonts w:cs="Times New Roman"/>
          <w:szCs w:val="24"/>
          <w:lang w:val="en-GB"/>
        </w:rPr>
        <w:t>ing</w:t>
      </w:r>
      <w:r w:rsidRPr="003569BE">
        <w:rPr>
          <w:rFonts w:cs="Times New Roman"/>
          <w:szCs w:val="24"/>
          <w:lang w:val="en-GB"/>
        </w:rPr>
        <w:t xml:space="preserve"> profession implies several aspects that could influence the magnitude of the use of earnings management in a MAFR environment.</w:t>
      </w:r>
      <w:r w:rsidR="00525ABD" w:rsidRPr="003569BE">
        <w:rPr>
          <w:rFonts w:cs="Times New Roman"/>
          <w:szCs w:val="24"/>
          <w:lang w:val="en-GB"/>
        </w:rPr>
        <w:t xml:space="preserve"> Certain characteristics of the audit profession </w:t>
      </w:r>
      <w:r w:rsidR="00BE0FDC" w:rsidRPr="003569BE">
        <w:rPr>
          <w:rFonts w:cs="Times New Roman"/>
          <w:szCs w:val="24"/>
          <w:lang w:val="en-GB"/>
        </w:rPr>
        <w:t>could involve an either higher or low</w:t>
      </w:r>
      <w:r w:rsidR="00B31344" w:rsidRPr="003569BE">
        <w:rPr>
          <w:rFonts w:cs="Times New Roman"/>
          <w:szCs w:val="24"/>
          <w:lang w:val="en-GB"/>
        </w:rPr>
        <w:t xml:space="preserve">er </w:t>
      </w:r>
      <w:r w:rsidR="00AE4FA0" w:rsidRPr="003569BE">
        <w:rPr>
          <w:rFonts w:cs="Times New Roman"/>
          <w:szCs w:val="24"/>
          <w:lang w:val="en-GB"/>
        </w:rPr>
        <w:t>degree</w:t>
      </w:r>
      <w:r w:rsidR="00B31344" w:rsidRPr="003569BE">
        <w:rPr>
          <w:rFonts w:cs="Times New Roman"/>
          <w:szCs w:val="24"/>
          <w:lang w:val="en-GB"/>
        </w:rPr>
        <w:t xml:space="preserve"> of </w:t>
      </w:r>
      <w:r w:rsidR="00CB0C53" w:rsidRPr="003569BE">
        <w:rPr>
          <w:rFonts w:cs="Times New Roman"/>
          <w:szCs w:val="24"/>
          <w:lang w:val="en-GB"/>
        </w:rPr>
        <w:t xml:space="preserve">the use of </w:t>
      </w:r>
      <w:r w:rsidR="00B31344" w:rsidRPr="003569BE">
        <w:rPr>
          <w:rFonts w:cs="Times New Roman"/>
          <w:szCs w:val="24"/>
          <w:lang w:val="en-GB"/>
        </w:rPr>
        <w:t>earnings management, which creates the necessary tension that motivates to perform this research.</w:t>
      </w:r>
    </w:p>
    <w:p w:rsidR="00214307" w:rsidRPr="003569BE" w:rsidRDefault="00DF18DB" w:rsidP="00846EA1">
      <w:pPr>
        <w:spacing w:line="360" w:lineRule="auto"/>
        <w:rPr>
          <w:rFonts w:cs="Times New Roman"/>
          <w:szCs w:val="24"/>
          <w:lang w:val="en-GB"/>
        </w:rPr>
      </w:pPr>
      <w:r w:rsidRPr="003569BE">
        <w:rPr>
          <w:rFonts w:cs="Times New Roman"/>
          <w:szCs w:val="24"/>
          <w:lang w:val="en-GB"/>
        </w:rPr>
        <w:t>In their paper, Davis et</w:t>
      </w:r>
      <w:r w:rsidR="00214307" w:rsidRPr="003569BE">
        <w:rPr>
          <w:rFonts w:cs="Times New Roman"/>
          <w:szCs w:val="24"/>
          <w:lang w:val="en-GB"/>
        </w:rPr>
        <w:t xml:space="preserve"> Al</w:t>
      </w:r>
      <w:r w:rsidRPr="003569BE">
        <w:rPr>
          <w:rFonts w:cs="Times New Roman"/>
          <w:szCs w:val="24"/>
          <w:lang w:val="en-GB"/>
        </w:rPr>
        <w:t>.</w:t>
      </w:r>
      <w:r w:rsidR="00214307" w:rsidRPr="003569BE">
        <w:rPr>
          <w:rFonts w:cs="Times New Roman"/>
          <w:szCs w:val="24"/>
          <w:lang w:val="en-GB"/>
        </w:rPr>
        <w:t xml:space="preserve"> (2000) found evidence that auditors </w:t>
      </w:r>
      <w:r w:rsidR="000F4CDF" w:rsidRPr="003569BE">
        <w:rPr>
          <w:rFonts w:cs="Times New Roman"/>
          <w:szCs w:val="24"/>
          <w:lang w:val="en-GB"/>
        </w:rPr>
        <w:t>with long-term relationship with their client</w:t>
      </w:r>
      <w:r w:rsidR="00F559C9" w:rsidRPr="003569BE">
        <w:rPr>
          <w:rFonts w:cs="Times New Roman"/>
          <w:szCs w:val="24"/>
          <w:lang w:val="en-GB"/>
        </w:rPr>
        <w:t xml:space="preserve"> </w:t>
      </w:r>
      <w:r w:rsidR="00214307" w:rsidRPr="003569BE">
        <w:rPr>
          <w:rFonts w:cs="Times New Roman"/>
          <w:szCs w:val="24"/>
          <w:lang w:val="en-GB"/>
        </w:rPr>
        <w:t xml:space="preserve">are more likely to “allow” </w:t>
      </w:r>
      <w:r w:rsidR="00D1240F" w:rsidRPr="003569BE">
        <w:rPr>
          <w:rFonts w:cs="Times New Roman"/>
          <w:szCs w:val="24"/>
          <w:lang w:val="en-GB"/>
        </w:rPr>
        <w:t>the</w:t>
      </w:r>
      <w:r w:rsidR="00214307" w:rsidRPr="003569BE">
        <w:rPr>
          <w:rFonts w:cs="Times New Roman"/>
          <w:szCs w:val="24"/>
          <w:lang w:val="en-GB"/>
        </w:rPr>
        <w:t xml:space="preserve"> management</w:t>
      </w:r>
      <w:r w:rsidR="00D1240F" w:rsidRPr="003569BE">
        <w:rPr>
          <w:rFonts w:cs="Times New Roman"/>
          <w:szCs w:val="24"/>
          <w:lang w:val="en-GB"/>
        </w:rPr>
        <w:t xml:space="preserve"> of the client</w:t>
      </w:r>
      <w:r w:rsidR="00214307" w:rsidRPr="003569BE">
        <w:rPr>
          <w:rFonts w:cs="Times New Roman"/>
          <w:szCs w:val="24"/>
          <w:lang w:val="en-GB"/>
        </w:rPr>
        <w:t xml:space="preserve"> greater </w:t>
      </w:r>
      <w:r w:rsidR="00105B5F" w:rsidRPr="003569BE">
        <w:rPr>
          <w:rFonts w:cs="Times New Roman"/>
          <w:szCs w:val="24"/>
          <w:lang w:val="en-GB"/>
        </w:rPr>
        <w:t>flexibility</w:t>
      </w:r>
      <w:r w:rsidR="00DC6C42" w:rsidRPr="003569BE">
        <w:rPr>
          <w:rFonts w:cs="Times New Roman"/>
          <w:szCs w:val="24"/>
          <w:lang w:val="en-GB"/>
        </w:rPr>
        <w:t xml:space="preserve"> in managing</w:t>
      </w:r>
      <w:r w:rsidR="00214307" w:rsidRPr="003569BE">
        <w:rPr>
          <w:rFonts w:cs="Times New Roman"/>
          <w:szCs w:val="24"/>
          <w:lang w:val="en-GB"/>
        </w:rPr>
        <w:t xml:space="preserve"> </w:t>
      </w:r>
      <w:r w:rsidR="008A0AB6" w:rsidRPr="003569BE">
        <w:rPr>
          <w:rFonts w:cs="Times New Roman"/>
          <w:szCs w:val="24"/>
          <w:lang w:val="en-GB"/>
        </w:rPr>
        <w:t xml:space="preserve">the published </w:t>
      </w:r>
      <w:r w:rsidR="00214307" w:rsidRPr="003569BE">
        <w:rPr>
          <w:rFonts w:cs="Times New Roman"/>
          <w:szCs w:val="24"/>
          <w:lang w:val="en-GB"/>
        </w:rPr>
        <w:t>earnings</w:t>
      </w:r>
      <w:r w:rsidR="00DC6C42" w:rsidRPr="003569BE">
        <w:rPr>
          <w:rFonts w:cs="Times New Roman"/>
          <w:szCs w:val="24"/>
          <w:lang w:val="en-GB"/>
        </w:rPr>
        <w:t xml:space="preserve"> through the use of accruals</w:t>
      </w:r>
      <w:r w:rsidR="00214307" w:rsidRPr="003569BE">
        <w:rPr>
          <w:rFonts w:cs="Times New Roman"/>
          <w:szCs w:val="24"/>
          <w:lang w:val="en-GB"/>
        </w:rPr>
        <w:t xml:space="preserve"> </w:t>
      </w:r>
      <w:sdt>
        <w:sdtPr>
          <w:rPr>
            <w:rFonts w:cs="Times New Roman"/>
            <w:szCs w:val="24"/>
            <w:lang w:val="en-GB"/>
          </w:rPr>
          <w:id w:val="1758249690"/>
          <w:citation/>
        </w:sdtPr>
        <w:sdtContent>
          <w:r w:rsidR="000E4BAF" w:rsidRPr="003569BE">
            <w:rPr>
              <w:rFonts w:cs="Times New Roman"/>
              <w:szCs w:val="24"/>
              <w:lang w:val="en-GB"/>
            </w:rPr>
            <w:fldChar w:fldCharType="begin"/>
          </w:r>
          <w:r w:rsidR="0008007D" w:rsidRPr="003569BE">
            <w:rPr>
              <w:rFonts w:cs="Times New Roman"/>
              <w:szCs w:val="24"/>
              <w:lang w:val="en-GB"/>
            </w:rPr>
            <w:instrText xml:space="preserve">CITATION Dav00 \l 1033 </w:instrText>
          </w:r>
          <w:r w:rsidR="000E4BAF" w:rsidRPr="003569BE">
            <w:rPr>
              <w:rFonts w:cs="Times New Roman"/>
              <w:szCs w:val="24"/>
              <w:lang w:val="en-GB"/>
            </w:rPr>
            <w:fldChar w:fldCharType="separate"/>
          </w:r>
          <w:r w:rsidR="008F7EB3" w:rsidRPr="003569BE">
            <w:rPr>
              <w:rFonts w:cs="Times New Roman"/>
              <w:noProof/>
              <w:szCs w:val="24"/>
              <w:lang w:val="en-GB"/>
            </w:rPr>
            <w:t>(Davis, Soo, &amp; Trompeter, Auditor Tenure, Auditor Independence and Earnings Management, 2000)</w:t>
          </w:r>
          <w:r w:rsidR="000E4BAF" w:rsidRPr="003569BE">
            <w:rPr>
              <w:rFonts w:cs="Times New Roman"/>
              <w:szCs w:val="24"/>
              <w:lang w:val="en-GB"/>
            </w:rPr>
            <w:fldChar w:fldCharType="end"/>
          </w:r>
        </w:sdtContent>
      </w:sdt>
      <w:r w:rsidR="00214307" w:rsidRPr="003569BE">
        <w:rPr>
          <w:rFonts w:cs="Times New Roman"/>
          <w:szCs w:val="24"/>
          <w:lang w:val="en-GB"/>
        </w:rPr>
        <w:t>.</w:t>
      </w:r>
      <w:r w:rsidR="00F55653" w:rsidRPr="003569BE">
        <w:rPr>
          <w:rFonts w:cs="Times New Roman"/>
          <w:szCs w:val="24"/>
          <w:lang w:val="en-GB"/>
        </w:rPr>
        <w:t xml:space="preserve"> Accordingly, the expectation is that in the case of auditors with longer tenure, the magnitude of the use of earnings management is higher than in the case of auditors in the first years of </w:t>
      </w:r>
      <w:r w:rsidR="00CB0C53" w:rsidRPr="003569BE">
        <w:rPr>
          <w:rFonts w:cs="Times New Roman"/>
          <w:szCs w:val="24"/>
          <w:lang w:val="en-GB"/>
        </w:rPr>
        <w:t xml:space="preserve">the </w:t>
      </w:r>
      <w:r w:rsidR="00F55653" w:rsidRPr="003569BE">
        <w:rPr>
          <w:rFonts w:cs="Times New Roman"/>
          <w:szCs w:val="24"/>
          <w:lang w:val="en-GB"/>
        </w:rPr>
        <w:t>engagement.</w:t>
      </w:r>
    </w:p>
    <w:p w:rsidR="003E077E" w:rsidRPr="003569BE" w:rsidRDefault="00597E5D" w:rsidP="00846EA1">
      <w:pPr>
        <w:spacing w:line="360" w:lineRule="auto"/>
        <w:rPr>
          <w:rFonts w:cs="Times New Roman"/>
          <w:szCs w:val="24"/>
          <w:lang w:val="en-GB"/>
        </w:rPr>
      </w:pPr>
      <w:r w:rsidRPr="003569BE">
        <w:rPr>
          <w:rFonts w:cs="Times New Roman"/>
          <w:szCs w:val="24"/>
          <w:lang w:val="en-GB"/>
        </w:rPr>
        <w:t xml:space="preserve">Other relevant aspects of the audit profession will be </w:t>
      </w:r>
      <w:r w:rsidR="00CB0C53" w:rsidRPr="003569BE">
        <w:rPr>
          <w:rFonts w:cs="Times New Roman"/>
          <w:szCs w:val="24"/>
          <w:lang w:val="en-GB"/>
        </w:rPr>
        <w:t xml:space="preserve">presented </w:t>
      </w:r>
      <w:r w:rsidR="00E81CA4" w:rsidRPr="003569BE">
        <w:rPr>
          <w:rFonts w:cs="Times New Roman"/>
          <w:szCs w:val="24"/>
          <w:lang w:val="en-GB"/>
        </w:rPr>
        <w:t xml:space="preserve">later in </w:t>
      </w:r>
      <w:r w:rsidR="00193682" w:rsidRPr="003569BE">
        <w:rPr>
          <w:rFonts w:cs="Times New Roman"/>
          <w:szCs w:val="24"/>
          <w:lang w:val="en-GB"/>
        </w:rPr>
        <w:t xml:space="preserve">the second chapter of </w:t>
      </w:r>
      <w:r w:rsidR="00E81CA4" w:rsidRPr="003569BE">
        <w:rPr>
          <w:rFonts w:cs="Times New Roman"/>
          <w:szCs w:val="24"/>
          <w:lang w:val="en-GB"/>
        </w:rPr>
        <w:t>this thesis.</w:t>
      </w:r>
    </w:p>
    <w:p w:rsidR="001B4FA8" w:rsidRPr="003569BE" w:rsidRDefault="001B4FA8" w:rsidP="00846EA1">
      <w:pPr>
        <w:pStyle w:val="Heading2"/>
        <w:numPr>
          <w:ilvl w:val="1"/>
          <w:numId w:val="6"/>
        </w:numPr>
        <w:spacing w:line="360" w:lineRule="auto"/>
        <w:rPr>
          <w:rFonts w:cs="Times New Roman"/>
          <w:sz w:val="24"/>
          <w:szCs w:val="24"/>
          <w:lang w:val="en-GB"/>
        </w:rPr>
      </w:pPr>
      <w:bookmarkStart w:id="2" w:name="_Toc396633534"/>
      <w:r w:rsidRPr="003569BE">
        <w:rPr>
          <w:rFonts w:cs="Times New Roman"/>
          <w:sz w:val="24"/>
          <w:szCs w:val="24"/>
          <w:lang w:val="en-GB"/>
        </w:rPr>
        <w:t>Research Question</w:t>
      </w:r>
      <w:bookmarkEnd w:id="2"/>
    </w:p>
    <w:p w:rsidR="001B4FA8" w:rsidRPr="003569BE" w:rsidRDefault="001B4FA8" w:rsidP="00846EA1">
      <w:pPr>
        <w:spacing w:line="360" w:lineRule="auto"/>
        <w:rPr>
          <w:rFonts w:cs="Times New Roman"/>
          <w:szCs w:val="24"/>
          <w:lang w:val="en-GB"/>
        </w:rPr>
      </w:pPr>
      <w:r w:rsidRPr="003569BE">
        <w:rPr>
          <w:rFonts w:cs="Times New Roman"/>
          <w:szCs w:val="24"/>
          <w:lang w:val="en-GB"/>
        </w:rPr>
        <w:t xml:space="preserve">This thesis aims to answer the </w:t>
      </w:r>
      <w:r w:rsidR="00CB0C53" w:rsidRPr="003569BE">
        <w:rPr>
          <w:rFonts w:cs="Times New Roman"/>
          <w:szCs w:val="24"/>
          <w:lang w:val="en-GB"/>
        </w:rPr>
        <w:t xml:space="preserve">next </w:t>
      </w:r>
      <w:r w:rsidRPr="003569BE">
        <w:rPr>
          <w:rFonts w:cs="Times New Roman"/>
          <w:szCs w:val="24"/>
          <w:lang w:val="en-GB"/>
        </w:rPr>
        <w:t>research question:</w:t>
      </w:r>
    </w:p>
    <w:p w:rsidR="001B4FA8" w:rsidRPr="003569BE" w:rsidRDefault="001B4FA8" w:rsidP="00846EA1">
      <w:pPr>
        <w:spacing w:line="360" w:lineRule="auto"/>
        <w:rPr>
          <w:rFonts w:cs="Times New Roman"/>
          <w:bCs/>
          <w:i/>
          <w:szCs w:val="24"/>
          <w:lang w:val="en-GB"/>
        </w:rPr>
      </w:pPr>
      <w:r w:rsidRPr="003569BE">
        <w:rPr>
          <w:rFonts w:cs="Times New Roman"/>
          <w:bCs/>
          <w:i/>
          <w:szCs w:val="24"/>
          <w:lang w:val="en-GB"/>
        </w:rPr>
        <w:t>“What is the effect of the mandatory audit firm rotation rule on the management’s behaviour in terms of the use of earnings management?”</w:t>
      </w:r>
    </w:p>
    <w:p w:rsidR="001B4FA8" w:rsidRPr="003569BE" w:rsidRDefault="004350BB" w:rsidP="00846EA1">
      <w:pPr>
        <w:spacing w:line="360" w:lineRule="auto"/>
        <w:rPr>
          <w:rFonts w:cs="Times New Roman"/>
          <w:szCs w:val="24"/>
          <w:lang w:val="en-GB"/>
        </w:rPr>
      </w:pPr>
      <w:r w:rsidRPr="003569BE">
        <w:rPr>
          <w:rFonts w:cs="Times New Roman"/>
          <w:szCs w:val="24"/>
          <w:lang w:val="en-GB"/>
        </w:rPr>
        <w:t xml:space="preserve">In order to create a coherent and straightforward structure of the thesis, </w:t>
      </w:r>
      <w:r w:rsidR="008A0AB6" w:rsidRPr="003569BE">
        <w:rPr>
          <w:rFonts w:cs="Times New Roman"/>
          <w:szCs w:val="24"/>
          <w:lang w:val="en-GB"/>
        </w:rPr>
        <w:t>corresponding to the chapter structure, t</w:t>
      </w:r>
      <w:r w:rsidRPr="003569BE">
        <w:rPr>
          <w:rFonts w:cs="Times New Roman"/>
          <w:szCs w:val="24"/>
          <w:lang w:val="en-GB"/>
        </w:rPr>
        <w:t>he next sub-questions are formulated:</w:t>
      </w:r>
    </w:p>
    <w:p w:rsidR="004350BB" w:rsidRPr="003569BE" w:rsidRDefault="004350BB" w:rsidP="0075702E">
      <w:pPr>
        <w:spacing w:after="0" w:line="360" w:lineRule="auto"/>
        <w:rPr>
          <w:rFonts w:cs="Times New Roman"/>
          <w:szCs w:val="24"/>
          <w:lang w:val="en-GB"/>
        </w:rPr>
      </w:pPr>
      <w:r w:rsidRPr="003569BE">
        <w:rPr>
          <w:rFonts w:cs="Times New Roman"/>
          <w:szCs w:val="24"/>
          <w:lang w:val="en-GB"/>
        </w:rPr>
        <w:t>Sub-question 1</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A87184" w:rsidRPr="003569BE">
        <w:rPr>
          <w:rFonts w:cs="Times New Roman"/>
          <w:i/>
          <w:szCs w:val="24"/>
          <w:lang w:val="en-GB"/>
        </w:rPr>
        <w:t xml:space="preserve">What are the definition and the background of the mandatory audit firm rotation and earnings management? </w:t>
      </w:r>
    </w:p>
    <w:p w:rsidR="004350BB" w:rsidRPr="003569BE" w:rsidRDefault="004350BB" w:rsidP="0075702E">
      <w:pPr>
        <w:spacing w:after="0" w:line="360" w:lineRule="auto"/>
        <w:rPr>
          <w:rFonts w:cs="Times New Roman"/>
          <w:szCs w:val="24"/>
          <w:lang w:val="en-GB"/>
        </w:rPr>
      </w:pPr>
      <w:r w:rsidRPr="003569BE">
        <w:rPr>
          <w:rFonts w:cs="Times New Roman"/>
          <w:szCs w:val="24"/>
          <w:lang w:val="en-GB"/>
        </w:rPr>
        <w:t>Sub-question 2</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A87184" w:rsidRPr="003569BE">
        <w:rPr>
          <w:rFonts w:cs="Times New Roman"/>
          <w:i/>
          <w:szCs w:val="24"/>
          <w:lang w:val="en-GB"/>
        </w:rPr>
        <w:t xml:space="preserve">What </w:t>
      </w:r>
      <w:r w:rsidR="00EB7BC6" w:rsidRPr="003569BE">
        <w:rPr>
          <w:rFonts w:cs="Times New Roman"/>
          <w:i/>
          <w:szCs w:val="24"/>
          <w:lang w:val="en-GB"/>
        </w:rPr>
        <w:t>are the positions of</w:t>
      </w:r>
      <w:r w:rsidR="0075702E" w:rsidRPr="003569BE">
        <w:rPr>
          <w:rFonts w:cs="Times New Roman"/>
          <w:i/>
          <w:szCs w:val="24"/>
          <w:lang w:val="en-GB"/>
        </w:rPr>
        <w:t xml:space="preserve"> </w:t>
      </w:r>
      <w:r w:rsidR="006D2E0C" w:rsidRPr="003569BE">
        <w:rPr>
          <w:rFonts w:cs="Times New Roman"/>
          <w:i/>
          <w:szCs w:val="24"/>
          <w:lang w:val="en-GB"/>
        </w:rPr>
        <w:t>the regulators</w:t>
      </w:r>
      <w:r w:rsidR="00EB7BC6" w:rsidRPr="003569BE">
        <w:rPr>
          <w:rFonts w:cs="Times New Roman"/>
          <w:i/>
          <w:szCs w:val="24"/>
          <w:lang w:val="en-GB"/>
        </w:rPr>
        <w:t xml:space="preserve"> and </w:t>
      </w:r>
      <w:r w:rsidR="008A0AB6" w:rsidRPr="003569BE">
        <w:rPr>
          <w:rFonts w:cs="Times New Roman"/>
          <w:i/>
          <w:szCs w:val="24"/>
          <w:lang w:val="en-GB"/>
        </w:rPr>
        <w:t xml:space="preserve">the </w:t>
      </w:r>
      <w:r w:rsidR="00EB7BC6" w:rsidRPr="003569BE">
        <w:rPr>
          <w:rFonts w:cs="Times New Roman"/>
          <w:i/>
          <w:szCs w:val="24"/>
          <w:lang w:val="en-GB"/>
        </w:rPr>
        <w:t>dependent bodies on these topics?</w:t>
      </w:r>
      <w:r w:rsidR="004350BB" w:rsidRPr="003569BE">
        <w:rPr>
          <w:rFonts w:cs="Times New Roman"/>
          <w:i/>
          <w:szCs w:val="24"/>
          <w:lang w:val="en-GB"/>
        </w:rPr>
        <w:t>”</w:t>
      </w:r>
    </w:p>
    <w:p w:rsidR="004350BB" w:rsidRPr="003569BE" w:rsidRDefault="004350BB" w:rsidP="0075702E">
      <w:pPr>
        <w:spacing w:after="0" w:line="360" w:lineRule="auto"/>
        <w:rPr>
          <w:rFonts w:cs="Times New Roman"/>
          <w:szCs w:val="24"/>
          <w:lang w:val="en-GB"/>
        </w:rPr>
      </w:pPr>
      <w:r w:rsidRPr="003569BE">
        <w:rPr>
          <w:rFonts w:cs="Times New Roman"/>
          <w:szCs w:val="24"/>
          <w:lang w:val="en-GB"/>
        </w:rPr>
        <w:t>Sub-question 3</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0D31C6" w:rsidRPr="003569BE">
        <w:rPr>
          <w:rFonts w:cs="Times New Roman"/>
          <w:i/>
          <w:szCs w:val="24"/>
          <w:lang w:val="en-GB"/>
        </w:rPr>
        <w:t>Which models</w:t>
      </w:r>
      <w:r w:rsidR="008A0AB6" w:rsidRPr="003569BE">
        <w:rPr>
          <w:rFonts w:cs="Times New Roman"/>
          <w:i/>
          <w:szCs w:val="24"/>
          <w:lang w:val="en-GB"/>
        </w:rPr>
        <w:t xml:space="preserve"> in prior research</w:t>
      </w:r>
      <w:r w:rsidR="000D31C6" w:rsidRPr="003569BE">
        <w:rPr>
          <w:rFonts w:cs="Times New Roman"/>
          <w:i/>
          <w:szCs w:val="24"/>
          <w:lang w:val="en-GB"/>
        </w:rPr>
        <w:t xml:space="preserve"> are used for detecting and measuring the use of earnings management?</w:t>
      </w:r>
      <w:r w:rsidR="004350BB" w:rsidRPr="003569BE">
        <w:rPr>
          <w:rFonts w:cs="Times New Roman"/>
          <w:i/>
          <w:szCs w:val="24"/>
          <w:lang w:val="en-GB"/>
        </w:rPr>
        <w:t>”</w:t>
      </w:r>
    </w:p>
    <w:p w:rsidR="004350BB" w:rsidRPr="003569BE" w:rsidRDefault="008A0AB6" w:rsidP="00F714B7">
      <w:pPr>
        <w:rPr>
          <w:rFonts w:cs="Times New Roman"/>
          <w:szCs w:val="24"/>
          <w:lang w:val="en-GB"/>
        </w:rPr>
      </w:pPr>
      <w:r w:rsidRPr="003569BE">
        <w:rPr>
          <w:rFonts w:cs="Times New Roman"/>
          <w:szCs w:val="24"/>
          <w:lang w:val="en-GB"/>
        </w:rPr>
        <w:br w:type="page"/>
      </w:r>
      <w:r w:rsidR="004350BB" w:rsidRPr="003569BE">
        <w:rPr>
          <w:rFonts w:cs="Times New Roman"/>
          <w:szCs w:val="24"/>
          <w:lang w:val="en-GB"/>
        </w:rPr>
        <w:lastRenderedPageBreak/>
        <w:t>Sub-question 4</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D16AD9" w:rsidRPr="003569BE">
        <w:rPr>
          <w:rFonts w:cs="Times New Roman"/>
          <w:i/>
          <w:szCs w:val="24"/>
          <w:lang w:val="en-GB"/>
        </w:rPr>
        <w:t xml:space="preserve">What does evidence from prior research </w:t>
      </w:r>
      <w:r w:rsidR="008A0AB6" w:rsidRPr="003569BE">
        <w:rPr>
          <w:rFonts w:cs="Times New Roman"/>
          <w:i/>
          <w:szCs w:val="24"/>
          <w:lang w:val="en-GB"/>
        </w:rPr>
        <w:t xml:space="preserve">communicate </w:t>
      </w:r>
      <w:r w:rsidR="00CC4466" w:rsidRPr="003569BE">
        <w:rPr>
          <w:rFonts w:cs="Times New Roman"/>
          <w:i/>
          <w:szCs w:val="24"/>
          <w:lang w:val="en-GB"/>
        </w:rPr>
        <w:t>so far about the effect MAFR has on the management’s behaviour in terms of the use of earnings management?</w:t>
      </w:r>
      <w:r w:rsidR="004350BB" w:rsidRPr="003569BE">
        <w:rPr>
          <w:rFonts w:cs="Times New Roman"/>
          <w:i/>
          <w:szCs w:val="24"/>
          <w:lang w:val="en-GB"/>
        </w:rPr>
        <w:t>”</w:t>
      </w:r>
    </w:p>
    <w:p w:rsidR="004350BB" w:rsidRPr="003569BE" w:rsidRDefault="004350BB" w:rsidP="0075702E">
      <w:pPr>
        <w:spacing w:after="0" w:line="360" w:lineRule="auto"/>
        <w:rPr>
          <w:rFonts w:cs="Times New Roman"/>
          <w:szCs w:val="24"/>
          <w:lang w:val="en-GB"/>
        </w:rPr>
      </w:pPr>
      <w:r w:rsidRPr="003569BE">
        <w:rPr>
          <w:rFonts w:cs="Times New Roman"/>
          <w:szCs w:val="24"/>
          <w:lang w:val="en-GB"/>
        </w:rPr>
        <w:t>Sub-question 5</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CC153E" w:rsidRPr="003569BE">
        <w:rPr>
          <w:rFonts w:cs="Times New Roman"/>
          <w:i/>
          <w:szCs w:val="24"/>
          <w:lang w:val="en-GB"/>
        </w:rPr>
        <w:t xml:space="preserve">Based on the research question and prior literature, </w:t>
      </w:r>
      <w:r w:rsidR="00CB0C53" w:rsidRPr="003569BE">
        <w:rPr>
          <w:rFonts w:cs="Times New Roman"/>
          <w:i/>
          <w:szCs w:val="24"/>
          <w:lang w:val="en-GB"/>
        </w:rPr>
        <w:t xml:space="preserve">in order to answer the research question </w:t>
      </w:r>
      <w:r w:rsidR="00CC153E" w:rsidRPr="003569BE">
        <w:rPr>
          <w:rFonts w:cs="Times New Roman"/>
          <w:i/>
          <w:szCs w:val="24"/>
          <w:lang w:val="en-GB"/>
        </w:rPr>
        <w:t xml:space="preserve">which hypotheses </w:t>
      </w:r>
      <w:r w:rsidR="008A0AB6" w:rsidRPr="003569BE">
        <w:rPr>
          <w:rFonts w:cs="Times New Roman"/>
          <w:i/>
          <w:szCs w:val="24"/>
          <w:lang w:val="en-GB"/>
        </w:rPr>
        <w:t xml:space="preserve">will be </w:t>
      </w:r>
      <w:r w:rsidR="00CC153E" w:rsidRPr="003569BE">
        <w:rPr>
          <w:rFonts w:cs="Times New Roman"/>
          <w:i/>
          <w:szCs w:val="24"/>
          <w:lang w:val="en-GB"/>
        </w:rPr>
        <w:t>formulated?</w:t>
      </w:r>
      <w:r w:rsidR="004350BB" w:rsidRPr="003569BE">
        <w:rPr>
          <w:rFonts w:cs="Times New Roman"/>
          <w:i/>
          <w:szCs w:val="24"/>
          <w:lang w:val="en-GB"/>
        </w:rPr>
        <w:t>”</w:t>
      </w:r>
    </w:p>
    <w:p w:rsidR="004350BB" w:rsidRPr="003569BE" w:rsidRDefault="004350BB" w:rsidP="0075702E">
      <w:pPr>
        <w:spacing w:after="0" w:line="360" w:lineRule="auto"/>
        <w:rPr>
          <w:rFonts w:cs="Times New Roman"/>
          <w:szCs w:val="24"/>
          <w:lang w:val="en-GB"/>
        </w:rPr>
      </w:pPr>
      <w:r w:rsidRPr="003569BE">
        <w:rPr>
          <w:rFonts w:cs="Times New Roman"/>
          <w:szCs w:val="24"/>
          <w:lang w:val="en-GB"/>
        </w:rPr>
        <w:t>Sub-question 6</w:t>
      </w:r>
    </w:p>
    <w:p w:rsidR="004350BB" w:rsidRPr="003569BE" w:rsidRDefault="00A53CCF" w:rsidP="00846EA1">
      <w:pPr>
        <w:spacing w:line="360" w:lineRule="auto"/>
        <w:rPr>
          <w:rFonts w:cs="Times New Roman"/>
          <w:i/>
          <w:szCs w:val="24"/>
          <w:lang w:val="en-GB"/>
        </w:rPr>
      </w:pPr>
      <w:r w:rsidRPr="003569BE">
        <w:rPr>
          <w:rFonts w:cs="Times New Roman"/>
          <w:i/>
          <w:szCs w:val="24"/>
          <w:lang w:val="en-GB"/>
        </w:rPr>
        <w:t>“</w:t>
      </w:r>
      <w:r w:rsidR="00DF70E5" w:rsidRPr="003569BE">
        <w:rPr>
          <w:rFonts w:cs="Times New Roman"/>
          <w:i/>
          <w:szCs w:val="24"/>
          <w:lang w:val="en-GB"/>
        </w:rPr>
        <w:t>Which research design will be used to test the formulated hypotheses and to answer the research question?</w:t>
      </w:r>
      <w:r w:rsidR="004350BB" w:rsidRPr="003569BE">
        <w:rPr>
          <w:rFonts w:cs="Times New Roman"/>
          <w:i/>
          <w:szCs w:val="24"/>
          <w:lang w:val="en-GB"/>
        </w:rPr>
        <w:t>”</w:t>
      </w:r>
    </w:p>
    <w:p w:rsidR="00DF70E5" w:rsidRPr="003569BE" w:rsidRDefault="00DF70E5" w:rsidP="0075702E">
      <w:pPr>
        <w:spacing w:after="0" w:line="360" w:lineRule="auto"/>
        <w:rPr>
          <w:rFonts w:cs="Times New Roman"/>
          <w:szCs w:val="24"/>
          <w:lang w:val="en-GB"/>
        </w:rPr>
      </w:pPr>
      <w:r w:rsidRPr="003569BE">
        <w:rPr>
          <w:rFonts w:cs="Times New Roman"/>
          <w:szCs w:val="24"/>
          <w:lang w:val="en-GB"/>
        </w:rPr>
        <w:t>Sub-question 7</w:t>
      </w:r>
    </w:p>
    <w:p w:rsidR="00DF70E5" w:rsidRPr="003569BE" w:rsidRDefault="00A53CCF" w:rsidP="00846EA1">
      <w:pPr>
        <w:spacing w:line="360" w:lineRule="auto"/>
        <w:rPr>
          <w:rFonts w:cs="Times New Roman"/>
          <w:i/>
          <w:szCs w:val="24"/>
          <w:lang w:val="en-GB"/>
        </w:rPr>
      </w:pPr>
      <w:r w:rsidRPr="003569BE">
        <w:rPr>
          <w:rFonts w:cs="Times New Roman"/>
          <w:i/>
          <w:szCs w:val="24"/>
          <w:lang w:val="en-GB"/>
        </w:rPr>
        <w:t>“</w:t>
      </w:r>
      <w:r w:rsidR="00223574" w:rsidRPr="003569BE">
        <w:rPr>
          <w:rFonts w:cs="Times New Roman"/>
          <w:i/>
          <w:szCs w:val="24"/>
          <w:lang w:val="en-GB"/>
        </w:rPr>
        <w:t>What do the statistical results of the empirical research present about the studied relationship</w:t>
      </w:r>
      <w:r w:rsidR="00DF70E5" w:rsidRPr="003569BE">
        <w:rPr>
          <w:rFonts w:cs="Times New Roman"/>
          <w:i/>
          <w:szCs w:val="24"/>
          <w:lang w:val="en-GB"/>
        </w:rPr>
        <w:t>?”</w:t>
      </w:r>
    </w:p>
    <w:p w:rsidR="00DF70E5" w:rsidRPr="003569BE" w:rsidRDefault="00DF70E5" w:rsidP="0075702E">
      <w:pPr>
        <w:spacing w:after="0" w:line="360" w:lineRule="auto"/>
        <w:rPr>
          <w:rFonts w:cs="Times New Roman"/>
          <w:szCs w:val="24"/>
          <w:lang w:val="en-GB"/>
        </w:rPr>
      </w:pPr>
      <w:r w:rsidRPr="003569BE">
        <w:rPr>
          <w:rFonts w:cs="Times New Roman"/>
          <w:szCs w:val="24"/>
          <w:lang w:val="en-GB"/>
        </w:rPr>
        <w:t>Sub-question 8</w:t>
      </w:r>
    </w:p>
    <w:p w:rsidR="00DF70E5" w:rsidRPr="003569BE" w:rsidRDefault="00A53CCF" w:rsidP="00846EA1">
      <w:pPr>
        <w:spacing w:line="360" w:lineRule="auto"/>
        <w:rPr>
          <w:rFonts w:cs="Times New Roman"/>
          <w:i/>
          <w:szCs w:val="24"/>
          <w:lang w:val="en-GB"/>
        </w:rPr>
      </w:pPr>
      <w:r w:rsidRPr="003569BE">
        <w:rPr>
          <w:rFonts w:cs="Times New Roman"/>
          <w:i/>
          <w:szCs w:val="24"/>
          <w:lang w:val="en-GB"/>
        </w:rPr>
        <w:t>“</w:t>
      </w:r>
      <w:r w:rsidR="004023F8" w:rsidRPr="003569BE">
        <w:rPr>
          <w:rFonts w:cs="Times New Roman"/>
          <w:i/>
          <w:szCs w:val="24"/>
          <w:lang w:val="en-GB"/>
        </w:rPr>
        <w:t>Which conclusions are derived from the analysis of the statistical results and the comparison with results of prior research</w:t>
      </w:r>
      <w:r w:rsidR="00DF70E5" w:rsidRPr="003569BE">
        <w:rPr>
          <w:rFonts w:cs="Times New Roman"/>
          <w:i/>
          <w:szCs w:val="24"/>
          <w:lang w:val="en-GB"/>
        </w:rPr>
        <w:t>?”</w:t>
      </w:r>
    </w:p>
    <w:p w:rsidR="004350BB" w:rsidRPr="003569BE" w:rsidRDefault="00394CF9" w:rsidP="00846EA1">
      <w:pPr>
        <w:spacing w:line="360" w:lineRule="auto"/>
        <w:rPr>
          <w:rFonts w:cs="Times New Roman"/>
          <w:szCs w:val="24"/>
          <w:lang w:val="en-GB"/>
        </w:rPr>
      </w:pPr>
      <w:r w:rsidRPr="003569BE">
        <w:rPr>
          <w:rFonts w:cs="Times New Roman"/>
          <w:szCs w:val="24"/>
          <w:lang w:val="en-GB"/>
        </w:rPr>
        <w:t>To answer the research question, an archival study will be conducted, in which data will be analysed from firms in a mandatory audit firm rotation setting.</w:t>
      </w:r>
    </w:p>
    <w:p w:rsidR="00A97937" w:rsidRPr="003569BE" w:rsidRDefault="00DF0087" w:rsidP="00846EA1">
      <w:pPr>
        <w:pStyle w:val="Heading2"/>
        <w:numPr>
          <w:ilvl w:val="1"/>
          <w:numId w:val="6"/>
        </w:numPr>
        <w:spacing w:line="360" w:lineRule="auto"/>
        <w:rPr>
          <w:rFonts w:cs="Times New Roman"/>
          <w:sz w:val="24"/>
          <w:szCs w:val="24"/>
          <w:lang w:val="en-GB"/>
        </w:rPr>
      </w:pPr>
      <w:bookmarkStart w:id="3" w:name="_Toc396633535"/>
      <w:r w:rsidRPr="003569BE">
        <w:rPr>
          <w:rFonts w:cs="Times New Roman"/>
          <w:sz w:val="24"/>
          <w:szCs w:val="24"/>
          <w:lang w:val="en-GB"/>
        </w:rPr>
        <w:t>Methodology</w:t>
      </w:r>
      <w:bookmarkEnd w:id="3"/>
    </w:p>
    <w:p w:rsidR="00A44D5F" w:rsidRPr="003569BE" w:rsidRDefault="008A0AB6" w:rsidP="00846EA1">
      <w:pPr>
        <w:spacing w:line="360" w:lineRule="auto"/>
        <w:rPr>
          <w:rFonts w:cs="Times New Roman"/>
          <w:szCs w:val="24"/>
          <w:lang w:val="en-GB"/>
        </w:rPr>
      </w:pPr>
      <w:r w:rsidRPr="003569BE">
        <w:rPr>
          <w:rFonts w:cs="Times New Roman"/>
          <w:szCs w:val="24"/>
          <w:lang w:val="en-GB"/>
        </w:rPr>
        <w:t>Concerning assessing the theoretical relation between mandatory audit firm rotation and earnings management and for evaluating the regulators’ position about these topics a</w:t>
      </w:r>
      <w:r w:rsidR="006B0EB3" w:rsidRPr="003569BE">
        <w:rPr>
          <w:rFonts w:cs="Times New Roman"/>
          <w:szCs w:val="24"/>
          <w:lang w:val="en-GB"/>
        </w:rPr>
        <w:t xml:space="preserve"> literature study will be performed</w:t>
      </w:r>
      <w:r w:rsidR="00507C45" w:rsidRPr="003569BE">
        <w:rPr>
          <w:rFonts w:cs="Times New Roman"/>
          <w:szCs w:val="24"/>
          <w:lang w:val="en-GB"/>
        </w:rPr>
        <w:t>.</w:t>
      </w:r>
      <w:r w:rsidR="00AD48ED" w:rsidRPr="003569BE">
        <w:rPr>
          <w:rFonts w:cs="Times New Roman"/>
          <w:szCs w:val="24"/>
          <w:lang w:val="en-GB"/>
        </w:rPr>
        <w:t xml:space="preserve"> </w:t>
      </w:r>
    </w:p>
    <w:p w:rsidR="001F746E" w:rsidRPr="003569BE" w:rsidRDefault="00541D7B" w:rsidP="00846EA1">
      <w:pPr>
        <w:spacing w:line="360" w:lineRule="auto"/>
        <w:rPr>
          <w:rFonts w:cs="Times New Roman"/>
          <w:szCs w:val="24"/>
          <w:lang w:val="en-GB"/>
        </w:rPr>
      </w:pPr>
      <w:r w:rsidRPr="003569BE">
        <w:rPr>
          <w:rFonts w:cs="Times New Roman"/>
          <w:szCs w:val="24"/>
          <w:lang w:val="en-GB"/>
        </w:rPr>
        <w:t xml:space="preserve">This thesis investigates the effect of the MAFR on the magnitude of the use of earnings management. </w:t>
      </w:r>
      <w:r w:rsidR="004D1700" w:rsidRPr="003569BE">
        <w:rPr>
          <w:rFonts w:cs="Times New Roman"/>
          <w:szCs w:val="24"/>
          <w:lang w:val="en-GB"/>
        </w:rPr>
        <w:t>The</w:t>
      </w:r>
      <w:r w:rsidR="00E4372D" w:rsidRPr="003569BE">
        <w:rPr>
          <w:rFonts w:cs="Times New Roman"/>
          <w:szCs w:val="24"/>
          <w:lang w:val="en-GB"/>
        </w:rPr>
        <w:t xml:space="preserve"> model which will be used to empirically test the</w:t>
      </w:r>
      <w:r w:rsidR="004D1700" w:rsidRPr="003569BE">
        <w:rPr>
          <w:rFonts w:cs="Times New Roman"/>
          <w:szCs w:val="24"/>
          <w:lang w:val="en-GB"/>
        </w:rPr>
        <w:t xml:space="preserve"> hypotheses</w:t>
      </w:r>
      <w:r w:rsidR="00E4372D" w:rsidRPr="003569BE">
        <w:rPr>
          <w:rFonts w:cs="Times New Roman"/>
          <w:szCs w:val="24"/>
          <w:lang w:val="en-GB"/>
        </w:rPr>
        <w:t>,</w:t>
      </w:r>
      <w:r w:rsidR="004D1700" w:rsidRPr="003569BE">
        <w:rPr>
          <w:rFonts w:cs="Times New Roman"/>
          <w:szCs w:val="24"/>
          <w:lang w:val="en-GB"/>
        </w:rPr>
        <w:t xml:space="preserve"> developed for the purpose of </w:t>
      </w:r>
      <w:r w:rsidR="00E4372D" w:rsidRPr="003569BE">
        <w:rPr>
          <w:rFonts w:cs="Times New Roman"/>
          <w:szCs w:val="24"/>
          <w:lang w:val="en-GB"/>
        </w:rPr>
        <w:t xml:space="preserve">answering the research question, will be </w:t>
      </w:r>
      <w:r w:rsidR="001B494D" w:rsidRPr="003569BE">
        <w:rPr>
          <w:rFonts w:cs="Times New Roman"/>
          <w:szCs w:val="24"/>
          <w:lang w:val="en-GB"/>
        </w:rPr>
        <w:t>chosen in the third chapter of this thesis</w:t>
      </w:r>
      <w:r w:rsidR="00362F42" w:rsidRPr="003569BE">
        <w:rPr>
          <w:rFonts w:cs="Times New Roman"/>
          <w:szCs w:val="24"/>
          <w:lang w:val="en-GB"/>
        </w:rPr>
        <w:t xml:space="preserve"> after an assessment of the models used in prior research for detecting and measuring the use of earnings management.</w:t>
      </w:r>
    </w:p>
    <w:p w:rsidR="003768A6" w:rsidRPr="003569BE" w:rsidRDefault="0075702E" w:rsidP="00846EA1">
      <w:pPr>
        <w:spacing w:line="360" w:lineRule="auto"/>
        <w:rPr>
          <w:rFonts w:cs="Times New Roman"/>
          <w:szCs w:val="24"/>
          <w:lang w:val="en-GB"/>
        </w:rPr>
      </w:pPr>
      <w:r w:rsidRPr="003569BE">
        <w:rPr>
          <w:rFonts w:cs="Times New Roman"/>
          <w:szCs w:val="24"/>
          <w:lang w:val="en-GB"/>
        </w:rPr>
        <w:t xml:space="preserve">The </w:t>
      </w:r>
      <w:r w:rsidR="003768A6" w:rsidRPr="003569BE">
        <w:rPr>
          <w:rFonts w:cs="Times New Roman"/>
          <w:szCs w:val="24"/>
          <w:lang w:val="en-GB"/>
        </w:rPr>
        <w:t>model</w:t>
      </w:r>
      <w:r w:rsidR="00D77400" w:rsidRPr="003569BE">
        <w:rPr>
          <w:rFonts w:cs="Times New Roman"/>
          <w:szCs w:val="24"/>
          <w:lang w:val="en-GB"/>
        </w:rPr>
        <w:t>s</w:t>
      </w:r>
      <w:r w:rsidR="003768A6" w:rsidRPr="003569BE">
        <w:rPr>
          <w:rFonts w:cs="Times New Roman"/>
          <w:szCs w:val="24"/>
          <w:lang w:val="en-GB"/>
        </w:rPr>
        <w:t xml:space="preserve"> </w:t>
      </w:r>
      <w:r w:rsidR="00D77400" w:rsidRPr="003569BE">
        <w:rPr>
          <w:rFonts w:cs="Times New Roman"/>
          <w:szCs w:val="24"/>
          <w:lang w:val="en-GB"/>
        </w:rPr>
        <w:t>relevant to this thesis have</w:t>
      </w:r>
      <w:r w:rsidR="003768A6" w:rsidRPr="003569BE">
        <w:rPr>
          <w:rFonts w:cs="Times New Roman"/>
          <w:szCs w:val="24"/>
          <w:lang w:val="en-GB"/>
        </w:rPr>
        <w:t xml:space="preserve"> an approach that relies on the </w:t>
      </w:r>
      <w:r w:rsidR="009E407E" w:rsidRPr="003569BE">
        <w:rPr>
          <w:rFonts w:cs="Times New Roman"/>
          <w:szCs w:val="24"/>
          <w:lang w:val="en-GB"/>
        </w:rPr>
        <w:t>measurement</w:t>
      </w:r>
      <w:r w:rsidR="003768A6" w:rsidRPr="003569BE">
        <w:rPr>
          <w:rFonts w:cs="Times New Roman"/>
          <w:szCs w:val="24"/>
          <w:lang w:val="en-GB"/>
        </w:rPr>
        <w:t xml:space="preserve"> of accruals. </w:t>
      </w:r>
      <w:r w:rsidR="00861099" w:rsidRPr="003569BE">
        <w:rPr>
          <w:rFonts w:cs="Times New Roman"/>
          <w:szCs w:val="24"/>
          <w:lang w:val="en-GB"/>
        </w:rPr>
        <w:t xml:space="preserve">First, it is essential to distinguish between the two types </w:t>
      </w:r>
      <w:r w:rsidR="0050368B" w:rsidRPr="003569BE">
        <w:rPr>
          <w:rFonts w:cs="Times New Roman"/>
          <w:szCs w:val="24"/>
          <w:lang w:val="en-GB"/>
        </w:rPr>
        <w:t>of accruals: discretionary accruals and non-discretionary accruals.</w:t>
      </w:r>
      <w:r w:rsidR="00330B1C" w:rsidRPr="003569BE">
        <w:rPr>
          <w:rFonts w:cs="Times New Roman"/>
          <w:szCs w:val="24"/>
          <w:lang w:val="en-GB"/>
        </w:rPr>
        <w:t xml:space="preserve"> Discretionary accruals </w:t>
      </w:r>
      <w:r w:rsidR="001259DC" w:rsidRPr="003569BE">
        <w:rPr>
          <w:rFonts w:cs="Times New Roman"/>
          <w:szCs w:val="24"/>
          <w:lang w:val="en-GB"/>
        </w:rPr>
        <w:t>reflect</w:t>
      </w:r>
      <w:r w:rsidR="00330B1C" w:rsidRPr="003569BE">
        <w:rPr>
          <w:rFonts w:cs="Times New Roman"/>
          <w:szCs w:val="24"/>
          <w:lang w:val="en-GB"/>
        </w:rPr>
        <w:t xml:space="preserve"> the management’s accounting choices and </w:t>
      </w:r>
      <w:r w:rsidR="00E91F3F" w:rsidRPr="003569BE">
        <w:rPr>
          <w:rFonts w:cs="Times New Roman"/>
          <w:szCs w:val="24"/>
          <w:lang w:val="en-GB"/>
        </w:rPr>
        <w:t>mark</w:t>
      </w:r>
      <w:r w:rsidR="00330B1C" w:rsidRPr="003569BE">
        <w:rPr>
          <w:rFonts w:cs="Times New Roman"/>
          <w:szCs w:val="24"/>
          <w:lang w:val="en-GB"/>
        </w:rPr>
        <w:t xml:space="preserve"> the </w:t>
      </w:r>
      <w:r w:rsidR="00294EC0" w:rsidRPr="003569BE">
        <w:rPr>
          <w:rFonts w:cs="Times New Roman"/>
          <w:szCs w:val="24"/>
          <w:lang w:val="en-GB"/>
        </w:rPr>
        <w:t>behaviour of the management</w:t>
      </w:r>
      <w:r w:rsidR="00F045B2" w:rsidRPr="003569BE">
        <w:rPr>
          <w:rFonts w:cs="Times New Roman"/>
          <w:szCs w:val="24"/>
          <w:lang w:val="en-GB"/>
        </w:rPr>
        <w:t xml:space="preserve"> in terms of </w:t>
      </w:r>
      <w:r w:rsidR="00330B1C" w:rsidRPr="003569BE">
        <w:rPr>
          <w:rFonts w:cs="Times New Roman"/>
          <w:szCs w:val="24"/>
          <w:lang w:val="en-GB"/>
        </w:rPr>
        <w:t xml:space="preserve">earnings </w:t>
      </w:r>
      <w:r w:rsidR="00330B1C" w:rsidRPr="003569BE">
        <w:rPr>
          <w:rFonts w:cs="Times New Roman"/>
          <w:szCs w:val="24"/>
          <w:lang w:val="en-GB"/>
        </w:rPr>
        <w:lastRenderedPageBreak/>
        <w:t>management</w:t>
      </w:r>
      <w:r w:rsidR="003A7512" w:rsidRPr="003569BE">
        <w:rPr>
          <w:rFonts w:cs="Times New Roman"/>
          <w:szCs w:val="24"/>
          <w:lang w:val="en-GB"/>
        </w:rPr>
        <w:t>:</w:t>
      </w:r>
      <w:r w:rsidR="00DC07EA" w:rsidRPr="003569BE">
        <w:rPr>
          <w:rFonts w:cs="Times New Roman"/>
          <w:szCs w:val="24"/>
          <w:lang w:val="en-GB"/>
        </w:rPr>
        <w:t xml:space="preserve"> </w:t>
      </w:r>
      <w:r w:rsidR="00CD52EB" w:rsidRPr="003569BE">
        <w:rPr>
          <w:rFonts w:cs="Times New Roman"/>
          <w:szCs w:val="24"/>
          <w:lang w:val="en-GB"/>
        </w:rPr>
        <w:t xml:space="preserve">in order to </w:t>
      </w:r>
      <w:r w:rsidR="00B67C12" w:rsidRPr="003569BE">
        <w:rPr>
          <w:rFonts w:cs="Times New Roman"/>
          <w:szCs w:val="24"/>
          <w:lang w:val="en-GB"/>
        </w:rPr>
        <w:t xml:space="preserve">manage </w:t>
      </w:r>
      <w:r w:rsidR="00705846" w:rsidRPr="003569BE">
        <w:rPr>
          <w:rFonts w:cs="Times New Roman"/>
          <w:szCs w:val="24"/>
          <w:lang w:val="en-GB"/>
        </w:rPr>
        <w:t xml:space="preserve">the published </w:t>
      </w:r>
      <w:r w:rsidR="00B67C12" w:rsidRPr="003569BE">
        <w:rPr>
          <w:rFonts w:cs="Times New Roman"/>
          <w:szCs w:val="24"/>
          <w:lang w:val="en-GB"/>
        </w:rPr>
        <w:t>earnings</w:t>
      </w:r>
      <w:r w:rsidR="008B0774" w:rsidRPr="003569BE">
        <w:rPr>
          <w:rFonts w:cs="Times New Roman"/>
          <w:szCs w:val="24"/>
          <w:lang w:val="en-GB"/>
        </w:rPr>
        <w:t>, discretionary accruals can be manipulated by the management, by exercising their discretion regarding these accruals</w:t>
      </w:r>
      <w:r w:rsidR="00330B1C" w:rsidRPr="003569BE">
        <w:rPr>
          <w:rFonts w:cs="Times New Roman"/>
          <w:szCs w:val="24"/>
          <w:lang w:val="en-GB"/>
        </w:rPr>
        <w:t>.</w:t>
      </w:r>
      <w:r w:rsidR="00190FE7" w:rsidRPr="003569BE">
        <w:rPr>
          <w:rFonts w:cs="Times New Roman"/>
          <w:szCs w:val="24"/>
          <w:lang w:val="en-GB"/>
        </w:rPr>
        <w:t xml:space="preserve"> This way, earnings can be managed either upwards or downwards by the management, depending on their incentives and their objectives.</w:t>
      </w:r>
      <w:r w:rsidR="00330B1C" w:rsidRPr="003569BE">
        <w:rPr>
          <w:rFonts w:cs="Times New Roman"/>
          <w:szCs w:val="24"/>
          <w:lang w:val="en-GB"/>
        </w:rPr>
        <w:t xml:space="preserve"> </w:t>
      </w:r>
      <w:r w:rsidR="00C663F9" w:rsidRPr="003569BE">
        <w:rPr>
          <w:rFonts w:cs="Times New Roman"/>
          <w:szCs w:val="24"/>
          <w:lang w:val="en-GB"/>
        </w:rPr>
        <w:t>On the other hand, n</w:t>
      </w:r>
      <w:r w:rsidR="00330B1C" w:rsidRPr="003569BE">
        <w:rPr>
          <w:rFonts w:cs="Times New Roman"/>
          <w:szCs w:val="24"/>
          <w:lang w:val="en-GB"/>
        </w:rPr>
        <w:t xml:space="preserve">on-discretionary accruals are </w:t>
      </w:r>
      <w:r w:rsidR="00EB05B5" w:rsidRPr="003569BE">
        <w:rPr>
          <w:rFonts w:cs="Times New Roman"/>
          <w:szCs w:val="24"/>
          <w:lang w:val="en-GB"/>
        </w:rPr>
        <w:t>considered</w:t>
      </w:r>
      <w:r w:rsidR="001F45C8" w:rsidRPr="003569BE">
        <w:rPr>
          <w:rFonts w:cs="Times New Roman"/>
          <w:szCs w:val="24"/>
          <w:lang w:val="en-GB"/>
        </w:rPr>
        <w:t xml:space="preserve"> normal</w:t>
      </w:r>
      <w:r w:rsidR="00330B1C" w:rsidRPr="003569BE">
        <w:rPr>
          <w:rFonts w:cs="Times New Roman"/>
          <w:szCs w:val="24"/>
          <w:lang w:val="en-GB"/>
        </w:rPr>
        <w:t xml:space="preserve"> expected accruals, which </w:t>
      </w:r>
      <w:r w:rsidR="007D5379" w:rsidRPr="003569BE">
        <w:rPr>
          <w:rFonts w:cs="Times New Roman"/>
          <w:szCs w:val="24"/>
          <w:lang w:val="en-GB"/>
        </w:rPr>
        <w:t>are directly dependent</w:t>
      </w:r>
      <w:r w:rsidR="00241B39" w:rsidRPr="003569BE">
        <w:rPr>
          <w:rFonts w:cs="Times New Roman"/>
          <w:szCs w:val="24"/>
          <w:lang w:val="en-GB"/>
        </w:rPr>
        <w:t xml:space="preserve"> on </w:t>
      </w:r>
      <w:r w:rsidR="00330B1C" w:rsidRPr="003569BE">
        <w:rPr>
          <w:rFonts w:cs="Times New Roman"/>
          <w:szCs w:val="24"/>
          <w:lang w:val="en-GB"/>
        </w:rPr>
        <w:t>the company’</w:t>
      </w:r>
      <w:r w:rsidR="00241B39" w:rsidRPr="003569BE">
        <w:rPr>
          <w:rFonts w:cs="Times New Roman"/>
          <w:szCs w:val="24"/>
          <w:lang w:val="en-GB"/>
        </w:rPr>
        <w:t>s</w:t>
      </w:r>
      <w:r w:rsidR="00500FD7" w:rsidRPr="003569BE">
        <w:rPr>
          <w:rFonts w:cs="Times New Roman"/>
          <w:szCs w:val="24"/>
          <w:lang w:val="en-GB"/>
        </w:rPr>
        <w:t xml:space="preserve"> operat</w:t>
      </w:r>
      <w:r w:rsidR="00423063" w:rsidRPr="003569BE">
        <w:rPr>
          <w:rFonts w:cs="Times New Roman"/>
          <w:szCs w:val="24"/>
          <w:lang w:val="en-GB"/>
        </w:rPr>
        <w:t>ions or on the external factors.</w:t>
      </w:r>
      <w:r w:rsidR="00CD279E" w:rsidRPr="003569BE">
        <w:rPr>
          <w:rFonts w:cs="Times New Roman"/>
          <w:szCs w:val="24"/>
          <w:lang w:val="en-GB"/>
        </w:rPr>
        <w:t xml:space="preserve"> </w:t>
      </w:r>
      <w:r w:rsidR="0028636C" w:rsidRPr="003569BE">
        <w:rPr>
          <w:rFonts w:cs="Times New Roman"/>
          <w:szCs w:val="24"/>
          <w:lang w:val="en-GB"/>
        </w:rPr>
        <w:t>A</w:t>
      </w:r>
      <w:r w:rsidR="00CD279E" w:rsidRPr="003569BE">
        <w:rPr>
          <w:rFonts w:cs="Times New Roman"/>
          <w:szCs w:val="24"/>
          <w:lang w:val="en-GB"/>
        </w:rPr>
        <w:t xml:space="preserve"> model will be used to estimate </w:t>
      </w:r>
      <w:r w:rsidR="00705846" w:rsidRPr="003569BE">
        <w:rPr>
          <w:rFonts w:cs="Times New Roman"/>
          <w:szCs w:val="24"/>
          <w:lang w:val="en-GB"/>
        </w:rPr>
        <w:t xml:space="preserve">the </w:t>
      </w:r>
      <w:r w:rsidR="00CD279E" w:rsidRPr="003569BE">
        <w:rPr>
          <w:rFonts w:cs="Times New Roman"/>
          <w:szCs w:val="24"/>
          <w:lang w:val="en-GB"/>
        </w:rPr>
        <w:t>discretionary accruals</w:t>
      </w:r>
      <w:r w:rsidRPr="003569BE">
        <w:rPr>
          <w:rFonts w:cs="Times New Roman"/>
          <w:szCs w:val="24"/>
          <w:lang w:val="en-GB"/>
        </w:rPr>
        <w:t>,</w:t>
      </w:r>
      <w:r w:rsidR="00705846" w:rsidRPr="003569BE">
        <w:rPr>
          <w:rFonts w:cs="Times New Roman"/>
          <w:szCs w:val="24"/>
          <w:lang w:val="en-GB"/>
        </w:rPr>
        <w:t xml:space="preserve"> </w:t>
      </w:r>
      <w:r w:rsidRPr="003569BE">
        <w:rPr>
          <w:rFonts w:cs="Times New Roman"/>
          <w:szCs w:val="24"/>
          <w:lang w:val="en-GB"/>
        </w:rPr>
        <w:t xml:space="preserve">which </w:t>
      </w:r>
      <w:r w:rsidR="00CD279E" w:rsidRPr="003569BE">
        <w:rPr>
          <w:rFonts w:cs="Times New Roman"/>
          <w:szCs w:val="24"/>
          <w:lang w:val="en-GB"/>
        </w:rPr>
        <w:t xml:space="preserve">will be the proxy for </w:t>
      </w:r>
      <w:r w:rsidR="00705846" w:rsidRPr="003569BE">
        <w:rPr>
          <w:rFonts w:cs="Times New Roman"/>
          <w:szCs w:val="24"/>
          <w:lang w:val="en-GB"/>
        </w:rPr>
        <w:t xml:space="preserve">the use of </w:t>
      </w:r>
      <w:r w:rsidR="00CD279E" w:rsidRPr="003569BE">
        <w:rPr>
          <w:rFonts w:cs="Times New Roman"/>
          <w:szCs w:val="24"/>
          <w:lang w:val="en-GB"/>
        </w:rPr>
        <w:t>accrual earnings management in this thesis.</w:t>
      </w:r>
    </w:p>
    <w:p w:rsidR="00541D7B" w:rsidRPr="003569BE" w:rsidRDefault="00541D7B" w:rsidP="00846EA1">
      <w:pPr>
        <w:spacing w:line="360" w:lineRule="auto"/>
        <w:rPr>
          <w:rFonts w:cs="Times New Roman"/>
          <w:szCs w:val="24"/>
          <w:lang w:val="en-GB"/>
        </w:rPr>
      </w:pPr>
      <w:r w:rsidRPr="003569BE">
        <w:rPr>
          <w:rFonts w:cs="Times New Roman"/>
          <w:szCs w:val="24"/>
          <w:lang w:val="en-GB"/>
        </w:rPr>
        <w:t>Most papers</w:t>
      </w:r>
      <w:r w:rsidR="00191D42" w:rsidRPr="003569BE">
        <w:rPr>
          <w:rFonts w:cs="Times New Roman"/>
          <w:szCs w:val="24"/>
          <w:lang w:val="en-GB"/>
        </w:rPr>
        <w:t xml:space="preserve"> in the scientific </w:t>
      </w:r>
      <w:r w:rsidR="00026C55" w:rsidRPr="003569BE">
        <w:rPr>
          <w:rFonts w:cs="Times New Roman"/>
          <w:szCs w:val="24"/>
          <w:lang w:val="en-GB"/>
        </w:rPr>
        <w:t>literature regarding</w:t>
      </w:r>
      <w:r w:rsidR="00705846" w:rsidRPr="003569BE">
        <w:rPr>
          <w:rFonts w:cs="Times New Roman"/>
          <w:szCs w:val="24"/>
          <w:lang w:val="en-GB"/>
        </w:rPr>
        <w:t xml:space="preserve"> </w:t>
      </w:r>
      <w:r w:rsidRPr="003569BE">
        <w:rPr>
          <w:rFonts w:cs="Times New Roman"/>
          <w:szCs w:val="24"/>
          <w:lang w:val="en-GB"/>
        </w:rPr>
        <w:t>mandatory audit firm rotation are based on setting</w:t>
      </w:r>
      <w:r w:rsidR="00A354A7" w:rsidRPr="003569BE">
        <w:rPr>
          <w:rFonts w:cs="Times New Roman"/>
          <w:szCs w:val="24"/>
          <w:lang w:val="en-GB"/>
        </w:rPr>
        <w:t>s in which mandatory rotation does not exist</w:t>
      </w:r>
      <w:r w:rsidRPr="003569BE">
        <w:rPr>
          <w:rFonts w:cs="Times New Roman"/>
          <w:szCs w:val="24"/>
          <w:lang w:val="en-GB"/>
        </w:rPr>
        <w:t xml:space="preserve">. However, in order to achieve a better understanding of the management’s behaviour in such an environment it is essential to </w:t>
      </w:r>
      <w:r w:rsidR="00FD36F5" w:rsidRPr="003569BE">
        <w:rPr>
          <w:rFonts w:cs="Times New Roman"/>
          <w:szCs w:val="24"/>
          <w:lang w:val="en-GB"/>
        </w:rPr>
        <w:t>conduct the empirical analysis by acquiring relevant data from</w:t>
      </w:r>
      <w:r w:rsidRPr="003569BE">
        <w:rPr>
          <w:rFonts w:cs="Times New Roman"/>
          <w:szCs w:val="24"/>
          <w:lang w:val="en-GB"/>
        </w:rPr>
        <w:t xml:space="preserve"> a real and appropriate MAFR setting in this thesis. Consequently, this thesis will test the relationship in a real MAFR setting: Italy. According to Cameran et al. (2012), the mandatory audit firm rotation rule in Italy was enforced in 1975 and it allowed an auditor term to be renewed every three years up to a maximum tenure of nine years </w:t>
      </w:r>
      <w:sdt>
        <w:sdtPr>
          <w:rPr>
            <w:rFonts w:cs="Times New Roman"/>
            <w:szCs w:val="24"/>
            <w:lang w:val="en-GB"/>
          </w:rPr>
          <w:id w:val="616114441"/>
          <w:citation/>
        </w:sdtPr>
        <w:sdtContent>
          <w:r w:rsidR="000E4BAF" w:rsidRPr="003569BE">
            <w:rPr>
              <w:rFonts w:cs="Times New Roman"/>
              <w:szCs w:val="24"/>
              <w:lang w:val="en-GB"/>
            </w:rPr>
            <w:fldChar w:fldCharType="begin"/>
          </w:r>
          <w:r w:rsidR="00F76AF1" w:rsidRPr="003569BE">
            <w:rPr>
              <w:rFonts w:cs="Times New Roman"/>
              <w:szCs w:val="24"/>
              <w:lang w:val="en-GB"/>
            </w:rPr>
            <w:instrText xml:space="preserve">CITATION Cam12 \t  \l 1033 </w:instrText>
          </w:r>
          <w:r w:rsidR="000E4BAF" w:rsidRPr="003569BE">
            <w:rPr>
              <w:rFonts w:cs="Times New Roman"/>
              <w:szCs w:val="24"/>
              <w:lang w:val="en-GB"/>
            </w:rPr>
            <w:fldChar w:fldCharType="separate"/>
          </w:r>
          <w:r w:rsidR="008F7EB3" w:rsidRPr="003569BE">
            <w:rPr>
              <w:rFonts w:cs="Times New Roman"/>
              <w:noProof/>
              <w:szCs w:val="24"/>
              <w:lang w:val="en-GB"/>
            </w:rPr>
            <w:t>(Cameran, Prencipe, &amp; Trombetta, 2012)</w:t>
          </w:r>
          <w:r w:rsidR="000E4BAF" w:rsidRPr="003569BE">
            <w:rPr>
              <w:rFonts w:cs="Times New Roman"/>
              <w:szCs w:val="24"/>
              <w:lang w:val="en-GB"/>
            </w:rPr>
            <w:fldChar w:fldCharType="end"/>
          </w:r>
        </w:sdtContent>
      </w:sdt>
      <w:r w:rsidRPr="003569BE">
        <w:rPr>
          <w:rFonts w:cs="Times New Roman"/>
          <w:szCs w:val="24"/>
          <w:lang w:val="en-GB"/>
        </w:rPr>
        <w:t xml:space="preserve">. However, the Italian regulation on MAFR </w:t>
      </w:r>
      <w:r w:rsidR="00705846" w:rsidRPr="003569BE">
        <w:rPr>
          <w:rFonts w:cs="Times New Roman"/>
          <w:szCs w:val="24"/>
          <w:lang w:val="en-GB"/>
        </w:rPr>
        <w:t xml:space="preserve">in 2006 </w:t>
      </w:r>
      <w:r w:rsidRPr="003569BE">
        <w:rPr>
          <w:rFonts w:cs="Times New Roman"/>
          <w:szCs w:val="24"/>
          <w:lang w:val="en-GB"/>
        </w:rPr>
        <w:t>has been revised by dropping the option to replace the auditor at the end of each three years period.</w:t>
      </w:r>
    </w:p>
    <w:p w:rsidR="00541D7B" w:rsidRPr="003569BE" w:rsidRDefault="00541D7B" w:rsidP="00846EA1">
      <w:pPr>
        <w:spacing w:line="360" w:lineRule="auto"/>
        <w:rPr>
          <w:rFonts w:cs="Times New Roman"/>
          <w:szCs w:val="24"/>
          <w:lang w:val="en-GB"/>
        </w:rPr>
      </w:pPr>
      <w:r w:rsidRPr="003569BE">
        <w:rPr>
          <w:rFonts w:cs="Times New Roman"/>
          <w:szCs w:val="24"/>
          <w:lang w:val="en-GB"/>
        </w:rPr>
        <w:t xml:space="preserve">In order to test the hypotheses, a sample from the targeted population will be selected. </w:t>
      </w:r>
      <w:r w:rsidR="00705846" w:rsidRPr="003569BE">
        <w:rPr>
          <w:rFonts w:cs="Times New Roman"/>
          <w:szCs w:val="24"/>
          <w:lang w:val="en-GB"/>
        </w:rPr>
        <w:t>To select all Italian public listed companies that have all the needed information available for the specified period t</w:t>
      </w:r>
      <w:r w:rsidRPr="003569BE">
        <w:rPr>
          <w:rFonts w:cs="Times New Roman"/>
          <w:szCs w:val="24"/>
          <w:lang w:val="en-GB"/>
        </w:rPr>
        <w:t xml:space="preserve">he Compustat Global database will be used. For the purpose of this study, the intention is to focus on the period </w:t>
      </w:r>
      <w:r w:rsidR="00EA66C1" w:rsidRPr="003569BE">
        <w:rPr>
          <w:rFonts w:cs="Times New Roman"/>
          <w:szCs w:val="24"/>
          <w:lang w:val="en-GB"/>
        </w:rPr>
        <w:t xml:space="preserve">2006 </w:t>
      </w:r>
      <w:r w:rsidR="00AB0C91">
        <w:rPr>
          <w:rFonts w:cs="Times New Roman"/>
          <w:szCs w:val="24"/>
          <w:lang w:val="en-GB"/>
        </w:rPr>
        <w:t xml:space="preserve">up to and included </w:t>
      </w:r>
      <w:r w:rsidR="00EA66C1" w:rsidRPr="003569BE">
        <w:rPr>
          <w:rFonts w:cs="Times New Roman"/>
          <w:szCs w:val="24"/>
          <w:lang w:val="en-GB"/>
        </w:rPr>
        <w:t>2013</w:t>
      </w:r>
      <w:r w:rsidRPr="003569BE">
        <w:rPr>
          <w:rFonts w:cs="Times New Roman"/>
          <w:szCs w:val="24"/>
          <w:lang w:val="en-GB"/>
        </w:rPr>
        <w:t>,</w:t>
      </w:r>
      <w:r w:rsidRPr="003569BE" w:rsidDel="00A90AA3">
        <w:rPr>
          <w:rFonts w:cs="Times New Roman"/>
          <w:szCs w:val="24"/>
          <w:lang w:val="en-GB"/>
        </w:rPr>
        <w:t xml:space="preserve"> </w:t>
      </w:r>
      <w:r w:rsidRPr="003569BE">
        <w:rPr>
          <w:rFonts w:cs="Times New Roman"/>
          <w:szCs w:val="24"/>
          <w:lang w:val="en-GB"/>
        </w:rPr>
        <w:t xml:space="preserve">i.e. from the moment the MAFR rule was </w:t>
      </w:r>
      <w:r w:rsidR="00EA66C1" w:rsidRPr="003569BE">
        <w:rPr>
          <w:rFonts w:cs="Times New Roman"/>
          <w:szCs w:val="24"/>
          <w:lang w:val="en-GB"/>
        </w:rPr>
        <w:t>modified</w:t>
      </w:r>
      <w:r w:rsidRPr="003569BE">
        <w:rPr>
          <w:rFonts w:cs="Times New Roman"/>
          <w:szCs w:val="24"/>
          <w:lang w:val="en-GB"/>
        </w:rPr>
        <w:t xml:space="preserve"> until </w:t>
      </w:r>
      <w:r w:rsidR="00EA66C1" w:rsidRPr="003569BE">
        <w:rPr>
          <w:rFonts w:cs="Times New Roman"/>
          <w:szCs w:val="24"/>
          <w:lang w:val="en-GB"/>
        </w:rPr>
        <w:t>present time</w:t>
      </w:r>
      <w:r w:rsidRPr="003569BE">
        <w:rPr>
          <w:rFonts w:cs="Times New Roman"/>
          <w:szCs w:val="24"/>
          <w:lang w:val="en-GB"/>
        </w:rPr>
        <w:t xml:space="preserve">. However, </w:t>
      </w:r>
      <w:r w:rsidR="00092653" w:rsidRPr="003569BE">
        <w:rPr>
          <w:rFonts w:cs="Times New Roman"/>
          <w:szCs w:val="24"/>
          <w:lang w:val="en-GB"/>
        </w:rPr>
        <w:t>the year of 2005 will also be included in the sample</w:t>
      </w:r>
      <w:r w:rsidR="00433B42" w:rsidRPr="003569BE">
        <w:rPr>
          <w:rFonts w:cs="Times New Roman"/>
          <w:szCs w:val="24"/>
          <w:lang w:val="en-GB"/>
        </w:rPr>
        <w:t>, since data from the previous year will be necessary for the empirical tests</w:t>
      </w:r>
      <w:r w:rsidR="00726428" w:rsidRPr="003569BE">
        <w:rPr>
          <w:rFonts w:cs="Times New Roman"/>
          <w:szCs w:val="24"/>
          <w:lang w:val="en-GB"/>
        </w:rPr>
        <w:t>.  C</w:t>
      </w:r>
      <w:r w:rsidRPr="003569BE">
        <w:rPr>
          <w:rFonts w:cs="Times New Roman"/>
          <w:szCs w:val="24"/>
          <w:lang w:val="en-GB"/>
        </w:rPr>
        <w:t>onsequently, the timeline used</w:t>
      </w:r>
      <w:r w:rsidR="00D0558F" w:rsidRPr="003569BE">
        <w:rPr>
          <w:rFonts w:cs="Times New Roman"/>
          <w:szCs w:val="24"/>
          <w:lang w:val="en-GB"/>
        </w:rPr>
        <w:t xml:space="preserve"> in the thesis will be </w:t>
      </w:r>
      <w:r w:rsidR="008E0598" w:rsidRPr="003569BE">
        <w:rPr>
          <w:rFonts w:cs="Times New Roman"/>
          <w:szCs w:val="24"/>
          <w:lang w:val="en-GB"/>
        </w:rPr>
        <w:t>2005</w:t>
      </w:r>
      <w:r w:rsidR="00AB0C91">
        <w:rPr>
          <w:rFonts w:cs="Times New Roman"/>
          <w:szCs w:val="24"/>
          <w:lang w:val="en-GB"/>
        </w:rPr>
        <w:t xml:space="preserve"> up to and included </w:t>
      </w:r>
      <w:r w:rsidR="008E0598" w:rsidRPr="003569BE">
        <w:rPr>
          <w:rFonts w:cs="Times New Roman"/>
          <w:szCs w:val="24"/>
          <w:lang w:val="en-GB"/>
        </w:rPr>
        <w:t>2013</w:t>
      </w:r>
      <w:r w:rsidRPr="003569BE">
        <w:rPr>
          <w:rFonts w:cs="Times New Roman"/>
          <w:szCs w:val="24"/>
          <w:lang w:val="en-GB"/>
        </w:rPr>
        <w:t>.</w:t>
      </w:r>
    </w:p>
    <w:p w:rsidR="00FF0645" w:rsidRPr="003569BE" w:rsidRDefault="00705846" w:rsidP="00846EA1">
      <w:pPr>
        <w:spacing w:line="360" w:lineRule="auto"/>
        <w:rPr>
          <w:rFonts w:cs="Times New Roman"/>
          <w:szCs w:val="24"/>
          <w:lang w:val="en-GB"/>
        </w:rPr>
      </w:pPr>
      <w:r w:rsidRPr="003569BE">
        <w:rPr>
          <w:rFonts w:cs="Times New Roman"/>
          <w:szCs w:val="24"/>
          <w:lang w:val="en-GB"/>
        </w:rPr>
        <w:t xml:space="preserve">To perform the statistical analysis with the purpose of testing the hypotheses of this thesis, using a cross-sectional model, </w:t>
      </w:r>
      <w:r w:rsidR="00FF0645" w:rsidRPr="003569BE">
        <w:rPr>
          <w:rFonts w:cs="Times New Roman"/>
          <w:szCs w:val="24"/>
          <w:lang w:val="en-GB"/>
        </w:rPr>
        <w:t>SPSS software will be used</w:t>
      </w:r>
      <w:r w:rsidR="007E7CAA" w:rsidRPr="003569BE">
        <w:rPr>
          <w:rFonts w:cs="Times New Roman"/>
          <w:szCs w:val="24"/>
          <w:lang w:val="en-GB"/>
        </w:rPr>
        <w:t>.</w:t>
      </w:r>
    </w:p>
    <w:p w:rsidR="001C0176" w:rsidRPr="003569BE" w:rsidRDefault="001C0176" w:rsidP="00846EA1">
      <w:pPr>
        <w:pStyle w:val="Heading2"/>
        <w:numPr>
          <w:ilvl w:val="1"/>
          <w:numId w:val="6"/>
        </w:numPr>
        <w:spacing w:line="360" w:lineRule="auto"/>
        <w:rPr>
          <w:rFonts w:cs="Times New Roman"/>
          <w:sz w:val="24"/>
          <w:szCs w:val="24"/>
          <w:lang w:val="en-GB"/>
        </w:rPr>
      </w:pPr>
      <w:bookmarkStart w:id="4" w:name="_Toc396633536"/>
      <w:r w:rsidRPr="003569BE">
        <w:rPr>
          <w:rFonts w:cs="Times New Roman"/>
          <w:sz w:val="24"/>
          <w:szCs w:val="24"/>
          <w:lang w:val="en-GB"/>
        </w:rPr>
        <w:t>Limitations</w:t>
      </w:r>
      <w:bookmarkEnd w:id="4"/>
    </w:p>
    <w:p w:rsidR="00541059" w:rsidRPr="003569BE" w:rsidRDefault="00D11027" w:rsidP="00846EA1">
      <w:pPr>
        <w:spacing w:line="360" w:lineRule="auto"/>
        <w:rPr>
          <w:rFonts w:cs="Times New Roman"/>
          <w:szCs w:val="24"/>
          <w:lang w:val="en-GB"/>
        </w:rPr>
      </w:pPr>
      <w:r w:rsidRPr="003569BE">
        <w:rPr>
          <w:rFonts w:cs="Times New Roman"/>
          <w:szCs w:val="24"/>
          <w:lang w:val="en-GB"/>
        </w:rPr>
        <w:t>In a</w:t>
      </w:r>
      <w:r w:rsidR="00AC1872" w:rsidRPr="003569BE">
        <w:rPr>
          <w:rFonts w:cs="Times New Roman"/>
          <w:szCs w:val="24"/>
          <w:lang w:val="en-GB"/>
        </w:rPr>
        <w:t xml:space="preserve"> regime of</w:t>
      </w:r>
      <w:r w:rsidRPr="003569BE">
        <w:rPr>
          <w:rFonts w:cs="Times New Roman"/>
          <w:szCs w:val="24"/>
          <w:lang w:val="en-GB"/>
        </w:rPr>
        <w:t xml:space="preserve"> mandatory audit firm rotation, the auditor </w:t>
      </w:r>
      <w:r w:rsidR="00D70744" w:rsidRPr="003569BE">
        <w:rPr>
          <w:rFonts w:cs="Times New Roman"/>
          <w:szCs w:val="24"/>
          <w:lang w:val="en-GB"/>
        </w:rPr>
        <w:t>is aware what the</w:t>
      </w:r>
      <w:r w:rsidRPr="003569BE">
        <w:rPr>
          <w:rFonts w:cs="Times New Roman"/>
          <w:szCs w:val="24"/>
          <w:lang w:val="en-GB"/>
        </w:rPr>
        <w:t xml:space="preserve"> maximum period of the engagement </w:t>
      </w:r>
      <w:r w:rsidR="00D70744" w:rsidRPr="003569BE">
        <w:rPr>
          <w:rFonts w:cs="Times New Roman"/>
          <w:szCs w:val="24"/>
          <w:lang w:val="en-GB"/>
        </w:rPr>
        <w:t>is, which implies a potential change in the auditor’s behaviour in the last years of the engagement</w:t>
      </w:r>
      <w:r w:rsidRPr="003569BE">
        <w:rPr>
          <w:rFonts w:cs="Times New Roman"/>
          <w:szCs w:val="24"/>
          <w:lang w:val="en-GB"/>
        </w:rPr>
        <w:t xml:space="preserve">. </w:t>
      </w:r>
      <w:r w:rsidR="00133AFD" w:rsidRPr="003569BE">
        <w:rPr>
          <w:rFonts w:cs="Times New Roman"/>
          <w:szCs w:val="24"/>
          <w:lang w:val="en-GB"/>
        </w:rPr>
        <w:t>Testing the relationship between MAFR and the management’s behaviour in terms of the use of earnings management in a real MAFR enviro</w:t>
      </w:r>
      <w:r w:rsidR="00C21C39" w:rsidRPr="003569BE">
        <w:rPr>
          <w:rFonts w:cs="Times New Roman"/>
          <w:szCs w:val="24"/>
          <w:lang w:val="en-GB"/>
        </w:rPr>
        <w:t xml:space="preserve">nment, </w:t>
      </w:r>
      <w:r w:rsidR="00133AFD" w:rsidRPr="003569BE">
        <w:rPr>
          <w:rFonts w:cs="Times New Roman"/>
          <w:szCs w:val="24"/>
          <w:lang w:val="en-GB"/>
        </w:rPr>
        <w:t xml:space="preserve">controls for the potential bias </w:t>
      </w:r>
      <w:r w:rsidR="00B779EF" w:rsidRPr="003569BE">
        <w:rPr>
          <w:rFonts w:cs="Times New Roman"/>
          <w:szCs w:val="24"/>
          <w:lang w:val="en-GB"/>
        </w:rPr>
        <w:t xml:space="preserve">that could </w:t>
      </w:r>
      <w:r w:rsidR="00133AFD" w:rsidRPr="003569BE">
        <w:rPr>
          <w:rFonts w:cs="Times New Roman"/>
          <w:szCs w:val="24"/>
          <w:lang w:val="en-GB"/>
        </w:rPr>
        <w:t>result from tests in a non-mandatory rotation setting</w:t>
      </w:r>
      <w:r w:rsidR="00AB284F" w:rsidRPr="003569BE">
        <w:rPr>
          <w:rFonts w:cs="Times New Roman"/>
          <w:szCs w:val="24"/>
          <w:lang w:val="en-GB"/>
        </w:rPr>
        <w:t>,</w:t>
      </w:r>
      <w:r w:rsidR="00133AFD" w:rsidRPr="003569BE">
        <w:rPr>
          <w:rFonts w:cs="Times New Roman"/>
          <w:szCs w:val="24"/>
          <w:lang w:val="en-GB"/>
        </w:rPr>
        <w:t xml:space="preserve"> and </w:t>
      </w:r>
      <w:r w:rsidR="00133AFD" w:rsidRPr="003569BE">
        <w:rPr>
          <w:rFonts w:cs="Times New Roman"/>
          <w:szCs w:val="24"/>
          <w:lang w:val="en-GB"/>
        </w:rPr>
        <w:lastRenderedPageBreak/>
        <w:t xml:space="preserve">improves the </w:t>
      </w:r>
      <w:r w:rsidR="00A70FA1" w:rsidRPr="003569BE">
        <w:rPr>
          <w:rFonts w:cs="Times New Roman"/>
          <w:szCs w:val="24"/>
          <w:lang w:val="en-GB"/>
        </w:rPr>
        <w:t>quality of this thesis’ results.</w:t>
      </w:r>
      <w:r w:rsidR="00C74904" w:rsidRPr="003569BE">
        <w:rPr>
          <w:rFonts w:cs="Times New Roman"/>
          <w:szCs w:val="24"/>
          <w:lang w:val="en-GB"/>
        </w:rPr>
        <w:t xml:space="preserve"> However, </w:t>
      </w:r>
      <w:r w:rsidR="00705846" w:rsidRPr="003569BE">
        <w:rPr>
          <w:rFonts w:cs="Times New Roman"/>
          <w:szCs w:val="24"/>
          <w:lang w:val="en-GB"/>
        </w:rPr>
        <w:t xml:space="preserve">due to the unavailability of data in the Compustat Global database for the period before 1987 </w:t>
      </w:r>
      <w:r w:rsidR="00186D90" w:rsidRPr="003569BE">
        <w:rPr>
          <w:rFonts w:cs="Times New Roman"/>
          <w:szCs w:val="24"/>
          <w:lang w:val="en-GB"/>
        </w:rPr>
        <w:t xml:space="preserve">limitations arise. In addition, </w:t>
      </w:r>
      <w:r w:rsidR="00EB20CC" w:rsidRPr="003569BE">
        <w:rPr>
          <w:rFonts w:cs="Times New Roman"/>
          <w:szCs w:val="24"/>
          <w:lang w:val="en-GB"/>
        </w:rPr>
        <w:t xml:space="preserve">the limited number of public listed companies in Italy can be considered a limitation of this study. </w:t>
      </w:r>
      <w:r w:rsidR="00E37653" w:rsidRPr="003569BE">
        <w:rPr>
          <w:rFonts w:cs="Times New Roman"/>
          <w:szCs w:val="24"/>
          <w:lang w:val="en-GB"/>
        </w:rPr>
        <w:t>To address this limitation, an extended period will be used for the statistical tests, i.e. 1987-2006</w:t>
      </w:r>
      <w:r w:rsidR="007C746B" w:rsidRPr="003569BE">
        <w:rPr>
          <w:rFonts w:cs="Times New Roman"/>
          <w:szCs w:val="24"/>
          <w:lang w:val="en-GB"/>
        </w:rPr>
        <w:t>, and consequently, the internal validity is enhanced.</w:t>
      </w:r>
      <w:r w:rsidR="00784064" w:rsidRPr="003569BE">
        <w:rPr>
          <w:rFonts w:cs="Times New Roman"/>
          <w:szCs w:val="24"/>
          <w:lang w:val="en-GB"/>
        </w:rPr>
        <w:t xml:space="preserve"> </w:t>
      </w:r>
    </w:p>
    <w:p w:rsidR="0073724E" w:rsidRPr="003569BE" w:rsidRDefault="00732B3D" w:rsidP="00846EA1">
      <w:pPr>
        <w:spacing w:line="360" w:lineRule="auto"/>
        <w:rPr>
          <w:rFonts w:cs="Times New Roman"/>
          <w:szCs w:val="24"/>
          <w:lang w:val="en-GB"/>
        </w:rPr>
      </w:pPr>
      <w:r w:rsidRPr="003569BE">
        <w:rPr>
          <w:rFonts w:cs="Times New Roman"/>
          <w:bCs/>
          <w:szCs w:val="24"/>
          <w:lang w:val="en-GB"/>
        </w:rPr>
        <w:t xml:space="preserve">Detecting and measuring </w:t>
      </w:r>
      <w:r w:rsidR="00C07FB4" w:rsidRPr="003569BE">
        <w:rPr>
          <w:rFonts w:cs="Times New Roman"/>
          <w:bCs/>
          <w:szCs w:val="24"/>
          <w:lang w:val="en-GB"/>
        </w:rPr>
        <w:t xml:space="preserve">the use of </w:t>
      </w:r>
      <w:r w:rsidRPr="003569BE">
        <w:rPr>
          <w:rFonts w:cs="Times New Roman"/>
          <w:bCs/>
          <w:szCs w:val="24"/>
          <w:lang w:val="en-GB"/>
        </w:rPr>
        <w:t>earnings management can rather be a difficult task</w:t>
      </w:r>
      <w:r w:rsidR="00A54D25" w:rsidRPr="003569BE">
        <w:rPr>
          <w:rFonts w:cs="Times New Roman"/>
          <w:bCs/>
          <w:szCs w:val="24"/>
          <w:lang w:val="en-GB"/>
        </w:rPr>
        <w:t>.</w:t>
      </w:r>
      <w:r w:rsidR="00B44D9F" w:rsidRPr="003569BE">
        <w:rPr>
          <w:rFonts w:cs="Times New Roman"/>
          <w:bCs/>
          <w:szCs w:val="24"/>
          <w:lang w:val="en-GB"/>
        </w:rPr>
        <w:t xml:space="preserve"> </w:t>
      </w:r>
      <w:r w:rsidR="00BF4D97" w:rsidRPr="003569BE">
        <w:rPr>
          <w:rFonts w:cs="Times New Roman"/>
          <w:bCs/>
          <w:szCs w:val="24"/>
          <w:lang w:val="en-GB"/>
        </w:rPr>
        <w:t xml:space="preserve">The </w:t>
      </w:r>
      <w:r w:rsidR="006D2E0C" w:rsidRPr="003569BE">
        <w:rPr>
          <w:rFonts w:cs="Times New Roman"/>
          <w:bCs/>
          <w:szCs w:val="24"/>
          <w:lang w:val="en-GB"/>
        </w:rPr>
        <w:t xml:space="preserve">model </w:t>
      </w:r>
      <w:r w:rsidR="00091BA3" w:rsidRPr="003569BE">
        <w:rPr>
          <w:rFonts w:cs="Times New Roman"/>
          <w:bCs/>
          <w:szCs w:val="24"/>
          <w:lang w:val="en-GB"/>
        </w:rPr>
        <w:t xml:space="preserve">to be </w:t>
      </w:r>
      <w:r w:rsidR="006D2E0C" w:rsidRPr="003569BE">
        <w:rPr>
          <w:rFonts w:cs="Times New Roman"/>
          <w:bCs/>
          <w:szCs w:val="24"/>
          <w:lang w:val="en-GB"/>
        </w:rPr>
        <w:t>used in this thesis involves</w:t>
      </w:r>
      <w:r w:rsidR="005A16FE" w:rsidRPr="003569BE">
        <w:rPr>
          <w:rFonts w:cs="Times New Roman"/>
          <w:bCs/>
          <w:szCs w:val="24"/>
          <w:lang w:val="en-GB"/>
        </w:rPr>
        <w:t xml:space="preserve"> estimates</w:t>
      </w:r>
      <w:r w:rsidR="00976645" w:rsidRPr="003569BE">
        <w:rPr>
          <w:rFonts w:cs="Times New Roman"/>
          <w:bCs/>
          <w:szCs w:val="24"/>
          <w:lang w:val="en-GB"/>
        </w:rPr>
        <w:t xml:space="preserve"> and </w:t>
      </w:r>
      <w:r w:rsidR="00AD6273" w:rsidRPr="003569BE">
        <w:rPr>
          <w:rFonts w:cs="Times New Roman"/>
          <w:bCs/>
          <w:szCs w:val="24"/>
          <w:lang w:val="en-GB"/>
        </w:rPr>
        <w:t>is</w:t>
      </w:r>
      <w:r w:rsidR="00976645" w:rsidRPr="003569BE">
        <w:rPr>
          <w:rFonts w:cs="Times New Roman"/>
          <w:bCs/>
          <w:szCs w:val="24"/>
          <w:lang w:val="en-GB"/>
        </w:rPr>
        <w:t xml:space="preserve"> co</w:t>
      </w:r>
      <w:r w:rsidR="002C1331" w:rsidRPr="003569BE">
        <w:rPr>
          <w:rFonts w:cs="Times New Roman"/>
          <w:bCs/>
          <w:szCs w:val="24"/>
          <w:lang w:val="en-GB"/>
        </w:rPr>
        <w:t>nsidered to have low test power</w:t>
      </w:r>
      <w:r w:rsidR="0016227F" w:rsidRPr="003569BE">
        <w:rPr>
          <w:rFonts w:cs="Times New Roman"/>
          <w:bCs/>
          <w:szCs w:val="24"/>
          <w:lang w:val="en-GB"/>
        </w:rPr>
        <w:t>.</w:t>
      </w:r>
      <w:r w:rsidR="00B07197" w:rsidRPr="003569BE">
        <w:rPr>
          <w:rFonts w:cs="Times New Roman"/>
          <w:bCs/>
          <w:szCs w:val="24"/>
          <w:lang w:val="en-GB"/>
        </w:rPr>
        <w:t xml:space="preserve"> In addition, the model</w:t>
      </w:r>
      <w:r w:rsidR="00831D13" w:rsidRPr="003569BE">
        <w:rPr>
          <w:rFonts w:cs="Times New Roman"/>
          <w:bCs/>
          <w:szCs w:val="24"/>
          <w:lang w:val="en-GB"/>
        </w:rPr>
        <w:t xml:space="preserve"> test</w:t>
      </w:r>
      <w:r w:rsidR="00B07197" w:rsidRPr="003569BE">
        <w:rPr>
          <w:rFonts w:cs="Times New Roman"/>
          <w:bCs/>
          <w:szCs w:val="24"/>
          <w:lang w:val="en-GB"/>
        </w:rPr>
        <w:t>s</w:t>
      </w:r>
      <w:r w:rsidR="00831D13" w:rsidRPr="003569BE">
        <w:rPr>
          <w:rFonts w:cs="Times New Roman"/>
          <w:bCs/>
          <w:szCs w:val="24"/>
          <w:lang w:val="en-GB"/>
        </w:rPr>
        <w:t xml:space="preserve"> only quantitative data</w:t>
      </w:r>
      <w:r w:rsidR="00327709" w:rsidRPr="003569BE">
        <w:rPr>
          <w:rFonts w:cs="Times New Roman"/>
          <w:bCs/>
          <w:szCs w:val="24"/>
          <w:lang w:val="en-GB"/>
        </w:rPr>
        <w:t>;</w:t>
      </w:r>
      <w:r w:rsidR="00831D13" w:rsidRPr="003569BE">
        <w:rPr>
          <w:rFonts w:cs="Times New Roman"/>
          <w:bCs/>
          <w:szCs w:val="24"/>
          <w:lang w:val="en-GB"/>
        </w:rPr>
        <w:t xml:space="preserve"> </w:t>
      </w:r>
      <w:r w:rsidR="00327709" w:rsidRPr="003569BE">
        <w:rPr>
          <w:rFonts w:cs="Times New Roman"/>
          <w:bCs/>
          <w:szCs w:val="24"/>
          <w:lang w:val="en-GB"/>
        </w:rPr>
        <w:t>consequently</w:t>
      </w:r>
      <w:r w:rsidR="009E4D1B" w:rsidRPr="003569BE">
        <w:rPr>
          <w:rFonts w:cs="Times New Roman"/>
          <w:bCs/>
          <w:szCs w:val="24"/>
          <w:lang w:val="en-GB"/>
        </w:rPr>
        <w:t>,</w:t>
      </w:r>
      <w:r w:rsidR="00327709" w:rsidRPr="003569BE">
        <w:rPr>
          <w:rFonts w:cs="Times New Roman"/>
          <w:bCs/>
          <w:szCs w:val="24"/>
          <w:lang w:val="en-GB"/>
        </w:rPr>
        <w:t xml:space="preserve"> </w:t>
      </w:r>
      <w:r w:rsidR="00705846" w:rsidRPr="003569BE">
        <w:rPr>
          <w:rFonts w:cs="Times New Roman"/>
          <w:bCs/>
          <w:szCs w:val="24"/>
          <w:lang w:val="en-GB"/>
        </w:rPr>
        <w:t xml:space="preserve">since no </w:t>
      </w:r>
      <w:r w:rsidR="00C01F48" w:rsidRPr="003569BE">
        <w:rPr>
          <w:rFonts w:cs="Times New Roman"/>
          <w:bCs/>
          <w:szCs w:val="24"/>
          <w:lang w:val="en-GB"/>
        </w:rPr>
        <w:t>qualitative information is used</w:t>
      </w:r>
      <w:r w:rsidR="00705846" w:rsidRPr="003569BE">
        <w:rPr>
          <w:rFonts w:cs="Times New Roman"/>
          <w:bCs/>
          <w:szCs w:val="24"/>
          <w:lang w:val="en-GB"/>
        </w:rPr>
        <w:t xml:space="preserve"> to confirm that the findings </w:t>
      </w:r>
      <w:r w:rsidR="000B4B9B" w:rsidRPr="003569BE">
        <w:rPr>
          <w:rFonts w:cs="Times New Roman"/>
          <w:bCs/>
          <w:szCs w:val="24"/>
          <w:lang w:val="en-GB"/>
        </w:rPr>
        <w:t>accurately reflect</w:t>
      </w:r>
      <w:r w:rsidR="00705846" w:rsidRPr="003569BE">
        <w:rPr>
          <w:rFonts w:cs="Times New Roman"/>
          <w:bCs/>
          <w:szCs w:val="24"/>
          <w:lang w:val="en-GB"/>
        </w:rPr>
        <w:t xml:space="preserve"> the reality,</w:t>
      </w:r>
      <w:r w:rsidR="002F63A6" w:rsidRPr="003569BE">
        <w:rPr>
          <w:rFonts w:cs="Times New Roman"/>
          <w:bCs/>
          <w:szCs w:val="24"/>
          <w:lang w:val="en-GB"/>
        </w:rPr>
        <w:t xml:space="preserve"> e.g. direct information from managers through interviews or surveys,</w:t>
      </w:r>
      <w:r w:rsidR="00705846" w:rsidRPr="003569BE">
        <w:rPr>
          <w:rFonts w:cs="Times New Roman"/>
          <w:bCs/>
          <w:szCs w:val="24"/>
          <w:lang w:val="en-GB"/>
        </w:rPr>
        <w:t xml:space="preserve"> </w:t>
      </w:r>
      <w:r w:rsidR="00831D13" w:rsidRPr="003569BE">
        <w:rPr>
          <w:rFonts w:cs="Times New Roman"/>
          <w:bCs/>
          <w:szCs w:val="24"/>
          <w:lang w:val="en-GB"/>
        </w:rPr>
        <w:t xml:space="preserve">the model could be </w:t>
      </w:r>
      <w:r w:rsidR="00327709" w:rsidRPr="003569BE">
        <w:rPr>
          <w:rFonts w:cs="Times New Roman"/>
          <w:bCs/>
          <w:szCs w:val="24"/>
          <w:lang w:val="en-GB"/>
        </w:rPr>
        <w:t>deficient</w:t>
      </w:r>
      <w:r w:rsidR="00831D13" w:rsidRPr="003569BE">
        <w:rPr>
          <w:rFonts w:cs="Times New Roman"/>
          <w:bCs/>
          <w:szCs w:val="24"/>
          <w:lang w:val="en-GB"/>
        </w:rPr>
        <w:t xml:space="preserve"> in proving causality</w:t>
      </w:r>
      <w:r w:rsidR="00522E03" w:rsidRPr="003569BE">
        <w:rPr>
          <w:rFonts w:cs="Times New Roman"/>
          <w:bCs/>
          <w:szCs w:val="24"/>
          <w:lang w:val="en-GB"/>
        </w:rPr>
        <w:t>.</w:t>
      </w:r>
    </w:p>
    <w:p w:rsidR="00AC2BD1" w:rsidRPr="003569BE" w:rsidRDefault="004E31E6" w:rsidP="00846EA1">
      <w:pPr>
        <w:spacing w:line="360" w:lineRule="auto"/>
        <w:rPr>
          <w:rFonts w:cs="Times New Roman"/>
          <w:szCs w:val="24"/>
          <w:lang w:val="en-GB"/>
        </w:rPr>
      </w:pPr>
      <w:r w:rsidRPr="003569BE">
        <w:rPr>
          <w:rFonts w:cs="Times New Roman"/>
          <w:szCs w:val="24"/>
          <w:lang w:val="en-GB"/>
        </w:rPr>
        <w:t>Other limitations could result fr</w:t>
      </w:r>
      <w:r w:rsidR="00DE2F26" w:rsidRPr="003569BE">
        <w:rPr>
          <w:rFonts w:cs="Times New Roman"/>
          <w:szCs w:val="24"/>
          <w:lang w:val="en-GB"/>
        </w:rPr>
        <w:t>om the specific characteristics</w:t>
      </w:r>
      <w:r w:rsidR="00450833" w:rsidRPr="003569BE">
        <w:rPr>
          <w:rFonts w:cs="Times New Roman"/>
          <w:szCs w:val="24"/>
          <w:lang w:val="en-GB"/>
        </w:rPr>
        <w:t xml:space="preserve"> </w:t>
      </w:r>
      <w:r w:rsidRPr="003569BE">
        <w:rPr>
          <w:rFonts w:cs="Times New Roman"/>
          <w:szCs w:val="24"/>
          <w:lang w:val="en-GB"/>
        </w:rPr>
        <w:t>of the country used in the testing</w:t>
      </w:r>
      <w:r w:rsidR="00450833" w:rsidRPr="003569BE">
        <w:rPr>
          <w:rFonts w:cs="Times New Roman"/>
          <w:szCs w:val="24"/>
          <w:lang w:val="en-GB"/>
        </w:rPr>
        <w:t xml:space="preserve">, e.g. culture, risk appetite, litigation etc., </w:t>
      </w:r>
      <w:r w:rsidRPr="003569BE">
        <w:rPr>
          <w:rFonts w:cs="Times New Roman"/>
          <w:szCs w:val="24"/>
          <w:lang w:val="en-GB"/>
        </w:rPr>
        <w:t xml:space="preserve">which </w:t>
      </w:r>
      <w:r w:rsidR="00696D20" w:rsidRPr="003569BE">
        <w:rPr>
          <w:rFonts w:cs="Times New Roman"/>
          <w:szCs w:val="24"/>
          <w:lang w:val="en-GB"/>
        </w:rPr>
        <w:t>can downgrade the possi</w:t>
      </w:r>
      <w:r w:rsidR="00B027D3" w:rsidRPr="003569BE">
        <w:rPr>
          <w:rFonts w:cs="Times New Roman"/>
          <w:szCs w:val="24"/>
          <w:lang w:val="en-GB"/>
        </w:rPr>
        <w:t>bility to generalize the results</w:t>
      </w:r>
      <w:r w:rsidR="00A56A1D" w:rsidRPr="003569BE">
        <w:rPr>
          <w:rFonts w:cs="Times New Roman"/>
          <w:szCs w:val="24"/>
          <w:lang w:val="en-GB"/>
        </w:rPr>
        <w:t xml:space="preserve"> to the entire population</w:t>
      </w:r>
      <w:r w:rsidRPr="003569BE">
        <w:rPr>
          <w:rFonts w:cs="Times New Roman"/>
          <w:szCs w:val="24"/>
          <w:lang w:val="en-GB"/>
        </w:rPr>
        <w:t xml:space="preserve">. </w:t>
      </w:r>
      <w:r w:rsidR="001922A1" w:rsidRPr="003569BE">
        <w:rPr>
          <w:rFonts w:cs="Times New Roman"/>
          <w:szCs w:val="24"/>
          <w:lang w:val="en-GB"/>
        </w:rPr>
        <w:t>In addition, c</w:t>
      </w:r>
      <w:r w:rsidR="005B2071" w:rsidRPr="003569BE">
        <w:rPr>
          <w:rFonts w:cs="Times New Roman"/>
          <w:szCs w:val="24"/>
          <w:lang w:val="en-GB"/>
        </w:rPr>
        <w:t>orrelated omitted variables could</w:t>
      </w:r>
      <w:r w:rsidR="009C5024" w:rsidRPr="003569BE">
        <w:rPr>
          <w:rFonts w:cs="Times New Roman"/>
          <w:szCs w:val="24"/>
          <w:lang w:val="en-GB"/>
        </w:rPr>
        <w:t xml:space="preserve"> </w:t>
      </w:r>
      <w:r w:rsidR="005B2071" w:rsidRPr="003569BE">
        <w:rPr>
          <w:rFonts w:cs="Times New Roman"/>
          <w:szCs w:val="24"/>
          <w:lang w:val="en-GB"/>
        </w:rPr>
        <w:t>exist that are not included in the model through control variables.</w:t>
      </w:r>
    </w:p>
    <w:p w:rsidR="001C0176" w:rsidRPr="003569BE" w:rsidRDefault="001C0176" w:rsidP="00846EA1">
      <w:pPr>
        <w:pStyle w:val="Heading2"/>
        <w:numPr>
          <w:ilvl w:val="1"/>
          <w:numId w:val="6"/>
        </w:numPr>
        <w:spacing w:line="360" w:lineRule="auto"/>
        <w:rPr>
          <w:rFonts w:cs="Times New Roman"/>
          <w:sz w:val="24"/>
          <w:szCs w:val="24"/>
          <w:lang w:val="en-GB"/>
        </w:rPr>
      </w:pPr>
      <w:bookmarkStart w:id="5" w:name="_Toc396633537"/>
      <w:r w:rsidRPr="003569BE">
        <w:rPr>
          <w:rFonts w:cs="Times New Roman"/>
          <w:sz w:val="24"/>
          <w:szCs w:val="24"/>
          <w:lang w:val="en-GB"/>
        </w:rPr>
        <w:t xml:space="preserve">Structure of the </w:t>
      </w:r>
      <w:r w:rsidR="002B55D0" w:rsidRPr="003569BE">
        <w:rPr>
          <w:rFonts w:cs="Times New Roman"/>
          <w:sz w:val="24"/>
          <w:szCs w:val="24"/>
          <w:lang w:val="en-GB"/>
        </w:rPr>
        <w:t>Thesis</w:t>
      </w:r>
      <w:bookmarkEnd w:id="5"/>
    </w:p>
    <w:p w:rsidR="00DE178B" w:rsidRPr="003569BE" w:rsidRDefault="00FB4291" w:rsidP="00846EA1">
      <w:pPr>
        <w:spacing w:line="360" w:lineRule="auto"/>
        <w:rPr>
          <w:rFonts w:cs="Times New Roman"/>
          <w:szCs w:val="24"/>
          <w:lang w:val="en-GB"/>
        </w:rPr>
      </w:pPr>
      <w:r w:rsidRPr="003569BE">
        <w:rPr>
          <w:rFonts w:cs="Times New Roman"/>
          <w:szCs w:val="24"/>
          <w:lang w:val="en-GB"/>
        </w:rPr>
        <w:t xml:space="preserve">The remainder of the thesis is structured as follows. </w:t>
      </w:r>
    </w:p>
    <w:p w:rsidR="00DE178B" w:rsidRPr="003569BE" w:rsidRDefault="00FB4291" w:rsidP="00846EA1">
      <w:pPr>
        <w:spacing w:line="360" w:lineRule="auto"/>
        <w:rPr>
          <w:rFonts w:cs="Times New Roman"/>
          <w:szCs w:val="24"/>
          <w:lang w:val="en-GB"/>
        </w:rPr>
      </w:pPr>
      <w:r w:rsidRPr="003569BE">
        <w:rPr>
          <w:rFonts w:cs="Times New Roman"/>
          <w:szCs w:val="24"/>
          <w:lang w:val="en-GB"/>
        </w:rPr>
        <w:t>Chapter two presents the answer on the first two sub-questions and accordingly presents the background of the MAFR</w:t>
      </w:r>
      <w:r w:rsidR="00DF1286" w:rsidRPr="003569BE">
        <w:rPr>
          <w:rFonts w:cs="Times New Roman"/>
          <w:szCs w:val="24"/>
          <w:lang w:val="en-GB"/>
        </w:rPr>
        <w:t xml:space="preserve"> and the use of earnings management.</w:t>
      </w:r>
      <w:r w:rsidR="004437F1" w:rsidRPr="003569BE">
        <w:rPr>
          <w:rFonts w:cs="Times New Roman"/>
          <w:szCs w:val="24"/>
          <w:lang w:val="en-GB"/>
        </w:rPr>
        <w:t xml:space="preserve"> </w:t>
      </w:r>
    </w:p>
    <w:p w:rsidR="00DE178B" w:rsidRPr="003569BE" w:rsidRDefault="004437F1" w:rsidP="00846EA1">
      <w:pPr>
        <w:spacing w:line="360" w:lineRule="auto"/>
        <w:rPr>
          <w:rFonts w:cs="Times New Roman"/>
          <w:szCs w:val="24"/>
          <w:lang w:val="en-GB"/>
        </w:rPr>
      </w:pPr>
      <w:r w:rsidRPr="003569BE">
        <w:rPr>
          <w:rFonts w:cs="Times New Roman"/>
          <w:szCs w:val="24"/>
          <w:lang w:val="en-GB"/>
        </w:rPr>
        <w:t xml:space="preserve">The third chapter </w:t>
      </w:r>
      <w:r w:rsidR="001004E5" w:rsidRPr="003569BE">
        <w:rPr>
          <w:rFonts w:cs="Times New Roman"/>
          <w:szCs w:val="24"/>
          <w:lang w:val="en-GB"/>
        </w:rPr>
        <w:t xml:space="preserve">presents </w:t>
      </w:r>
      <w:r w:rsidRPr="003569BE">
        <w:rPr>
          <w:rFonts w:cs="Times New Roman"/>
          <w:szCs w:val="24"/>
          <w:lang w:val="en-GB"/>
        </w:rPr>
        <w:t>the answer to the third sub-question and consequently presents the models used in prior literature to measure the use of earnings management.</w:t>
      </w:r>
      <w:r w:rsidR="00704FAB" w:rsidRPr="003569BE">
        <w:rPr>
          <w:rFonts w:cs="Times New Roman"/>
          <w:szCs w:val="24"/>
          <w:lang w:val="en-GB"/>
        </w:rPr>
        <w:t xml:space="preserve"> </w:t>
      </w:r>
    </w:p>
    <w:p w:rsidR="00DE178B" w:rsidRPr="003569BE" w:rsidRDefault="00704FAB" w:rsidP="00846EA1">
      <w:pPr>
        <w:spacing w:line="360" w:lineRule="auto"/>
        <w:rPr>
          <w:rFonts w:cs="Times New Roman"/>
          <w:szCs w:val="24"/>
          <w:lang w:val="en-GB"/>
        </w:rPr>
      </w:pPr>
      <w:r w:rsidRPr="003569BE">
        <w:rPr>
          <w:rFonts w:cs="Times New Roman"/>
          <w:szCs w:val="24"/>
          <w:lang w:val="en-GB"/>
        </w:rPr>
        <w:t>Chapter four answers the fourth sub-question</w:t>
      </w:r>
      <w:r w:rsidR="00C67814" w:rsidRPr="003569BE">
        <w:rPr>
          <w:rFonts w:cs="Times New Roman"/>
          <w:szCs w:val="24"/>
          <w:lang w:val="en-GB"/>
        </w:rPr>
        <w:t xml:space="preserve"> and describes the empirical findings </w:t>
      </w:r>
      <w:r w:rsidR="008D20EC" w:rsidRPr="003569BE">
        <w:rPr>
          <w:rFonts w:cs="Times New Roman"/>
          <w:szCs w:val="24"/>
          <w:lang w:val="en-GB"/>
        </w:rPr>
        <w:t>from previous research that</w:t>
      </w:r>
      <w:r w:rsidR="00C67814" w:rsidRPr="003569BE">
        <w:rPr>
          <w:rFonts w:cs="Times New Roman"/>
          <w:szCs w:val="24"/>
          <w:lang w:val="en-GB"/>
        </w:rPr>
        <w:t xml:space="preserve"> contribute to answer</w:t>
      </w:r>
      <w:r w:rsidR="00C86EA3" w:rsidRPr="003569BE">
        <w:rPr>
          <w:rFonts w:cs="Times New Roman"/>
          <w:szCs w:val="24"/>
          <w:lang w:val="en-GB"/>
        </w:rPr>
        <w:t>ing</w:t>
      </w:r>
      <w:r w:rsidR="00C67814" w:rsidRPr="003569BE">
        <w:rPr>
          <w:rFonts w:cs="Times New Roman"/>
          <w:szCs w:val="24"/>
          <w:lang w:val="en-GB"/>
        </w:rPr>
        <w:t xml:space="preserve"> the research question.</w:t>
      </w:r>
      <w:r w:rsidR="00351FDB" w:rsidRPr="003569BE">
        <w:rPr>
          <w:rFonts w:cs="Times New Roman"/>
          <w:szCs w:val="24"/>
          <w:lang w:val="en-GB"/>
        </w:rPr>
        <w:t xml:space="preserve"> </w:t>
      </w:r>
    </w:p>
    <w:p w:rsidR="00DE178B" w:rsidRPr="003569BE" w:rsidRDefault="00351FDB" w:rsidP="00846EA1">
      <w:pPr>
        <w:spacing w:line="360" w:lineRule="auto"/>
        <w:rPr>
          <w:rFonts w:cs="Times New Roman"/>
          <w:szCs w:val="24"/>
          <w:lang w:val="en-GB"/>
        </w:rPr>
      </w:pPr>
      <w:r w:rsidRPr="003569BE">
        <w:rPr>
          <w:rFonts w:cs="Times New Roman"/>
          <w:szCs w:val="24"/>
          <w:lang w:val="en-GB"/>
        </w:rPr>
        <w:t xml:space="preserve">Chapter five, in accordance </w:t>
      </w:r>
      <w:r w:rsidR="00497D62" w:rsidRPr="003569BE">
        <w:rPr>
          <w:rFonts w:cs="Times New Roman"/>
          <w:szCs w:val="24"/>
          <w:lang w:val="en-GB"/>
        </w:rPr>
        <w:t>with sub-question five</w:t>
      </w:r>
      <w:r w:rsidR="003228A5" w:rsidRPr="003569BE">
        <w:rPr>
          <w:rFonts w:cs="Times New Roman"/>
          <w:szCs w:val="24"/>
          <w:lang w:val="en-GB"/>
        </w:rPr>
        <w:t xml:space="preserve">, </w:t>
      </w:r>
      <w:r w:rsidR="00513D69" w:rsidRPr="003569BE">
        <w:rPr>
          <w:rFonts w:cs="Times New Roman"/>
          <w:szCs w:val="24"/>
          <w:lang w:val="en-GB"/>
        </w:rPr>
        <w:t>states the hypotheses.</w:t>
      </w:r>
      <w:r w:rsidR="00875BB0" w:rsidRPr="003569BE">
        <w:rPr>
          <w:rFonts w:cs="Times New Roman"/>
          <w:szCs w:val="24"/>
          <w:lang w:val="en-GB"/>
        </w:rPr>
        <w:t xml:space="preserve"> </w:t>
      </w:r>
    </w:p>
    <w:p w:rsidR="00DE178B" w:rsidRPr="003569BE" w:rsidRDefault="00875BB0" w:rsidP="00846EA1">
      <w:pPr>
        <w:spacing w:line="360" w:lineRule="auto"/>
        <w:rPr>
          <w:rFonts w:cs="Times New Roman"/>
          <w:szCs w:val="24"/>
          <w:lang w:val="en-GB"/>
        </w:rPr>
      </w:pPr>
      <w:r w:rsidRPr="003569BE">
        <w:rPr>
          <w:rFonts w:cs="Times New Roman"/>
          <w:szCs w:val="24"/>
          <w:lang w:val="en-GB"/>
        </w:rPr>
        <w:t>The sixth chapter provides the answer to sub-question six, by presenting the research design to be used for testing the hypotheses.</w:t>
      </w:r>
      <w:r w:rsidR="00BE2212" w:rsidRPr="003569BE">
        <w:rPr>
          <w:rFonts w:cs="Times New Roman"/>
          <w:szCs w:val="24"/>
          <w:lang w:val="en-GB"/>
        </w:rPr>
        <w:t xml:space="preserve"> </w:t>
      </w:r>
    </w:p>
    <w:p w:rsidR="00DE178B" w:rsidRPr="003569BE" w:rsidRDefault="00BE2212" w:rsidP="00846EA1">
      <w:pPr>
        <w:spacing w:line="360" w:lineRule="auto"/>
        <w:rPr>
          <w:rFonts w:cs="Times New Roman"/>
          <w:szCs w:val="24"/>
          <w:lang w:val="en-GB"/>
        </w:rPr>
      </w:pPr>
      <w:r w:rsidRPr="003569BE">
        <w:rPr>
          <w:rFonts w:cs="Times New Roman"/>
          <w:szCs w:val="24"/>
          <w:lang w:val="en-GB"/>
        </w:rPr>
        <w:t>Chapter seven answers the seventh sub-question and displays the results of the empirical research.</w:t>
      </w:r>
      <w:r w:rsidR="00CA191B" w:rsidRPr="003569BE">
        <w:rPr>
          <w:rFonts w:cs="Times New Roman"/>
          <w:szCs w:val="24"/>
          <w:lang w:val="en-GB"/>
        </w:rPr>
        <w:t xml:space="preserve"> </w:t>
      </w:r>
    </w:p>
    <w:p w:rsidR="00AC2BD1" w:rsidRPr="003569BE" w:rsidRDefault="00CA191B" w:rsidP="00846EA1">
      <w:pPr>
        <w:spacing w:line="360" w:lineRule="auto"/>
        <w:rPr>
          <w:rFonts w:cs="Times New Roman"/>
          <w:szCs w:val="24"/>
          <w:lang w:val="en-GB"/>
        </w:rPr>
      </w:pPr>
      <w:r w:rsidRPr="003569BE">
        <w:rPr>
          <w:rFonts w:cs="Times New Roman"/>
          <w:szCs w:val="24"/>
          <w:lang w:val="en-GB"/>
        </w:rPr>
        <w:t xml:space="preserve">Finally, the results of the empirical research will be analysed and conclusions will be derived in chapter eight, which answers </w:t>
      </w:r>
      <w:r w:rsidR="00E64DC9" w:rsidRPr="003569BE">
        <w:rPr>
          <w:rFonts w:cs="Times New Roman"/>
          <w:szCs w:val="24"/>
          <w:lang w:val="en-GB"/>
        </w:rPr>
        <w:t>s</w:t>
      </w:r>
      <w:r w:rsidRPr="003569BE">
        <w:rPr>
          <w:rFonts w:cs="Times New Roman"/>
          <w:szCs w:val="24"/>
          <w:lang w:val="en-GB"/>
        </w:rPr>
        <w:t>ub-question</w:t>
      </w:r>
      <w:r w:rsidR="005F4CD8" w:rsidRPr="003569BE">
        <w:rPr>
          <w:rFonts w:cs="Times New Roman"/>
          <w:szCs w:val="24"/>
          <w:lang w:val="en-GB"/>
        </w:rPr>
        <w:t xml:space="preserve"> eight</w:t>
      </w:r>
      <w:r w:rsidRPr="003569BE">
        <w:rPr>
          <w:rFonts w:cs="Times New Roman"/>
          <w:szCs w:val="24"/>
          <w:lang w:val="en-GB"/>
        </w:rPr>
        <w:t>.</w:t>
      </w:r>
    </w:p>
    <w:p w:rsidR="00B329DE" w:rsidRPr="003569BE" w:rsidRDefault="00B329DE" w:rsidP="00846EA1">
      <w:pPr>
        <w:pStyle w:val="Heading1"/>
        <w:numPr>
          <w:ilvl w:val="0"/>
          <w:numId w:val="6"/>
        </w:numPr>
        <w:spacing w:line="360" w:lineRule="auto"/>
        <w:rPr>
          <w:lang w:val="en-GB"/>
        </w:rPr>
      </w:pPr>
      <w:bookmarkStart w:id="6" w:name="_Toc396633538"/>
      <w:r w:rsidRPr="003569BE">
        <w:rPr>
          <w:lang w:val="en-GB"/>
        </w:rPr>
        <w:lastRenderedPageBreak/>
        <w:t>Background</w:t>
      </w:r>
      <w:bookmarkEnd w:id="6"/>
    </w:p>
    <w:p w:rsidR="00705846" w:rsidRPr="003569BE" w:rsidRDefault="007C443B" w:rsidP="00846EA1">
      <w:pPr>
        <w:spacing w:line="360" w:lineRule="auto"/>
        <w:rPr>
          <w:rFonts w:cs="Times New Roman"/>
          <w:szCs w:val="24"/>
          <w:lang w:val="en-GB"/>
        </w:rPr>
      </w:pPr>
      <w:r w:rsidRPr="003569BE">
        <w:rPr>
          <w:rFonts w:cs="Times New Roman"/>
          <w:szCs w:val="24"/>
          <w:lang w:val="en-GB"/>
        </w:rPr>
        <w:t xml:space="preserve">This chapter provides the answer to the first two sub-questions: </w:t>
      </w:r>
    </w:p>
    <w:p w:rsidR="000B2DA8" w:rsidRPr="003569BE" w:rsidRDefault="008A2B34" w:rsidP="00846EA1">
      <w:pPr>
        <w:spacing w:line="360" w:lineRule="auto"/>
        <w:rPr>
          <w:rFonts w:cs="Times New Roman"/>
          <w:szCs w:val="24"/>
          <w:lang w:val="en-GB"/>
        </w:rPr>
      </w:pPr>
      <w:r w:rsidRPr="003569BE">
        <w:rPr>
          <w:rFonts w:cs="Times New Roman"/>
          <w:szCs w:val="24"/>
          <w:lang w:val="en-GB"/>
        </w:rPr>
        <w:t>“</w:t>
      </w:r>
      <w:r w:rsidR="007C443B" w:rsidRPr="003569BE">
        <w:rPr>
          <w:rFonts w:cs="Times New Roman"/>
          <w:i/>
          <w:szCs w:val="24"/>
          <w:lang w:val="en-GB"/>
        </w:rPr>
        <w:t xml:space="preserve">What are the definition and the background of the mandatory audit firm rotation and earnings management? </w:t>
      </w:r>
      <w:r w:rsidR="007C443B" w:rsidRPr="003569BE">
        <w:rPr>
          <w:rFonts w:cs="Times New Roman"/>
          <w:szCs w:val="24"/>
          <w:lang w:val="en-GB"/>
        </w:rPr>
        <w:t xml:space="preserve">and </w:t>
      </w:r>
      <w:r w:rsidRPr="003569BE">
        <w:rPr>
          <w:rFonts w:cs="Times New Roman"/>
          <w:szCs w:val="24"/>
          <w:lang w:val="en-GB"/>
        </w:rPr>
        <w:t>“</w:t>
      </w:r>
      <w:r w:rsidR="007C443B" w:rsidRPr="003569BE">
        <w:rPr>
          <w:rFonts w:cs="Times New Roman"/>
          <w:i/>
          <w:szCs w:val="24"/>
          <w:lang w:val="en-GB"/>
        </w:rPr>
        <w:t xml:space="preserve">What are the positions of </w:t>
      </w:r>
      <w:r w:rsidR="006D2E0C" w:rsidRPr="003569BE">
        <w:rPr>
          <w:rFonts w:cs="Times New Roman"/>
          <w:i/>
          <w:szCs w:val="24"/>
          <w:lang w:val="en-GB"/>
        </w:rPr>
        <w:t xml:space="preserve">the </w:t>
      </w:r>
      <w:r w:rsidR="007C443B" w:rsidRPr="003569BE">
        <w:rPr>
          <w:rFonts w:cs="Times New Roman"/>
          <w:i/>
          <w:szCs w:val="24"/>
          <w:lang w:val="en-GB"/>
        </w:rPr>
        <w:t xml:space="preserve">regulators and </w:t>
      </w:r>
      <w:r w:rsidR="00DD62DA" w:rsidRPr="003569BE">
        <w:rPr>
          <w:rFonts w:cs="Times New Roman"/>
          <w:i/>
          <w:szCs w:val="24"/>
          <w:lang w:val="en-GB"/>
        </w:rPr>
        <w:t xml:space="preserve">the </w:t>
      </w:r>
      <w:r w:rsidR="007C443B" w:rsidRPr="003569BE">
        <w:rPr>
          <w:rFonts w:cs="Times New Roman"/>
          <w:i/>
          <w:szCs w:val="24"/>
          <w:lang w:val="en-GB"/>
        </w:rPr>
        <w:t>dependent bodies on these topics?</w:t>
      </w:r>
      <w:r w:rsidR="007C443B" w:rsidRPr="003569BE">
        <w:rPr>
          <w:rFonts w:cs="Times New Roman"/>
          <w:szCs w:val="24"/>
          <w:lang w:val="en-GB"/>
        </w:rPr>
        <w:t>”</w:t>
      </w:r>
    </w:p>
    <w:p w:rsidR="000B2DA8" w:rsidRPr="003569BE" w:rsidRDefault="00747434" w:rsidP="00846EA1">
      <w:pPr>
        <w:spacing w:line="360" w:lineRule="auto"/>
        <w:rPr>
          <w:rFonts w:cs="Times New Roman"/>
          <w:szCs w:val="24"/>
          <w:lang w:val="en-GB"/>
        </w:rPr>
      </w:pPr>
      <w:r w:rsidRPr="003569BE">
        <w:rPr>
          <w:rFonts w:cs="Times New Roman"/>
          <w:szCs w:val="24"/>
          <w:lang w:val="en-GB"/>
        </w:rPr>
        <w:t xml:space="preserve">In </w:t>
      </w:r>
      <w:r w:rsidR="004964C8" w:rsidRPr="003569BE">
        <w:rPr>
          <w:rFonts w:cs="Times New Roman"/>
          <w:szCs w:val="24"/>
          <w:lang w:val="en-GB"/>
        </w:rPr>
        <w:t xml:space="preserve">addition, this chapter </w:t>
      </w:r>
      <w:r w:rsidR="00DD62DA" w:rsidRPr="003569BE">
        <w:rPr>
          <w:rFonts w:cs="Times New Roman"/>
          <w:szCs w:val="24"/>
          <w:lang w:val="en-GB"/>
        </w:rPr>
        <w:t>underpin</w:t>
      </w:r>
      <w:r w:rsidR="002B55D0" w:rsidRPr="003569BE">
        <w:rPr>
          <w:rFonts w:cs="Times New Roman"/>
          <w:szCs w:val="24"/>
          <w:lang w:val="en-GB"/>
        </w:rPr>
        <w:t>s</w:t>
      </w:r>
      <w:r w:rsidR="00DD62DA" w:rsidRPr="003569BE">
        <w:rPr>
          <w:rFonts w:cs="Times New Roman"/>
          <w:szCs w:val="24"/>
          <w:lang w:val="en-GB"/>
        </w:rPr>
        <w:t xml:space="preserve"> </w:t>
      </w:r>
      <w:r w:rsidR="004964C8" w:rsidRPr="003569BE">
        <w:rPr>
          <w:rFonts w:cs="Times New Roman"/>
          <w:szCs w:val="24"/>
          <w:lang w:val="en-GB"/>
        </w:rPr>
        <w:t xml:space="preserve">the understanding of these two concepts, i.e. MAFR and </w:t>
      </w:r>
      <w:r w:rsidR="00D46C89" w:rsidRPr="003569BE">
        <w:rPr>
          <w:rFonts w:cs="Times New Roman"/>
          <w:szCs w:val="24"/>
          <w:lang w:val="en-GB"/>
        </w:rPr>
        <w:t xml:space="preserve">the use of </w:t>
      </w:r>
      <w:r w:rsidR="004964C8" w:rsidRPr="003569BE">
        <w:rPr>
          <w:rFonts w:cs="Times New Roman"/>
          <w:szCs w:val="24"/>
          <w:lang w:val="en-GB"/>
        </w:rPr>
        <w:t xml:space="preserve">earnings management, </w:t>
      </w:r>
      <w:r w:rsidR="003061AF" w:rsidRPr="003569BE">
        <w:rPr>
          <w:rFonts w:cs="Times New Roman"/>
          <w:szCs w:val="24"/>
          <w:lang w:val="en-GB"/>
        </w:rPr>
        <w:t xml:space="preserve">by </w:t>
      </w:r>
      <w:r w:rsidR="00401668" w:rsidRPr="003569BE">
        <w:rPr>
          <w:rFonts w:cs="Times New Roman"/>
          <w:szCs w:val="24"/>
          <w:lang w:val="en-GB"/>
        </w:rPr>
        <w:t>presenting three accounting theories that have an impact on the subject of this thesis:</w:t>
      </w:r>
      <w:r w:rsidR="00196E25" w:rsidRPr="003569BE">
        <w:rPr>
          <w:rFonts w:cs="Times New Roman"/>
          <w:szCs w:val="24"/>
          <w:lang w:val="en-GB"/>
        </w:rPr>
        <w:t xml:space="preserve"> </w:t>
      </w:r>
      <w:r w:rsidR="00DD62DA" w:rsidRPr="003569BE">
        <w:rPr>
          <w:rFonts w:cs="Times New Roman"/>
          <w:szCs w:val="24"/>
          <w:lang w:val="en-GB"/>
        </w:rPr>
        <w:t xml:space="preserve">the </w:t>
      </w:r>
      <w:r w:rsidR="00196E25" w:rsidRPr="003569BE">
        <w:rPr>
          <w:rFonts w:cs="Times New Roman"/>
          <w:szCs w:val="24"/>
          <w:lang w:val="en-GB"/>
        </w:rPr>
        <w:t xml:space="preserve">agency theory, </w:t>
      </w:r>
      <w:r w:rsidR="00DD62DA" w:rsidRPr="003569BE">
        <w:rPr>
          <w:rFonts w:cs="Times New Roman"/>
          <w:szCs w:val="24"/>
          <w:lang w:val="en-GB"/>
        </w:rPr>
        <w:t xml:space="preserve">the </w:t>
      </w:r>
      <w:r w:rsidR="00196E25" w:rsidRPr="003569BE">
        <w:rPr>
          <w:rFonts w:cs="Times New Roman"/>
          <w:szCs w:val="24"/>
          <w:lang w:val="en-GB"/>
        </w:rPr>
        <w:t xml:space="preserve">positive accounting theory and </w:t>
      </w:r>
      <w:r w:rsidR="00DD62DA" w:rsidRPr="003569BE">
        <w:rPr>
          <w:rFonts w:cs="Times New Roman"/>
          <w:szCs w:val="24"/>
          <w:lang w:val="en-GB"/>
        </w:rPr>
        <w:t xml:space="preserve">the </w:t>
      </w:r>
      <w:r w:rsidR="00196E25" w:rsidRPr="003569BE">
        <w:rPr>
          <w:rFonts w:cs="Times New Roman"/>
          <w:szCs w:val="24"/>
          <w:lang w:val="en-GB"/>
        </w:rPr>
        <w:t>legitimacy theory.</w:t>
      </w:r>
      <w:r w:rsidR="003061AF" w:rsidRPr="003569BE">
        <w:rPr>
          <w:rFonts w:cs="Times New Roman"/>
          <w:szCs w:val="24"/>
          <w:lang w:val="en-GB"/>
        </w:rPr>
        <w:t xml:space="preserve"> </w:t>
      </w:r>
    </w:p>
    <w:p w:rsidR="00367EEA" w:rsidRPr="003569BE" w:rsidRDefault="00367EEA" w:rsidP="00846EA1">
      <w:pPr>
        <w:pStyle w:val="Heading2"/>
        <w:numPr>
          <w:ilvl w:val="1"/>
          <w:numId w:val="6"/>
        </w:numPr>
        <w:spacing w:line="360" w:lineRule="auto"/>
        <w:rPr>
          <w:lang w:val="en-GB"/>
        </w:rPr>
      </w:pPr>
      <w:bookmarkStart w:id="7" w:name="_Toc396633539"/>
      <w:r w:rsidRPr="003569BE">
        <w:rPr>
          <w:lang w:val="en-GB"/>
        </w:rPr>
        <w:t>Mandatory Audit Firm Rotation</w:t>
      </w:r>
      <w:bookmarkEnd w:id="7"/>
    </w:p>
    <w:p w:rsidR="00E775B6" w:rsidRPr="003569BE" w:rsidRDefault="00DD62DA" w:rsidP="00E775B6">
      <w:pPr>
        <w:spacing w:line="360" w:lineRule="auto"/>
        <w:rPr>
          <w:rFonts w:cs="Times New Roman"/>
          <w:szCs w:val="24"/>
          <w:lang w:val="en-GB"/>
        </w:rPr>
      </w:pPr>
      <w:r w:rsidRPr="003569BE">
        <w:rPr>
          <w:rFonts w:cs="Times New Roman"/>
          <w:szCs w:val="24"/>
          <w:lang w:val="en-GB"/>
        </w:rPr>
        <w:t>By analysing the circumstances of MAFR within the United States and in Europe i</w:t>
      </w:r>
      <w:r w:rsidR="00E775B6" w:rsidRPr="003569BE">
        <w:rPr>
          <w:rFonts w:cs="Times New Roman"/>
          <w:szCs w:val="24"/>
          <w:lang w:val="en-GB"/>
        </w:rPr>
        <w:t xml:space="preserve">n this section the evolution of </w:t>
      </w:r>
      <w:r w:rsidRPr="003569BE">
        <w:rPr>
          <w:rFonts w:cs="Times New Roman"/>
          <w:szCs w:val="24"/>
          <w:lang w:val="en-GB"/>
        </w:rPr>
        <w:t xml:space="preserve">the </w:t>
      </w:r>
      <w:r w:rsidR="00E775B6" w:rsidRPr="003569BE">
        <w:rPr>
          <w:rFonts w:cs="Times New Roman"/>
          <w:szCs w:val="24"/>
          <w:lang w:val="en-GB"/>
        </w:rPr>
        <w:t xml:space="preserve">regulation and the positions of the interested bodies about </w:t>
      </w:r>
      <w:r w:rsidRPr="003569BE">
        <w:rPr>
          <w:rFonts w:cs="Times New Roman"/>
          <w:szCs w:val="24"/>
          <w:lang w:val="en-GB"/>
        </w:rPr>
        <w:t xml:space="preserve">the </w:t>
      </w:r>
      <w:r w:rsidR="00E775B6" w:rsidRPr="003569BE">
        <w:rPr>
          <w:rFonts w:cs="Times New Roman"/>
          <w:szCs w:val="24"/>
          <w:lang w:val="en-GB"/>
        </w:rPr>
        <w:t xml:space="preserve">mandatory audit firm rotation </w:t>
      </w:r>
      <w:r w:rsidR="006D2E0C" w:rsidRPr="003569BE">
        <w:rPr>
          <w:rFonts w:cs="Times New Roman"/>
          <w:szCs w:val="24"/>
          <w:lang w:val="en-GB"/>
        </w:rPr>
        <w:t>are</w:t>
      </w:r>
      <w:r w:rsidR="00E775B6" w:rsidRPr="003569BE">
        <w:rPr>
          <w:rFonts w:cs="Times New Roman"/>
          <w:szCs w:val="24"/>
          <w:lang w:val="en-GB"/>
        </w:rPr>
        <w:t xml:space="preserve"> presented, </w:t>
      </w:r>
      <w:r w:rsidR="00251499" w:rsidRPr="003569BE">
        <w:rPr>
          <w:rFonts w:cs="Times New Roman"/>
          <w:szCs w:val="24"/>
          <w:lang w:val="en-GB"/>
        </w:rPr>
        <w:t>and finally, the focus will be drawn on the Netherlands.</w:t>
      </w:r>
    </w:p>
    <w:p w:rsidR="007C6B9A" w:rsidRPr="003569BE" w:rsidRDefault="00DD62DA" w:rsidP="00846EA1">
      <w:pPr>
        <w:pStyle w:val="Heading2"/>
        <w:numPr>
          <w:ilvl w:val="2"/>
          <w:numId w:val="6"/>
        </w:numPr>
        <w:spacing w:line="360" w:lineRule="auto"/>
        <w:rPr>
          <w:lang w:val="en-GB"/>
        </w:rPr>
      </w:pPr>
      <w:bookmarkStart w:id="8" w:name="_Toc396633540"/>
      <w:r w:rsidRPr="003569BE">
        <w:rPr>
          <w:lang w:val="en-GB"/>
        </w:rPr>
        <w:t xml:space="preserve">What is </w:t>
      </w:r>
      <w:r w:rsidR="002B55D0" w:rsidRPr="003569BE">
        <w:rPr>
          <w:lang w:val="en-GB"/>
        </w:rPr>
        <w:t xml:space="preserve">the </w:t>
      </w:r>
      <w:r w:rsidRPr="003569BE">
        <w:rPr>
          <w:lang w:val="en-GB"/>
        </w:rPr>
        <w:t xml:space="preserve">theoretical content of </w:t>
      </w:r>
      <w:r w:rsidRPr="003569BE">
        <w:rPr>
          <w:rFonts w:cs="Times New Roman"/>
          <w:sz w:val="24"/>
          <w:szCs w:val="24"/>
          <w:lang w:val="en-GB"/>
        </w:rPr>
        <w:t>mandatory audit firm rotation</w:t>
      </w:r>
      <w:r w:rsidR="007C6B9A" w:rsidRPr="003569BE">
        <w:rPr>
          <w:lang w:val="en-GB"/>
        </w:rPr>
        <w:t>?</w:t>
      </w:r>
      <w:bookmarkEnd w:id="8"/>
    </w:p>
    <w:p w:rsidR="00D11253" w:rsidRPr="003569BE" w:rsidRDefault="005B526D" w:rsidP="005B526D">
      <w:pPr>
        <w:spacing w:line="360" w:lineRule="auto"/>
        <w:rPr>
          <w:rFonts w:cs="Times New Roman"/>
          <w:szCs w:val="24"/>
          <w:lang w:val="en-GB"/>
        </w:rPr>
      </w:pPr>
      <w:r w:rsidRPr="003569BE">
        <w:rPr>
          <w:rFonts w:cs="Times New Roman"/>
          <w:szCs w:val="24"/>
          <w:lang w:val="en-GB"/>
        </w:rPr>
        <w:t xml:space="preserve">A mandatory audit firm rotation (MAFR) </w:t>
      </w:r>
      <w:r w:rsidR="00DE733B" w:rsidRPr="003569BE">
        <w:rPr>
          <w:rFonts w:cs="Times New Roman"/>
          <w:szCs w:val="24"/>
          <w:lang w:val="en-GB"/>
        </w:rPr>
        <w:t xml:space="preserve">setting </w:t>
      </w:r>
      <w:r w:rsidR="00B30BC7" w:rsidRPr="003569BE">
        <w:rPr>
          <w:rFonts w:cs="Times New Roman"/>
          <w:szCs w:val="24"/>
          <w:lang w:val="en-GB"/>
        </w:rPr>
        <w:t>posits a requirement for</w:t>
      </w:r>
      <w:r w:rsidRPr="003569BE">
        <w:rPr>
          <w:rFonts w:cs="Times New Roman"/>
          <w:szCs w:val="24"/>
          <w:lang w:val="en-GB"/>
        </w:rPr>
        <w:t xml:space="preserve"> companies to rotate their auditor</w:t>
      </w:r>
      <w:r w:rsidR="00593350" w:rsidRPr="003569BE">
        <w:rPr>
          <w:rFonts w:cs="Times New Roman"/>
          <w:szCs w:val="24"/>
          <w:lang w:val="en-GB"/>
        </w:rPr>
        <w:t xml:space="preserve"> after a certain period of time</w:t>
      </w:r>
      <w:r w:rsidRPr="003569BE">
        <w:rPr>
          <w:rFonts w:cs="Times New Roman"/>
          <w:szCs w:val="24"/>
          <w:lang w:val="en-GB"/>
        </w:rPr>
        <w:t>.</w:t>
      </w:r>
      <w:r w:rsidR="00457864" w:rsidRPr="003569BE">
        <w:rPr>
          <w:rFonts w:cs="Times New Roman"/>
          <w:szCs w:val="24"/>
          <w:lang w:val="en-GB"/>
        </w:rPr>
        <w:t xml:space="preserve"> </w:t>
      </w:r>
      <w:r w:rsidR="00D662DF" w:rsidRPr="003569BE">
        <w:rPr>
          <w:rFonts w:cs="Times New Roman"/>
          <w:szCs w:val="24"/>
          <w:lang w:val="en-GB"/>
        </w:rPr>
        <w:t xml:space="preserve">MAFR is not a standard rule and </w:t>
      </w:r>
      <w:r w:rsidR="00DD62DA" w:rsidRPr="003569BE">
        <w:rPr>
          <w:rFonts w:cs="Times New Roman"/>
          <w:szCs w:val="24"/>
          <w:lang w:val="en-GB"/>
        </w:rPr>
        <w:t xml:space="preserve">consequently </w:t>
      </w:r>
      <w:r w:rsidR="00D662DF" w:rsidRPr="003569BE">
        <w:rPr>
          <w:rFonts w:cs="Times New Roman"/>
          <w:szCs w:val="24"/>
          <w:lang w:val="en-GB"/>
        </w:rPr>
        <w:t>the allowed auditor-retaining period, as well as the cooling-off period, can vary.</w:t>
      </w:r>
      <w:r w:rsidRPr="003569BE">
        <w:rPr>
          <w:rFonts w:cs="Times New Roman"/>
          <w:szCs w:val="24"/>
          <w:lang w:val="en-GB"/>
        </w:rPr>
        <w:t xml:space="preserve"> </w:t>
      </w:r>
      <w:r w:rsidR="00A73D85" w:rsidRPr="003569BE">
        <w:rPr>
          <w:rFonts w:cs="Times New Roman"/>
          <w:szCs w:val="24"/>
          <w:lang w:val="en-GB"/>
        </w:rPr>
        <w:t>For example, as it was signalled before in the first chapter of this thesis, Italy has a mandatory audit firm rotation rule that involves a retaining period of maximum nine years, while in the Netherlands will be implemented a MAFR rule for a period of eight years, which could change to ten years.</w:t>
      </w:r>
    </w:p>
    <w:p w:rsidR="001B4EE5" w:rsidRPr="003569BE" w:rsidRDefault="001B4EE5" w:rsidP="001B4EE5">
      <w:pPr>
        <w:pStyle w:val="Heading2"/>
        <w:numPr>
          <w:ilvl w:val="2"/>
          <w:numId w:val="6"/>
        </w:numPr>
        <w:spacing w:line="360" w:lineRule="auto"/>
        <w:rPr>
          <w:lang w:val="en-GB"/>
        </w:rPr>
      </w:pPr>
      <w:bookmarkStart w:id="9" w:name="_Toc396633541"/>
      <w:r w:rsidRPr="003569BE">
        <w:rPr>
          <w:lang w:val="en-GB"/>
        </w:rPr>
        <w:t>Evolution of Mandatory Audit Firm Rotation</w:t>
      </w:r>
      <w:bookmarkEnd w:id="9"/>
    </w:p>
    <w:p w:rsidR="00662F1D" w:rsidRPr="003569BE" w:rsidRDefault="002A043E" w:rsidP="00BB5CD9">
      <w:pPr>
        <w:spacing w:line="360" w:lineRule="auto"/>
        <w:rPr>
          <w:rFonts w:cs="Times New Roman"/>
          <w:szCs w:val="24"/>
          <w:lang w:val="en-GB"/>
        </w:rPr>
      </w:pPr>
      <w:r w:rsidRPr="003569BE">
        <w:rPr>
          <w:rFonts w:cs="Times New Roman"/>
          <w:szCs w:val="24"/>
          <w:lang w:val="en-GB"/>
        </w:rPr>
        <w:t>In an auditor-client relationship, an agency issue</w:t>
      </w:r>
      <w:r w:rsidR="0035656B" w:rsidRPr="003569BE">
        <w:rPr>
          <w:rFonts w:cs="Times New Roman"/>
          <w:szCs w:val="24"/>
          <w:lang w:val="en-GB"/>
        </w:rPr>
        <w:t xml:space="preserve"> arises</w:t>
      </w:r>
      <w:r w:rsidRPr="003569BE">
        <w:rPr>
          <w:rFonts w:cs="Times New Roman"/>
          <w:szCs w:val="24"/>
          <w:lang w:val="en-GB"/>
        </w:rPr>
        <w:t xml:space="preserve"> since </w:t>
      </w:r>
      <w:r w:rsidR="0035656B" w:rsidRPr="003569BE">
        <w:rPr>
          <w:rFonts w:cs="Times New Roman"/>
          <w:szCs w:val="24"/>
          <w:lang w:val="en-GB"/>
        </w:rPr>
        <w:t>auditors,</w:t>
      </w:r>
      <w:r w:rsidRPr="003569BE">
        <w:rPr>
          <w:rFonts w:cs="Times New Roman"/>
          <w:szCs w:val="24"/>
          <w:lang w:val="en-GB"/>
        </w:rPr>
        <w:t xml:space="preserve"> i.e. agents, are being paid by the client’s management, i.e. principals. </w:t>
      </w:r>
      <w:r w:rsidR="00D46C89" w:rsidRPr="003569BE">
        <w:rPr>
          <w:rFonts w:cs="Times New Roman"/>
          <w:szCs w:val="24"/>
          <w:lang w:val="en-GB"/>
        </w:rPr>
        <w:t>The a</w:t>
      </w:r>
      <w:r w:rsidR="006320F4" w:rsidRPr="003569BE">
        <w:rPr>
          <w:rFonts w:cs="Times New Roman"/>
          <w:szCs w:val="24"/>
          <w:lang w:val="en-GB"/>
        </w:rPr>
        <w:t xml:space="preserve">gency theory is further </w:t>
      </w:r>
      <w:r w:rsidR="00E90590" w:rsidRPr="003569BE">
        <w:rPr>
          <w:rFonts w:cs="Times New Roman"/>
          <w:szCs w:val="24"/>
          <w:lang w:val="en-GB"/>
        </w:rPr>
        <w:t>explained in section 2.3</w:t>
      </w:r>
      <w:r w:rsidR="006320F4" w:rsidRPr="003569BE">
        <w:rPr>
          <w:rFonts w:cs="Times New Roman"/>
          <w:szCs w:val="24"/>
          <w:lang w:val="en-GB"/>
        </w:rPr>
        <w:t xml:space="preserve"> of this thesis.</w:t>
      </w:r>
      <w:r w:rsidR="003C3A84" w:rsidRPr="003569BE">
        <w:rPr>
          <w:rFonts w:cs="Times New Roman"/>
          <w:szCs w:val="24"/>
          <w:lang w:val="en-GB"/>
        </w:rPr>
        <w:t xml:space="preserve"> This </w:t>
      </w:r>
      <w:r w:rsidR="00CA7482" w:rsidRPr="003569BE">
        <w:rPr>
          <w:rFonts w:cs="Times New Roman"/>
          <w:szCs w:val="24"/>
          <w:lang w:val="en-GB"/>
        </w:rPr>
        <w:t>situation</w:t>
      </w:r>
      <w:r w:rsidR="00710B63" w:rsidRPr="003569BE">
        <w:rPr>
          <w:rFonts w:cs="Times New Roman"/>
          <w:szCs w:val="24"/>
          <w:lang w:val="en-GB"/>
        </w:rPr>
        <w:t xml:space="preserve"> potentially</w:t>
      </w:r>
      <w:r w:rsidR="003C3A84" w:rsidRPr="003569BE">
        <w:rPr>
          <w:rFonts w:cs="Times New Roman"/>
          <w:szCs w:val="24"/>
          <w:lang w:val="en-GB"/>
        </w:rPr>
        <w:t xml:space="preserve"> </w:t>
      </w:r>
      <w:r w:rsidR="00CA7482" w:rsidRPr="003569BE">
        <w:rPr>
          <w:rFonts w:cs="Times New Roman"/>
          <w:szCs w:val="24"/>
          <w:lang w:val="en-GB"/>
        </w:rPr>
        <w:t xml:space="preserve">results in a </w:t>
      </w:r>
      <w:r w:rsidR="003C3A84" w:rsidRPr="003569BE">
        <w:rPr>
          <w:rFonts w:cs="Times New Roman"/>
          <w:szCs w:val="24"/>
          <w:lang w:val="en-GB"/>
        </w:rPr>
        <w:t>conflict of interests</w:t>
      </w:r>
      <w:r w:rsidR="001837BA" w:rsidRPr="003569BE">
        <w:rPr>
          <w:rFonts w:cs="Times New Roman"/>
          <w:szCs w:val="24"/>
          <w:lang w:val="en-GB"/>
        </w:rPr>
        <w:t xml:space="preserve"> for auditors, threatening auditors’ independence and the audit quality.</w:t>
      </w:r>
      <w:r w:rsidR="00662F1D" w:rsidRPr="003569BE">
        <w:rPr>
          <w:rFonts w:cs="Times New Roman"/>
          <w:szCs w:val="24"/>
          <w:lang w:val="en-GB"/>
        </w:rPr>
        <w:t xml:space="preserve"> In order to address this issue, efforts have been </w:t>
      </w:r>
      <w:r w:rsidR="00D46C89" w:rsidRPr="003569BE">
        <w:rPr>
          <w:rFonts w:cs="Times New Roman"/>
          <w:szCs w:val="24"/>
          <w:lang w:val="en-GB"/>
        </w:rPr>
        <w:t>perform</w:t>
      </w:r>
      <w:r w:rsidR="00460CAD" w:rsidRPr="003569BE">
        <w:rPr>
          <w:rFonts w:cs="Times New Roman"/>
          <w:szCs w:val="24"/>
          <w:lang w:val="en-GB"/>
        </w:rPr>
        <w:t>ed</w:t>
      </w:r>
      <w:r w:rsidR="00D46C89" w:rsidRPr="003569BE">
        <w:rPr>
          <w:rFonts w:cs="Times New Roman"/>
          <w:szCs w:val="24"/>
          <w:lang w:val="en-GB"/>
        </w:rPr>
        <w:t xml:space="preserve"> </w:t>
      </w:r>
      <w:r w:rsidR="00662F1D" w:rsidRPr="003569BE">
        <w:rPr>
          <w:rFonts w:cs="Times New Roman"/>
          <w:szCs w:val="24"/>
          <w:lang w:val="en-GB"/>
        </w:rPr>
        <w:t xml:space="preserve">to increase independence of auditors, </w:t>
      </w:r>
      <w:r w:rsidR="00D46C89" w:rsidRPr="003569BE">
        <w:rPr>
          <w:rFonts w:cs="Times New Roman"/>
          <w:szCs w:val="24"/>
          <w:lang w:val="en-GB"/>
        </w:rPr>
        <w:t xml:space="preserve">improving the </w:t>
      </w:r>
      <w:r w:rsidR="00662F1D" w:rsidRPr="003569BE">
        <w:rPr>
          <w:rFonts w:cs="Times New Roman"/>
          <w:szCs w:val="24"/>
          <w:lang w:val="en-GB"/>
        </w:rPr>
        <w:t>audit quality and alleviate the influence management has on the auditors.</w:t>
      </w:r>
    </w:p>
    <w:p w:rsidR="00EB28BD" w:rsidRPr="003569BE" w:rsidRDefault="00180218" w:rsidP="00BB5CD9">
      <w:pPr>
        <w:spacing w:line="360" w:lineRule="auto"/>
        <w:rPr>
          <w:rFonts w:cs="Times New Roman"/>
          <w:szCs w:val="24"/>
          <w:lang w:val="en-GB"/>
        </w:rPr>
      </w:pPr>
      <w:r w:rsidRPr="003569BE">
        <w:rPr>
          <w:rFonts w:cs="Times New Roman"/>
          <w:szCs w:val="24"/>
          <w:lang w:val="en-GB"/>
        </w:rPr>
        <w:lastRenderedPageBreak/>
        <w:t xml:space="preserve">Lately, a worldwide debate </w:t>
      </w:r>
      <w:r w:rsidR="00D46C89" w:rsidRPr="003569BE">
        <w:rPr>
          <w:rFonts w:cs="Times New Roman"/>
          <w:szCs w:val="24"/>
          <w:lang w:val="en-GB"/>
        </w:rPr>
        <w:t xml:space="preserve">exists </w:t>
      </w:r>
      <w:r w:rsidRPr="003569BE">
        <w:rPr>
          <w:rFonts w:cs="Times New Roman"/>
          <w:szCs w:val="24"/>
          <w:lang w:val="en-GB"/>
        </w:rPr>
        <w:t xml:space="preserve">about the </w:t>
      </w:r>
      <w:r w:rsidR="007A1A8E" w:rsidRPr="003569BE">
        <w:rPr>
          <w:rFonts w:cs="Times New Roman"/>
          <w:szCs w:val="24"/>
          <w:lang w:val="en-GB"/>
        </w:rPr>
        <w:t xml:space="preserve">MAFR rule, </w:t>
      </w:r>
      <w:r w:rsidR="00AE5CCA" w:rsidRPr="003569BE">
        <w:rPr>
          <w:rFonts w:cs="Times New Roman"/>
          <w:szCs w:val="24"/>
          <w:lang w:val="en-GB"/>
        </w:rPr>
        <w:t xml:space="preserve">concerning </w:t>
      </w:r>
      <w:r w:rsidR="007A1A8E" w:rsidRPr="003569BE">
        <w:rPr>
          <w:rFonts w:cs="Times New Roman"/>
          <w:szCs w:val="24"/>
          <w:lang w:val="en-GB"/>
        </w:rPr>
        <w:t xml:space="preserve">whether it is an advisable and </w:t>
      </w:r>
      <w:r w:rsidRPr="003569BE">
        <w:rPr>
          <w:rFonts w:cs="Times New Roman"/>
          <w:szCs w:val="24"/>
          <w:lang w:val="en-GB"/>
        </w:rPr>
        <w:t>effective</w:t>
      </w:r>
      <w:r w:rsidR="007A1A8E" w:rsidRPr="003569BE">
        <w:rPr>
          <w:rFonts w:cs="Times New Roman"/>
          <w:szCs w:val="24"/>
          <w:lang w:val="en-GB"/>
        </w:rPr>
        <w:t xml:space="preserve"> measure</w:t>
      </w:r>
      <w:r w:rsidRPr="003569BE">
        <w:rPr>
          <w:rFonts w:cs="Times New Roman"/>
          <w:szCs w:val="24"/>
          <w:lang w:val="en-GB"/>
        </w:rPr>
        <w:t xml:space="preserve">, especially after </w:t>
      </w:r>
      <w:r w:rsidR="00D46C89" w:rsidRPr="003569BE">
        <w:rPr>
          <w:rFonts w:cs="Times New Roman"/>
          <w:szCs w:val="24"/>
          <w:lang w:val="en-GB"/>
        </w:rPr>
        <w:t xml:space="preserve">the </w:t>
      </w:r>
      <w:r w:rsidRPr="003569BE">
        <w:rPr>
          <w:rFonts w:cs="Times New Roman"/>
          <w:szCs w:val="24"/>
          <w:lang w:val="en-GB"/>
        </w:rPr>
        <w:t>financial reporting scandals like Enron in 2001</w:t>
      </w:r>
      <w:r w:rsidR="00A24048" w:rsidRPr="003569BE">
        <w:rPr>
          <w:rFonts w:cs="Times New Roman"/>
          <w:szCs w:val="24"/>
          <w:lang w:val="en-GB"/>
        </w:rPr>
        <w:t xml:space="preserve">, </w:t>
      </w:r>
      <w:r w:rsidR="00EB28BD" w:rsidRPr="003569BE">
        <w:rPr>
          <w:rFonts w:cs="Times New Roman"/>
          <w:szCs w:val="24"/>
          <w:lang w:val="en-GB"/>
        </w:rPr>
        <w:t xml:space="preserve">or </w:t>
      </w:r>
      <w:r w:rsidR="00A24048" w:rsidRPr="003569BE">
        <w:rPr>
          <w:rFonts w:cs="Times New Roman"/>
          <w:szCs w:val="24"/>
          <w:lang w:val="en-GB"/>
        </w:rPr>
        <w:t xml:space="preserve">WorldCom in </w:t>
      </w:r>
      <w:r w:rsidR="00EB28BD" w:rsidRPr="003569BE">
        <w:rPr>
          <w:rFonts w:cs="Times New Roman"/>
          <w:szCs w:val="24"/>
          <w:lang w:val="en-GB"/>
        </w:rPr>
        <w:t>2002.</w:t>
      </w:r>
      <w:r w:rsidRPr="003569BE">
        <w:rPr>
          <w:rFonts w:cs="Times New Roman"/>
          <w:szCs w:val="24"/>
          <w:lang w:val="en-GB"/>
        </w:rPr>
        <w:t xml:space="preserve"> </w:t>
      </w:r>
      <w:r w:rsidR="00EB28BD" w:rsidRPr="003569BE">
        <w:rPr>
          <w:rFonts w:cs="Times New Roman"/>
          <w:szCs w:val="24"/>
          <w:lang w:val="en-GB"/>
        </w:rPr>
        <w:t xml:space="preserve">One consequence of these scandals </w:t>
      </w:r>
      <w:r w:rsidR="00D46C89" w:rsidRPr="003569BE">
        <w:rPr>
          <w:rFonts w:cs="Times New Roman"/>
          <w:szCs w:val="24"/>
          <w:lang w:val="en-GB"/>
        </w:rPr>
        <w:t xml:space="preserve">in the United Stated of America </w:t>
      </w:r>
      <w:r w:rsidR="004A4B28" w:rsidRPr="003569BE">
        <w:rPr>
          <w:rFonts w:cs="Times New Roman"/>
          <w:szCs w:val="24"/>
          <w:lang w:val="en-GB"/>
        </w:rPr>
        <w:t xml:space="preserve">(US) </w:t>
      </w:r>
      <w:r w:rsidR="00D46C89" w:rsidRPr="003569BE">
        <w:rPr>
          <w:rFonts w:cs="Times New Roman"/>
          <w:szCs w:val="24"/>
          <w:lang w:val="en-GB"/>
        </w:rPr>
        <w:t xml:space="preserve">in 2002 </w:t>
      </w:r>
      <w:r w:rsidR="00EB28BD" w:rsidRPr="003569BE">
        <w:rPr>
          <w:rFonts w:cs="Times New Roman"/>
          <w:szCs w:val="24"/>
          <w:lang w:val="en-GB"/>
        </w:rPr>
        <w:t>was the implementation</w:t>
      </w:r>
      <w:r w:rsidR="00DD2A95" w:rsidRPr="003569BE">
        <w:rPr>
          <w:rFonts w:cs="Times New Roman"/>
          <w:szCs w:val="24"/>
          <w:lang w:val="en-GB"/>
        </w:rPr>
        <w:t xml:space="preserve"> </w:t>
      </w:r>
      <w:r w:rsidR="00EB28BD" w:rsidRPr="003569BE">
        <w:rPr>
          <w:rFonts w:cs="Times New Roman"/>
          <w:szCs w:val="24"/>
          <w:lang w:val="en-GB"/>
        </w:rPr>
        <w:t>of the Sarbanes-Oxley Act (SOX)</w:t>
      </w:r>
      <w:r w:rsidR="00DD2A95" w:rsidRPr="003569BE">
        <w:rPr>
          <w:rFonts w:cs="Times New Roman"/>
          <w:szCs w:val="24"/>
          <w:lang w:val="en-GB"/>
        </w:rPr>
        <w:t>, which re-evaluated the role of the auditor</w:t>
      </w:r>
      <w:r w:rsidR="00443923" w:rsidRPr="003569BE">
        <w:rPr>
          <w:rFonts w:cs="Times New Roman"/>
          <w:szCs w:val="24"/>
          <w:lang w:val="en-GB"/>
        </w:rPr>
        <w:t xml:space="preserve">. Substantial discussions about </w:t>
      </w:r>
      <w:r w:rsidR="002E6FD6" w:rsidRPr="003569BE">
        <w:rPr>
          <w:rFonts w:cs="Times New Roman"/>
          <w:szCs w:val="24"/>
          <w:lang w:val="en-GB"/>
        </w:rPr>
        <w:t xml:space="preserve">how </w:t>
      </w:r>
      <w:r w:rsidR="00443923" w:rsidRPr="003569BE">
        <w:rPr>
          <w:rFonts w:cs="Times New Roman"/>
          <w:szCs w:val="24"/>
          <w:lang w:val="en-GB"/>
        </w:rPr>
        <w:t xml:space="preserve">auditors’ independence </w:t>
      </w:r>
      <w:r w:rsidR="002E6FD6" w:rsidRPr="003569BE">
        <w:rPr>
          <w:rFonts w:cs="Times New Roman"/>
          <w:szCs w:val="24"/>
          <w:lang w:val="en-GB"/>
        </w:rPr>
        <w:t xml:space="preserve">can be restored </w:t>
      </w:r>
      <w:r w:rsidR="00443923" w:rsidRPr="003569BE">
        <w:rPr>
          <w:rFonts w:cs="Times New Roman"/>
          <w:szCs w:val="24"/>
          <w:lang w:val="en-GB"/>
        </w:rPr>
        <w:t xml:space="preserve">have been </w:t>
      </w:r>
      <w:r w:rsidR="002E6FD6" w:rsidRPr="003569BE">
        <w:rPr>
          <w:rFonts w:cs="Times New Roman"/>
          <w:szCs w:val="24"/>
          <w:lang w:val="en-GB"/>
        </w:rPr>
        <w:t>performed</w:t>
      </w:r>
      <w:r w:rsidR="00443923" w:rsidRPr="003569BE">
        <w:rPr>
          <w:rFonts w:cs="Times New Roman"/>
          <w:szCs w:val="24"/>
          <w:lang w:val="en-GB"/>
        </w:rPr>
        <w:t xml:space="preserve">, and </w:t>
      </w:r>
      <w:r w:rsidR="00D46C89" w:rsidRPr="003569BE">
        <w:rPr>
          <w:rFonts w:cs="Times New Roman"/>
          <w:szCs w:val="24"/>
          <w:lang w:val="en-GB"/>
        </w:rPr>
        <w:t xml:space="preserve">concerning this situation </w:t>
      </w:r>
      <w:r w:rsidR="00443923" w:rsidRPr="003569BE">
        <w:rPr>
          <w:rFonts w:cs="Times New Roman"/>
          <w:szCs w:val="24"/>
          <w:lang w:val="en-GB"/>
        </w:rPr>
        <w:t xml:space="preserve">mandatory rotation was one of the most commented </w:t>
      </w:r>
      <w:r w:rsidR="00892083" w:rsidRPr="003569BE">
        <w:rPr>
          <w:rFonts w:cs="Times New Roman"/>
          <w:szCs w:val="24"/>
          <w:lang w:val="en-GB"/>
        </w:rPr>
        <w:t>measures</w:t>
      </w:r>
      <w:r w:rsidR="00443923" w:rsidRPr="003569BE">
        <w:rPr>
          <w:rFonts w:cs="Times New Roman"/>
          <w:szCs w:val="24"/>
          <w:lang w:val="en-GB"/>
        </w:rPr>
        <w:t>. The debate was</w:t>
      </w:r>
      <w:r w:rsidR="006449EA" w:rsidRPr="003569BE">
        <w:rPr>
          <w:rFonts w:cs="Times New Roman"/>
          <w:szCs w:val="24"/>
          <w:lang w:val="en-GB"/>
        </w:rPr>
        <w:t xml:space="preserve"> mainly</w:t>
      </w:r>
      <w:r w:rsidR="00443923" w:rsidRPr="003569BE">
        <w:rPr>
          <w:rFonts w:cs="Times New Roman"/>
          <w:szCs w:val="24"/>
          <w:lang w:val="en-GB"/>
        </w:rPr>
        <w:t xml:space="preserve"> about whether mandatory audit firm rotation </w:t>
      </w:r>
      <w:r w:rsidR="004A4B28" w:rsidRPr="003569BE">
        <w:rPr>
          <w:rFonts w:cs="Times New Roman"/>
          <w:szCs w:val="24"/>
          <w:lang w:val="en-GB"/>
        </w:rPr>
        <w:t xml:space="preserve">in the SOX regulations </w:t>
      </w:r>
      <w:r w:rsidR="00443923" w:rsidRPr="003569BE">
        <w:rPr>
          <w:rFonts w:cs="Times New Roman"/>
          <w:szCs w:val="24"/>
          <w:lang w:val="en-GB"/>
        </w:rPr>
        <w:t xml:space="preserve">should be included and whether </w:t>
      </w:r>
      <w:r w:rsidR="00A361F3" w:rsidRPr="003569BE">
        <w:rPr>
          <w:rFonts w:cs="Times New Roman"/>
          <w:szCs w:val="24"/>
          <w:lang w:val="en-GB"/>
        </w:rPr>
        <w:t xml:space="preserve">other </w:t>
      </w:r>
      <w:r w:rsidR="00443923" w:rsidRPr="003569BE">
        <w:rPr>
          <w:rFonts w:cs="Times New Roman"/>
          <w:szCs w:val="24"/>
          <w:lang w:val="en-GB"/>
        </w:rPr>
        <w:t xml:space="preserve">measures </w:t>
      </w:r>
      <w:r w:rsidR="00A361F3" w:rsidRPr="003569BE">
        <w:rPr>
          <w:rFonts w:cs="Times New Roman"/>
          <w:szCs w:val="24"/>
          <w:lang w:val="en-GB"/>
        </w:rPr>
        <w:t>which are less extreme would be enough in order</w:t>
      </w:r>
      <w:r w:rsidR="00443923" w:rsidRPr="003569BE">
        <w:rPr>
          <w:rFonts w:cs="Times New Roman"/>
          <w:szCs w:val="24"/>
          <w:lang w:val="en-GB"/>
        </w:rPr>
        <w:t xml:space="preserve"> to </w:t>
      </w:r>
      <w:r w:rsidR="00A361F3" w:rsidRPr="003569BE">
        <w:rPr>
          <w:rFonts w:cs="Times New Roman"/>
          <w:szCs w:val="24"/>
          <w:lang w:val="en-GB"/>
        </w:rPr>
        <w:t>promise</w:t>
      </w:r>
      <w:r w:rsidR="00A6099C" w:rsidRPr="003569BE">
        <w:rPr>
          <w:rFonts w:cs="Times New Roman"/>
          <w:szCs w:val="24"/>
          <w:lang w:val="en-GB"/>
        </w:rPr>
        <w:t xml:space="preserve"> the independence of </w:t>
      </w:r>
      <w:r w:rsidR="004A4B28" w:rsidRPr="003569BE">
        <w:rPr>
          <w:rFonts w:cs="Times New Roman"/>
          <w:szCs w:val="24"/>
          <w:lang w:val="en-GB"/>
        </w:rPr>
        <w:t xml:space="preserve">the </w:t>
      </w:r>
      <w:r w:rsidR="00A6099C" w:rsidRPr="003569BE">
        <w:rPr>
          <w:rFonts w:cs="Times New Roman"/>
          <w:szCs w:val="24"/>
          <w:lang w:val="en-GB"/>
        </w:rPr>
        <w:t xml:space="preserve">auditors. </w:t>
      </w:r>
      <w:r w:rsidR="00F14CCE" w:rsidRPr="003569BE">
        <w:rPr>
          <w:rFonts w:cs="Times New Roman"/>
          <w:szCs w:val="24"/>
          <w:lang w:val="en-GB"/>
        </w:rPr>
        <w:t>In section 207, SOX</w:t>
      </w:r>
      <w:r w:rsidR="00916D22" w:rsidRPr="003569BE">
        <w:rPr>
          <w:rFonts w:cs="Times New Roman"/>
          <w:szCs w:val="24"/>
          <w:lang w:val="en-GB"/>
        </w:rPr>
        <w:t xml:space="preserve"> </w:t>
      </w:r>
      <w:r w:rsidR="00B1134C" w:rsidRPr="003569BE">
        <w:rPr>
          <w:rFonts w:cs="Times New Roman"/>
          <w:szCs w:val="24"/>
          <w:lang w:val="en-GB"/>
        </w:rPr>
        <w:t>notified</w:t>
      </w:r>
      <w:r w:rsidR="00EA6BC7" w:rsidRPr="003569BE">
        <w:rPr>
          <w:rFonts w:cs="Times New Roman"/>
          <w:szCs w:val="24"/>
          <w:lang w:val="en-GB"/>
        </w:rPr>
        <w:t xml:space="preserve"> about</w:t>
      </w:r>
      <w:r w:rsidR="00916D22" w:rsidRPr="003569BE">
        <w:rPr>
          <w:rFonts w:cs="Times New Roman"/>
          <w:szCs w:val="24"/>
          <w:lang w:val="en-GB"/>
        </w:rPr>
        <w:t xml:space="preserve"> a review study by the U.S. General Accounting Office (GA</w:t>
      </w:r>
      <w:r w:rsidR="00BD424F" w:rsidRPr="003569BE">
        <w:rPr>
          <w:rFonts w:cs="Times New Roman"/>
          <w:szCs w:val="24"/>
          <w:lang w:val="en-GB"/>
        </w:rPr>
        <w:t>O</w:t>
      </w:r>
      <w:r w:rsidR="00916D22" w:rsidRPr="003569BE">
        <w:rPr>
          <w:rFonts w:cs="Times New Roman"/>
          <w:szCs w:val="24"/>
          <w:lang w:val="en-GB"/>
        </w:rPr>
        <w:t>)</w:t>
      </w:r>
      <w:r w:rsidR="000E740D" w:rsidRPr="003569BE">
        <w:rPr>
          <w:rFonts w:cs="Times New Roman"/>
          <w:szCs w:val="24"/>
          <w:lang w:val="en-GB"/>
        </w:rPr>
        <w:t xml:space="preserve"> concerning the potential effects of </w:t>
      </w:r>
      <w:r w:rsidR="004A4B28" w:rsidRPr="003569BE">
        <w:rPr>
          <w:rFonts w:cs="Times New Roman"/>
          <w:szCs w:val="24"/>
          <w:lang w:val="en-GB"/>
        </w:rPr>
        <w:t xml:space="preserve">the </w:t>
      </w:r>
      <w:r w:rsidR="000E740D" w:rsidRPr="003569BE">
        <w:rPr>
          <w:rFonts w:cs="Times New Roman"/>
          <w:szCs w:val="24"/>
          <w:lang w:val="en-GB"/>
        </w:rPr>
        <w:t xml:space="preserve">mandatory audit firm rotation of registered public </w:t>
      </w:r>
      <w:r w:rsidR="004A4B28" w:rsidRPr="003569BE">
        <w:rPr>
          <w:rFonts w:cs="Times New Roman"/>
          <w:szCs w:val="24"/>
          <w:lang w:val="en-GB"/>
        </w:rPr>
        <w:t xml:space="preserve">auditing </w:t>
      </w:r>
      <w:r w:rsidR="000E740D" w:rsidRPr="003569BE">
        <w:rPr>
          <w:rFonts w:cs="Times New Roman"/>
          <w:szCs w:val="24"/>
          <w:lang w:val="en-GB"/>
        </w:rPr>
        <w:t>firms</w:t>
      </w:r>
      <w:r w:rsidR="00916D22" w:rsidRPr="003569BE">
        <w:rPr>
          <w:rFonts w:cs="Times New Roman"/>
          <w:szCs w:val="24"/>
          <w:lang w:val="en-GB"/>
        </w:rPr>
        <w:t>.</w:t>
      </w:r>
      <w:r w:rsidR="00264B6F" w:rsidRPr="003569BE">
        <w:rPr>
          <w:rFonts w:cs="Times New Roman"/>
          <w:szCs w:val="24"/>
          <w:lang w:val="en-GB"/>
        </w:rPr>
        <w:t xml:space="preserve"> </w:t>
      </w:r>
      <w:r w:rsidR="0070191A" w:rsidRPr="003569BE">
        <w:rPr>
          <w:rFonts w:cs="Times New Roman"/>
          <w:szCs w:val="24"/>
          <w:lang w:val="en-GB"/>
        </w:rPr>
        <w:t xml:space="preserve"> </w:t>
      </w:r>
      <w:r w:rsidR="00774D4E" w:rsidRPr="003569BE">
        <w:rPr>
          <w:rFonts w:cs="Times New Roman"/>
          <w:szCs w:val="24"/>
          <w:lang w:val="en-GB"/>
        </w:rPr>
        <w:t>P</w:t>
      </w:r>
      <w:r w:rsidR="004B00DD" w:rsidRPr="003569BE">
        <w:rPr>
          <w:rFonts w:cs="Times New Roman"/>
          <w:szCs w:val="24"/>
          <w:lang w:val="en-GB"/>
        </w:rPr>
        <w:t>ublished in November 2003, t</w:t>
      </w:r>
      <w:r w:rsidR="00264B6F" w:rsidRPr="003569BE">
        <w:rPr>
          <w:rFonts w:cs="Times New Roman"/>
          <w:szCs w:val="24"/>
          <w:lang w:val="en-GB"/>
        </w:rPr>
        <w:t>he results of this study</w:t>
      </w:r>
      <w:r w:rsidR="004B00DD" w:rsidRPr="003569BE">
        <w:rPr>
          <w:rFonts w:cs="Times New Roman"/>
          <w:szCs w:val="24"/>
          <w:lang w:val="en-GB"/>
        </w:rPr>
        <w:t xml:space="preserve"> </w:t>
      </w:r>
      <w:r w:rsidR="00264B6F" w:rsidRPr="003569BE">
        <w:rPr>
          <w:rFonts w:cs="Times New Roman"/>
          <w:szCs w:val="24"/>
          <w:lang w:val="en-GB"/>
        </w:rPr>
        <w:t xml:space="preserve">state that </w:t>
      </w:r>
      <w:r w:rsidR="004A4B28" w:rsidRPr="003569BE">
        <w:rPr>
          <w:rFonts w:cs="Times New Roman"/>
          <w:szCs w:val="24"/>
          <w:lang w:val="en-GB"/>
        </w:rPr>
        <w:t xml:space="preserve">the </w:t>
      </w:r>
      <w:r w:rsidR="00264B6F" w:rsidRPr="003569BE">
        <w:rPr>
          <w:rFonts w:cs="Times New Roman"/>
          <w:szCs w:val="24"/>
          <w:lang w:val="en-GB"/>
        </w:rPr>
        <w:t xml:space="preserve">GAO’s conclusions indicate that “mandatory audit firm rotation may not be the most efficient way to strengthen </w:t>
      </w:r>
      <w:r w:rsidR="004A4B28" w:rsidRPr="003569BE">
        <w:rPr>
          <w:rFonts w:cs="Times New Roman"/>
          <w:szCs w:val="24"/>
          <w:lang w:val="en-GB"/>
        </w:rPr>
        <w:t xml:space="preserve">the </w:t>
      </w:r>
      <w:r w:rsidR="00264B6F" w:rsidRPr="003569BE">
        <w:rPr>
          <w:rFonts w:cs="Times New Roman"/>
          <w:szCs w:val="24"/>
          <w:lang w:val="en-GB"/>
        </w:rPr>
        <w:t xml:space="preserve">auditor independence and </w:t>
      </w:r>
      <w:r w:rsidR="004A4B28" w:rsidRPr="003569BE">
        <w:rPr>
          <w:rFonts w:cs="Times New Roman"/>
          <w:szCs w:val="24"/>
          <w:lang w:val="en-GB"/>
        </w:rPr>
        <w:t xml:space="preserve">to </w:t>
      </w:r>
      <w:r w:rsidR="00264B6F" w:rsidRPr="003569BE">
        <w:rPr>
          <w:rFonts w:cs="Times New Roman"/>
          <w:szCs w:val="24"/>
          <w:lang w:val="en-GB"/>
        </w:rPr>
        <w:t xml:space="preserve">improve </w:t>
      </w:r>
      <w:r w:rsidR="004A4B28" w:rsidRPr="003569BE">
        <w:rPr>
          <w:rFonts w:cs="Times New Roman"/>
          <w:szCs w:val="24"/>
          <w:lang w:val="en-GB"/>
        </w:rPr>
        <w:t xml:space="preserve">the </w:t>
      </w:r>
      <w:r w:rsidR="00264B6F" w:rsidRPr="003569BE">
        <w:rPr>
          <w:rFonts w:cs="Times New Roman"/>
          <w:szCs w:val="24"/>
          <w:lang w:val="en-GB"/>
        </w:rPr>
        <w:t xml:space="preserve">audit quality considering the additional financial costs […]” </w:t>
      </w:r>
      <w:sdt>
        <w:sdtPr>
          <w:rPr>
            <w:rFonts w:cs="Times New Roman"/>
            <w:szCs w:val="24"/>
            <w:lang w:val="en-GB"/>
          </w:rPr>
          <w:id w:val="1174770404"/>
          <w:citation/>
        </w:sdtPr>
        <w:sdtContent>
          <w:r w:rsidR="000E4BAF" w:rsidRPr="003569BE">
            <w:rPr>
              <w:rFonts w:cs="Times New Roman"/>
              <w:szCs w:val="24"/>
              <w:lang w:val="en-GB"/>
            </w:rPr>
            <w:fldChar w:fldCharType="begin"/>
          </w:r>
          <w:r w:rsidR="00EB2C27" w:rsidRPr="003569BE">
            <w:rPr>
              <w:rFonts w:cs="Times New Roman"/>
              <w:szCs w:val="24"/>
              <w:lang w:val="en-GB"/>
            </w:rPr>
            <w:instrText xml:space="preserve">CITATION Eur03 \p 1 \t  \l 1033 </w:instrText>
          </w:r>
          <w:r w:rsidR="000E4BAF" w:rsidRPr="003569BE">
            <w:rPr>
              <w:rFonts w:cs="Times New Roman"/>
              <w:szCs w:val="24"/>
              <w:lang w:val="en-GB"/>
            </w:rPr>
            <w:fldChar w:fldCharType="separate"/>
          </w:r>
          <w:r w:rsidR="008F7EB3" w:rsidRPr="003569BE">
            <w:rPr>
              <w:rFonts w:cs="Times New Roman"/>
              <w:noProof/>
              <w:szCs w:val="24"/>
              <w:lang w:val="en-GB"/>
            </w:rPr>
            <w:t>(GAO, 2003, p. 1)</w:t>
          </w:r>
          <w:r w:rsidR="000E4BAF" w:rsidRPr="003569BE">
            <w:rPr>
              <w:rFonts w:cs="Times New Roman"/>
              <w:szCs w:val="24"/>
              <w:lang w:val="en-GB"/>
            </w:rPr>
            <w:fldChar w:fldCharType="end"/>
          </w:r>
        </w:sdtContent>
      </w:sdt>
      <w:r w:rsidR="000D262B" w:rsidRPr="003569BE">
        <w:rPr>
          <w:rFonts w:cs="Times New Roman"/>
          <w:szCs w:val="24"/>
          <w:lang w:val="en-GB"/>
        </w:rPr>
        <w:t>.</w:t>
      </w:r>
      <w:r w:rsidR="00916D22" w:rsidRPr="003569BE">
        <w:rPr>
          <w:rFonts w:cs="Times New Roman"/>
          <w:szCs w:val="24"/>
          <w:lang w:val="en-GB"/>
        </w:rPr>
        <w:t xml:space="preserve"> </w:t>
      </w:r>
      <w:r w:rsidR="00454A47" w:rsidRPr="003569BE">
        <w:rPr>
          <w:rFonts w:cs="Times New Roman"/>
          <w:szCs w:val="24"/>
          <w:lang w:val="en-GB"/>
        </w:rPr>
        <w:t>Consequently</w:t>
      </w:r>
      <w:r w:rsidR="00A6099C" w:rsidRPr="003569BE">
        <w:rPr>
          <w:rFonts w:cs="Times New Roman"/>
          <w:szCs w:val="24"/>
          <w:lang w:val="en-GB"/>
        </w:rPr>
        <w:t xml:space="preserve"> mandatory audit firm rotation was not included in SOX</w:t>
      </w:r>
      <w:r w:rsidR="001C486C" w:rsidRPr="003569BE">
        <w:rPr>
          <w:rFonts w:cs="Times New Roman"/>
          <w:szCs w:val="24"/>
          <w:lang w:val="en-GB"/>
        </w:rPr>
        <w:t xml:space="preserve"> and </w:t>
      </w:r>
      <w:r w:rsidR="00F27DC0" w:rsidRPr="003569BE">
        <w:rPr>
          <w:rFonts w:cs="Times New Roman"/>
          <w:szCs w:val="24"/>
          <w:lang w:val="en-GB"/>
        </w:rPr>
        <w:t>implicitly</w:t>
      </w:r>
      <w:r w:rsidR="004A4B28" w:rsidRPr="003569BE">
        <w:rPr>
          <w:rFonts w:cs="Times New Roman"/>
          <w:szCs w:val="24"/>
          <w:lang w:val="en-GB"/>
        </w:rPr>
        <w:t xml:space="preserve"> </w:t>
      </w:r>
      <w:r w:rsidR="001C486C" w:rsidRPr="003569BE">
        <w:rPr>
          <w:rFonts w:cs="Times New Roman"/>
          <w:szCs w:val="24"/>
          <w:lang w:val="en-GB"/>
        </w:rPr>
        <w:t>not implemented in the U</w:t>
      </w:r>
      <w:r w:rsidR="004A4B28" w:rsidRPr="003569BE">
        <w:rPr>
          <w:rFonts w:cs="Times New Roman"/>
          <w:szCs w:val="24"/>
          <w:lang w:val="en-GB"/>
        </w:rPr>
        <w:t>S</w:t>
      </w:r>
      <w:r w:rsidR="00A6099C" w:rsidRPr="003569BE">
        <w:rPr>
          <w:rFonts w:cs="Times New Roman"/>
          <w:szCs w:val="24"/>
          <w:lang w:val="en-GB"/>
        </w:rPr>
        <w:t xml:space="preserve">. However, </w:t>
      </w:r>
      <w:r w:rsidR="004A4B28" w:rsidRPr="003569BE">
        <w:rPr>
          <w:rFonts w:cs="Times New Roman"/>
          <w:szCs w:val="24"/>
          <w:lang w:val="en-GB"/>
        </w:rPr>
        <w:t>in order to address t</w:t>
      </w:r>
      <w:r w:rsidR="00DC0908" w:rsidRPr="003569BE">
        <w:rPr>
          <w:rFonts w:cs="Times New Roman"/>
          <w:szCs w:val="24"/>
          <w:lang w:val="en-GB"/>
        </w:rPr>
        <w:t>he auditors’ independence issue,</w:t>
      </w:r>
      <w:r w:rsidR="00143304" w:rsidRPr="003569BE">
        <w:rPr>
          <w:rFonts w:cs="Times New Roman"/>
          <w:szCs w:val="24"/>
          <w:lang w:val="en-GB"/>
        </w:rPr>
        <w:t xml:space="preserve"> and</w:t>
      </w:r>
      <w:r w:rsidR="004A4B28" w:rsidRPr="003569BE">
        <w:rPr>
          <w:rFonts w:cs="Times New Roman"/>
          <w:szCs w:val="24"/>
          <w:lang w:val="en-GB"/>
        </w:rPr>
        <w:t xml:space="preserve"> as a response to the financial reporting scandals</w:t>
      </w:r>
      <w:r w:rsidR="00387549" w:rsidRPr="003569BE">
        <w:rPr>
          <w:rFonts w:cs="Times New Roman"/>
          <w:szCs w:val="24"/>
          <w:lang w:val="en-GB"/>
        </w:rPr>
        <w:t>,</w:t>
      </w:r>
      <w:r w:rsidR="004A4B28" w:rsidRPr="003569BE">
        <w:rPr>
          <w:rFonts w:cs="Times New Roman"/>
          <w:szCs w:val="24"/>
          <w:lang w:val="en-GB"/>
        </w:rPr>
        <w:t xml:space="preserve"> </w:t>
      </w:r>
      <w:r w:rsidR="00A6099C" w:rsidRPr="003569BE">
        <w:rPr>
          <w:rFonts w:cs="Times New Roman"/>
          <w:szCs w:val="24"/>
          <w:lang w:val="en-GB"/>
        </w:rPr>
        <w:t>a measure had to be taken</w:t>
      </w:r>
      <w:r w:rsidR="00A024D2" w:rsidRPr="003569BE">
        <w:rPr>
          <w:rFonts w:cs="Times New Roman"/>
          <w:szCs w:val="24"/>
          <w:lang w:val="en-GB"/>
        </w:rPr>
        <w:t>.</w:t>
      </w:r>
      <w:r w:rsidR="00A6099C" w:rsidRPr="003569BE">
        <w:rPr>
          <w:rFonts w:cs="Times New Roman"/>
          <w:szCs w:val="24"/>
          <w:lang w:val="en-GB"/>
        </w:rPr>
        <w:t xml:space="preserve"> </w:t>
      </w:r>
      <w:r w:rsidR="004A4B28" w:rsidRPr="003569BE">
        <w:rPr>
          <w:rFonts w:cs="Times New Roman"/>
          <w:szCs w:val="24"/>
          <w:lang w:val="en-GB"/>
        </w:rPr>
        <w:t>Consequently</w:t>
      </w:r>
      <w:r w:rsidR="00A6099C" w:rsidRPr="003569BE">
        <w:rPr>
          <w:rFonts w:cs="Times New Roman"/>
          <w:szCs w:val="24"/>
          <w:lang w:val="en-GB"/>
        </w:rPr>
        <w:t xml:space="preserve">, SOX implemented a mandatory audit partner rotation rule: the partner of a registered public </w:t>
      </w:r>
      <w:r w:rsidR="004A4B28" w:rsidRPr="003569BE">
        <w:rPr>
          <w:rFonts w:cs="Times New Roman"/>
          <w:szCs w:val="24"/>
          <w:lang w:val="en-GB"/>
        </w:rPr>
        <w:t xml:space="preserve">audit </w:t>
      </w:r>
      <w:r w:rsidR="00A6099C" w:rsidRPr="003569BE">
        <w:rPr>
          <w:rFonts w:cs="Times New Roman"/>
          <w:szCs w:val="24"/>
          <w:lang w:val="en-GB"/>
        </w:rPr>
        <w:t xml:space="preserve">firm </w:t>
      </w:r>
      <w:r w:rsidR="004A4B28" w:rsidRPr="003569BE">
        <w:rPr>
          <w:rFonts w:cs="Times New Roman"/>
          <w:szCs w:val="24"/>
          <w:lang w:val="en-GB"/>
        </w:rPr>
        <w:t xml:space="preserve">needs to </w:t>
      </w:r>
      <w:r w:rsidR="00A6099C" w:rsidRPr="003569BE">
        <w:rPr>
          <w:rFonts w:cs="Times New Roman"/>
          <w:szCs w:val="24"/>
          <w:lang w:val="en-GB"/>
        </w:rPr>
        <w:t>rotate after a period of five years</w:t>
      </w:r>
      <w:r w:rsidR="00676DA9" w:rsidRPr="003569BE">
        <w:rPr>
          <w:rFonts w:cs="Times New Roman"/>
          <w:szCs w:val="24"/>
          <w:lang w:val="en-GB"/>
        </w:rPr>
        <w:t xml:space="preserve"> of auditing the same client</w:t>
      </w:r>
      <w:r w:rsidR="00A6099C" w:rsidRPr="003569BE">
        <w:rPr>
          <w:rFonts w:cs="Times New Roman"/>
          <w:szCs w:val="24"/>
          <w:lang w:val="en-GB"/>
        </w:rPr>
        <w:t xml:space="preserve">, followed by a cooling-off period of another five years when the partner is not allowed to </w:t>
      </w:r>
      <w:r w:rsidR="0020302E" w:rsidRPr="003569BE">
        <w:rPr>
          <w:rFonts w:cs="Times New Roman"/>
          <w:szCs w:val="24"/>
          <w:lang w:val="en-GB"/>
        </w:rPr>
        <w:t>be part of the auditing team for that</w:t>
      </w:r>
      <w:r w:rsidR="004A4B28" w:rsidRPr="003569BE">
        <w:rPr>
          <w:rFonts w:cs="Times New Roman"/>
          <w:szCs w:val="24"/>
          <w:lang w:val="en-GB"/>
        </w:rPr>
        <w:t xml:space="preserve"> client</w:t>
      </w:r>
      <w:r w:rsidR="00A6099C" w:rsidRPr="003569BE">
        <w:rPr>
          <w:rFonts w:cs="Times New Roman"/>
          <w:szCs w:val="24"/>
          <w:lang w:val="en-GB"/>
        </w:rPr>
        <w:t>.</w:t>
      </w:r>
    </w:p>
    <w:p w:rsidR="0007338F" w:rsidRPr="003569BE" w:rsidRDefault="00233DE7" w:rsidP="00BB5CD9">
      <w:pPr>
        <w:spacing w:line="360" w:lineRule="auto"/>
        <w:rPr>
          <w:rFonts w:cs="Times New Roman"/>
          <w:szCs w:val="24"/>
          <w:lang w:val="en-GB"/>
        </w:rPr>
      </w:pPr>
      <w:r w:rsidRPr="003569BE">
        <w:rPr>
          <w:rFonts w:cs="Times New Roman"/>
          <w:szCs w:val="24"/>
          <w:lang w:val="en-GB"/>
        </w:rPr>
        <w:t>In Europe, o</w:t>
      </w:r>
      <w:r w:rsidR="00AD249D" w:rsidRPr="003569BE">
        <w:rPr>
          <w:rFonts w:cs="Times New Roman"/>
          <w:szCs w:val="24"/>
          <w:lang w:val="en-GB"/>
        </w:rPr>
        <w:t xml:space="preserve">n the other hand, </w:t>
      </w:r>
      <w:r w:rsidR="001D5771" w:rsidRPr="003569BE">
        <w:rPr>
          <w:rFonts w:cs="Times New Roman"/>
          <w:szCs w:val="24"/>
          <w:lang w:val="en-GB"/>
        </w:rPr>
        <w:t>financial reporting</w:t>
      </w:r>
      <w:r w:rsidR="00AD249D" w:rsidRPr="003569BE">
        <w:rPr>
          <w:rFonts w:cs="Times New Roman"/>
          <w:szCs w:val="24"/>
          <w:lang w:val="en-GB"/>
        </w:rPr>
        <w:t xml:space="preserve"> scandals</w:t>
      </w:r>
      <w:r w:rsidR="00276948" w:rsidRPr="003569BE">
        <w:rPr>
          <w:rFonts w:cs="Times New Roman"/>
          <w:szCs w:val="24"/>
          <w:lang w:val="en-GB"/>
        </w:rPr>
        <w:t xml:space="preserve"> occurred as well</w:t>
      </w:r>
      <w:r w:rsidR="00AD249D" w:rsidRPr="003569BE">
        <w:rPr>
          <w:rFonts w:cs="Times New Roman"/>
          <w:szCs w:val="24"/>
          <w:lang w:val="en-GB"/>
        </w:rPr>
        <w:t>, like Parmalat in Italy in 2003, or A</w:t>
      </w:r>
      <w:r w:rsidR="001D5771" w:rsidRPr="003569BE">
        <w:rPr>
          <w:rFonts w:cs="Times New Roman"/>
          <w:szCs w:val="24"/>
          <w:lang w:val="en-GB"/>
        </w:rPr>
        <w:t xml:space="preserve">hold in the Netherlands in 2003. </w:t>
      </w:r>
      <w:r w:rsidR="004A4B28" w:rsidRPr="003569BE">
        <w:rPr>
          <w:rFonts w:cs="Times New Roman"/>
          <w:szCs w:val="24"/>
          <w:lang w:val="en-GB"/>
        </w:rPr>
        <w:t>Consequently</w:t>
      </w:r>
      <w:r w:rsidR="00F57C8A" w:rsidRPr="003569BE">
        <w:rPr>
          <w:rFonts w:cs="Times New Roman"/>
          <w:szCs w:val="24"/>
          <w:lang w:val="en-GB"/>
        </w:rPr>
        <w:t xml:space="preserve">, the European Commission proposed the requirement </w:t>
      </w:r>
      <w:r w:rsidR="00FD7A8C" w:rsidRPr="003569BE">
        <w:rPr>
          <w:rFonts w:cs="Times New Roman"/>
          <w:szCs w:val="24"/>
          <w:lang w:val="en-GB"/>
        </w:rPr>
        <w:t xml:space="preserve">for public listed companies </w:t>
      </w:r>
      <w:r w:rsidR="000B4DB4" w:rsidRPr="003569BE">
        <w:rPr>
          <w:rFonts w:cs="Times New Roman"/>
          <w:szCs w:val="24"/>
          <w:lang w:val="en-GB"/>
        </w:rPr>
        <w:t xml:space="preserve">to rotate </w:t>
      </w:r>
      <w:r w:rsidR="0055012D" w:rsidRPr="003569BE">
        <w:rPr>
          <w:rFonts w:cs="Times New Roman"/>
          <w:szCs w:val="24"/>
          <w:lang w:val="en-GB"/>
        </w:rPr>
        <w:t xml:space="preserve">the </w:t>
      </w:r>
      <w:r w:rsidR="000B4DB4" w:rsidRPr="003569BE">
        <w:rPr>
          <w:rFonts w:cs="Times New Roman"/>
          <w:szCs w:val="24"/>
          <w:lang w:val="en-GB"/>
        </w:rPr>
        <w:t xml:space="preserve">audit partners </w:t>
      </w:r>
      <w:r w:rsidR="00556003" w:rsidRPr="003569BE">
        <w:rPr>
          <w:rFonts w:cs="Times New Roman"/>
          <w:szCs w:val="24"/>
          <w:lang w:val="en-GB"/>
        </w:rPr>
        <w:t>after five years, and</w:t>
      </w:r>
      <w:r w:rsidR="00F57C8A" w:rsidRPr="003569BE">
        <w:rPr>
          <w:rFonts w:cs="Times New Roman"/>
          <w:szCs w:val="24"/>
          <w:lang w:val="en-GB"/>
        </w:rPr>
        <w:t xml:space="preserve"> </w:t>
      </w:r>
      <w:r w:rsidR="0055012D" w:rsidRPr="003569BE">
        <w:rPr>
          <w:rFonts w:cs="Times New Roman"/>
          <w:szCs w:val="24"/>
          <w:lang w:val="en-GB"/>
        </w:rPr>
        <w:t xml:space="preserve">rotate the </w:t>
      </w:r>
      <w:r w:rsidR="00F57C8A" w:rsidRPr="003569BE">
        <w:rPr>
          <w:rFonts w:cs="Times New Roman"/>
          <w:szCs w:val="24"/>
          <w:lang w:val="en-GB"/>
        </w:rPr>
        <w:t xml:space="preserve">audit firm </w:t>
      </w:r>
      <w:r w:rsidR="00F63447" w:rsidRPr="003569BE">
        <w:rPr>
          <w:rFonts w:cs="Times New Roman"/>
          <w:szCs w:val="24"/>
          <w:lang w:val="en-GB"/>
        </w:rPr>
        <w:t>after seven years</w:t>
      </w:r>
      <w:r w:rsidR="00F57C8A" w:rsidRPr="003569BE">
        <w:rPr>
          <w:rFonts w:cs="Times New Roman"/>
          <w:szCs w:val="24"/>
          <w:lang w:val="en-GB"/>
        </w:rPr>
        <w:t>.</w:t>
      </w:r>
      <w:r w:rsidR="00E046B6" w:rsidRPr="003569BE">
        <w:rPr>
          <w:rFonts w:cs="Times New Roman"/>
          <w:szCs w:val="24"/>
          <w:lang w:val="en-GB"/>
        </w:rPr>
        <w:t xml:space="preserve"> </w:t>
      </w:r>
      <w:r w:rsidR="0087039C" w:rsidRPr="003569BE">
        <w:rPr>
          <w:rFonts w:cs="Times New Roman"/>
          <w:szCs w:val="24"/>
          <w:lang w:val="en-GB"/>
        </w:rPr>
        <w:t>The 8</w:t>
      </w:r>
      <w:r w:rsidR="0087039C" w:rsidRPr="003569BE">
        <w:rPr>
          <w:rFonts w:cs="Times New Roman"/>
          <w:szCs w:val="24"/>
          <w:vertAlign w:val="superscript"/>
          <w:lang w:val="en-GB"/>
        </w:rPr>
        <w:t>th</w:t>
      </w:r>
      <w:r w:rsidR="0087039C" w:rsidRPr="003569BE">
        <w:rPr>
          <w:rFonts w:cs="Times New Roman"/>
          <w:szCs w:val="24"/>
          <w:lang w:val="en-GB"/>
        </w:rPr>
        <w:t xml:space="preserve"> Directive enforces the audit partner rotation</w:t>
      </w:r>
      <w:r w:rsidR="00130518" w:rsidRPr="003569BE">
        <w:rPr>
          <w:rFonts w:cs="Times New Roman"/>
          <w:szCs w:val="24"/>
          <w:lang w:val="en-GB"/>
        </w:rPr>
        <w:t xml:space="preserve"> in the E.U.</w:t>
      </w:r>
      <w:r w:rsidR="0087039C" w:rsidRPr="003569BE">
        <w:rPr>
          <w:rFonts w:cs="Times New Roman"/>
          <w:szCs w:val="24"/>
          <w:lang w:val="en-GB"/>
        </w:rPr>
        <w:t xml:space="preserve">, </w:t>
      </w:r>
      <w:r w:rsidR="00130518" w:rsidRPr="003569BE">
        <w:rPr>
          <w:rFonts w:cs="Times New Roman"/>
          <w:szCs w:val="24"/>
          <w:lang w:val="en-GB"/>
        </w:rPr>
        <w:t>while mandatory audit firm rotation is left for the European Union Member States to decide whether to impose it at a national level</w:t>
      </w:r>
      <w:r w:rsidR="00932A78" w:rsidRPr="003569BE">
        <w:rPr>
          <w:rFonts w:cs="Times New Roman"/>
          <w:szCs w:val="24"/>
          <w:lang w:val="en-GB"/>
        </w:rPr>
        <w:t xml:space="preserve"> </w:t>
      </w:r>
      <w:sdt>
        <w:sdtPr>
          <w:rPr>
            <w:rFonts w:cs="Times New Roman"/>
            <w:szCs w:val="24"/>
            <w:lang w:val="en-GB"/>
          </w:rPr>
          <w:id w:val="347602190"/>
          <w:citation/>
        </w:sdtPr>
        <w:sdtContent>
          <w:r w:rsidR="000E4BAF" w:rsidRPr="003569BE">
            <w:rPr>
              <w:rFonts w:cs="Times New Roman"/>
              <w:szCs w:val="24"/>
              <w:lang w:val="en-GB"/>
            </w:rPr>
            <w:fldChar w:fldCharType="begin"/>
          </w:r>
          <w:r w:rsidR="00BA4463" w:rsidRPr="003569BE">
            <w:rPr>
              <w:rFonts w:cs="Times New Roman"/>
              <w:szCs w:val="24"/>
              <w:lang w:val="en-GB"/>
            </w:rPr>
            <w:instrText xml:space="preserve">CITATION The06 \l 1033 </w:instrText>
          </w:r>
          <w:r w:rsidR="000E4BAF" w:rsidRPr="003569BE">
            <w:rPr>
              <w:rFonts w:cs="Times New Roman"/>
              <w:szCs w:val="24"/>
              <w:lang w:val="en-GB"/>
            </w:rPr>
            <w:fldChar w:fldCharType="separate"/>
          </w:r>
          <w:r w:rsidR="008F7EB3" w:rsidRPr="003569BE">
            <w:rPr>
              <w:rFonts w:cs="Times New Roman"/>
              <w:noProof/>
              <w:szCs w:val="24"/>
              <w:lang w:val="en-GB"/>
            </w:rPr>
            <w:t>(The European Parliament and the Council of the European Union, 2006)</w:t>
          </w:r>
          <w:r w:rsidR="000E4BAF" w:rsidRPr="003569BE">
            <w:rPr>
              <w:rFonts w:cs="Times New Roman"/>
              <w:szCs w:val="24"/>
              <w:lang w:val="en-GB"/>
            </w:rPr>
            <w:fldChar w:fldCharType="end"/>
          </w:r>
        </w:sdtContent>
      </w:sdt>
      <w:r w:rsidR="005B1E9E" w:rsidRPr="003569BE">
        <w:rPr>
          <w:rFonts w:cs="Times New Roman"/>
          <w:szCs w:val="24"/>
          <w:lang w:val="en-GB"/>
        </w:rPr>
        <w:t xml:space="preserve">. Moreover, in 2011, the European Commission has proposed </w:t>
      </w:r>
      <w:r w:rsidR="004A4B28" w:rsidRPr="003569BE">
        <w:rPr>
          <w:rFonts w:cs="Times New Roman"/>
          <w:szCs w:val="24"/>
          <w:lang w:val="en-GB"/>
        </w:rPr>
        <w:t xml:space="preserve">the </w:t>
      </w:r>
      <w:r w:rsidR="005B1E9E" w:rsidRPr="003569BE">
        <w:rPr>
          <w:rFonts w:cs="Times New Roman"/>
          <w:szCs w:val="24"/>
          <w:lang w:val="en-GB"/>
        </w:rPr>
        <w:t xml:space="preserve">mandatory </w:t>
      </w:r>
      <w:r w:rsidR="004A4B28" w:rsidRPr="003569BE">
        <w:rPr>
          <w:rFonts w:cs="Times New Roman"/>
          <w:szCs w:val="24"/>
          <w:lang w:val="en-GB"/>
        </w:rPr>
        <w:t xml:space="preserve">audit firm </w:t>
      </w:r>
      <w:r w:rsidR="005B1E9E" w:rsidRPr="003569BE">
        <w:rPr>
          <w:rFonts w:cs="Times New Roman"/>
          <w:szCs w:val="24"/>
          <w:lang w:val="en-GB"/>
        </w:rPr>
        <w:t xml:space="preserve">rotation for all European </w:t>
      </w:r>
      <w:r w:rsidR="004A4B28" w:rsidRPr="003569BE">
        <w:rPr>
          <w:rFonts w:cs="Times New Roman"/>
          <w:szCs w:val="24"/>
          <w:lang w:val="en-GB"/>
        </w:rPr>
        <w:t xml:space="preserve">Union </w:t>
      </w:r>
      <w:r w:rsidR="005B1E9E" w:rsidRPr="003569BE">
        <w:rPr>
          <w:rFonts w:cs="Times New Roman"/>
          <w:szCs w:val="24"/>
          <w:lang w:val="en-GB"/>
        </w:rPr>
        <w:t>listed companies</w:t>
      </w:r>
      <w:r w:rsidR="00CE38DB" w:rsidRPr="003569BE">
        <w:rPr>
          <w:rFonts w:cs="Times New Roman"/>
          <w:szCs w:val="24"/>
          <w:lang w:val="en-GB"/>
        </w:rPr>
        <w:t xml:space="preserve"> </w:t>
      </w:r>
      <w:sdt>
        <w:sdtPr>
          <w:rPr>
            <w:rFonts w:cs="Times New Roman"/>
            <w:szCs w:val="24"/>
            <w:lang w:val="en-GB"/>
          </w:rPr>
          <w:id w:val="291943841"/>
          <w:citation/>
        </w:sdtPr>
        <w:sdtContent>
          <w:r w:rsidR="000E4BAF" w:rsidRPr="003569BE">
            <w:rPr>
              <w:rFonts w:cs="Times New Roman"/>
              <w:szCs w:val="24"/>
              <w:lang w:val="en-GB"/>
            </w:rPr>
            <w:fldChar w:fldCharType="begin"/>
          </w:r>
          <w:r w:rsidR="00624A69" w:rsidRPr="003569BE">
            <w:rPr>
              <w:rFonts w:cs="Times New Roman"/>
              <w:szCs w:val="24"/>
              <w:lang w:val="en-GB"/>
            </w:rPr>
            <w:instrText xml:space="preserve">CITATION Eur11 \l 1033 </w:instrText>
          </w:r>
          <w:r w:rsidR="000E4BAF" w:rsidRPr="003569BE">
            <w:rPr>
              <w:rFonts w:cs="Times New Roman"/>
              <w:szCs w:val="24"/>
              <w:lang w:val="en-GB"/>
            </w:rPr>
            <w:fldChar w:fldCharType="separate"/>
          </w:r>
          <w:r w:rsidR="008F7EB3" w:rsidRPr="003569BE">
            <w:rPr>
              <w:rFonts w:cs="Times New Roman"/>
              <w:noProof/>
              <w:szCs w:val="24"/>
              <w:lang w:val="en-GB"/>
            </w:rPr>
            <w:t>(European Commission, 2011)</w:t>
          </w:r>
          <w:r w:rsidR="000E4BAF" w:rsidRPr="003569BE">
            <w:rPr>
              <w:rFonts w:cs="Times New Roman"/>
              <w:szCs w:val="24"/>
              <w:lang w:val="en-GB"/>
            </w:rPr>
            <w:fldChar w:fldCharType="end"/>
          </w:r>
        </w:sdtContent>
      </w:sdt>
      <w:r w:rsidR="00CE38DB" w:rsidRPr="003569BE">
        <w:rPr>
          <w:rFonts w:cs="Times New Roman"/>
          <w:szCs w:val="24"/>
          <w:lang w:val="en-GB"/>
        </w:rPr>
        <w:t>.</w:t>
      </w:r>
      <w:r w:rsidR="007A2E94" w:rsidRPr="003569BE">
        <w:rPr>
          <w:rFonts w:cs="Times New Roman"/>
          <w:szCs w:val="24"/>
          <w:lang w:val="en-GB"/>
        </w:rPr>
        <w:t xml:space="preserve"> Most E.U. Member States now require partner rotation. On the other hand, Italy kept the MAFR rule active, while the Dutch Parliament approved the implementation of a MAFR rule starting from 2016.</w:t>
      </w:r>
    </w:p>
    <w:p w:rsidR="00CF5EF9" w:rsidRPr="003569BE" w:rsidRDefault="00EB1DAF" w:rsidP="00BB5CD9">
      <w:pPr>
        <w:spacing w:line="360" w:lineRule="auto"/>
        <w:rPr>
          <w:rFonts w:cs="Times New Roman"/>
          <w:szCs w:val="24"/>
          <w:lang w:val="en-GB"/>
        </w:rPr>
      </w:pPr>
      <w:r w:rsidRPr="003569BE">
        <w:rPr>
          <w:rFonts w:cs="Times New Roman"/>
          <w:szCs w:val="24"/>
          <w:lang w:val="en-GB"/>
        </w:rPr>
        <w:lastRenderedPageBreak/>
        <w:t>In 2008, t</w:t>
      </w:r>
      <w:r w:rsidR="00180218" w:rsidRPr="003569BE">
        <w:rPr>
          <w:rFonts w:cs="Times New Roman"/>
          <w:szCs w:val="24"/>
          <w:lang w:val="en-GB"/>
        </w:rPr>
        <w:t xml:space="preserve">he Government </w:t>
      </w:r>
      <w:r w:rsidR="00553C01" w:rsidRPr="003569BE">
        <w:rPr>
          <w:rFonts w:cs="Times New Roman"/>
          <w:szCs w:val="24"/>
          <w:lang w:val="en-GB"/>
        </w:rPr>
        <w:t>Accountability</w:t>
      </w:r>
      <w:r w:rsidR="00180218" w:rsidRPr="003569BE">
        <w:rPr>
          <w:rFonts w:cs="Times New Roman"/>
          <w:szCs w:val="24"/>
          <w:lang w:val="en-GB"/>
        </w:rPr>
        <w:t xml:space="preserve"> Office (GAO)</w:t>
      </w:r>
      <w:r w:rsidR="001641BF" w:rsidRPr="003569BE">
        <w:rPr>
          <w:rFonts w:cs="Times New Roman"/>
          <w:szCs w:val="24"/>
          <w:lang w:val="en-GB"/>
        </w:rPr>
        <w:t>, i.e. former General Accounting Office which changed its legal name effective July 7, 2004,</w:t>
      </w:r>
      <w:r w:rsidR="00180218" w:rsidRPr="003569BE">
        <w:rPr>
          <w:rFonts w:cs="Times New Roman"/>
          <w:szCs w:val="24"/>
          <w:lang w:val="en-GB"/>
        </w:rPr>
        <w:t xml:space="preserve"> was </w:t>
      </w:r>
      <w:r w:rsidR="0031389E" w:rsidRPr="003569BE">
        <w:rPr>
          <w:rFonts w:cs="Times New Roman"/>
          <w:szCs w:val="24"/>
          <w:lang w:val="en-GB"/>
        </w:rPr>
        <w:t>appointed</w:t>
      </w:r>
      <w:r w:rsidR="00180218" w:rsidRPr="003569BE">
        <w:rPr>
          <w:rFonts w:cs="Times New Roman"/>
          <w:szCs w:val="24"/>
          <w:lang w:val="en-GB"/>
        </w:rPr>
        <w:t xml:space="preserve"> by the US Securities and Exchange Commission (SEC) to study the issue of the MAFR rule, reaching the conclusion that no clear evidence exists regarding the potential benefits of a MAFR rule</w:t>
      </w:r>
      <w:sdt>
        <w:sdtPr>
          <w:rPr>
            <w:rFonts w:cs="Times New Roman"/>
            <w:szCs w:val="24"/>
            <w:lang w:val="en-GB"/>
          </w:rPr>
          <w:id w:val="34868492"/>
          <w:citation/>
        </w:sdtPr>
        <w:sdtContent>
          <w:r w:rsidR="000E4BAF" w:rsidRPr="003569BE">
            <w:rPr>
              <w:rFonts w:cs="Times New Roman"/>
              <w:szCs w:val="24"/>
              <w:lang w:val="en-GB"/>
            </w:rPr>
            <w:fldChar w:fldCharType="begin"/>
          </w:r>
          <w:r w:rsidR="00D354E2" w:rsidRPr="003569BE">
            <w:rPr>
              <w:rFonts w:cs="Times New Roman"/>
              <w:szCs w:val="24"/>
              <w:lang w:val="en-GB"/>
            </w:rPr>
            <w:instrText xml:space="preserve">CITATION GAO08 \t  \l 1033 </w:instrText>
          </w:r>
          <w:r w:rsidR="000E4BAF" w:rsidRPr="003569BE">
            <w:rPr>
              <w:rFonts w:cs="Times New Roman"/>
              <w:szCs w:val="24"/>
              <w:lang w:val="en-GB"/>
            </w:rPr>
            <w:fldChar w:fldCharType="separate"/>
          </w:r>
          <w:r w:rsidR="008F7EB3" w:rsidRPr="003569BE">
            <w:rPr>
              <w:rFonts w:cs="Times New Roman"/>
              <w:noProof/>
              <w:szCs w:val="24"/>
              <w:lang w:val="en-GB"/>
            </w:rPr>
            <w:t xml:space="preserve"> (GAO, 2008)</w:t>
          </w:r>
          <w:r w:rsidR="000E4BAF" w:rsidRPr="003569BE">
            <w:rPr>
              <w:rFonts w:cs="Times New Roman"/>
              <w:szCs w:val="24"/>
              <w:lang w:val="en-GB"/>
            </w:rPr>
            <w:fldChar w:fldCharType="end"/>
          </w:r>
        </w:sdtContent>
      </w:sdt>
      <w:r w:rsidR="00180218" w:rsidRPr="003569BE">
        <w:rPr>
          <w:rFonts w:cs="Times New Roman"/>
          <w:szCs w:val="24"/>
          <w:lang w:val="en-GB"/>
        </w:rPr>
        <w:t xml:space="preserve">. However, the Public Company Accounting Oversight Board (PCAOB) issued a concept release, in which comments on the advantages and </w:t>
      </w:r>
      <w:r w:rsidR="008B71C0" w:rsidRPr="003569BE">
        <w:rPr>
          <w:rFonts w:cs="Times New Roman"/>
          <w:szCs w:val="24"/>
          <w:lang w:val="en-GB"/>
        </w:rPr>
        <w:t xml:space="preserve">the </w:t>
      </w:r>
      <w:r w:rsidR="00180218" w:rsidRPr="003569BE">
        <w:rPr>
          <w:rFonts w:cs="Times New Roman"/>
          <w:szCs w:val="24"/>
          <w:lang w:val="en-GB"/>
        </w:rPr>
        <w:t>disadvantages of MAFR are solicited</w:t>
      </w:r>
      <w:r w:rsidR="00F7438A" w:rsidRPr="003569BE">
        <w:rPr>
          <w:rFonts w:cs="Times New Roman"/>
          <w:szCs w:val="24"/>
          <w:lang w:val="en-GB"/>
        </w:rPr>
        <w:t xml:space="preserve"> </w:t>
      </w:r>
      <w:sdt>
        <w:sdtPr>
          <w:rPr>
            <w:rFonts w:cs="Times New Roman"/>
            <w:szCs w:val="24"/>
            <w:lang w:val="en-GB"/>
          </w:rPr>
          <w:id w:val="1324931406"/>
          <w:citation/>
        </w:sdtPr>
        <w:sdtContent>
          <w:r w:rsidR="000E4BAF" w:rsidRPr="003569BE">
            <w:rPr>
              <w:rFonts w:cs="Times New Roman"/>
              <w:szCs w:val="24"/>
              <w:lang w:val="en-GB"/>
            </w:rPr>
            <w:fldChar w:fldCharType="begin"/>
          </w:r>
          <w:r w:rsidR="00F7438A" w:rsidRPr="003569BE">
            <w:rPr>
              <w:rFonts w:cs="Times New Roman"/>
              <w:szCs w:val="24"/>
              <w:lang w:val="en-GB"/>
            </w:rPr>
            <w:instrText xml:space="preserve">CITATION PCA11 \l 1033 </w:instrText>
          </w:r>
          <w:r w:rsidR="000E4BAF" w:rsidRPr="003569BE">
            <w:rPr>
              <w:rFonts w:cs="Times New Roman"/>
              <w:szCs w:val="24"/>
              <w:lang w:val="en-GB"/>
            </w:rPr>
            <w:fldChar w:fldCharType="separate"/>
          </w:r>
          <w:r w:rsidR="008F7EB3" w:rsidRPr="003569BE">
            <w:rPr>
              <w:rFonts w:cs="Times New Roman"/>
              <w:noProof/>
              <w:szCs w:val="24"/>
              <w:lang w:val="en-GB"/>
            </w:rPr>
            <w:t>(PCAOB, 2011)</w:t>
          </w:r>
          <w:r w:rsidR="000E4BAF" w:rsidRPr="003569BE">
            <w:rPr>
              <w:rFonts w:cs="Times New Roman"/>
              <w:szCs w:val="24"/>
              <w:lang w:val="en-GB"/>
            </w:rPr>
            <w:fldChar w:fldCharType="end"/>
          </w:r>
        </w:sdtContent>
      </w:sdt>
      <w:r w:rsidR="00180218" w:rsidRPr="003569BE">
        <w:rPr>
          <w:rFonts w:cs="Times New Roman"/>
          <w:szCs w:val="24"/>
          <w:lang w:val="en-GB"/>
        </w:rPr>
        <w:t>.</w:t>
      </w:r>
    </w:p>
    <w:p w:rsidR="004A1E18" w:rsidRPr="003569BE" w:rsidRDefault="004A1E18" w:rsidP="004A1E18">
      <w:pPr>
        <w:pStyle w:val="Heading2"/>
        <w:numPr>
          <w:ilvl w:val="2"/>
          <w:numId w:val="6"/>
        </w:numPr>
        <w:spacing w:line="360" w:lineRule="auto"/>
        <w:rPr>
          <w:lang w:val="en-GB"/>
        </w:rPr>
      </w:pPr>
      <w:bookmarkStart w:id="10" w:name="_Toc396633542"/>
      <w:r w:rsidRPr="003569BE">
        <w:rPr>
          <w:lang w:val="en-GB"/>
        </w:rPr>
        <w:t xml:space="preserve">MAFR – </w:t>
      </w:r>
      <w:r w:rsidR="007754C4" w:rsidRPr="003569BE">
        <w:rPr>
          <w:lang w:val="en-GB"/>
        </w:rPr>
        <w:t xml:space="preserve">Potential </w:t>
      </w:r>
      <w:r w:rsidRPr="003569BE">
        <w:rPr>
          <w:lang w:val="en-GB"/>
        </w:rPr>
        <w:t>Advantages vs.</w:t>
      </w:r>
      <w:r w:rsidR="007754C4" w:rsidRPr="003569BE">
        <w:rPr>
          <w:lang w:val="en-GB"/>
        </w:rPr>
        <w:t xml:space="preserve"> Potential</w:t>
      </w:r>
      <w:r w:rsidRPr="003569BE">
        <w:rPr>
          <w:lang w:val="en-GB"/>
        </w:rPr>
        <w:t xml:space="preserve"> Disadvantages</w:t>
      </w:r>
      <w:bookmarkEnd w:id="10"/>
    </w:p>
    <w:p w:rsidR="00F70405" w:rsidRPr="003569BE" w:rsidRDefault="00DC10D4" w:rsidP="00531489">
      <w:pPr>
        <w:spacing w:line="360" w:lineRule="auto"/>
        <w:rPr>
          <w:rFonts w:cs="Times New Roman"/>
          <w:szCs w:val="24"/>
          <w:lang w:val="en-GB"/>
        </w:rPr>
      </w:pPr>
      <w:r w:rsidRPr="003569BE">
        <w:rPr>
          <w:rFonts w:cs="Times New Roman"/>
          <w:szCs w:val="24"/>
          <w:lang w:val="en-GB"/>
        </w:rPr>
        <w:t xml:space="preserve">Theory provides three main advantages of </w:t>
      </w:r>
      <w:r w:rsidR="006D2E0C" w:rsidRPr="003569BE">
        <w:rPr>
          <w:rFonts w:cs="Times New Roman"/>
          <w:szCs w:val="24"/>
          <w:lang w:val="en-GB"/>
        </w:rPr>
        <w:t xml:space="preserve">the </w:t>
      </w:r>
      <w:r w:rsidR="008B71C0" w:rsidRPr="003569BE">
        <w:rPr>
          <w:rFonts w:cs="Times New Roman"/>
          <w:szCs w:val="24"/>
          <w:lang w:val="en-GB"/>
        </w:rPr>
        <w:t xml:space="preserve">use of </w:t>
      </w:r>
      <w:r w:rsidRPr="003569BE">
        <w:rPr>
          <w:rFonts w:cs="Times New Roman"/>
          <w:szCs w:val="24"/>
          <w:lang w:val="en-GB"/>
        </w:rPr>
        <w:t xml:space="preserve">mandatory audit firm rotation. </w:t>
      </w:r>
      <w:r w:rsidR="009650E5" w:rsidRPr="003569BE">
        <w:rPr>
          <w:rFonts w:cs="Times New Roman"/>
          <w:szCs w:val="24"/>
          <w:lang w:val="en-GB"/>
        </w:rPr>
        <w:t>First, a</w:t>
      </w:r>
      <w:r w:rsidR="00203387" w:rsidRPr="003569BE">
        <w:rPr>
          <w:rFonts w:cs="Times New Roman"/>
          <w:szCs w:val="24"/>
          <w:lang w:val="en-GB"/>
        </w:rPr>
        <w:t xml:space="preserve"> </w:t>
      </w:r>
      <w:r w:rsidR="00E0751E" w:rsidRPr="003569BE">
        <w:rPr>
          <w:rFonts w:cs="Times New Roman"/>
          <w:szCs w:val="24"/>
          <w:lang w:val="en-GB"/>
        </w:rPr>
        <w:t>potential</w:t>
      </w:r>
      <w:r w:rsidR="009650E5" w:rsidRPr="003569BE">
        <w:rPr>
          <w:rFonts w:cs="Times New Roman"/>
          <w:szCs w:val="24"/>
          <w:lang w:val="en-GB"/>
        </w:rPr>
        <w:t xml:space="preserve"> increase in the auditors’ independence is </w:t>
      </w:r>
      <w:r w:rsidR="00E0751E" w:rsidRPr="003569BE">
        <w:rPr>
          <w:rFonts w:cs="Times New Roman"/>
          <w:szCs w:val="24"/>
          <w:lang w:val="en-GB"/>
        </w:rPr>
        <w:t>regarded</w:t>
      </w:r>
      <w:r w:rsidR="009650E5" w:rsidRPr="003569BE">
        <w:rPr>
          <w:rFonts w:cs="Times New Roman"/>
          <w:szCs w:val="24"/>
          <w:lang w:val="en-GB"/>
        </w:rPr>
        <w:t>.</w:t>
      </w:r>
      <w:r w:rsidR="004561FC" w:rsidRPr="003569BE">
        <w:rPr>
          <w:rFonts w:cs="Times New Roman"/>
          <w:szCs w:val="24"/>
          <w:lang w:val="en-GB"/>
        </w:rPr>
        <w:t xml:space="preserve"> The potential increase </w:t>
      </w:r>
      <w:r w:rsidR="006D2E0C" w:rsidRPr="003569BE">
        <w:rPr>
          <w:rFonts w:cs="Times New Roman"/>
          <w:szCs w:val="24"/>
          <w:lang w:val="en-GB"/>
        </w:rPr>
        <w:t xml:space="preserve">is </w:t>
      </w:r>
      <w:r w:rsidR="004561FC" w:rsidRPr="003569BE">
        <w:rPr>
          <w:rFonts w:cs="Times New Roman"/>
          <w:szCs w:val="24"/>
          <w:lang w:val="en-GB"/>
        </w:rPr>
        <w:t xml:space="preserve">in both </w:t>
      </w:r>
      <w:r w:rsidR="006D2E0C" w:rsidRPr="003569BE">
        <w:rPr>
          <w:rFonts w:cs="Times New Roman"/>
          <w:szCs w:val="24"/>
          <w:lang w:val="en-GB"/>
        </w:rPr>
        <w:t xml:space="preserve">the </w:t>
      </w:r>
      <w:r w:rsidR="004561FC" w:rsidRPr="003569BE">
        <w:rPr>
          <w:rFonts w:cs="Times New Roman"/>
          <w:szCs w:val="24"/>
          <w:lang w:val="en-GB"/>
        </w:rPr>
        <w:t xml:space="preserve">independence in mind and </w:t>
      </w:r>
      <w:r w:rsidR="008B71C0" w:rsidRPr="003569BE">
        <w:rPr>
          <w:rFonts w:cs="Times New Roman"/>
          <w:szCs w:val="24"/>
          <w:lang w:val="en-GB"/>
        </w:rPr>
        <w:t xml:space="preserve">the </w:t>
      </w:r>
      <w:r w:rsidR="004561FC" w:rsidRPr="003569BE">
        <w:rPr>
          <w:rFonts w:cs="Times New Roman"/>
          <w:szCs w:val="24"/>
          <w:lang w:val="en-GB"/>
        </w:rPr>
        <w:t xml:space="preserve">independence in appearance. Independence in mind represents the </w:t>
      </w:r>
      <w:r w:rsidR="005365FF" w:rsidRPr="003569BE">
        <w:rPr>
          <w:rFonts w:cs="Times New Roman"/>
          <w:szCs w:val="24"/>
          <w:lang w:val="en-GB"/>
        </w:rPr>
        <w:t>actual independence</w:t>
      </w:r>
      <w:r w:rsidR="004561FC" w:rsidRPr="003569BE">
        <w:rPr>
          <w:rFonts w:cs="Times New Roman"/>
          <w:szCs w:val="24"/>
          <w:lang w:val="en-GB"/>
        </w:rPr>
        <w:t xml:space="preserve"> that is the auditor’s state of mind that allows the audit to be conducted in such a way that the principles of independence, integrity, objectivity and professional scepticism are respected.</w:t>
      </w:r>
      <w:r w:rsidR="00310ABD" w:rsidRPr="003569BE">
        <w:rPr>
          <w:rFonts w:cs="Times New Roman"/>
          <w:szCs w:val="24"/>
          <w:lang w:val="en-GB"/>
        </w:rPr>
        <w:t xml:space="preserve"> </w:t>
      </w:r>
      <w:r w:rsidR="00C12B91" w:rsidRPr="003569BE">
        <w:rPr>
          <w:rFonts w:cs="Times New Roman"/>
          <w:szCs w:val="24"/>
          <w:lang w:val="en-GB"/>
        </w:rPr>
        <w:t xml:space="preserve">Independence in appearance is the </w:t>
      </w:r>
      <w:r w:rsidR="000A678A" w:rsidRPr="003569BE">
        <w:rPr>
          <w:rFonts w:cs="Times New Roman"/>
          <w:szCs w:val="24"/>
          <w:lang w:val="en-GB"/>
        </w:rPr>
        <w:t>perceived independence</w:t>
      </w:r>
      <w:r w:rsidR="00C12B91" w:rsidRPr="003569BE">
        <w:rPr>
          <w:rFonts w:cs="Times New Roman"/>
          <w:szCs w:val="24"/>
          <w:lang w:val="en-GB"/>
        </w:rPr>
        <w:t xml:space="preserve"> that is </w:t>
      </w:r>
      <w:r w:rsidR="00303CC1" w:rsidRPr="003569BE">
        <w:rPr>
          <w:rFonts w:cs="Times New Roman"/>
          <w:szCs w:val="24"/>
          <w:lang w:val="en-GB"/>
        </w:rPr>
        <w:t>how</w:t>
      </w:r>
      <w:r w:rsidR="00097CC4" w:rsidRPr="003569BE">
        <w:rPr>
          <w:rFonts w:cs="Times New Roman"/>
          <w:szCs w:val="24"/>
          <w:lang w:val="en-GB"/>
        </w:rPr>
        <w:t xml:space="preserve"> </w:t>
      </w:r>
      <w:r w:rsidR="00303CC1" w:rsidRPr="003569BE">
        <w:rPr>
          <w:rFonts w:cs="Times New Roman"/>
          <w:szCs w:val="24"/>
          <w:lang w:val="en-GB"/>
        </w:rPr>
        <w:t>the public</w:t>
      </w:r>
      <w:r w:rsidR="00C12B91" w:rsidRPr="003569BE">
        <w:rPr>
          <w:rFonts w:cs="Times New Roman"/>
          <w:szCs w:val="24"/>
          <w:lang w:val="en-GB"/>
        </w:rPr>
        <w:t xml:space="preserve"> </w:t>
      </w:r>
      <w:r w:rsidR="00303CC1" w:rsidRPr="003569BE">
        <w:rPr>
          <w:rFonts w:cs="Times New Roman"/>
          <w:szCs w:val="24"/>
          <w:lang w:val="en-GB"/>
        </w:rPr>
        <w:t xml:space="preserve">sees and interprets </w:t>
      </w:r>
      <w:r w:rsidR="00C12B91" w:rsidRPr="003569BE">
        <w:rPr>
          <w:rFonts w:cs="Times New Roman"/>
          <w:szCs w:val="24"/>
          <w:lang w:val="en-GB"/>
        </w:rPr>
        <w:t>the auditors’ independence.</w:t>
      </w:r>
      <w:r w:rsidR="001F6075" w:rsidRPr="003569BE">
        <w:rPr>
          <w:rFonts w:cs="Times New Roman"/>
          <w:szCs w:val="24"/>
          <w:lang w:val="en-GB"/>
        </w:rPr>
        <w:t xml:space="preserve"> Second, an improvement in </w:t>
      </w:r>
      <w:r w:rsidR="008B71C0" w:rsidRPr="003569BE">
        <w:rPr>
          <w:rFonts w:cs="Times New Roman"/>
          <w:szCs w:val="24"/>
          <w:lang w:val="en-GB"/>
        </w:rPr>
        <w:t xml:space="preserve">the </w:t>
      </w:r>
      <w:r w:rsidR="001F6075" w:rsidRPr="003569BE">
        <w:rPr>
          <w:rFonts w:cs="Times New Roman"/>
          <w:szCs w:val="24"/>
          <w:lang w:val="en-GB"/>
        </w:rPr>
        <w:t xml:space="preserve">audit quality is considered. </w:t>
      </w:r>
      <w:r w:rsidR="00A17295" w:rsidRPr="003569BE">
        <w:rPr>
          <w:rFonts w:cs="Times New Roman"/>
          <w:szCs w:val="24"/>
          <w:lang w:val="en-GB"/>
        </w:rPr>
        <w:t>DeAngelo (1981) defines audit quality as “the market-assessed joint probability that a</w:t>
      </w:r>
      <w:r w:rsidR="00460CAD" w:rsidRPr="003569BE">
        <w:rPr>
          <w:rFonts w:cs="Times New Roman"/>
          <w:szCs w:val="24"/>
          <w:lang w:val="en-GB"/>
        </w:rPr>
        <w:t>n</w:t>
      </w:r>
      <w:r w:rsidR="00A17295" w:rsidRPr="003569BE">
        <w:rPr>
          <w:rFonts w:cs="Times New Roman"/>
          <w:szCs w:val="24"/>
          <w:lang w:val="en-GB"/>
        </w:rPr>
        <w:t xml:space="preserve"> auditor will </w:t>
      </w:r>
      <w:r w:rsidR="00A17295" w:rsidRPr="003569BE">
        <w:rPr>
          <w:rFonts w:cs="Times New Roman"/>
          <w:i/>
          <w:szCs w:val="24"/>
          <w:lang w:val="en-GB"/>
        </w:rPr>
        <w:t xml:space="preserve">both </w:t>
      </w:r>
      <w:r w:rsidR="00A17295" w:rsidRPr="003569BE">
        <w:rPr>
          <w:rFonts w:cs="Times New Roman"/>
          <w:szCs w:val="24"/>
          <w:lang w:val="en-GB"/>
        </w:rPr>
        <w:t xml:space="preserve">(a) discover a breach in the client’s accounting system, and (b) report the breach” </w:t>
      </w:r>
      <w:sdt>
        <w:sdtPr>
          <w:rPr>
            <w:rFonts w:cs="Times New Roman"/>
            <w:szCs w:val="24"/>
            <w:lang w:val="en-GB"/>
          </w:rPr>
          <w:id w:val="865176028"/>
          <w:citation/>
        </w:sdtPr>
        <w:sdtContent>
          <w:r w:rsidR="000E4BAF" w:rsidRPr="003569BE">
            <w:rPr>
              <w:rFonts w:cs="Times New Roman"/>
              <w:szCs w:val="24"/>
              <w:lang w:val="en-GB"/>
            </w:rPr>
            <w:fldChar w:fldCharType="begin"/>
          </w:r>
          <w:r w:rsidR="00974B19" w:rsidRPr="003569BE">
            <w:rPr>
              <w:rFonts w:cs="Times New Roman"/>
              <w:szCs w:val="24"/>
              <w:lang w:val="en-GB"/>
            </w:rPr>
            <w:instrText xml:space="preserve">CITATION DeA81 \p 186 \t  \l 1033 </w:instrText>
          </w:r>
          <w:r w:rsidR="000E4BAF" w:rsidRPr="003569BE">
            <w:rPr>
              <w:rFonts w:cs="Times New Roman"/>
              <w:szCs w:val="24"/>
              <w:lang w:val="en-GB"/>
            </w:rPr>
            <w:fldChar w:fldCharType="separate"/>
          </w:r>
          <w:r w:rsidR="008F7EB3" w:rsidRPr="003569BE">
            <w:rPr>
              <w:rFonts w:cs="Times New Roman"/>
              <w:noProof/>
              <w:szCs w:val="24"/>
              <w:lang w:val="en-GB"/>
            </w:rPr>
            <w:t>(DeAngelo, 1981, p. 186)</w:t>
          </w:r>
          <w:r w:rsidR="000E4BAF" w:rsidRPr="003569BE">
            <w:rPr>
              <w:rFonts w:cs="Times New Roman"/>
              <w:szCs w:val="24"/>
              <w:lang w:val="en-GB"/>
            </w:rPr>
            <w:fldChar w:fldCharType="end"/>
          </w:r>
        </w:sdtContent>
      </w:sdt>
      <w:r w:rsidR="00A17295" w:rsidRPr="003569BE">
        <w:rPr>
          <w:rFonts w:cs="Times New Roman"/>
          <w:szCs w:val="24"/>
          <w:lang w:val="en-GB"/>
        </w:rPr>
        <w:t xml:space="preserve">. </w:t>
      </w:r>
      <w:r w:rsidR="00800C29" w:rsidRPr="003569BE">
        <w:rPr>
          <w:rFonts w:cs="Times New Roman"/>
          <w:szCs w:val="24"/>
          <w:lang w:val="en-GB"/>
        </w:rPr>
        <w:t xml:space="preserve">The third potential advantage of </w:t>
      </w:r>
      <w:r w:rsidR="008B71C0" w:rsidRPr="003569BE">
        <w:rPr>
          <w:rFonts w:cs="Times New Roman"/>
          <w:szCs w:val="24"/>
          <w:lang w:val="en-GB"/>
        </w:rPr>
        <w:t xml:space="preserve">the </w:t>
      </w:r>
      <w:r w:rsidR="00800C29" w:rsidRPr="003569BE">
        <w:rPr>
          <w:rFonts w:cs="Times New Roman"/>
          <w:szCs w:val="24"/>
          <w:lang w:val="en-GB"/>
        </w:rPr>
        <w:t>mandatory audit firm rotation refers to the audit capital market competition</w:t>
      </w:r>
      <w:r w:rsidR="00CC6BF0" w:rsidRPr="003569BE">
        <w:rPr>
          <w:rFonts w:cs="Times New Roman"/>
          <w:szCs w:val="24"/>
          <w:lang w:val="en-GB"/>
        </w:rPr>
        <w:t xml:space="preserve">. This advantage implies that </w:t>
      </w:r>
      <w:r w:rsidR="008B71C0" w:rsidRPr="003569BE">
        <w:rPr>
          <w:rFonts w:cs="Times New Roman"/>
          <w:szCs w:val="24"/>
          <w:lang w:val="en-GB"/>
        </w:rPr>
        <w:t xml:space="preserve">the </w:t>
      </w:r>
      <w:r w:rsidR="00CB73BA" w:rsidRPr="003569BE">
        <w:rPr>
          <w:rFonts w:cs="Times New Roman"/>
          <w:szCs w:val="24"/>
          <w:lang w:val="en-GB"/>
        </w:rPr>
        <w:t xml:space="preserve">mandatory </w:t>
      </w:r>
      <w:r w:rsidR="00CC6BF0" w:rsidRPr="003569BE">
        <w:rPr>
          <w:rFonts w:cs="Times New Roman"/>
          <w:szCs w:val="24"/>
          <w:lang w:val="en-GB"/>
        </w:rPr>
        <w:t xml:space="preserve">rotation could </w:t>
      </w:r>
      <w:r w:rsidR="00C84C45" w:rsidRPr="003569BE">
        <w:rPr>
          <w:rFonts w:cs="Times New Roman"/>
          <w:szCs w:val="24"/>
          <w:lang w:val="en-GB"/>
        </w:rPr>
        <w:t>increase</w:t>
      </w:r>
      <w:r w:rsidR="00CC6BF0" w:rsidRPr="003569BE">
        <w:rPr>
          <w:rFonts w:cs="Times New Roman"/>
          <w:szCs w:val="24"/>
          <w:lang w:val="en-GB"/>
        </w:rPr>
        <w:t xml:space="preserve"> the competition between </w:t>
      </w:r>
      <w:r w:rsidR="008B71C0" w:rsidRPr="003569BE">
        <w:rPr>
          <w:rFonts w:cs="Times New Roman"/>
          <w:szCs w:val="24"/>
          <w:lang w:val="en-GB"/>
        </w:rPr>
        <w:t xml:space="preserve">the </w:t>
      </w:r>
      <w:r w:rsidR="00CC6BF0" w:rsidRPr="003569BE">
        <w:rPr>
          <w:rFonts w:cs="Times New Roman"/>
          <w:szCs w:val="24"/>
          <w:lang w:val="en-GB"/>
        </w:rPr>
        <w:t xml:space="preserve">Big4 and </w:t>
      </w:r>
      <w:r w:rsidR="008B71C0" w:rsidRPr="003569BE">
        <w:rPr>
          <w:rFonts w:cs="Times New Roman"/>
          <w:szCs w:val="24"/>
          <w:lang w:val="en-GB"/>
        </w:rPr>
        <w:t xml:space="preserve">the </w:t>
      </w:r>
      <w:r w:rsidR="00CC6BF0" w:rsidRPr="003569BE">
        <w:rPr>
          <w:rFonts w:cs="Times New Roman"/>
          <w:szCs w:val="24"/>
          <w:lang w:val="en-GB"/>
        </w:rPr>
        <w:t>non-Big4 audit firms</w:t>
      </w:r>
      <w:r w:rsidR="003F4FDE" w:rsidRPr="003569BE">
        <w:rPr>
          <w:rFonts w:cs="Times New Roman"/>
          <w:szCs w:val="24"/>
          <w:lang w:val="en-GB"/>
        </w:rPr>
        <w:t>.</w:t>
      </w:r>
    </w:p>
    <w:p w:rsidR="00DA4542" w:rsidRPr="003569BE" w:rsidRDefault="008B71C0" w:rsidP="00531489">
      <w:pPr>
        <w:spacing w:line="360" w:lineRule="auto"/>
        <w:rPr>
          <w:rFonts w:cs="Times New Roman"/>
          <w:szCs w:val="24"/>
          <w:lang w:val="en-GB"/>
        </w:rPr>
      </w:pPr>
      <w:r w:rsidRPr="003569BE">
        <w:rPr>
          <w:rFonts w:cs="Times New Roman"/>
          <w:szCs w:val="24"/>
          <w:lang w:val="en-GB"/>
        </w:rPr>
        <w:t>Alternatively</w:t>
      </w:r>
      <w:r w:rsidR="005A402A" w:rsidRPr="003569BE">
        <w:rPr>
          <w:rFonts w:cs="Times New Roman"/>
          <w:szCs w:val="24"/>
          <w:lang w:val="en-GB"/>
        </w:rPr>
        <w:t>, the po</w:t>
      </w:r>
      <w:r w:rsidR="00401063" w:rsidRPr="003569BE">
        <w:rPr>
          <w:rFonts w:cs="Times New Roman"/>
          <w:szCs w:val="24"/>
          <w:lang w:val="en-GB"/>
        </w:rPr>
        <w:t>tential disadvantages consist of matters regarding the increased costs generated by the mandatory audit firm rotation.</w:t>
      </w:r>
      <w:r w:rsidR="00856BE2" w:rsidRPr="003569BE">
        <w:rPr>
          <w:rFonts w:cs="Times New Roman"/>
          <w:szCs w:val="24"/>
          <w:lang w:val="en-GB"/>
        </w:rPr>
        <w:t xml:space="preserve"> </w:t>
      </w:r>
      <w:r w:rsidR="00C73EA6" w:rsidRPr="003569BE">
        <w:rPr>
          <w:rFonts w:cs="Times New Roman"/>
          <w:szCs w:val="24"/>
          <w:lang w:val="en-GB"/>
        </w:rPr>
        <w:t xml:space="preserve">These costs arise from the necessity of the new auditor to become familiar with the client practices </w:t>
      </w:r>
      <w:r w:rsidR="007A0C1D" w:rsidRPr="003569BE">
        <w:rPr>
          <w:rFonts w:cs="Times New Roman"/>
          <w:szCs w:val="24"/>
          <w:lang w:val="en-GB"/>
        </w:rPr>
        <w:t>in order for the audit</w:t>
      </w:r>
      <w:r w:rsidR="00C73EA6" w:rsidRPr="003569BE">
        <w:rPr>
          <w:rFonts w:cs="Times New Roman"/>
          <w:szCs w:val="24"/>
          <w:lang w:val="en-GB"/>
        </w:rPr>
        <w:t xml:space="preserve"> </w:t>
      </w:r>
      <w:r w:rsidRPr="003569BE">
        <w:rPr>
          <w:rFonts w:cs="Times New Roman"/>
          <w:szCs w:val="24"/>
          <w:lang w:val="en-GB"/>
        </w:rPr>
        <w:t>to be properly performed</w:t>
      </w:r>
      <w:r w:rsidR="00AF02E0" w:rsidRPr="003569BE">
        <w:rPr>
          <w:rFonts w:cs="Times New Roman"/>
          <w:szCs w:val="24"/>
          <w:lang w:val="en-GB"/>
        </w:rPr>
        <w:t>.</w:t>
      </w:r>
      <w:r w:rsidR="003F7098" w:rsidRPr="003569BE">
        <w:rPr>
          <w:rFonts w:cs="Times New Roman"/>
          <w:szCs w:val="24"/>
          <w:lang w:val="en-GB"/>
        </w:rPr>
        <w:t xml:space="preserve"> </w:t>
      </w:r>
      <w:r w:rsidRPr="003569BE">
        <w:rPr>
          <w:rFonts w:cs="Times New Roman"/>
          <w:szCs w:val="24"/>
          <w:lang w:val="en-GB"/>
        </w:rPr>
        <w:t>In this situation</w:t>
      </w:r>
      <w:r w:rsidR="00116775" w:rsidRPr="003569BE">
        <w:rPr>
          <w:rFonts w:cs="Times New Roman"/>
          <w:szCs w:val="24"/>
          <w:lang w:val="en-GB"/>
        </w:rPr>
        <w:t>, it is essential to distinguish between</w:t>
      </w:r>
      <w:r w:rsidRPr="003569BE">
        <w:rPr>
          <w:rFonts w:cs="Times New Roman"/>
          <w:szCs w:val="24"/>
          <w:lang w:val="en-GB"/>
        </w:rPr>
        <w:t xml:space="preserve"> </w:t>
      </w:r>
      <w:r w:rsidR="00600B9C" w:rsidRPr="003569BE">
        <w:rPr>
          <w:rFonts w:cs="Times New Roman"/>
          <w:szCs w:val="24"/>
          <w:lang w:val="en-GB"/>
        </w:rPr>
        <w:t>t</w:t>
      </w:r>
      <w:r w:rsidR="002E6253" w:rsidRPr="003569BE">
        <w:rPr>
          <w:rFonts w:cs="Times New Roman"/>
          <w:szCs w:val="24"/>
          <w:lang w:val="en-GB"/>
        </w:rPr>
        <w:t xml:space="preserve">wo types of costs: audit costs, which would eventually </w:t>
      </w:r>
      <w:r w:rsidRPr="003569BE">
        <w:rPr>
          <w:rFonts w:cs="Times New Roman"/>
          <w:szCs w:val="24"/>
          <w:lang w:val="en-GB"/>
        </w:rPr>
        <w:t xml:space="preserve">create </w:t>
      </w:r>
      <w:r w:rsidR="002E6253" w:rsidRPr="003569BE">
        <w:rPr>
          <w:rFonts w:cs="Times New Roman"/>
          <w:szCs w:val="24"/>
          <w:lang w:val="en-GB"/>
        </w:rPr>
        <w:t xml:space="preserve">an increase in audit fees, and support costs for the client, i.e. material resources and personnel assistance for the new auditor, which </w:t>
      </w:r>
      <w:r w:rsidR="00306913" w:rsidRPr="003569BE">
        <w:rPr>
          <w:rFonts w:cs="Times New Roman"/>
          <w:szCs w:val="24"/>
          <w:lang w:val="en-GB"/>
        </w:rPr>
        <w:t xml:space="preserve">would ultimately </w:t>
      </w:r>
      <w:r w:rsidRPr="003569BE">
        <w:rPr>
          <w:rFonts w:cs="Times New Roman"/>
          <w:szCs w:val="24"/>
          <w:lang w:val="en-GB"/>
        </w:rPr>
        <w:t xml:space="preserve">create </w:t>
      </w:r>
      <w:r w:rsidR="00306913" w:rsidRPr="003569BE">
        <w:rPr>
          <w:rFonts w:cs="Times New Roman"/>
          <w:szCs w:val="24"/>
          <w:lang w:val="en-GB"/>
        </w:rPr>
        <w:t xml:space="preserve">a </w:t>
      </w:r>
      <w:r w:rsidR="002E6253" w:rsidRPr="003569BE">
        <w:rPr>
          <w:rFonts w:cs="Times New Roman"/>
          <w:szCs w:val="24"/>
          <w:lang w:val="en-GB"/>
        </w:rPr>
        <w:t>decrease in the client’s profitability.</w:t>
      </w:r>
    </w:p>
    <w:p w:rsidR="008413B2" w:rsidRPr="003569BE" w:rsidRDefault="00D82FD1" w:rsidP="00531489">
      <w:pPr>
        <w:spacing w:line="360" w:lineRule="auto"/>
        <w:rPr>
          <w:rFonts w:cs="Times New Roman"/>
          <w:szCs w:val="24"/>
          <w:lang w:val="en-GB"/>
        </w:rPr>
      </w:pPr>
      <w:r w:rsidRPr="003569BE">
        <w:rPr>
          <w:rFonts w:cs="Times New Roman"/>
          <w:szCs w:val="24"/>
          <w:lang w:val="en-GB"/>
        </w:rPr>
        <w:t xml:space="preserve">A more thorough </w:t>
      </w:r>
      <w:r w:rsidR="006D2E0C" w:rsidRPr="003569BE">
        <w:rPr>
          <w:rFonts w:cs="Times New Roman"/>
          <w:szCs w:val="24"/>
          <w:lang w:val="en-GB"/>
        </w:rPr>
        <w:t xml:space="preserve">explanation </w:t>
      </w:r>
      <w:r w:rsidRPr="003569BE">
        <w:rPr>
          <w:rFonts w:cs="Times New Roman"/>
          <w:szCs w:val="24"/>
          <w:lang w:val="en-GB"/>
        </w:rPr>
        <w:t xml:space="preserve">of the potential advantages and disadvantages of </w:t>
      </w:r>
      <w:r w:rsidR="006D2E0C" w:rsidRPr="003569BE">
        <w:rPr>
          <w:rFonts w:cs="Times New Roman"/>
          <w:szCs w:val="24"/>
          <w:lang w:val="en-GB"/>
        </w:rPr>
        <w:t xml:space="preserve">the </w:t>
      </w:r>
      <w:r w:rsidRPr="003569BE">
        <w:rPr>
          <w:rFonts w:cs="Times New Roman"/>
          <w:szCs w:val="24"/>
          <w:lang w:val="en-GB"/>
        </w:rPr>
        <w:t>mandatory audit firm rotation</w:t>
      </w:r>
      <w:r w:rsidR="006D2E0C" w:rsidRPr="003569BE">
        <w:rPr>
          <w:rFonts w:cs="Times New Roman"/>
          <w:szCs w:val="24"/>
          <w:lang w:val="en-GB"/>
        </w:rPr>
        <w:t xml:space="preserve"> in the next section of this thesis </w:t>
      </w:r>
      <w:r w:rsidRPr="003569BE">
        <w:rPr>
          <w:rFonts w:cs="Times New Roman"/>
          <w:szCs w:val="24"/>
          <w:lang w:val="en-GB"/>
        </w:rPr>
        <w:t xml:space="preserve">is presented </w:t>
      </w:r>
      <w:r w:rsidR="006D2E0C" w:rsidRPr="003569BE">
        <w:rPr>
          <w:rFonts w:cs="Times New Roman"/>
          <w:szCs w:val="24"/>
          <w:lang w:val="en-GB"/>
        </w:rPr>
        <w:t xml:space="preserve">in which </w:t>
      </w:r>
      <w:r w:rsidRPr="003569BE">
        <w:rPr>
          <w:rFonts w:cs="Times New Roman"/>
          <w:szCs w:val="24"/>
          <w:lang w:val="en-GB"/>
        </w:rPr>
        <w:t xml:space="preserve">the arguments of </w:t>
      </w:r>
      <w:r w:rsidR="006D2E0C" w:rsidRPr="003569BE">
        <w:rPr>
          <w:rFonts w:cs="Times New Roman"/>
          <w:szCs w:val="24"/>
          <w:lang w:val="en-GB"/>
        </w:rPr>
        <w:t xml:space="preserve">the </w:t>
      </w:r>
      <w:r w:rsidRPr="003569BE">
        <w:rPr>
          <w:rFonts w:cs="Times New Roman"/>
          <w:szCs w:val="24"/>
          <w:lang w:val="en-GB"/>
        </w:rPr>
        <w:t xml:space="preserve">advocates and </w:t>
      </w:r>
      <w:r w:rsidR="006D2E0C" w:rsidRPr="003569BE">
        <w:rPr>
          <w:rFonts w:cs="Times New Roman"/>
          <w:szCs w:val="24"/>
          <w:lang w:val="en-GB"/>
        </w:rPr>
        <w:t xml:space="preserve">of the </w:t>
      </w:r>
      <w:r w:rsidRPr="003569BE">
        <w:rPr>
          <w:rFonts w:cs="Times New Roman"/>
          <w:szCs w:val="24"/>
          <w:lang w:val="en-GB"/>
        </w:rPr>
        <w:t xml:space="preserve">opponents of MAFR </w:t>
      </w:r>
      <w:r w:rsidR="006D2E0C" w:rsidRPr="003569BE">
        <w:rPr>
          <w:rFonts w:cs="Times New Roman"/>
          <w:szCs w:val="24"/>
          <w:lang w:val="en-GB"/>
        </w:rPr>
        <w:t>will presented</w:t>
      </w:r>
      <w:r w:rsidR="00F7340A" w:rsidRPr="003569BE">
        <w:rPr>
          <w:rFonts w:cs="Times New Roman"/>
          <w:szCs w:val="24"/>
          <w:lang w:val="en-GB"/>
        </w:rPr>
        <w:t xml:space="preserve">, as well as the positions of </w:t>
      </w:r>
      <w:r w:rsidR="006D2E0C" w:rsidRPr="003569BE">
        <w:rPr>
          <w:rFonts w:cs="Times New Roman"/>
          <w:szCs w:val="24"/>
          <w:lang w:val="en-GB"/>
        </w:rPr>
        <w:t xml:space="preserve">the </w:t>
      </w:r>
      <w:r w:rsidR="00F7340A" w:rsidRPr="003569BE">
        <w:rPr>
          <w:rFonts w:cs="Times New Roman"/>
          <w:szCs w:val="24"/>
          <w:lang w:val="en-GB"/>
        </w:rPr>
        <w:t xml:space="preserve">regulators and </w:t>
      </w:r>
      <w:r w:rsidR="006D2E0C" w:rsidRPr="003569BE">
        <w:rPr>
          <w:rFonts w:cs="Times New Roman"/>
          <w:szCs w:val="24"/>
          <w:lang w:val="en-GB"/>
        </w:rPr>
        <w:t xml:space="preserve">of the </w:t>
      </w:r>
      <w:r w:rsidR="00F7340A" w:rsidRPr="003569BE">
        <w:rPr>
          <w:rFonts w:cs="Times New Roman"/>
          <w:szCs w:val="24"/>
          <w:lang w:val="en-GB"/>
        </w:rPr>
        <w:t>dependent bodies</w:t>
      </w:r>
      <w:r w:rsidRPr="003569BE">
        <w:rPr>
          <w:rFonts w:cs="Times New Roman"/>
          <w:szCs w:val="24"/>
          <w:lang w:val="en-GB"/>
        </w:rPr>
        <w:t>.</w:t>
      </w:r>
    </w:p>
    <w:p w:rsidR="00C91A85" w:rsidRPr="003569BE" w:rsidRDefault="0086349E" w:rsidP="00846EA1">
      <w:pPr>
        <w:pStyle w:val="Heading2"/>
        <w:numPr>
          <w:ilvl w:val="2"/>
          <w:numId w:val="6"/>
        </w:numPr>
        <w:spacing w:line="360" w:lineRule="auto"/>
        <w:rPr>
          <w:lang w:val="en-GB"/>
        </w:rPr>
      </w:pPr>
      <w:bookmarkStart w:id="11" w:name="_Toc396633543"/>
      <w:r w:rsidRPr="003569BE">
        <w:rPr>
          <w:lang w:val="en-GB"/>
        </w:rPr>
        <w:lastRenderedPageBreak/>
        <w:t xml:space="preserve">Advocates vs. Opponents of MAFR: </w:t>
      </w:r>
      <w:r w:rsidR="00C91A85" w:rsidRPr="003569BE">
        <w:rPr>
          <w:lang w:val="en-GB"/>
        </w:rPr>
        <w:t xml:space="preserve">What are the positions of </w:t>
      </w:r>
      <w:r w:rsidR="008B71C0" w:rsidRPr="003569BE">
        <w:rPr>
          <w:lang w:val="en-GB"/>
        </w:rPr>
        <w:t xml:space="preserve">the </w:t>
      </w:r>
      <w:r w:rsidR="00C91A85" w:rsidRPr="003569BE">
        <w:rPr>
          <w:lang w:val="en-GB"/>
        </w:rPr>
        <w:t xml:space="preserve">regulators and </w:t>
      </w:r>
      <w:r w:rsidR="008B71C0" w:rsidRPr="003569BE">
        <w:rPr>
          <w:lang w:val="en-GB"/>
        </w:rPr>
        <w:t xml:space="preserve">of the </w:t>
      </w:r>
      <w:r w:rsidR="00C91A85" w:rsidRPr="003569BE">
        <w:rPr>
          <w:lang w:val="en-GB"/>
        </w:rPr>
        <w:t>dependent bodies?</w:t>
      </w:r>
      <w:bookmarkEnd w:id="11"/>
      <w:r w:rsidR="0077507A" w:rsidRPr="003569BE">
        <w:rPr>
          <w:lang w:val="en-GB"/>
        </w:rPr>
        <w:t xml:space="preserve"> </w:t>
      </w:r>
    </w:p>
    <w:p w:rsidR="003873D5" w:rsidRPr="003569BE" w:rsidRDefault="00E028ED" w:rsidP="00713496">
      <w:pPr>
        <w:spacing w:line="360" w:lineRule="auto"/>
        <w:rPr>
          <w:rFonts w:cs="Times New Roman"/>
          <w:szCs w:val="24"/>
          <w:lang w:val="en-GB"/>
        </w:rPr>
      </w:pPr>
      <w:r w:rsidRPr="003569BE">
        <w:rPr>
          <w:rFonts w:cs="Times New Roman"/>
          <w:szCs w:val="24"/>
          <w:lang w:val="en-GB"/>
        </w:rPr>
        <w:t xml:space="preserve">As signalled before, </w:t>
      </w:r>
      <w:r w:rsidR="002C3E01" w:rsidRPr="003569BE">
        <w:rPr>
          <w:rFonts w:cs="Times New Roman"/>
          <w:szCs w:val="24"/>
          <w:lang w:val="en-GB"/>
        </w:rPr>
        <w:t>after the auditors’ independence issues have been revealed by the financial reporting scandals,</w:t>
      </w:r>
      <w:r w:rsidR="004C42B1" w:rsidRPr="003569BE">
        <w:rPr>
          <w:rFonts w:cs="Times New Roman"/>
          <w:szCs w:val="24"/>
          <w:lang w:val="en-GB"/>
        </w:rPr>
        <w:t xml:space="preserve"> mandatory audit firm rotation</w:t>
      </w:r>
      <w:r w:rsidR="002C3E01" w:rsidRPr="003569BE">
        <w:rPr>
          <w:rFonts w:cs="Times New Roman"/>
          <w:szCs w:val="24"/>
          <w:lang w:val="en-GB"/>
        </w:rPr>
        <w:t xml:space="preserve"> </w:t>
      </w:r>
      <w:r w:rsidRPr="003569BE">
        <w:rPr>
          <w:rFonts w:cs="Times New Roman"/>
          <w:szCs w:val="24"/>
          <w:lang w:val="en-GB"/>
        </w:rPr>
        <w:t xml:space="preserve">has been extensively </w:t>
      </w:r>
      <w:r w:rsidR="002C3E01" w:rsidRPr="003569BE">
        <w:rPr>
          <w:rFonts w:cs="Times New Roman"/>
          <w:szCs w:val="24"/>
          <w:lang w:val="en-GB"/>
        </w:rPr>
        <w:t>commented</w:t>
      </w:r>
      <w:r w:rsidR="00460CAD" w:rsidRPr="003569BE">
        <w:rPr>
          <w:rFonts w:cs="Times New Roman"/>
          <w:szCs w:val="24"/>
          <w:lang w:val="en-GB"/>
        </w:rPr>
        <w:t xml:space="preserve"> worldwide. </w:t>
      </w:r>
      <w:r w:rsidR="00735D4D" w:rsidRPr="003569BE">
        <w:rPr>
          <w:rFonts w:cs="Times New Roman"/>
          <w:szCs w:val="24"/>
          <w:lang w:val="en-GB"/>
        </w:rPr>
        <w:t xml:space="preserve">The positions of </w:t>
      </w:r>
      <w:r w:rsidR="002C3E01" w:rsidRPr="003569BE">
        <w:rPr>
          <w:rFonts w:cs="Times New Roman"/>
          <w:szCs w:val="24"/>
          <w:lang w:val="en-GB"/>
        </w:rPr>
        <w:t xml:space="preserve">the </w:t>
      </w:r>
      <w:r w:rsidR="00735D4D" w:rsidRPr="003569BE">
        <w:rPr>
          <w:rFonts w:cs="Times New Roman"/>
          <w:szCs w:val="24"/>
          <w:lang w:val="en-GB"/>
        </w:rPr>
        <w:t xml:space="preserve">advocates and </w:t>
      </w:r>
      <w:r w:rsidR="002C3E01" w:rsidRPr="003569BE">
        <w:rPr>
          <w:rFonts w:cs="Times New Roman"/>
          <w:szCs w:val="24"/>
          <w:lang w:val="en-GB"/>
        </w:rPr>
        <w:t xml:space="preserve">the </w:t>
      </w:r>
      <w:r w:rsidR="00735D4D" w:rsidRPr="003569BE">
        <w:rPr>
          <w:rFonts w:cs="Times New Roman"/>
          <w:szCs w:val="24"/>
          <w:lang w:val="en-GB"/>
        </w:rPr>
        <w:t xml:space="preserve">opponents of the mandatory rotation are included in the review study </w:t>
      </w:r>
      <w:r w:rsidR="002C3E01" w:rsidRPr="003569BE">
        <w:rPr>
          <w:rFonts w:cs="Times New Roman"/>
          <w:szCs w:val="24"/>
          <w:lang w:val="en-GB"/>
        </w:rPr>
        <w:t xml:space="preserve">by </w:t>
      </w:r>
      <w:r w:rsidR="00735D4D" w:rsidRPr="003569BE">
        <w:rPr>
          <w:rFonts w:cs="Times New Roman"/>
          <w:szCs w:val="24"/>
          <w:lang w:val="en-GB"/>
        </w:rPr>
        <w:t>Raiborn et Al. (2006), who summarized the arguments of both sides</w:t>
      </w:r>
      <w:r w:rsidR="006F7056" w:rsidRPr="003569BE">
        <w:rPr>
          <w:rFonts w:cs="Times New Roman"/>
          <w:szCs w:val="24"/>
          <w:lang w:val="en-GB"/>
        </w:rPr>
        <w:t xml:space="preserve">. The advocates vs. </w:t>
      </w:r>
      <w:r w:rsidR="002C3E01" w:rsidRPr="003569BE">
        <w:rPr>
          <w:rFonts w:cs="Times New Roman"/>
          <w:szCs w:val="24"/>
          <w:lang w:val="en-GB"/>
        </w:rPr>
        <w:t xml:space="preserve">the </w:t>
      </w:r>
      <w:r w:rsidR="006F7056" w:rsidRPr="003569BE">
        <w:rPr>
          <w:rFonts w:cs="Times New Roman"/>
          <w:szCs w:val="24"/>
          <w:lang w:val="en-GB"/>
        </w:rPr>
        <w:t>opponents of MAFR argumentation</w:t>
      </w:r>
      <w:r w:rsidR="001C0E8D" w:rsidRPr="003569BE">
        <w:rPr>
          <w:rFonts w:cs="Times New Roman"/>
          <w:szCs w:val="24"/>
          <w:lang w:val="en-GB"/>
        </w:rPr>
        <w:t>s</w:t>
      </w:r>
      <w:r w:rsidR="006F7056" w:rsidRPr="003569BE">
        <w:rPr>
          <w:rFonts w:cs="Times New Roman"/>
          <w:szCs w:val="24"/>
          <w:lang w:val="en-GB"/>
        </w:rPr>
        <w:t xml:space="preserve"> presented next </w:t>
      </w:r>
      <w:r w:rsidR="003500E9" w:rsidRPr="003569BE">
        <w:rPr>
          <w:rFonts w:cs="Times New Roman"/>
          <w:szCs w:val="24"/>
          <w:lang w:val="en-GB"/>
        </w:rPr>
        <w:t>rel</w:t>
      </w:r>
      <w:r w:rsidR="001C0E8D" w:rsidRPr="003569BE">
        <w:rPr>
          <w:rFonts w:cs="Times New Roman"/>
          <w:szCs w:val="24"/>
          <w:lang w:val="en-GB"/>
        </w:rPr>
        <w:t xml:space="preserve">y </w:t>
      </w:r>
      <w:r w:rsidR="006F7056" w:rsidRPr="003569BE">
        <w:rPr>
          <w:rFonts w:cs="Times New Roman"/>
          <w:szCs w:val="24"/>
          <w:lang w:val="en-GB"/>
        </w:rPr>
        <w:t xml:space="preserve">on </w:t>
      </w:r>
      <w:r w:rsidR="008227BA" w:rsidRPr="003569BE">
        <w:rPr>
          <w:rFonts w:cs="Times New Roman"/>
          <w:szCs w:val="24"/>
          <w:lang w:val="en-GB"/>
        </w:rPr>
        <w:t>this article</w:t>
      </w:r>
      <w:r w:rsidR="003500E9" w:rsidRPr="003569BE">
        <w:rPr>
          <w:rFonts w:cs="Times New Roman"/>
          <w:szCs w:val="24"/>
          <w:lang w:val="en-GB"/>
        </w:rPr>
        <w:t>, by presenting their findings.</w:t>
      </w:r>
      <w:r w:rsidR="007518F5" w:rsidRPr="003569BE">
        <w:rPr>
          <w:rFonts w:cs="Times New Roman"/>
          <w:szCs w:val="24"/>
          <w:lang w:val="en-GB"/>
        </w:rPr>
        <w:t xml:space="preserve"> </w:t>
      </w:r>
      <w:sdt>
        <w:sdtPr>
          <w:rPr>
            <w:rFonts w:cs="Times New Roman"/>
            <w:szCs w:val="24"/>
            <w:lang w:val="en-GB"/>
          </w:rPr>
          <w:id w:val="806277288"/>
          <w:citation/>
        </w:sdtPr>
        <w:sdtContent>
          <w:r w:rsidR="000E4BAF" w:rsidRPr="003569BE">
            <w:rPr>
              <w:rFonts w:cs="Times New Roman"/>
              <w:szCs w:val="24"/>
              <w:lang w:val="en-GB"/>
            </w:rPr>
            <w:fldChar w:fldCharType="begin"/>
          </w:r>
          <w:r w:rsidR="00CB26F3" w:rsidRPr="003569BE">
            <w:rPr>
              <w:rFonts w:cs="Times New Roman"/>
              <w:szCs w:val="24"/>
              <w:lang w:val="en-GB"/>
            </w:rPr>
            <w:instrText xml:space="preserve">CITATION Rai06 \l 1033 </w:instrText>
          </w:r>
          <w:r w:rsidR="000E4BAF" w:rsidRPr="003569BE">
            <w:rPr>
              <w:rFonts w:cs="Times New Roman"/>
              <w:szCs w:val="24"/>
              <w:lang w:val="en-GB"/>
            </w:rPr>
            <w:fldChar w:fldCharType="separate"/>
          </w:r>
          <w:r w:rsidR="008F7EB3" w:rsidRPr="003569BE">
            <w:rPr>
              <w:rFonts w:cs="Times New Roman"/>
              <w:noProof/>
              <w:szCs w:val="24"/>
              <w:lang w:val="en-GB"/>
            </w:rPr>
            <w:t>(Raiborn, Schorg, &amp; Massoud, 2006)</w:t>
          </w:r>
          <w:r w:rsidR="000E4BAF" w:rsidRPr="003569BE">
            <w:rPr>
              <w:rFonts w:cs="Times New Roman"/>
              <w:szCs w:val="24"/>
              <w:lang w:val="en-GB"/>
            </w:rPr>
            <w:fldChar w:fldCharType="end"/>
          </w:r>
        </w:sdtContent>
      </w:sdt>
      <w:r w:rsidR="00735D4D" w:rsidRPr="003569BE">
        <w:rPr>
          <w:rFonts w:cs="Times New Roman"/>
          <w:szCs w:val="24"/>
          <w:lang w:val="en-GB"/>
        </w:rPr>
        <w:t>.</w:t>
      </w:r>
      <w:r w:rsidR="003873D5" w:rsidRPr="003569BE">
        <w:rPr>
          <w:rFonts w:cs="Times New Roman"/>
          <w:szCs w:val="24"/>
          <w:lang w:val="en-GB"/>
        </w:rPr>
        <w:t xml:space="preserve"> </w:t>
      </w:r>
    </w:p>
    <w:p w:rsidR="00713496" w:rsidRPr="003569BE" w:rsidRDefault="003873D5" w:rsidP="00713496">
      <w:pPr>
        <w:spacing w:line="360" w:lineRule="auto"/>
        <w:rPr>
          <w:rFonts w:cs="Times New Roman"/>
          <w:szCs w:val="24"/>
          <w:lang w:val="en-GB"/>
        </w:rPr>
      </w:pPr>
      <w:r w:rsidRPr="003569BE">
        <w:rPr>
          <w:rFonts w:cs="Times New Roman"/>
          <w:szCs w:val="24"/>
          <w:lang w:val="en-GB"/>
        </w:rPr>
        <w:t xml:space="preserve">Advocates argue that </w:t>
      </w:r>
      <w:r w:rsidR="00FC2D93" w:rsidRPr="003569BE">
        <w:rPr>
          <w:rFonts w:cs="Times New Roman"/>
          <w:szCs w:val="24"/>
          <w:lang w:val="en-GB"/>
        </w:rPr>
        <w:t>long-standing auditors develop</w:t>
      </w:r>
      <w:r w:rsidRPr="003569BE">
        <w:rPr>
          <w:rFonts w:cs="Times New Roman"/>
          <w:szCs w:val="24"/>
          <w:lang w:val="en-GB"/>
        </w:rPr>
        <w:t xml:space="preserve"> an involuntary </w:t>
      </w:r>
      <w:r w:rsidR="00AC61F8" w:rsidRPr="003569BE">
        <w:rPr>
          <w:rFonts w:cs="Times New Roman"/>
          <w:szCs w:val="24"/>
          <w:lang w:val="en-GB"/>
        </w:rPr>
        <w:t xml:space="preserve">“friendship” </w:t>
      </w:r>
      <w:r w:rsidR="008B50C3" w:rsidRPr="003569BE">
        <w:rPr>
          <w:rFonts w:cs="Times New Roman"/>
          <w:szCs w:val="24"/>
          <w:lang w:val="en-GB"/>
        </w:rPr>
        <w:t xml:space="preserve">towards </w:t>
      </w:r>
      <w:r w:rsidR="00AC61F8" w:rsidRPr="003569BE">
        <w:rPr>
          <w:rFonts w:cs="Times New Roman"/>
          <w:szCs w:val="24"/>
          <w:lang w:val="en-GB"/>
        </w:rPr>
        <w:t>the client</w:t>
      </w:r>
      <w:r w:rsidR="006D29AA" w:rsidRPr="003569BE">
        <w:rPr>
          <w:rFonts w:cs="Times New Roman"/>
          <w:szCs w:val="24"/>
          <w:lang w:val="en-GB"/>
        </w:rPr>
        <w:t>, which would</w:t>
      </w:r>
      <w:r w:rsidR="00207A34" w:rsidRPr="003569BE">
        <w:rPr>
          <w:rFonts w:cs="Times New Roman"/>
          <w:szCs w:val="24"/>
          <w:lang w:val="en-GB"/>
        </w:rPr>
        <w:t xml:space="preserve"> consequently</w:t>
      </w:r>
      <w:r w:rsidR="006D29AA" w:rsidRPr="003569BE">
        <w:rPr>
          <w:rFonts w:cs="Times New Roman"/>
          <w:szCs w:val="24"/>
          <w:lang w:val="en-GB"/>
        </w:rPr>
        <w:t xml:space="preserve"> </w:t>
      </w:r>
      <w:r w:rsidR="00377B59" w:rsidRPr="003569BE">
        <w:rPr>
          <w:rFonts w:cs="Times New Roman"/>
          <w:szCs w:val="24"/>
          <w:lang w:val="en-GB"/>
        </w:rPr>
        <w:t>affect</w:t>
      </w:r>
      <w:r w:rsidR="006D29AA" w:rsidRPr="003569BE">
        <w:rPr>
          <w:rFonts w:cs="Times New Roman"/>
          <w:szCs w:val="24"/>
          <w:lang w:val="en-GB"/>
        </w:rPr>
        <w:t xml:space="preserve"> the auditor</w:t>
      </w:r>
      <w:r w:rsidR="00377B59" w:rsidRPr="003569BE">
        <w:rPr>
          <w:rFonts w:cs="Times New Roman"/>
          <w:szCs w:val="24"/>
          <w:lang w:val="en-GB"/>
        </w:rPr>
        <w:t>’s judgment; advocates claim that long-tenure auditors tend</w:t>
      </w:r>
      <w:r w:rsidR="006D29AA" w:rsidRPr="003569BE">
        <w:rPr>
          <w:rFonts w:cs="Times New Roman"/>
          <w:szCs w:val="24"/>
          <w:lang w:val="en-GB"/>
        </w:rPr>
        <w:t xml:space="preserve"> to agree with the client in matters that the auditor would not a</w:t>
      </w:r>
      <w:r w:rsidR="00141ADE" w:rsidRPr="003569BE">
        <w:rPr>
          <w:rFonts w:cs="Times New Roman"/>
          <w:szCs w:val="24"/>
          <w:lang w:val="en-GB"/>
        </w:rPr>
        <w:t xml:space="preserve">ccept if the tenure was shorter and </w:t>
      </w:r>
      <w:r w:rsidR="006D29AA" w:rsidRPr="003569BE">
        <w:rPr>
          <w:rFonts w:cs="Times New Roman"/>
          <w:szCs w:val="24"/>
          <w:lang w:val="en-GB"/>
        </w:rPr>
        <w:t xml:space="preserve">implicitly the relationship </w:t>
      </w:r>
      <w:r w:rsidR="0080459A" w:rsidRPr="003569BE">
        <w:rPr>
          <w:rFonts w:cs="Times New Roman"/>
          <w:szCs w:val="24"/>
          <w:lang w:val="en-GB"/>
        </w:rPr>
        <w:t>was</w:t>
      </w:r>
      <w:r w:rsidR="002C3E01" w:rsidRPr="003569BE">
        <w:rPr>
          <w:rFonts w:cs="Times New Roman"/>
          <w:szCs w:val="24"/>
          <w:lang w:val="en-GB"/>
        </w:rPr>
        <w:t xml:space="preserve"> </w:t>
      </w:r>
      <w:r w:rsidR="006D29AA" w:rsidRPr="003569BE">
        <w:rPr>
          <w:rFonts w:cs="Times New Roman"/>
          <w:szCs w:val="24"/>
          <w:lang w:val="en-GB"/>
        </w:rPr>
        <w:t xml:space="preserve">less familiar. </w:t>
      </w:r>
      <w:r w:rsidR="005B3BD7" w:rsidRPr="003569BE">
        <w:rPr>
          <w:rFonts w:cs="Times New Roman"/>
          <w:szCs w:val="24"/>
          <w:lang w:val="en-GB"/>
        </w:rPr>
        <w:t xml:space="preserve">This implies the potential impairment of independence in mind. </w:t>
      </w:r>
      <w:r w:rsidR="002C3E01" w:rsidRPr="003569BE">
        <w:rPr>
          <w:rFonts w:cs="Times New Roman"/>
          <w:szCs w:val="24"/>
          <w:lang w:val="en-GB"/>
        </w:rPr>
        <w:t>In addition</w:t>
      </w:r>
      <w:r w:rsidR="00373D55" w:rsidRPr="003569BE">
        <w:rPr>
          <w:rFonts w:cs="Times New Roman"/>
          <w:szCs w:val="24"/>
          <w:lang w:val="en-GB"/>
        </w:rPr>
        <w:t xml:space="preserve">, advocates of MAFR claim that even when independence in mind is not affected, the public perception of </w:t>
      </w:r>
      <w:r w:rsidR="002C3E01" w:rsidRPr="003569BE">
        <w:rPr>
          <w:rFonts w:cs="Times New Roman"/>
          <w:szCs w:val="24"/>
          <w:lang w:val="en-GB"/>
        </w:rPr>
        <w:t xml:space="preserve">the </w:t>
      </w:r>
      <w:r w:rsidR="00373D55" w:rsidRPr="003569BE">
        <w:rPr>
          <w:rFonts w:cs="Times New Roman"/>
          <w:szCs w:val="24"/>
          <w:lang w:val="en-GB"/>
        </w:rPr>
        <w:t>auditor’s independence, i.e. independence in appearance, has to suffer.</w:t>
      </w:r>
      <w:r w:rsidR="00AD0935" w:rsidRPr="003569BE">
        <w:rPr>
          <w:rFonts w:cs="Times New Roman"/>
          <w:szCs w:val="24"/>
          <w:lang w:val="en-GB"/>
        </w:rPr>
        <w:t xml:space="preserve"> They consider that when the rotation of the audit firms is mandatory, auditors’ independence, both in mind and in appearance, is at a higher degree.</w:t>
      </w:r>
      <w:r w:rsidR="00373D55" w:rsidRPr="003569BE">
        <w:rPr>
          <w:rFonts w:cs="Times New Roman"/>
          <w:szCs w:val="24"/>
          <w:lang w:val="en-GB"/>
        </w:rPr>
        <w:t xml:space="preserve"> </w:t>
      </w:r>
      <w:r w:rsidR="00153F13" w:rsidRPr="003569BE">
        <w:rPr>
          <w:rFonts w:cs="Times New Roman"/>
          <w:szCs w:val="24"/>
          <w:lang w:val="en-GB"/>
        </w:rPr>
        <w:t xml:space="preserve">Another pro-argument that Raiborn et Al. (2006) presented is that MAFR has the potential to </w:t>
      </w:r>
      <w:r w:rsidR="00C70E06" w:rsidRPr="003569BE">
        <w:rPr>
          <w:rFonts w:cs="Times New Roman"/>
          <w:szCs w:val="24"/>
          <w:lang w:val="en-GB"/>
        </w:rPr>
        <w:t>make</w:t>
      </w:r>
      <w:r w:rsidR="002C3E01" w:rsidRPr="003569BE">
        <w:rPr>
          <w:rFonts w:cs="Times New Roman"/>
          <w:szCs w:val="24"/>
          <w:lang w:val="en-GB"/>
        </w:rPr>
        <w:t xml:space="preserve"> </w:t>
      </w:r>
      <w:r w:rsidR="00153F13" w:rsidRPr="003569BE">
        <w:rPr>
          <w:rFonts w:cs="Times New Roman"/>
          <w:szCs w:val="24"/>
          <w:lang w:val="en-GB"/>
        </w:rPr>
        <w:t>audit firms more vocal and strict when disagreeing with certain practices undertaken by the client.</w:t>
      </w:r>
      <w:r w:rsidR="00C579E9" w:rsidRPr="003569BE">
        <w:rPr>
          <w:rFonts w:cs="Times New Roman"/>
          <w:szCs w:val="24"/>
          <w:lang w:val="en-GB"/>
        </w:rPr>
        <w:t xml:space="preserve"> In addition, MAFR would increase the level of competition in the auditors market, which could potentially reduce </w:t>
      </w:r>
      <w:r w:rsidR="002C3E01" w:rsidRPr="003569BE">
        <w:rPr>
          <w:rFonts w:cs="Times New Roman"/>
          <w:szCs w:val="24"/>
          <w:lang w:val="en-GB"/>
        </w:rPr>
        <w:t xml:space="preserve">the </w:t>
      </w:r>
      <w:r w:rsidR="00C579E9" w:rsidRPr="003569BE">
        <w:rPr>
          <w:rFonts w:cs="Times New Roman"/>
          <w:szCs w:val="24"/>
          <w:lang w:val="en-GB"/>
        </w:rPr>
        <w:t>audit fees.</w:t>
      </w:r>
      <w:r w:rsidR="00B12FE8" w:rsidRPr="003569BE">
        <w:rPr>
          <w:rFonts w:cs="Times New Roman"/>
          <w:szCs w:val="24"/>
          <w:lang w:val="en-GB"/>
        </w:rPr>
        <w:t xml:space="preserve"> Finally, advocates consider that a “fresh look” from a new auditor is l</w:t>
      </w:r>
      <w:r w:rsidR="00F40BA4" w:rsidRPr="003569BE">
        <w:rPr>
          <w:rFonts w:cs="Times New Roman"/>
          <w:szCs w:val="24"/>
          <w:lang w:val="en-GB"/>
        </w:rPr>
        <w:t xml:space="preserve">ikely to improve </w:t>
      </w:r>
      <w:r w:rsidR="002C3E01" w:rsidRPr="003569BE">
        <w:rPr>
          <w:rFonts w:cs="Times New Roman"/>
          <w:szCs w:val="24"/>
          <w:lang w:val="en-GB"/>
        </w:rPr>
        <w:t xml:space="preserve">the </w:t>
      </w:r>
      <w:r w:rsidR="00F40BA4" w:rsidRPr="003569BE">
        <w:rPr>
          <w:rFonts w:cs="Times New Roman"/>
          <w:szCs w:val="24"/>
          <w:lang w:val="en-GB"/>
        </w:rPr>
        <w:t xml:space="preserve">audit quality. </w:t>
      </w:r>
      <w:r w:rsidR="00460AB2" w:rsidRPr="003569BE">
        <w:rPr>
          <w:rFonts w:cs="Times New Roman"/>
          <w:szCs w:val="24"/>
          <w:lang w:val="en-GB"/>
        </w:rPr>
        <w:t>This claim is also supported by the findings of</w:t>
      </w:r>
      <w:r w:rsidR="002640BF" w:rsidRPr="003569BE">
        <w:rPr>
          <w:rFonts w:cs="Times New Roman"/>
          <w:szCs w:val="24"/>
          <w:lang w:val="en-GB"/>
        </w:rPr>
        <w:t xml:space="preserve"> </w:t>
      </w:r>
      <w:r w:rsidR="00460AB2" w:rsidRPr="003569BE">
        <w:rPr>
          <w:rFonts w:cs="Times New Roman"/>
          <w:szCs w:val="24"/>
          <w:lang w:val="en-GB"/>
        </w:rPr>
        <w:t xml:space="preserve">other </w:t>
      </w:r>
      <w:r w:rsidR="002640BF" w:rsidRPr="003569BE">
        <w:rPr>
          <w:rFonts w:cs="Times New Roman"/>
          <w:szCs w:val="24"/>
          <w:lang w:val="en-GB"/>
        </w:rPr>
        <w:t>studies</w:t>
      </w:r>
      <w:r w:rsidR="004E504B" w:rsidRPr="003569BE">
        <w:rPr>
          <w:rFonts w:cs="Times New Roman"/>
          <w:szCs w:val="24"/>
          <w:lang w:val="en-GB"/>
        </w:rPr>
        <w:t>,</w:t>
      </w:r>
      <w:r w:rsidR="00E54DA3" w:rsidRPr="003569BE">
        <w:rPr>
          <w:rFonts w:cs="Times New Roman"/>
          <w:szCs w:val="24"/>
          <w:lang w:val="en-GB"/>
        </w:rPr>
        <w:t xml:space="preserve"> i.e. </w:t>
      </w:r>
      <w:sdt>
        <w:sdtPr>
          <w:rPr>
            <w:rFonts w:cs="Times New Roman"/>
            <w:szCs w:val="24"/>
            <w:lang w:val="en-GB"/>
          </w:rPr>
          <w:id w:val="1251538771"/>
          <w:citation/>
        </w:sdtPr>
        <w:sdtContent>
          <w:r w:rsidR="000E4BAF" w:rsidRPr="003569BE">
            <w:rPr>
              <w:rFonts w:cs="Times New Roman"/>
              <w:szCs w:val="24"/>
              <w:lang w:val="en-GB"/>
            </w:rPr>
            <w:fldChar w:fldCharType="begin"/>
          </w:r>
          <w:r w:rsidR="00E54DA3" w:rsidRPr="003569BE">
            <w:rPr>
              <w:rFonts w:cs="Times New Roman"/>
              <w:szCs w:val="24"/>
              <w:lang w:val="en-GB"/>
            </w:rPr>
            <w:instrText xml:space="preserve">CITATION DeA81 \p 189 \t  \l 1033 </w:instrText>
          </w:r>
          <w:r w:rsidR="000E4BAF" w:rsidRPr="003569BE">
            <w:rPr>
              <w:rFonts w:cs="Times New Roman"/>
              <w:szCs w:val="24"/>
              <w:lang w:val="en-GB"/>
            </w:rPr>
            <w:fldChar w:fldCharType="separate"/>
          </w:r>
          <w:r w:rsidR="008F7EB3" w:rsidRPr="003569BE">
            <w:rPr>
              <w:rFonts w:cs="Times New Roman"/>
              <w:noProof/>
              <w:szCs w:val="24"/>
              <w:lang w:val="en-GB"/>
            </w:rPr>
            <w:t>(DeAngelo, 1981, p. 189)</w:t>
          </w:r>
          <w:r w:rsidR="000E4BAF" w:rsidRPr="003569BE">
            <w:rPr>
              <w:rFonts w:cs="Times New Roman"/>
              <w:szCs w:val="24"/>
              <w:lang w:val="en-GB"/>
            </w:rPr>
            <w:fldChar w:fldCharType="end"/>
          </w:r>
        </w:sdtContent>
      </w:sdt>
      <w:r w:rsidR="00E54DA3" w:rsidRPr="003569BE">
        <w:rPr>
          <w:rFonts w:cs="Times New Roman"/>
          <w:szCs w:val="24"/>
          <w:lang w:val="en-GB"/>
        </w:rPr>
        <w:t xml:space="preserve">, and </w:t>
      </w:r>
      <w:sdt>
        <w:sdtPr>
          <w:rPr>
            <w:rFonts w:cs="Times New Roman"/>
            <w:szCs w:val="24"/>
            <w:lang w:val="en-GB"/>
          </w:rPr>
          <w:id w:val="56137914"/>
          <w:citation/>
        </w:sdtPr>
        <w:sdtContent>
          <w:r w:rsidR="000E4BAF" w:rsidRPr="003569BE">
            <w:rPr>
              <w:rFonts w:cs="Times New Roman"/>
              <w:szCs w:val="24"/>
              <w:lang w:val="en-GB"/>
            </w:rPr>
            <w:fldChar w:fldCharType="begin"/>
          </w:r>
          <w:r w:rsidR="00E54DA3" w:rsidRPr="003569BE">
            <w:rPr>
              <w:rFonts w:cs="Times New Roman"/>
              <w:szCs w:val="24"/>
              <w:lang w:val="en-GB"/>
            </w:rPr>
            <w:instrText xml:space="preserve">CITATION Dei92 \p 470 \l 1033 </w:instrText>
          </w:r>
          <w:r w:rsidR="000E4BAF" w:rsidRPr="003569BE">
            <w:rPr>
              <w:rFonts w:cs="Times New Roman"/>
              <w:szCs w:val="24"/>
              <w:lang w:val="en-GB"/>
            </w:rPr>
            <w:fldChar w:fldCharType="separate"/>
          </w:r>
          <w:r w:rsidR="008F7EB3" w:rsidRPr="003569BE">
            <w:rPr>
              <w:rFonts w:cs="Times New Roman"/>
              <w:noProof/>
              <w:szCs w:val="24"/>
              <w:lang w:val="en-GB"/>
            </w:rPr>
            <w:t>(Deis &amp; Giroux, 1992, p. 470)</w:t>
          </w:r>
          <w:r w:rsidR="000E4BAF" w:rsidRPr="003569BE">
            <w:rPr>
              <w:rFonts w:cs="Times New Roman"/>
              <w:szCs w:val="24"/>
              <w:lang w:val="en-GB"/>
            </w:rPr>
            <w:fldChar w:fldCharType="end"/>
          </w:r>
        </w:sdtContent>
      </w:sdt>
      <w:r w:rsidR="004E504B" w:rsidRPr="003569BE">
        <w:rPr>
          <w:rFonts w:cs="Times New Roman"/>
          <w:szCs w:val="24"/>
          <w:lang w:val="en-GB"/>
        </w:rPr>
        <w:t xml:space="preserve"> which indicate</w:t>
      </w:r>
      <w:r w:rsidR="0026039A" w:rsidRPr="003569BE">
        <w:rPr>
          <w:rFonts w:cs="Times New Roman"/>
          <w:szCs w:val="24"/>
          <w:lang w:val="en-GB"/>
        </w:rPr>
        <w:t xml:space="preserve"> a negative relation between audit tenure and audit quality that is</w:t>
      </w:r>
      <w:r w:rsidR="002640BF" w:rsidRPr="003569BE">
        <w:rPr>
          <w:rFonts w:cs="Times New Roman"/>
          <w:szCs w:val="24"/>
          <w:lang w:val="en-GB"/>
        </w:rPr>
        <w:t xml:space="preserve"> </w:t>
      </w:r>
      <w:r w:rsidR="0026039A" w:rsidRPr="003569BE">
        <w:rPr>
          <w:rFonts w:cs="Times New Roman"/>
          <w:szCs w:val="24"/>
          <w:lang w:val="en-GB"/>
        </w:rPr>
        <w:t>the</w:t>
      </w:r>
      <w:r w:rsidR="002640BF" w:rsidRPr="003569BE">
        <w:rPr>
          <w:rFonts w:cs="Times New Roman"/>
          <w:szCs w:val="24"/>
          <w:lang w:val="en-GB"/>
        </w:rPr>
        <w:t xml:space="preserve"> longer </w:t>
      </w:r>
      <w:r w:rsidR="0026039A" w:rsidRPr="003569BE">
        <w:rPr>
          <w:rFonts w:cs="Times New Roman"/>
          <w:szCs w:val="24"/>
          <w:lang w:val="en-GB"/>
        </w:rPr>
        <w:t xml:space="preserve">the </w:t>
      </w:r>
      <w:r w:rsidR="002640BF" w:rsidRPr="003569BE">
        <w:rPr>
          <w:rFonts w:cs="Times New Roman"/>
          <w:szCs w:val="24"/>
          <w:lang w:val="en-GB"/>
        </w:rPr>
        <w:t>auditor tenure</w:t>
      </w:r>
      <w:r w:rsidR="0026039A" w:rsidRPr="003569BE">
        <w:rPr>
          <w:rFonts w:cs="Times New Roman"/>
          <w:szCs w:val="24"/>
          <w:lang w:val="en-GB"/>
        </w:rPr>
        <w:t>, the lower the</w:t>
      </w:r>
      <w:r w:rsidR="002640BF" w:rsidRPr="003569BE">
        <w:rPr>
          <w:rFonts w:cs="Times New Roman"/>
          <w:szCs w:val="24"/>
          <w:lang w:val="en-GB"/>
        </w:rPr>
        <w:t xml:space="preserve"> audit quality</w:t>
      </w:r>
      <w:r w:rsidR="00460CAD" w:rsidRPr="003569BE">
        <w:rPr>
          <w:rFonts w:cs="Times New Roman"/>
          <w:szCs w:val="24"/>
          <w:lang w:val="en-GB"/>
        </w:rPr>
        <w:t>.</w:t>
      </w:r>
      <w:r w:rsidR="002640BF" w:rsidRPr="003569BE">
        <w:rPr>
          <w:rFonts w:cs="Times New Roman"/>
          <w:szCs w:val="24"/>
          <w:lang w:val="en-GB"/>
        </w:rPr>
        <w:t xml:space="preserve"> </w:t>
      </w:r>
      <w:r w:rsidR="002C3E01" w:rsidRPr="003569BE">
        <w:rPr>
          <w:rFonts w:cs="Times New Roman"/>
          <w:szCs w:val="24"/>
          <w:lang w:val="en-GB"/>
        </w:rPr>
        <w:t>In addition</w:t>
      </w:r>
      <w:r w:rsidR="00F40BA4" w:rsidRPr="003569BE">
        <w:rPr>
          <w:rFonts w:cs="Times New Roman"/>
          <w:szCs w:val="24"/>
          <w:lang w:val="en-GB"/>
        </w:rPr>
        <w:t>,</w:t>
      </w:r>
      <w:r w:rsidR="002C3E01" w:rsidRPr="003569BE">
        <w:rPr>
          <w:rFonts w:cs="Times New Roman"/>
          <w:szCs w:val="24"/>
          <w:lang w:val="en-GB"/>
        </w:rPr>
        <w:t xml:space="preserve"> because the current auditor is aware that the successor auditor will review his work and will be more likely to detect and disclose his errors, inefficiencies or misjudgements</w:t>
      </w:r>
      <w:r w:rsidR="00F40BA4" w:rsidRPr="003569BE">
        <w:rPr>
          <w:rFonts w:cs="Times New Roman"/>
          <w:szCs w:val="24"/>
          <w:lang w:val="en-GB"/>
        </w:rPr>
        <w:t xml:space="preserve"> </w:t>
      </w:r>
      <w:r w:rsidR="002C3E01" w:rsidRPr="003569BE">
        <w:rPr>
          <w:rFonts w:cs="Times New Roman"/>
          <w:szCs w:val="24"/>
          <w:lang w:val="en-GB"/>
        </w:rPr>
        <w:t xml:space="preserve">by MAFR the </w:t>
      </w:r>
      <w:r w:rsidR="00F40BA4" w:rsidRPr="003569BE">
        <w:rPr>
          <w:rFonts w:cs="Times New Roman"/>
          <w:szCs w:val="24"/>
          <w:lang w:val="en-GB"/>
        </w:rPr>
        <w:t>audit quality would be improved</w:t>
      </w:r>
      <w:r w:rsidR="005366B0" w:rsidRPr="003569BE">
        <w:rPr>
          <w:rFonts w:cs="Times New Roman"/>
          <w:szCs w:val="24"/>
          <w:lang w:val="en-GB"/>
        </w:rPr>
        <w:t xml:space="preserve"> </w:t>
      </w:r>
      <w:sdt>
        <w:sdtPr>
          <w:rPr>
            <w:rFonts w:cs="Times New Roman"/>
            <w:szCs w:val="24"/>
            <w:lang w:val="en-GB"/>
          </w:rPr>
          <w:id w:val="1702663516"/>
          <w:citation/>
        </w:sdtPr>
        <w:sdtContent>
          <w:r w:rsidR="000E4BAF" w:rsidRPr="003569BE">
            <w:rPr>
              <w:rFonts w:cs="Times New Roman"/>
              <w:szCs w:val="24"/>
              <w:lang w:val="en-GB"/>
            </w:rPr>
            <w:fldChar w:fldCharType="begin"/>
          </w:r>
          <w:r w:rsidR="00FD1F0E" w:rsidRPr="003569BE">
            <w:rPr>
              <w:rFonts w:cs="Times New Roman"/>
              <w:szCs w:val="24"/>
              <w:lang w:val="en-GB"/>
            </w:rPr>
            <w:instrText xml:space="preserve"> CITATION Rai06 \l 1033 </w:instrText>
          </w:r>
          <w:r w:rsidR="000E4BAF" w:rsidRPr="003569BE">
            <w:rPr>
              <w:rFonts w:cs="Times New Roman"/>
              <w:szCs w:val="24"/>
              <w:lang w:val="en-GB"/>
            </w:rPr>
            <w:fldChar w:fldCharType="separate"/>
          </w:r>
          <w:r w:rsidR="008F7EB3" w:rsidRPr="003569BE">
            <w:rPr>
              <w:rFonts w:cs="Times New Roman"/>
              <w:noProof/>
              <w:szCs w:val="24"/>
              <w:lang w:val="en-GB"/>
            </w:rPr>
            <w:t>(Raiborn, Schorg, &amp; Massoud, 2006)</w:t>
          </w:r>
          <w:r w:rsidR="000E4BAF" w:rsidRPr="003569BE">
            <w:rPr>
              <w:rFonts w:cs="Times New Roman"/>
              <w:szCs w:val="24"/>
              <w:lang w:val="en-GB"/>
            </w:rPr>
            <w:fldChar w:fldCharType="end"/>
          </w:r>
        </w:sdtContent>
      </w:sdt>
      <w:r w:rsidR="002C3E01" w:rsidRPr="003569BE">
        <w:rPr>
          <w:rFonts w:cs="Times New Roman"/>
          <w:szCs w:val="24"/>
          <w:lang w:val="en-GB"/>
        </w:rPr>
        <w:t>.</w:t>
      </w:r>
    </w:p>
    <w:p w:rsidR="005A3356" w:rsidRPr="003569BE" w:rsidRDefault="00FD1F0E" w:rsidP="00713496">
      <w:pPr>
        <w:spacing w:line="360" w:lineRule="auto"/>
        <w:rPr>
          <w:rFonts w:cs="Times New Roman"/>
          <w:szCs w:val="24"/>
          <w:lang w:val="en-GB"/>
        </w:rPr>
      </w:pPr>
      <w:r w:rsidRPr="003569BE">
        <w:rPr>
          <w:rFonts w:cs="Times New Roman"/>
          <w:szCs w:val="24"/>
          <w:lang w:val="en-GB"/>
        </w:rPr>
        <w:t xml:space="preserve">On the other hand, </w:t>
      </w:r>
      <w:r w:rsidR="008F73F8" w:rsidRPr="003569BE">
        <w:rPr>
          <w:rFonts w:cs="Times New Roman"/>
          <w:szCs w:val="24"/>
          <w:lang w:val="en-GB"/>
        </w:rPr>
        <w:t xml:space="preserve">opponents argue that </w:t>
      </w:r>
      <w:r w:rsidR="002C3E01" w:rsidRPr="003569BE">
        <w:rPr>
          <w:rFonts w:cs="Times New Roman"/>
          <w:szCs w:val="24"/>
          <w:lang w:val="en-GB"/>
        </w:rPr>
        <w:t xml:space="preserve">because the new auditor does not have such a comprehensive knowledge of the client practices the </w:t>
      </w:r>
      <w:r w:rsidR="007318DE" w:rsidRPr="003569BE">
        <w:rPr>
          <w:rFonts w:cs="Times New Roman"/>
          <w:szCs w:val="24"/>
          <w:lang w:val="en-GB"/>
        </w:rPr>
        <w:t xml:space="preserve">mandatory </w:t>
      </w:r>
      <w:r w:rsidR="002C3E01" w:rsidRPr="003569BE">
        <w:rPr>
          <w:rFonts w:cs="Times New Roman"/>
          <w:szCs w:val="24"/>
          <w:lang w:val="en-GB"/>
        </w:rPr>
        <w:t xml:space="preserve">audit firm </w:t>
      </w:r>
      <w:r w:rsidR="007318DE" w:rsidRPr="003569BE">
        <w:rPr>
          <w:rFonts w:cs="Times New Roman"/>
          <w:szCs w:val="24"/>
          <w:lang w:val="en-GB"/>
        </w:rPr>
        <w:t xml:space="preserve">rotation would increase </w:t>
      </w:r>
      <w:r w:rsidR="002C3E01" w:rsidRPr="003569BE">
        <w:rPr>
          <w:rFonts w:cs="Times New Roman"/>
          <w:szCs w:val="24"/>
          <w:lang w:val="en-GB"/>
        </w:rPr>
        <w:t xml:space="preserve">the </w:t>
      </w:r>
      <w:r w:rsidR="007318DE" w:rsidRPr="003569BE">
        <w:rPr>
          <w:rFonts w:cs="Times New Roman"/>
          <w:szCs w:val="24"/>
          <w:lang w:val="en-GB"/>
        </w:rPr>
        <w:t>audit risk and the potential of audit failure</w:t>
      </w:r>
      <w:r w:rsidR="002C3E01" w:rsidRPr="003569BE">
        <w:rPr>
          <w:rFonts w:cs="Times New Roman"/>
          <w:szCs w:val="24"/>
          <w:lang w:val="en-GB"/>
        </w:rPr>
        <w:t xml:space="preserve">s. </w:t>
      </w:r>
      <w:r w:rsidR="00D04287" w:rsidRPr="003569BE">
        <w:rPr>
          <w:rFonts w:cs="Times New Roman"/>
          <w:szCs w:val="24"/>
          <w:lang w:val="en-GB"/>
        </w:rPr>
        <w:t xml:space="preserve"> </w:t>
      </w:r>
      <w:r w:rsidR="002C3E01" w:rsidRPr="003569BE">
        <w:rPr>
          <w:rFonts w:cs="Times New Roman"/>
          <w:szCs w:val="24"/>
          <w:lang w:val="en-GB"/>
        </w:rPr>
        <w:t>In addition</w:t>
      </w:r>
      <w:r w:rsidR="00D04287" w:rsidRPr="003569BE">
        <w:rPr>
          <w:rFonts w:cs="Times New Roman"/>
          <w:szCs w:val="24"/>
          <w:lang w:val="en-GB"/>
        </w:rPr>
        <w:t xml:space="preserve">, the necessity of becoming familiar with the client practices increases </w:t>
      </w:r>
      <w:r w:rsidR="002C3E01" w:rsidRPr="003569BE">
        <w:rPr>
          <w:rFonts w:cs="Times New Roman"/>
          <w:szCs w:val="24"/>
          <w:lang w:val="en-GB"/>
        </w:rPr>
        <w:t xml:space="preserve">the </w:t>
      </w:r>
      <w:r w:rsidR="00D04287" w:rsidRPr="003569BE">
        <w:rPr>
          <w:rFonts w:cs="Times New Roman"/>
          <w:szCs w:val="24"/>
          <w:lang w:val="en-GB"/>
        </w:rPr>
        <w:t>audit costs</w:t>
      </w:r>
      <w:r w:rsidR="00734690" w:rsidRPr="003569BE">
        <w:rPr>
          <w:rFonts w:cs="Times New Roman"/>
          <w:szCs w:val="24"/>
          <w:lang w:val="en-GB"/>
        </w:rPr>
        <w:t xml:space="preserve"> and the client’s support costs</w:t>
      </w:r>
      <w:r w:rsidR="00D04287" w:rsidRPr="003569BE">
        <w:rPr>
          <w:rFonts w:cs="Times New Roman"/>
          <w:szCs w:val="24"/>
          <w:lang w:val="en-GB"/>
        </w:rPr>
        <w:t xml:space="preserve">, which would implicitly increase </w:t>
      </w:r>
      <w:r w:rsidR="002C3E01" w:rsidRPr="003569BE">
        <w:rPr>
          <w:rFonts w:cs="Times New Roman"/>
          <w:szCs w:val="24"/>
          <w:lang w:val="en-GB"/>
        </w:rPr>
        <w:t xml:space="preserve">the </w:t>
      </w:r>
      <w:r w:rsidR="00D04287" w:rsidRPr="003569BE">
        <w:rPr>
          <w:rFonts w:cs="Times New Roman"/>
          <w:szCs w:val="24"/>
          <w:lang w:val="en-GB"/>
        </w:rPr>
        <w:t>audit fees</w:t>
      </w:r>
      <w:r w:rsidR="00734690" w:rsidRPr="003569BE">
        <w:rPr>
          <w:rFonts w:cs="Times New Roman"/>
          <w:szCs w:val="24"/>
          <w:lang w:val="en-GB"/>
        </w:rPr>
        <w:t xml:space="preserve"> and reduce the client’s profitability and </w:t>
      </w:r>
      <w:r w:rsidR="002C3E01" w:rsidRPr="003569BE">
        <w:rPr>
          <w:rFonts w:cs="Times New Roman"/>
          <w:szCs w:val="24"/>
          <w:lang w:val="en-GB"/>
        </w:rPr>
        <w:lastRenderedPageBreak/>
        <w:t xml:space="preserve">reduce the </w:t>
      </w:r>
      <w:r w:rsidR="00734690" w:rsidRPr="003569BE">
        <w:rPr>
          <w:rFonts w:cs="Times New Roman"/>
          <w:szCs w:val="24"/>
          <w:lang w:val="en-GB"/>
        </w:rPr>
        <w:t>shareholder value</w:t>
      </w:r>
      <w:r w:rsidR="00D04287" w:rsidRPr="003569BE">
        <w:rPr>
          <w:rFonts w:cs="Times New Roman"/>
          <w:szCs w:val="24"/>
          <w:lang w:val="en-GB"/>
        </w:rPr>
        <w:t>.</w:t>
      </w:r>
      <w:r w:rsidR="00410341" w:rsidRPr="003569BE">
        <w:rPr>
          <w:rFonts w:cs="Times New Roman"/>
          <w:szCs w:val="24"/>
          <w:lang w:val="en-GB"/>
        </w:rPr>
        <w:t xml:space="preserve"> However, </w:t>
      </w:r>
      <w:r w:rsidR="00376630" w:rsidRPr="003569BE">
        <w:rPr>
          <w:rFonts w:cs="Times New Roman"/>
          <w:szCs w:val="24"/>
          <w:lang w:val="en-GB"/>
        </w:rPr>
        <w:t xml:space="preserve">the findings of Healy (2004) are in contrast to this position, indicating </w:t>
      </w:r>
      <w:r w:rsidR="00410341" w:rsidRPr="003569BE">
        <w:rPr>
          <w:rFonts w:cs="Times New Roman"/>
          <w:szCs w:val="24"/>
          <w:lang w:val="en-GB"/>
        </w:rPr>
        <w:t xml:space="preserve">that </w:t>
      </w:r>
      <w:r w:rsidR="00714999" w:rsidRPr="003569BE">
        <w:rPr>
          <w:rFonts w:cs="Times New Roman"/>
          <w:szCs w:val="24"/>
          <w:lang w:val="en-GB"/>
        </w:rPr>
        <w:t xml:space="preserve">the costs in the case of an </w:t>
      </w:r>
      <w:r w:rsidR="00410341" w:rsidRPr="003569BE">
        <w:rPr>
          <w:rFonts w:cs="Times New Roman"/>
          <w:szCs w:val="24"/>
          <w:lang w:val="en-GB"/>
        </w:rPr>
        <w:t xml:space="preserve">audit failure would </w:t>
      </w:r>
      <w:r w:rsidR="005F5BEB" w:rsidRPr="003569BE">
        <w:rPr>
          <w:rFonts w:cs="Times New Roman"/>
          <w:szCs w:val="24"/>
          <w:lang w:val="en-GB"/>
        </w:rPr>
        <w:t xml:space="preserve">be higher than </w:t>
      </w:r>
      <w:r w:rsidR="00410341" w:rsidRPr="003569BE">
        <w:rPr>
          <w:rFonts w:cs="Times New Roman"/>
          <w:szCs w:val="24"/>
          <w:lang w:val="en-GB"/>
        </w:rPr>
        <w:t xml:space="preserve">the costs of </w:t>
      </w:r>
      <w:r w:rsidR="002C3E01" w:rsidRPr="003569BE">
        <w:rPr>
          <w:rFonts w:cs="Times New Roman"/>
          <w:szCs w:val="24"/>
          <w:lang w:val="en-GB"/>
        </w:rPr>
        <w:t xml:space="preserve">the </w:t>
      </w:r>
      <w:r w:rsidR="00410341" w:rsidRPr="003569BE">
        <w:rPr>
          <w:rFonts w:cs="Times New Roman"/>
          <w:szCs w:val="24"/>
          <w:lang w:val="en-GB"/>
        </w:rPr>
        <w:t xml:space="preserve">mandatory rotation </w:t>
      </w:r>
      <w:sdt>
        <w:sdtPr>
          <w:rPr>
            <w:rFonts w:cs="Times New Roman"/>
            <w:szCs w:val="24"/>
            <w:lang w:val="en-GB"/>
          </w:rPr>
          <w:id w:val="-374536283"/>
          <w:citation/>
        </w:sdtPr>
        <w:sdtContent>
          <w:r w:rsidR="000E4BAF" w:rsidRPr="003569BE">
            <w:rPr>
              <w:rFonts w:cs="Times New Roman"/>
              <w:szCs w:val="24"/>
              <w:lang w:val="en-GB"/>
            </w:rPr>
            <w:fldChar w:fldCharType="begin"/>
          </w:r>
          <w:r w:rsidR="00974B19" w:rsidRPr="003569BE">
            <w:rPr>
              <w:rFonts w:cs="Times New Roman"/>
              <w:szCs w:val="24"/>
              <w:lang w:val="en-GB"/>
            </w:rPr>
            <w:instrText xml:space="preserve">CITATION Hea04 \l 1033 </w:instrText>
          </w:r>
          <w:r w:rsidR="000E4BAF" w:rsidRPr="003569BE">
            <w:rPr>
              <w:rFonts w:cs="Times New Roman"/>
              <w:szCs w:val="24"/>
              <w:lang w:val="en-GB"/>
            </w:rPr>
            <w:fldChar w:fldCharType="separate"/>
          </w:r>
          <w:r w:rsidR="008F7EB3" w:rsidRPr="003569BE">
            <w:rPr>
              <w:rFonts w:cs="Times New Roman"/>
              <w:noProof/>
              <w:szCs w:val="24"/>
              <w:lang w:val="en-GB"/>
            </w:rPr>
            <w:t>(Healey, 2004)</w:t>
          </w:r>
          <w:r w:rsidR="000E4BAF" w:rsidRPr="003569BE">
            <w:rPr>
              <w:rFonts w:cs="Times New Roman"/>
              <w:szCs w:val="24"/>
              <w:lang w:val="en-GB"/>
            </w:rPr>
            <w:fldChar w:fldCharType="end"/>
          </w:r>
        </w:sdtContent>
      </w:sdt>
      <w:r w:rsidR="00410341" w:rsidRPr="003569BE">
        <w:rPr>
          <w:rFonts w:cs="Times New Roman"/>
          <w:szCs w:val="24"/>
          <w:lang w:val="en-GB"/>
        </w:rPr>
        <w:t>.</w:t>
      </w:r>
      <w:r w:rsidR="00734690" w:rsidRPr="003569BE">
        <w:rPr>
          <w:rFonts w:cs="Times New Roman"/>
          <w:szCs w:val="24"/>
          <w:lang w:val="en-GB"/>
        </w:rPr>
        <w:t xml:space="preserve"> Another argument of the opponents of </w:t>
      </w:r>
      <w:r w:rsidR="002C3E01" w:rsidRPr="003569BE">
        <w:rPr>
          <w:rFonts w:cs="Times New Roman"/>
          <w:szCs w:val="24"/>
          <w:lang w:val="en-GB"/>
        </w:rPr>
        <w:t xml:space="preserve">the </w:t>
      </w:r>
      <w:r w:rsidR="00734690" w:rsidRPr="003569BE">
        <w:rPr>
          <w:rFonts w:cs="Times New Roman"/>
          <w:szCs w:val="24"/>
          <w:lang w:val="en-GB"/>
        </w:rPr>
        <w:t xml:space="preserve">MAFR is </w:t>
      </w:r>
      <w:r w:rsidR="00392556" w:rsidRPr="003569BE">
        <w:rPr>
          <w:rFonts w:cs="Times New Roman"/>
          <w:szCs w:val="24"/>
          <w:lang w:val="en-GB"/>
        </w:rPr>
        <w:t>that</w:t>
      </w:r>
      <w:r w:rsidR="002C3E01" w:rsidRPr="003569BE">
        <w:rPr>
          <w:rFonts w:cs="Times New Roman"/>
          <w:szCs w:val="24"/>
          <w:lang w:val="en-GB"/>
        </w:rPr>
        <w:t xml:space="preserve"> because of the increased possibility that the auditor might focus on promoting their non-audit services to the client in the final years of the engagement instead of concentrating on providing high-quality audit services,</w:t>
      </w:r>
      <w:r w:rsidR="00392556" w:rsidRPr="003569BE">
        <w:rPr>
          <w:rFonts w:cs="Times New Roman"/>
          <w:szCs w:val="24"/>
          <w:lang w:val="en-GB"/>
        </w:rPr>
        <w:t xml:space="preserve"> MAFR would decrease </w:t>
      </w:r>
      <w:r w:rsidR="002C3E01" w:rsidRPr="003569BE">
        <w:rPr>
          <w:rFonts w:cs="Times New Roman"/>
          <w:szCs w:val="24"/>
          <w:lang w:val="en-GB"/>
        </w:rPr>
        <w:t xml:space="preserve">the </w:t>
      </w:r>
      <w:r w:rsidR="00392556" w:rsidRPr="003569BE">
        <w:rPr>
          <w:rFonts w:cs="Times New Roman"/>
          <w:szCs w:val="24"/>
          <w:lang w:val="en-GB"/>
        </w:rPr>
        <w:t>audit quality</w:t>
      </w:r>
      <w:r w:rsidR="002C3E01" w:rsidRPr="003569BE">
        <w:rPr>
          <w:rFonts w:cs="Times New Roman"/>
          <w:szCs w:val="24"/>
          <w:lang w:val="en-GB"/>
        </w:rPr>
        <w:t xml:space="preserve">. </w:t>
      </w:r>
      <w:r w:rsidR="00AD6D17" w:rsidRPr="003569BE">
        <w:rPr>
          <w:rFonts w:cs="Times New Roman"/>
          <w:szCs w:val="24"/>
          <w:lang w:val="en-GB"/>
        </w:rPr>
        <w:t>In addition,</w:t>
      </w:r>
      <w:r w:rsidR="002C3E01" w:rsidRPr="003569BE">
        <w:rPr>
          <w:rFonts w:cs="Times New Roman"/>
          <w:szCs w:val="24"/>
          <w:lang w:val="en-GB"/>
        </w:rPr>
        <w:t xml:space="preserve"> due to the new auditors’ tendency to be overly aggressive in challenging the judgments of the predecessor auditor,</w:t>
      </w:r>
      <w:r w:rsidR="00392556" w:rsidRPr="003569BE">
        <w:rPr>
          <w:rFonts w:cs="Times New Roman"/>
          <w:szCs w:val="24"/>
          <w:lang w:val="en-GB"/>
        </w:rPr>
        <w:t xml:space="preserve"> the tension between the new auditor and the client would increase</w:t>
      </w:r>
      <w:r w:rsidR="00AD6D17" w:rsidRPr="003569BE">
        <w:rPr>
          <w:rFonts w:cs="Times New Roman"/>
          <w:szCs w:val="24"/>
          <w:lang w:val="en-GB"/>
        </w:rPr>
        <w:t>.</w:t>
      </w:r>
      <w:r w:rsidR="00392556" w:rsidRPr="003569BE">
        <w:rPr>
          <w:rFonts w:cs="Times New Roman"/>
          <w:szCs w:val="24"/>
          <w:lang w:val="en-GB"/>
        </w:rPr>
        <w:t xml:space="preserve"> Finally, </w:t>
      </w:r>
      <w:r w:rsidR="005066F0" w:rsidRPr="003569BE">
        <w:rPr>
          <w:rFonts w:cs="Times New Roman"/>
          <w:szCs w:val="24"/>
          <w:lang w:val="en-GB"/>
        </w:rPr>
        <w:t>some opponents consider that mandatory rotation w</w:t>
      </w:r>
      <w:r w:rsidR="00054F3D" w:rsidRPr="003569BE">
        <w:rPr>
          <w:rFonts w:cs="Times New Roman"/>
          <w:szCs w:val="24"/>
          <w:lang w:val="en-GB"/>
        </w:rPr>
        <w:t>ould cause the new auditor to excessively rely on the work of the predecessor auditor.</w:t>
      </w:r>
      <w:r w:rsidR="00C95039" w:rsidRPr="003569BE">
        <w:rPr>
          <w:rFonts w:cs="Times New Roman"/>
          <w:szCs w:val="24"/>
          <w:lang w:val="en-GB"/>
        </w:rPr>
        <w:t xml:space="preserve"> However, this argument </w:t>
      </w:r>
      <w:r w:rsidR="00002186" w:rsidRPr="003569BE">
        <w:rPr>
          <w:rFonts w:cs="Times New Roman"/>
          <w:szCs w:val="24"/>
          <w:lang w:val="en-GB"/>
        </w:rPr>
        <w:t>is</w:t>
      </w:r>
      <w:r w:rsidR="00C95039" w:rsidRPr="003569BE">
        <w:rPr>
          <w:rFonts w:cs="Times New Roman"/>
          <w:szCs w:val="24"/>
          <w:lang w:val="en-GB"/>
        </w:rPr>
        <w:t>, to a certain extent, in contradiction with the previous one.</w:t>
      </w:r>
      <w:r w:rsidR="00F6361A" w:rsidRPr="003569BE">
        <w:rPr>
          <w:rFonts w:cs="Times New Roman"/>
          <w:szCs w:val="24"/>
          <w:lang w:val="en-GB"/>
        </w:rPr>
        <w:t xml:space="preserve"> </w:t>
      </w:r>
      <w:sdt>
        <w:sdtPr>
          <w:rPr>
            <w:rFonts w:cs="Times New Roman"/>
            <w:szCs w:val="24"/>
            <w:lang w:val="en-GB"/>
          </w:rPr>
          <w:id w:val="-836460784"/>
          <w:citation/>
        </w:sdtPr>
        <w:sdtContent>
          <w:r w:rsidR="000E4BAF" w:rsidRPr="003569BE">
            <w:rPr>
              <w:rFonts w:cs="Times New Roman"/>
              <w:szCs w:val="24"/>
              <w:lang w:val="en-GB"/>
            </w:rPr>
            <w:fldChar w:fldCharType="begin"/>
          </w:r>
          <w:r w:rsidR="00F6361A" w:rsidRPr="003569BE">
            <w:rPr>
              <w:rFonts w:cs="Times New Roman"/>
              <w:szCs w:val="24"/>
              <w:lang w:val="en-GB"/>
            </w:rPr>
            <w:instrText xml:space="preserve"> CITATION Rai06 \l 1033 </w:instrText>
          </w:r>
          <w:r w:rsidR="000E4BAF" w:rsidRPr="003569BE">
            <w:rPr>
              <w:rFonts w:cs="Times New Roman"/>
              <w:szCs w:val="24"/>
              <w:lang w:val="en-GB"/>
            </w:rPr>
            <w:fldChar w:fldCharType="separate"/>
          </w:r>
          <w:r w:rsidR="008F7EB3" w:rsidRPr="003569BE">
            <w:rPr>
              <w:rFonts w:cs="Times New Roman"/>
              <w:noProof/>
              <w:szCs w:val="24"/>
              <w:lang w:val="en-GB"/>
            </w:rPr>
            <w:t>(Raiborn, Schorg, &amp; Massoud, 2006)</w:t>
          </w:r>
          <w:r w:rsidR="000E4BAF" w:rsidRPr="003569BE">
            <w:rPr>
              <w:rFonts w:cs="Times New Roman"/>
              <w:szCs w:val="24"/>
              <w:lang w:val="en-GB"/>
            </w:rPr>
            <w:fldChar w:fldCharType="end"/>
          </w:r>
        </w:sdtContent>
      </w:sdt>
    </w:p>
    <w:p w:rsidR="00762B3E" w:rsidRPr="003569BE" w:rsidRDefault="003E3FF5" w:rsidP="00713496">
      <w:pPr>
        <w:spacing w:line="360" w:lineRule="auto"/>
        <w:rPr>
          <w:rFonts w:cs="Times New Roman"/>
          <w:szCs w:val="24"/>
          <w:lang w:val="en-GB"/>
        </w:rPr>
      </w:pPr>
      <w:r w:rsidRPr="003569BE">
        <w:rPr>
          <w:rFonts w:cs="Times New Roman"/>
          <w:szCs w:val="24"/>
          <w:lang w:val="en-GB"/>
        </w:rPr>
        <w:t>In addition, w</w:t>
      </w:r>
      <w:r w:rsidR="00A82A4C" w:rsidRPr="003569BE">
        <w:rPr>
          <w:rFonts w:cs="Times New Roman"/>
          <w:szCs w:val="24"/>
          <w:lang w:val="en-GB"/>
        </w:rPr>
        <w:t xml:space="preserve">ith regard to the positions of regulators and dependent bodies, Cameran et Al. (2005) </w:t>
      </w:r>
      <w:r w:rsidR="00C52BF4" w:rsidRPr="003569BE">
        <w:rPr>
          <w:rFonts w:cs="Times New Roman"/>
          <w:szCs w:val="24"/>
          <w:lang w:val="en-GB"/>
        </w:rPr>
        <w:t xml:space="preserve">have reviewed the conclusions and findings of 26 reports by regulators or other representative bodies from around the world. </w:t>
      </w:r>
      <w:r w:rsidR="00D7690A" w:rsidRPr="003569BE">
        <w:rPr>
          <w:rFonts w:cs="Times New Roman"/>
          <w:szCs w:val="24"/>
          <w:lang w:val="en-GB"/>
        </w:rPr>
        <w:t>“</w:t>
      </w:r>
      <w:r w:rsidR="00D2250F" w:rsidRPr="003569BE">
        <w:rPr>
          <w:rFonts w:cs="Times New Roman"/>
          <w:szCs w:val="24"/>
          <w:lang w:val="en-GB"/>
        </w:rPr>
        <w:t>O</w:t>
      </w:r>
      <w:r w:rsidR="00DE212A" w:rsidRPr="003569BE">
        <w:rPr>
          <w:rFonts w:cs="Times New Roman"/>
          <w:szCs w:val="24"/>
          <w:lang w:val="en-GB"/>
        </w:rPr>
        <w:t>f the 26 reports, 22 conclude</w:t>
      </w:r>
      <w:r w:rsidR="00C52BF4" w:rsidRPr="003569BE">
        <w:rPr>
          <w:rFonts w:cs="Times New Roman"/>
          <w:szCs w:val="24"/>
          <w:lang w:val="en-GB"/>
        </w:rPr>
        <w:t xml:space="preserve"> against the benefits of </w:t>
      </w:r>
      <w:r w:rsidR="002C3E01" w:rsidRPr="003569BE">
        <w:rPr>
          <w:rFonts w:cs="Times New Roman"/>
          <w:szCs w:val="24"/>
          <w:lang w:val="en-GB"/>
        </w:rPr>
        <w:t xml:space="preserve">the </w:t>
      </w:r>
      <w:r w:rsidR="00C52BF4" w:rsidRPr="003569BE">
        <w:rPr>
          <w:rFonts w:cs="Times New Roman"/>
          <w:szCs w:val="24"/>
          <w:lang w:val="en-GB"/>
        </w:rPr>
        <w:t>ma</w:t>
      </w:r>
      <w:r w:rsidR="00DE212A" w:rsidRPr="003569BE">
        <w:rPr>
          <w:rFonts w:cs="Times New Roman"/>
          <w:szCs w:val="24"/>
          <w:lang w:val="en-GB"/>
        </w:rPr>
        <w:t xml:space="preserve">ndatory audit firm rotation and </w:t>
      </w:r>
      <w:r w:rsidR="00C52BF4" w:rsidRPr="003569BE">
        <w:rPr>
          <w:rFonts w:cs="Times New Roman"/>
          <w:szCs w:val="24"/>
          <w:lang w:val="en-GB"/>
        </w:rPr>
        <w:t xml:space="preserve">while 4 </w:t>
      </w:r>
      <w:r w:rsidR="00C4717F" w:rsidRPr="003569BE">
        <w:rPr>
          <w:rFonts w:cs="Times New Roman"/>
          <w:szCs w:val="24"/>
          <w:lang w:val="en-GB"/>
        </w:rPr>
        <w:t>are</w:t>
      </w:r>
      <w:r w:rsidR="00C52BF4" w:rsidRPr="003569BE">
        <w:rPr>
          <w:rFonts w:cs="Times New Roman"/>
          <w:szCs w:val="24"/>
          <w:lang w:val="en-GB"/>
        </w:rPr>
        <w:t xml:space="preserve"> in favour</w:t>
      </w:r>
      <w:r w:rsidR="00D7690A" w:rsidRPr="003569BE">
        <w:rPr>
          <w:rFonts w:cs="Times New Roman"/>
          <w:szCs w:val="24"/>
          <w:lang w:val="en-GB"/>
        </w:rPr>
        <w:t xml:space="preserve">” </w:t>
      </w:r>
      <w:sdt>
        <w:sdtPr>
          <w:rPr>
            <w:rFonts w:cs="Times New Roman"/>
            <w:szCs w:val="24"/>
            <w:lang w:val="en-GB"/>
          </w:rPr>
          <w:id w:val="901635104"/>
          <w:citation/>
        </w:sdtPr>
        <w:sdtContent>
          <w:r w:rsidR="000E4BAF" w:rsidRPr="003569BE">
            <w:rPr>
              <w:rFonts w:cs="Times New Roman"/>
              <w:szCs w:val="24"/>
              <w:lang w:val="en-GB"/>
            </w:rPr>
            <w:fldChar w:fldCharType="begin"/>
          </w:r>
          <w:r w:rsidR="00311129" w:rsidRPr="003569BE">
            <w:rPr>
              <w:rFonts w:cs="Times New Roman"/>
              <w:szCs w:val="24"/>
              <w:lang w:val="en-GB"/>
            </w:rPr>
            <w:instrText xml:space="preserve">CITATION Cam05 \p 4 \t  \l 1033 </w:instrText>
          </w:r>
          <w:r w:rsidR="000E4BAF" w:rsidRPr="003569BE">
            <w:rPr>
              <w:rFonts w:cs="Times New Roman"/>
              <w:szCs w:val="24"/>
              <w:lang w:val="en-GB"/>
            </w:rPr>
            <w:fldChar w:fldCharType="separate"/>
          </w:r>
          <w:r w:rsidR="008F7EB3" w:rsidRPr="003569BE">
            <w:rPr>
              <w:rFonts w:cs="Times New Roman"/>
              <w:noProof/>
              <w:szCs w:val="24"/>
              <w:lang w:val="en-GB"/>
            </w:rPr>
            <w:t>(Cameran, Merlotti, &amp; DiVincenzo, 2005, p. 4)</w:t>
          </w:r>
          <w:r w:rsidR="000E4BAF" w:rsidRPr="003569BE">
            <w:rPr>
              <w:rFonts w:cs="Times New Roman"/>
              <w:szCs w:val="24"/>
              <w:lang w:val="en-GB"/>
            </w:rPr>
            <w:fldChar w:fldCharType="end"/>
          </w:r>
        </w:sdtContent>
      </w:sdt>
      <w:r w:rsidR="00C52BF4" w:rsidRPr="003569BE">
        <w:rPr>
          <w:rFonts w:cs="Times New Roman"/>
          <w:szCs w:val="24"/>
          <w:lang w:val="en-GB"/>
        </w:rPr>
        <w:t>.</w:t>
      </w:r>
      <w:r w:rsidR="00DA613B" w:rsidRPr="003569BE">
        <w:rPr>
          <w:rFonts w:cs="Times New Roman"/>
          <w:szCs w:val="24"/>
          <w:lang w:val="en-GB"/>
        </w:rPr>
        <w:t xml:space="preserve"> </w:t>
      </w:r>
    </w:p>
    <w:p w:rsidR="00367EEA" w:rsidRPr="003569BE" w:rsidRDefault="00367EEA" w:rsidP="00846EA1">
      <w:pPr>
        <w:pStyle w:val="Heading2"/>
        <w:numPr>
          <w:ilvl w:val="1"/>
          <w:numId w:val="6"/>
        </w:numPr>
        <w:spacing w:line="360" w:lineRule="auto"/>
        <w:rPr>
          <w:lang w:val="en-GB"/>
        </w:rPr>
      </w:pPr>
      <w:bookmarkStart w:id="12" w:name="_Toc396633544"/>
      <w:r w:rsidRPr="003569BE">
        <w:rPr>
          <w:lang w:val="en-GB"/>
        </w:rPr>
        <w:t>Earnings Management</w:t>
      </w:r>
      <w:bookmarkEnd w:id="12"/>
    </w:p>
    <w:p w:rsidR="00EB3A95" w:rsidRPr="003569BE" w:rsidRDefault="00EB3A95" w:rsidP="00EB3A95">
      <w:pPr>
        <w:spacing w:line="360" w:lineRule="auto"/>
        <w:rPr>
          <w:rFonts w:cs="Times New Roman"/>
          <w:szCs w:val="24"/>
          <w:lang w:val="en-GB"/>
        </w:rPr>
      </w:pPr>
      <w:r w:rsidRPr="003569BE">
        <w:rPr>
          <w:rFonts w:cs="Times New Roman"/>
          <w:szCs w:val="24"/>
          <w:lang w:val="en-GB"/>
        </w:rPr>
        <w:t xml:space="preserve">In the next subsections of this thesis, the characteristics and the content of </w:t>
      </w:r>
      <w:r w:rsidR="0048051D" w:rsidRPr="003569BE">
        <w:rPr>
          <w:rFonts w:cs="Times New Roman"/>
          <w:szCs w:val="24"/>
          <w:lang w:val="en-GB"/>
        </w:rPr>
        <w:t xml:space="preserve">the term </w:t>
      </w:r>
      <w:r w:rsidRPr="003569BE">
        <w:rPr>
          <w:rFonts w:cs="Times New Roman"/>
          <w:szCs w:val="24"/>
          <w:lang w:val="en-GB"/>
        </w:rPr>
        <w:t>earnings management will be presented.</w:t>
      </w:r>
      <w:r w:rsidR="000F750D" w:rsidRPr="003569BE">
        <w:rPr>
          <w:rFonts w:cs="Times New Roman"/>
          <w:szCs w:val="24"/>
          <w:lang w:val="en-GB"/>
        </w:rPr>
        <w:t xml:space="preserve"> First,</w:t>
      </w:r>
      <w:r w:rsidR="0048051D" w:rsidRPr="003569BE">
        <w:rPr>
          <w:rFonts w:cs="Times New Roman"/>
          <w:szCs w:val="24"/>
          <w:lang w:val="en-GB"/>
        </w:rPr>
        <w:t xml:space="preserve"> by presenting several definitions available in prior scientific research</w:t>
      </w:r>
      <w:r w:rsidR="0082389D" w:rsidRPr="003569BE">
        <w:rPr>
          <w:rFonts w:cs="Times New Roman"/>
          <w:szCs w:val="24"/>
          <w:lang w:val="en-GB"/>
        </w:rPr>
        <w:t>,</w:t>
      </w:r>
      <w:r w:rsidR="000F750D" w:rsidRPr="003569BE">
        <w:rPr>
          <w:rFonts w:cs="Times New Roman"/>
          <w:szCs w:val="24"/>
          <w:lang w:val="en-GB"/>
        </w:rPr>
        <w:t xml:space="preserve"> the term “earnings management” will be explained. Next, the content of the </w:t>
      </w:r>
      <w:r w:rsidR="0048051D" w:rsidRPr="003569BE">
        <w:rPr>
          <w:rFonts w:cs="Times New Roman"/>
          <w:szCs w:val="24"/>
          <w:lang w:val="en-GB"/>
        </w:rPr>
        <w:t xml:space="preserve">term </w:t>
      </w:r>
      <w:r w:rsidR="000F750D" w:rsidRPr="003569BE">
        <w:rPr>
          <w:rFonts w:cs="Times New Roman"/>
          <w:szCs w:val="24"/>
          <w:lang w:val="en-GB"/>
        </w:rPr>
        <w:t xml:space="preserve">earnings management will be analysed, and the distinction between accrual earnings management and real earnings management will be </w:t>
      </w:r>
      <w:r w:rsidR="0048051D" w:rsidRPr="003569BE">
        <w:rPr>
          <w:rFonts w:cs="Times New Roman"/>
          <w:szCs w:val="24"/>
          <w:lang w:val="en-GB"/>
        </w:rPr>
        <w:t>present</w:t>
      </w:r>
      <w:r w:rsidR="0082389D" w:rsidRPr="003569BE">
        <w:rPr>
          <w:rFonts w:cs="Times New Roman"/>
          <w:szCs w:val="24"/>
          <w:lang w:val="en-GB"/>
        </w:rPr>
        <w:t>ed</w:t>
      </w:r>
      <w:r w:rsidR="000F750D" w:rsidRPr="003569BE">
        <w:rPr>
          <w:rFonts w:cs="Times New Roman"/>
          <w:szCs w:val="24"/>
          <w:lang w:val="en-GB"/>
        </w:rPr>
        <w:t xml:space="preserve">. </w:t>
      </w:r>
      <w:r w:rsidR="00632A92" w:rsidRPr="003569BE">
        <w:rPr>
          <w:rFonts w:cs="Times New Roman"/>
          <w:szCs w:val="24"/>
          <w:lang w:val="en-GB"/>
        </w:rPr>
        <w:t xml:space="preserve">Finally, the incentives that drive management to </w:t>
      </w:r>
      <w:r w:rsidR="006B3535" w:rsidRPr="003569BE">
        <w:rPr>
          <w:rFonts w:cs="Times New Roman"/>
          <w:szCs w:val="24"/>
          <w:lang w:val="en-GB"/>
        </w:rPr>
        <w:t>engage in earnings management</w:t>
      </w:r>
      <w:r w:rsidR="005B586A" w:rsidRPr="003569BE">
        <w:rPr>
          <w:rFonts w:cs="Times New Roman"/>
          <w:szCs w:val="24"/>
          <w:lang w:val="en-GB"/>
        </w:rPr>
        <w:t xml:space="preserve"> and the positions of the regulators regarding </w:t>
      </w:r>
      <w:r w:rsidR="0048051D" w:rsidRPr="003569BE">
        <w:rPr>
          <w:rFonts w:cs="Times New Roman"/>
          <w:szCs w:val="24"/>
          <w:lang w:val="en-GB"/>
        </w:rPr>
        <w:t xml:space="preserve">the use of </w:t>
      </w:r>
      <w:r w:rsidR="005B586A" w:rsidRPr="003569BE">
        <w:rPr>
          <w:rFonts w:cs="Times New Roman"/>
          <w:szCs w:val="24"/>
          <w:lang w:val="en-GB"/>
        </w:rPr>
        <w:t xml:space="preserve">earnings management will be </w:t>
      </w:r>
      <w:r w:rsidR="0048051D" w:rsidRPr="003569BE">
        <w:rPr>
          <w:rFonts w:cs="Times New Roman"/>
          <w:szCs w:val="24"/>
          <w:lang w:val="en-GB"/>
        </w:rPr>
        <w:t>commented</w:t>
      </w:r>
      <w:r w:rsidR="005B586A" w:rsidRPr="003569BE">
        <w:rPr>
          <w:rFonts w:cs="Times New Roman"/>
          <w:szCs w:val="24"/>
          <w:lang w:val="en-GB"/>
        </w:rPr>
        <w:t>.</w:t>
      </w:r>
    </w:p>
    <w:p w:rsidR="00013763" w:rsidRPr="003569BE" w:rsidRDefault="00507847" w:rsidP="00846EA1">
      <w:pPr>
        <w:pStyle w:val="Heading2"/>
        <w:numPr>
          <w:ilvl w:val="2"/>
          <w:numId w:val="6"/>
        </w:numPr>
        <w:spacing w:line="360" w:lineRule="auto"/>
        <w:rPr>
          <w:lang w:val="en-GB"/>
        </w:rPr>
      </w:pPr>
      <w:bookmarkStart w:id="13" w:name="_Toc396633545"/>
      <w:r w:rsidRPr="003569BE">
        <w:rPr>
          <w:lang w:val="en-GB"/>
        </w:rPr>
        <w:t xml:space="preserve">Defining </w:t>
      </w:r>
      <w:r w:rsidR="0048051D" w:rsidRPr="003569BE">
        <w:rPr>
          <w:lang w:val="en-GB"/>
        </w:rPr>
        <w:t xml:space="preserve">the term </w:t>
      </w:r>
      <w:r w:rsidRPr="003569BE">
        <w:rPr>
          <w:lang w:val="en-GB"/>
        </w:rPr>
        <w:t>Earnings Management</w:t>
      </w:r>
      <w:bookmarkEnd w:id="13"/>
    </w:p>
    <w:p w:rsidR="00484492" w:rsidRPr="003569BE" w:rsidRDefault="00484492" w:rsidP="00484492">
      <w:pPr>
        <w:spacing w:line="360" w:lineRule="auto"/>
        <w:rPr>
          <w:rFonts w:cs="Times New Roman"/>
          <w:szCs w:val="24"/>
          <w:lang w:val="en-GB"/>
        </w:rPr>
      </w:pPr>
      <w:r w:rsidRPr="003569BE">
        <w:rPr>
          <w:rFonts w:cs="Times New Roman"/>
          <w:szCs w:val="24"/>
          <w:lang w:val="en-GB"/>
        </w:rPr>
        <w:t>Academic economic literature provides several definitions for the term earnings management, but the most representative are the two below.</w:t>
      </w:r>
    </w:p>
    <w:p w:rsidR="000B27D7" w:rsidRPr="003569BE" w:rsidRDefault="00484492" w:rsidP="00484492">
      <w:pPr>
        <w:spacing w:line="360" w:lineRule="auto"/>
        <w:rPr>
          <w:rFonts w:cs="Times New Roman"/>
          <w:szCs w:val="24"/>
          <w:lang w:val="en-GB"/>
        </w:rPr>
      </w:pPr>
      <w:r w:rsidRPr="003569BE">
        <w:rPr>
          <w:rFonts w:cs="Times New Roman"/>
          <w:szCs w:val="24"/>
          <w:lang w:val="en-GB"/>
        </w:rPr>
        <w:t>Schipper (1989) defines earnings management as</w:t>
      </w:r>
      <w:r w:rsidR="000B27D7" w:rsidRPr="003569BE">
        <w:rPr>
          <w:rFonts w:cs="Times New Roman"/>
          <w:szCs w:val="24"/>
          <w:lang w:val="en-GB"/>
        </w:rPr>
        <w:t>:</w:t>
      </w:r>
    </w:p>
    <w:p w:rsidR="000B27D7" w:rsidRPr="003569BE" w:rsidRDefault="00484492" w:rsidP="000B27D7">
      <w:pPr>
        <w:spacing w:line="360" w:lineRule="auto"/>
        <w:ind w:left="426" w:right="708"/>
        <w:rPr>
          <w:rFonts w:cs="Times New Roman"/>
          <w:szCs w:val="24"/>
          <w:lang w:val="en-GB"/>
        </w:rPr>
      </w:pPr>
      <w:r w:rsidRPr="003569BE">
        <w:rPr>
          <w:rFonts w:cs="Times New Roman"/>
          <w:szCs w:val="24"/>
          <w:lang w:val="en-GB"/>
        </w:rPr>
        <w:t>“a purposeful intervention in the external financial reporting process, with the intent of obtaining some private gain (as opposed to, say, merely facilitating the neutral operation of the process)</w:t>
      </w:r>
      <w:r w:rsidR="006D2E0C" w:rsidRPr="003569BE">
        <w:rPr>
          <w:rFonts w:cs="Times New Roman"/>
          <w:szCs w:val="24"/>
          <w:lang w:val="en-GB"/>
        </w:rPr>
        <w:t>.</w:t>
      </w:r>
      <w:r w:rsidR="00280708" w:rsidRPr="003569BE">
        <w:rPr>
          <w:rFonts w:cs="Times New Roman"/>
          <w:szCs w:val="24"/>
          <w:lang w:val="en-GB"/>
        </w:rPr>
        <w:t xml:space="preserve"> Under this definition, earnings management </w:t>
      </w:r>
      <w:r w:rsidR="00280708" w:rsidRPr="003569BE">
        <w:rPr>
          <w:rFonts w:cs="Times New Roman"/>
          <w:szCs w:val="24"/>
          <w:lang w:val="en-GB"/>
        </w:rPr>
        <w:lastRenderedPageBreak/>
        <w:t xml:space="preserve">could occur in any part of the external disclosure process, and could take a number of forms. A minor extension of this definition would </w:t>
      </w:r>
      <w:r w:rsidR="00280708" w:rsidRPr="003569BE">
        <w:rPr>
          <w:rFonts w:cs="Times New Roman"/>
          <w:i/>
          <w:szCs w:val="24"/>
          <w:lang w:val="en-GB"/>
        </w:rPr>
        <w:t xml:space="preserve">encompass </w:t>
      </w:r>
      <w:r w:rsidR="008C143C" w:rsidRPr="003569BE">
        <w:rPr>
          <w:rFonts w:cs="Times New Roman"/>
          <w:i/>
          <w:szCs w:val="24"/>
          <w:lang w:val="en-GB"/>
        </w:rPr>
        <w:t>‘real’</w:t>
      </w:r>
      <w:r w:rsidR="00280708" w:rsidRPr="003569BE">
        <w:rPr>
          <w:rFonts w:cs="Times New Roman"/>
          <w:i/>
          <w:szCs w:val="24"/>
          <w:lang w:val="en-GB"/>
        </w:rPr>
        <w:t xml:space="preserve"> earnings management</w:t>
      </w:r>
      <w:r w:rsidR="00280708" w:rsidRPr="003569BE">
        <w:rPr>
          <w:rFonts w:cs="Times New Roman"/>
          <w:szCs w:val="24"/>
          <w:lang w:val="en-GB"/>
        </w:rPr>
        <w:t>, accomplished by timing investment or financing decision to alter reported earnings or some subset of it</w:t>
      </w:r>
      <w:r w:rsidRPr="003569BE">
        <w:rPr>
          <w:rFonts w:cs="Times New Roman"/>
          <w:i/>
          <w:szCs w:val="24"/>
          <w:lang w:val="en-GB"/>
        </w:rPr>
        <w:t>”</w:t>
      </w:r>
      <w:r w:rsidR="002A0716" w:rsidRPr="003569BE">
        <w:rPr>
          <w:rFonts w:cs="Times New Roman"/>
          <w:szCs w:val="24"/>
          <w:lang w:val="en-GB"/>
        </w:rPr>
        <w:t xml:space="preserve"> </w:t>
      </w:r>
      <w:sdt>
        <w:sdtPr>
          <w:rPr>
            <w:rFonts w:cs="Times New Roman"/>
            <w:szCs w:val="24"/>
            <w:lang w:val="en-GB"/>
          </w:rPr>
          <w:id w:val="-1956785589"/>
          <w:citation/>
        </w:sdtPr>
        <w:sdtContent>
          <w:r w:rsidR="000E4BAF" w:rsidRPr="003569BE">
            <w:rPr>
              <w:rFonts w:cs="Times New Roman"/>
              <w:szCs w:val="24"/>
              <w:lang w:val="en-GB"/>
            </w:rPr>
            <w:fldChar w:fldCharType="begin"/>
          </w:r>
          <w:r w:rsidR="00665751" w:rsidRPr="003569BE">
            <w:rPr>
              <w:rFonts w:cs="Times New Roman"/>
              <w:szCs w:val="24"/>
              <w:lang w:val="en-GB"/>
            </w:rPr>
            <w:instrText xml:space="preserve">CITATION Sch99 \p 92 \l 1033 </w:instrText>
          </w:r>
          <w:r w:rsidR="000E4BAF" w:rsidRPr="003569BE">
            <w:rPr>
              <w:rFonts w:cs="Times New Roman"/>
              <w:szCs w:val="24"/>
              <w:lang w:val="en-GB"/>
            </w:rPr>
            <w:fldChar w:fldCharType="separate"/>
          </w:r>
          <w:r w:rsidR="008F7EB3" w:rsidRPr="003569BE">
            <w:rPr>
              <w:rFonts w:cs="Times New Roman"/>
              <w:noProof/>
              <w:szCs w:val="24"/>
              <w:lang w:val="en-GB"/>
            </w:rPr>
            <w:t>(Schipper, 1989, p. 92)</w:t>
          </w:r>
          <w:r w:rsidR="000E4BAF" w:rsidRPr="003569BE">
            <w:rPr>
              <w:rFonts w:cs="Times New Roman"/>
              <w:szCs w:val="24"/>
              <w:lang w:val="en-GB"/>
            </w:rPr>
            <w:fldChar w:fldCharType="end"/>
          </w:r>
        </w:sdtContent>
      </w:sdt>
      <w:r w:rsidR="00665751" w:rsidRPr="003569BE">
        <w:rPr>
          <w:rFonts w:cs="Times New Roman"/>
          <w:noProof/>
          <w:szCs w:val="24"/>
          <w:lang w:val="en-GB"/>
        </w:rPr>
        <w:t>.</w:t>
      </w:r>
    </w:p>
    <w:p w:rsidR="00476125" w:rsidRPr="003569BE" w:rsidRDefault="00484492" w:rsidP="000B27D7">
      <w:pPr>
        <w:spacing w:line="360" w:lineRule="auto"/>
        <w:rPr>
          <w:rFonts w:cs="Times New Roman"/>
          <w:szCs w:val="24"/>
          <w:lang w:val="en-GB"/>
        </w:rPr>
      </w:pPr>
      <w:r w:rsidRPr="003569BE">
        <w:rPr>
          <w:rFonts w:cs="Times New Roman"/>
          <w:szCs w:val="24"/>
          <w:lang w:val="en-GB"/>
        </w:rPr>
        <w:t>Healy and Wahlen (1999) state that</w:t>
      </w:r>
      <w:r w:rsidR="00476125" w:rsidRPr="003569BE">
        <w:rPr>
          <w:rFonts w:cs="Times New Roman"/>
          <w:szCs w:val="24"/>
          <w:lang w:val="en-GB"/>
        </w:rPr>
        <w:t>:</w:t>
      </w:r>
    </w:p>
    <w:p w:rsidR="00C812B4" w:rsidRPr="003569BE" w:rsidRDefault="00484492" w:rsidP="00476125">
      <w:pPr>
        <w:spacing w:line="360" w:lineRule="auto"/>
        <w:ind w:left="426" w:right="708"/>
        <w:rPr>
          <w:rFonts w:cs="Times New Roman"/>
          <w:szCs w:val="24"/>
          <w:lang w:val="en-GB"/>
        </w:rPr>
      </w:pPr>
      <w:r w:rsidRPr="003569BE">
        <w:rPr>
          <w:rFonts w:cs="Times New Roman"/>
          <w:szCs w:val="24"/>
          <w:lang w:val="en-GB"/>
        </w:rPr>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w:t>
      </w:r>
      <w:r w:rsidR="005113B7" w:rsidRPr="003569BE">
        <w:rPr>
          <w:rFonts w:cs="Times New Roman"/>
          <w:szCs w:val="24"/>
          <w:lang w:val="en-GB"/>
        </w:rPr>
        <w:t xml:space="preserve"> </w:t>
      </w:r>
      <w:sdt>
        <w:sdtPr>
          <w:rPr>
            <w:rFonts w:cs="Times New Roman"/>
            <w:szCs w:val="24"/>
            <w:lang w:val="en-GB"/>
          </w:rPr>
          <w:id w:val="1285614146"/>
          <w:citation/>
        </w:sdtPr>
        <w:sdtContent>
          <w:r w:rsidR="000E4BAF" w:rsidRPr="003569BE">
            <w:rPr>
              <w:rFonts w:cs="Times New Roman"/>
              <w:szCs w:val="24"/>
              <w:lang w:val="en-GB"/>
            </w:rPr>
            <w:fldChar w:fldCharType="begin"/>
          </w:r>
          <w:r w:rsidR="00443053" w:rsidRPr="003569BE">
            <w:rPr>
              <w:rFonts w:cs="Times New Roman"/>
              <w:szCs w:val="24"/>
              <w:lang w:val="en-GB"/>
            </w:rPr>
            <w:instrText xml:space="preserve">CITATION Are99 \p 368 \l 1033 </w:instrText>
          </w:r>
          <w:r w:rsidR="000E4BAF" w:rsidRPr="003569BE">
            <w:rPr>
              <w:rFonts w:cs="Times New Roman"/>
              <w:szCs w:val="24"/>
              <w:lang w:val="en-GB"/>
            </w:rPr>
            <w:fldChar w:fldCharType="separate"/>
          </w:r>
          <w:r w:rsidR="008F7EB3" w:rsidRPr="003569BE">
            <w:rPr>
              <w:rFonts w:cs="Times New Roman"/>
              <w:noProof/>
              <w:szCs w:val="24"/>
              <w:lang w:val="en-GB"/>
            </w:rPr>
            <w:t>(Healy &amp; Whalen, 1999, p. 368)</w:t>
          </w:r>
          <w:r w:rsidR="000E4BAF" w:rsidRPr="003569BE">
            <w:rPr>
              <w:rFonts w:cs="Times New Roman"/>
              <w:szCs w:val="24"/>
              <w:lang w:val="en-GB"/>
            </w:rPr>
            <w:fldChar w:fldCharType="end"/>
          </w:r>
        </w:sdtContent>
      </w:sdt>
      <w:r w:rsidR="00443053" w:rsidRPr="003569BE">
        <w:rPr>
          <w:rFonts w:cs="Times New Roman"/>
          <w:noProof/>
          <w:szCs w:val="24"/>
          <w:lang w:val="en-GB"/>
        </w:rPr>
        <w:t>.</w:t>
      </w:r>
    </w:p>
    <w:p w:rsidR="00606676" w:rsidRPr="003569BE" w:rsidRDefault="0004138A" w:rsidP="00484492">
      <w:pPr>
        <w:spacing w:line="360" w:lineRule="auto"/>
        <w:rPr>
          <w:rFonts w:cs="Times New Roman"/>
          <w:szCs w:val="24"/>
          <w:lang w:val="en-GB"/>
        </w:rPr>
      </w:pPr>
      <w:r w:rsidRPr="003569BE">
        <w:rPr>
          <w:rFonts w:cs="Times New Roman"/>
          <w:szCs w:val="24"/>
          <w:lang w:val="en-GB"/>
        </w:rPr>
        <w:t>Another definition of earnings management is provided by Scott (</w:t>
      </w:r>
      <w:r w:rsidR="00751B86" w:rsidRPr="003569BE">
        <w:rPr>
          <w:rFonts w:cs="Times New Roman"/>
          <w:szCs w:val="24"/>
          <w:lang w:val="en-GB"/>
        </w:rPr>
        <w:t>2014</w:t>
      </w:r>
      <w:r w:rsidRPr="003569BE">
        <w:rPr>
          <w:rFonts w:cs="Times New Roman"/>
          <w:szCs w:val="24"/>
          <w:lang w:val="en-GB"/>
        </w:rPr>
        <w:t>), who states that “earnings management is the choice by a manager of accounting policies, or real actions, affecting earnings so as to achieve some specif</w:t>
      </w:r>
      <w:r w:rsidR="007D3A26" w:rsidRPr="003569BE">
        <w:rPr>
          <w:rFonts w:cs="Times New Roman"/>
          <w:szCs w:val="24"/>
          <w:lang w:val="en-GB"/>
        </w:rPr>
        <w:t>ic reported earnings objectives</w:t>
      </w:r>
      <w:r w:rsidR="00B2236C" w:rsidRPr="003569BE">
        <w:rPr>
          <w:rFonts w:cs="Times New Roman"/>
          <w:szCs w:val="24"/>
          <w:lang w:val="en-GB"/>
        </w:rPr>
        <w:t xml:space="preserve">” </w:t>
      </w:r>
      <w:sdt>
        <w:sdtPr>
          <w:rPr>
            <w:rFonts w:cs="Times New Roman"/>
            <w:szCs w:val="24"/>
            <w:lang w:val="en-GB"/>
          </w:rPr>
          <w:id w:val="-1802531008"/>
          <w:citation/>
        </w:sdtPr>
        <w:sdtContent>
          <w:r w:rsidR="000E4BAF" w:rsidRPr="003569BE">
            <w:rPr>
              <w:rFonts w:cs="Times New Roman"/>
              <w:szCs w:val="24"/>
              <w:lang w:val="en-GB"/>
            </w:rPr>
            <w:fldChar w:fldCharType="begin"/>
          </w:r>
          <w:r w:rsidR="00C10E74" w:rsidRPr="003569BE">
            <w:rPr>
              <w:rFonts w:cs="Times New Roman"/>
              <w:szCs w:val="24"/>
              <w:lang w:val="en-GB"/>
            </w:rPr>
            <w:instrText xml:space="preserve">CITATION Sco14 \p 156 \l 1033 </w:instrText>
          </w:r>
          <w:r w:rsidR="000E4BAF" w:rsidRPr="003569BE">
            <w:rPr>
              <w:rFonts w:cs="Times New Roman"/>
              <w:szCs w:val="24"/>
              <w:lang w:val="en-GB"/>
            </w:rPr>
            <w:fldChar w:fldCharType="separate"/>
          </w:r>
          <w:r w:rsidR="008F7EB3" w:rsidRPr="003569BE">
            <w:rPr>
              <w:rFonts w:cs="Times New Roman"/>
              <w:noProof/>
              <w:szCs w:val="24"/>
              <w:lang w:val="en-GB"/>
            </w:rPr>
            <w:t>(Scott, 2014, p. 156)</w:t>
          </w:r>
          <w:r w:rsidR="000E4BAF" w:rsidRPr="003569BE">
            <w:rPr>
              <w:rFonts w:cs="Times New Roman"/>
              <w:szCs w:val="24"/>
              <w:lang w:val="en-GB"/>
            </w:rPr>
            <w:fldChar w:fldCharType="end"/>
          </w:r>
        </w:sdtContent>
      </w:sdt>
      <w:r w:rsidR="00B0274F" w:rsidRPr="003569BE">
        <w:rPr>
          <w:rFonts w:cs="Times New Roman"/>
          <w:szCs w:val="24"/>
          <w:lang w:val="en-GB"/>
        </w:rPr>
        <w:t xml:space="preserve">. </w:t>
      </w:r>
      <w:r w:rsidR="00606676" w:rsidRPr="003569BE">
        <w:rPr>
          <w:rFonts w:cs="Times New Roman"/>
          <w:szCs w:val="24"/>
          <w:lang w:val="en-GB"/>
        </w:rPr>
        <w:t xml:space="preserve">In other words, </w:t>
      </w:r>
      <w:r w:rsidR="001574D1" w:rsidRPr="003569BE">
        <w:rPr>
          <w:rFonts w:cs="Times New Roman"/>
          <w:szCs w:val="24"/>
          <w:lang w:val="en-GB"/>
        </w:rPr>
        <w:t xml:space="preserve">the use of earnings management implies </w:t>
      </w:r>
      <w:r w:rsidR="00C926C3" w:rsidRPr="003569BE">
        <w:rPr>
          <w:rFonts w:cs="Times New Roman"/>
          <w:szCs w:val="24"/>
          <w:lang w:val="en-GB"/>
        </w:rPr>
        <w:t>that managers use</w:t>
      </w:r>
      <w:r w:rsidR="001574D1" w:rsidRPr="003569BE">
        <w:rPr>
          <w:rFonts w:cs="Times New Roman"/>
          <w:szCs w:val="24"/>
          <w:lang w:val="en-GB"/>
        </w:rPr>
        <w:t xml:space="preserve"> the flexibility of accounting rules</w:t>
      </w:r>
      <w:r w:rsidR="00C926C3" w:rsidRPr="003569BE">
        <w:rPr>
          <w:rFonts w:cs="Times New Roman"/>
          <w:szCs w:val="24"/>
          <w:lang w:val="en-GB"/>
        </w:rPr>
        <w:t xml:space="preserve"> </w:t>
      </w:r>
      <w:r w:rsidR="009946CE" w:rsidRPr="003569BE">
        <w:rPr>
          <w:rFonts w:cs="Times New Roman"/>
          <w:szCs w:val="24"/>
          <w:lang w:val="en-GB"/>
        </w:rPr>
        <w:t xml:space="preserve">when </w:t>
      </w:r>
      <w:r w:rsidR="006E5BA7" w:rsidRPr="003569BE">
        <w:rPr>
          <w:rFonts w:cs="Times New Roman"/>
          <w:szCs w:val="24"/>
          <w:lang w:val="en-GB"/>
        </w:rPr>
        <w:t xml:space="preserve">recording </w:t>
      </w:r>
      <w:r w:rsidR="00FF7D8D" w:rsidRPr="003569BE">
        <w:rPr>
          <w:rFonts w:cs="Times New Roman"/>
          <w:szCs w:val="24"/>
          <w:lang w:val="en-GB"/>
        </w:rPr>
        <w:t xml:space="preserve">the company’s </w:t>
      </w:r>
      <w:r w:rsidR="001574D1" w:rsidRPr="003569BE">
        <w:rPr>
          <w:rFonts w:cs="Times New Roman"/>
          <w:szCs w:val="24"/>
          <w:lang w:val="en-GB"/>
        </w:rPr>
        <w:t>e</w:t>
      </w:r>
      <w:r w:rsidR="00C926C3" w:rsidRPr="003569BE">
        <w:rPr>
          <w:rFonts w:cs="Times New Roman"/>
          <w:szCs w:val="24"/>
          <w:lang w:val="en-GB"/>
        </w:rPr>
        <w:t>xpenses or revenues, depending on the intention of the management: whether to mana</w:t>
      </w:r>
      <w:r w:rsidR="004667E2" w:rsidRPr="003569BE">
        <w:rPr>
          <w:rFonts w:cs="Times New Roman"/>
          <w:szCs w:val="24"/>
          <w:lang w:val="en-GB"/>
        </w:rPr>
        <w:t>ge earnings upwards or downwards, through the use of either accruals or real activities</w:t>
      </w:r>
      <w:r w:rsidR="00C926C3" w:rsidRPr="003569BE">
        <w:rPr>
          <w:rFonts w:cs="Times New Roman"/>
          <w:szCs w:val="24"/>
          <w:lang w:val="en-GB"/>
        </w:rPr>
        <w:t>.</w:t>
      </w:r>
    </w:p>
    <w:p w:rsidR="003E574F" w:rsidRPr="003569BE" w:rsidRDefault="00BD7628" w:rsidP="00484492">
      <w:pPr>
        <w:spacing w:line="360" w:lineRule="auto"/>
        <w:rPr>
          <w:rFonts w:cs="Times New Roman"/>
          <w:szCs w:val="24"/>
          <w:lang w:val="en-GB"/>
        </w:rPr>
      </w:pPr>
      <w:r w:rsidRPr="003569BE">
        <w:rPr>
          <w:rFonts w:cs="Times New Roman"/>
          <w:szCs w:val="24"/>
          <w:lang w:val="en-GB"/>
        </w:rPr>
        <w:t>Management can employ t</w:t>
      </w:r>
      <w:r w:rsidR="00C77586" w:rsidRPr="003569BE">
        <w:rPr>
          <w:rFonts w:cs="Times New Roman"/>
          <w:szCs w:val="24"/>
          <w:lang w:val="en-GB"/>
        </w:rPr>
        <w:t xml:space="preserve">wo types of earnings management: accrual earnings management and real earnings management. </w:t>
      </w:r>
      <w:r w:rsidR="00626771" w:rsidRPr="003569BE">
        <w:rPr>
          <w:rFonts w:cs="Times New Roman"/>
          <w:szCs w:val="24"/>
          <w:lang w:val="en-GB"/>
        </w:rPr>
        <w:t>An introduction of these two is presented next.</w:t>
      </w:r>
    </w:p>
    <w:p w:rsidR="00001B8C" w:rsidRPr="003569BE" w:rsidRDefault="00546711" w:rsidP="00846EA1">
      <w:pPr>
        <w:pStyle w:val="Heading2"/>
        <w:numPr>
          <w:ilvl w:val="2"/>
          <w:numId w:val="6"/>
        </w:numPr>
        <w:spacing w:line="360" w:lineRule="auto"/>
        <w:rPr>
          <w:lang w:val="en-GB"/>
        </w:rPr>
      </w:pPr>
      <w:bookmarkStart w:id="14" w:name="_Toc396633546"/>
      <w:r w:rsidRPr="003569BE">
        <w:rPr>
          <w:lang w:val="en-GB"/>
        </w:rPr>
        <w:t>Accrual Earnings Management</w:t>
      </w:r>
      <w:bookmarkEnd w:id="14"/>
    </w:p>
    <w:p w:rsidR="006C3511" w:rsidRPr="003569BE" w:rsidRDefault="00880593" w:rsidP="00F518B7">
      <w:pPr>
        <w:spacing w:line="360" w:lineRule="auto"/>
        <w:rPr>
          <w:rFonts w:cs="Times New Roman"/>
          <w:szCs w:val="24"/>
          <w:lang w:val="en-GB"/>
        </w:rPr>
      </w:pPr>
      <w:r w:rsidRPr="003569BE">
        <w:rPr>
          <w:rFonts w:cs="Times New Roman"/>
          <w:szCs w:val="24"/>
          <w:lang w:val="en-GB"/>
        </w:rPr>
        <w:t>Accrual</w:t>
      </w:r>
      <w:r w:rsidR="00497B9D" w:rsidRPr="003569BE">
        <w:rPr>
          <w:rFonts w:cs="Times New Roman"/>
          <w:szCs w:val="24"/>
          <w:lang w:val="en-GB"/>
        </w:rPr>
        <w:t>s based</w:t>
      </w:r>
      <w:r w:rsidRPr="003569BE">
        <w:rPr>
          <w:rFonts w:cs="Times New Roman"/>
          <w:szCs w:val="24"/>
          <w:lang w:val="en-GB"/>
        </w:rPr>
        <w:t xml:space="preserve"> earnings management</w:t>
      </w:r>
      <w:r w:rsidR="001D2CE3" w:rsidRPr="003569BE">
        <w:rPr>
          <w:rFonts w:cs="Times New Roman"/>
          <w:szCs w:val="24"/>
          <w:lang w:val="en-GB"/>
        </w:rPr>
        <w:t xml:space="preserve"> uses the discretion of </w:t>
      </w:r>
      <w:r w:rsidR="0048051D" w:rsidRPr="003569BE">
        <w:rPr>
          <w:rFonts w:cs="Times New Roman"/>
          <w:szCs w:val="24"/>
          <w:lang w:val="en-GB"/>
        </w:rPr>
        <w:t xml:space="preserve">the </w:t>
      </w:r>
      <w:r w:rsidR="001D2CE3" w:rsidRPr="003569BE">
        <w:rPr>
          <w:rFonts w:cs="Times New Roman"/>
          <w:szCs w:val="24"/>
          <w:lang w:val="en-GB"/>
        </w:rPr>
        <w:t xml:space="preserve">management in the process of adopting accounting policies and methods and in the process of estimating figures. </w:t>
      </w:r>
    </w:p>
    <w:p w:rsidR="00E307AA" w:rsidRPr="003569BE" w:rsidRDefault="00FF62DD" w:rsidP="004D6149">
      <w:pPr>
        <w:spacing w:line="360" w:lineRule="auto"/>
        <w:rPr>
          <w:rFonts w:cs="Times New Roman"/>
          <w:i/>
          <w:szCs w:val="24"/>
          <w:lang w:val="en-GB"/>
        </w:rPr>
      </w:pPr>
      <w:r w:rsidRPr="003569BE">
        <w:rPr>
          <w:rFonts w:cs="Times New Roman"/>
          <w:szCs w:val="24"/>
          <w:lang w:val="en-GB"/>
        </w:rPr>
        <w:t>Before explaining the concept of accruals based earnings management, it is essential to have an understanding of the term “</w:t>
      </w:r>
      <w:r w:rsidR="009C6E93" w:rsidRPr="003569BE">
        <w:rPr>
          <w:rFonts w:cs="Times New Roman"/>
          <w:szCs w:val="24"/>
          <w:lang w:val="en-GB"/>
        </w:rPr>
        <w:t>accr</w:t>
      </w:r>
      <w:r w:rsidRPr="003569BE">
        <w:rPr>
          <w:rFonts w:cs="Times New Roman"/>
          <w:szCs w:val="24"/>
          <w:lang w:val="en-GB"/>
        </w:rPr>
        <w:t>uals”</w:t>
      </w:r>
      <w:r w:rsidR="000C0F29" w:rsidRPr="003569BE">
        <w:rPr>
          <w:rFonts w:cs="Times New Roman"/>
          <w:szCs w:val="24"/>
          <w:lang w:val="en-GB"/>
        </w:rPr>
        <w:t>, since accruals earnings management implies the manipulation of accruals</w:t>
      </w:r>
      <w:r w:rsidRPr="003569BE">
        <w:rPr>
          <w:rFonts w:cs="Times New Roman"/>
          <w:szCs w:val="24"/>
          <w:lang w:val="en-GB"/>
        </w:rPr>
        <w:t xml:space="preserve">. </w:t>
      </w:r>
    </w:p>
    <w:p w:rsidR="004D6149" w:rsidRPr="003569BE" w:rsidRDefault="003F5988" w:rsidP="004D6149">
      <w:pPr>
        <w:spacing w:line="360" w:lineRule="auto"/>
        <w:rPr>
          <w:rFonts w:cs="Times New Roman"/>
          <w:szCs w:val="24"/>
          <w:lang w:val="en-GB"/>
        </w:rPr>
      </w:pPr>
      <w:r w:rsidRPr="003569BE">
        <w:rPr>
          <w:rFonts w:cs="Times New Roman"/>
          <w:szCs w:val="24"/>
          <w:lang w:val="en-GB"/>
        </w:rPr>
        <w:t xml:space="preserve">Accruals </w:t>
      </w:r>
      <w:r w:rsidR="00072225" w:rsidRPr="003569BE">
        <w:rPr>
          <w:rFonts w:cs="Times New Roman"/>
          <w:szCs w:val="24"/>
          <w:lang w:val="en-GB"/>
        </w:rPr>
        <w:t xml:space="preserve">can be defined as </w:t>
      </w:r>
      <w:r w:rsidR="00475D0E" w:rsidRPr="003569BE">
        <w:rPr>
          <w:rFonts w:cs="Times New Roman"/>
          <w:szCs w:val="24"/>
          <w:lang w:val="en-GB"/>
        </w:rPr>
        <w:t>provisional</w:t>
      </w:r>
      <w:r w:rsidRPr="003569BE">
        <w:rPr>
          <w:rFonts w:cs="Times New Roman"/>
          <w:szCs w:val="24"/>
          <w:lang w:val="en-GB"/>
        </w:rPr>
        <w:t xml:space="preserve"> </w:t>
      </w:r>
      <w:r w:rsidR="00475D0E" w:rsidRPr="003569BE">
        <w:rPr>
          <w:rFonts w:cs="Times New Roman"/>
          <w:szCs w:val="24"/>
          <w:lang w:val="en-GB"/>
        </w:rPr>
        <w:t>components</w:t>
      </w:r>
      <w:r w:rsidR="00EA3C8B" w:rsidRPr="003569BE">
        <w:rPr>
          <w:rFonts w:cs="Times New Roman"/>
          <w:szCs w:val="24"/>
          <w:lang w:val="en-GB"/>
        </w:rPr>
        <w:t xml:space="preserve"> of</w:t>
      </w:r>
      <w:r w:rsidR="00BC28FA" w:rsidRPr="003569BE">
        <w:rPr>
          <w:rFonts w:cs="Times New Roman"/>
          <w:szCs w:val="24"/>
          <w:lang w:val="en-GB"/>
        </w:rPr>
        <w:t xml:space="preserve"> the</w:t>
      </w:r>
      <w:r w:rsidRPr="003569BE">
        <w:rPr>
          <w:rFonts w:cs="Times New Roman"/>
          <w:szCs w:val="24"/>
          <w:lang w:val="en-GB"/>
        </w:rPr>
        <w:t xml:space="preserve"> balance sheet that emerge due to the fact that </w:t>
      </w:r>
      <w:r w:rsidR="00013E27" w:rsidRPr="003569BE">
        <w:rPr>
          <w:rFonts w:cs="Times New Roman"/>
          <w:szCs w:val="24"/>
          <w:lang w:val="en-GB"/>
        </w:rPr>
        <w:t>the principles of timing and matching are not always respected</w:t>
      </w:r>
      <w:r w:rsidR="000627F1" w:rsidRPr="003569BE">
        <w:rPr>
          <w:rFonts w:cs="Times New Roman"/>
          <w:szCs w:val="24"/>
          <w:lang w:val="en-GB"/>
        </w:rPr>
        <w:t xml:space="preserve"> for certain transactions</w:t>
      </w:r>
      <w:r w:rsidRPr="003569BE">
        <w:rPr>
          <w:rFonts w:cs="Times New Roman"/>
          <w:szCs w:val="24"/>
          <w:lang w:val="en-GB"/>
        </w:rPr>
        <w:t>.</w:t>
      </w:r>
      <w:r w:rsidR="00EB7D28" w:rsidRPr="003569BE">
        <w:rPr>
          <w:rFonts w:cs="Times New Roman"/>
          <w:szCs w:val="24"/>
          <w:lang w:val="en-GB"/>
        </w:rPr>
        <w:t xml:space="preserve"> </w:t>
      </w:r>
      <w:r w:rsidR="003547F7" w:rsidRPr="003569BE">
        <w:rPr>
          <w:rFonts w:cs="Times New Roman"/>
          <w:noProof/>
          <w:szCs w:val="24"/>
          <w:lang w:val="en-GB"/>
        </w:rPr>
        <w:t>For example,</w:t>
      </w:r>
      <w:r w:rsidR="00325CC4" w:rsidRPr="003569BE">
        <w:rPr>
          <w:rFonts w:cs="Times New Roman"/>
          <w:noProof/>
          <w:szCs w:val="24"/>
          <w:lang w:val="en-GB"/>
        </w:rPr>
        <w:t xml:space="preserve"> a type of</w:t>
      </w:r>
      <w:r w:rsidR="00EB7D28" w:rsidRPr="003569BE">
        <w:rPr>
          <w:rFonts w:cs="Times New Roman"/>
          <w:noProof/>
          <w:szCs w:val="24"/>
          <w:lang w:val="en-GB"/>
        </w:rPr>
        <w:t xml:space="preserve"> accrual which could indicate the presence of the use of earnings management is </w:t>
      </w:r>
      <w:r w:rsidR="00CA1A28" w:rsidRPr="003569BE">
        <w:rPr>
          <w:rFonts w:cs="Times New Roman"/>
          <w:noProof/>
          <w:szCs w:val="24"/>
          <w:lang w:val="en-GB"/>
        </w:rPr>
        <w:t xml:space="preserve">the situation </w:t>
      </w:r>
      <w:r w:rsidR="00EB7D28" w:rsidRPr="003569BE">
        <w:rPr>
          <w:rFonts w:cs="Times New Roman"/>
          <w:noProof/>
          <w:szCs w:val="24"/>
          <w:lang w:val="en-GB"/>
        </w:rPr>
        <w:t xml:space="preserve">when </w:t>
      </w:r>
      <w:r w:rsidR="00CA1A28" w:rsidRPr="003569BE">
        <w:rPr>
          <w:rFonts w:cs="Times New Roman"/>
          <w:noProof/>
          <w:szCs w:val="24"/>
          <w:lang w:val="en-GB"/>
        </w:rPr>
        <w:t>one</w:t>
      </w:r>
      <w:r w:rsidR="00EB7D28" w:rsidRPr="003569BE">
        <w:rPr>
          <w:rFonts w:cs="Times New Roman"/>
          <w:noProof/>
          <w:szCs w:val="24"/>
          <w:lang w:val="en-GB"/>
        </w:rPr>
        <w:t xml:space="preserve"> product is sold at one point, but the payment for the sale is </w:t>
      </w:r>
      <w:r w:rsidR="00937444" w:rsidRPr="003569BE">
        <w:rPr>
          <w:rFonts w:cs="Times New Roman"/>
          <w:noProof/>
          <w:szCs w:val="24"/>
          <w:lang w:val="en-GB"/>
        </w:rPr>
        <w:t>made</w:t>
      </w:r>
      <w:r w:rsidR="00EB7D28" w:rsidRPr="003569BE">
        <w:rPr>
          <w:rFonts w:cs="Times New Roman"/>
          <w:noProof/>
          <w:szCs w:val="24"/>
          <w:lang w:val="en-GB"/>
        </w:rPr>
        <w:t xml:space="preserve"> at a later point in time</w:t>
      </w:r>
      <w:r w:rsidR="00D42367" w:rsidRPr="003569BE">
        <w:rPr>
          <w:rFonts w:cs="Times New Roman"/>
          <w:noProof/>
          <w:szCs w:val="24"/>
          <w:lang w:val="en-GB"/>
        </w:rPr>
        <w:t>.</w:t>
      </w:r>
      <w:r w:rsidR="00576A13" w:rsidRPr="003569BE">
        <w:rPr>
          <w:rFonts w:cs="Times New Roman"/>
          <w:noProof/>
          <w:szCs w:val="24"/>
          <w:lang w:val="en-GB"/>
        </w:rPr>
        <w:t xml:space="preserve"> </w:t>
      </w:r>
      <w:r w:rsidR="004D6149" w:rsidRPr="003569BE">
        <w:rPr>
          <w:rFonts w:cs="Times New Roman"/>
          <w:szCs w:val="24"/>
          <w:lang w:val="en-GB"/>
        </w:rPr>
        <w:t xml:space="preserve">Total accruals can indicate whether in the financial </w:t>
      </w:r>
      <w:r w:rsidR="004D6149" w:rsidRPr="003569BE">
        <w:rPr>
          <w:rFonts w:cs="Times New Roman"/>
          <w:szCs w:val="24"/>
          <w:lang w:val="en-GB"/>
        </w:rPr>
        <w:lastRenderedPageBreak/>
        <w:t>reporting the use of earnings management exists. The total accruals can be calculated based on the next equation:</w:t>
      </w:r>
    </w:p>
    <w:p w:rsidR="004D6149" w:rsidRPr="003569BE" w:rsidRDefault="004D6149" w:rsidP="004D6149">
      <w:pPr>
        <w:spacing w:line="360" w:lineRule="auto"/>
        <w:jc w:val="center"/>
        <w:rPr>
          <w:rFonts w:cs="Times New Roman"/>
          <w:i/>
          <w:szCs w:val="24"/>
          <w:lang w:val="en-GB"/>
        </w:rPr>
      </w:pPr>
      <w:r w:rsidRPr="003569BE">
        <w:rPr>
          <w:rFonts w:cs="Times New Roman"/>
          <w:i/>
          <w:szCs w:val="24"/>
          <w:lang w:val="en-GB"/>
        </w:rPr>
        <w:t>Total Earnings = Total Accruals + Net Cash Flows</w:t>
      </w:r>
    </w:p>
    <w:p w:rsidR="005870D2" w:rsidRPr="003569BE" w:rsidRDefault="00D53CAE" w:rsidP="005870D2">
      <w:pPr>
        <w:spacing w:line="360" w:lineRule="auto"/>
        <w:rPr>
          <w:rFonts w:cs="Times New Roman"/>
          <w:szCs w:val="24"/>
          <w:lang w:val="en-GB"/>
        </w:rPr>
      </w:pPr>
      <w:r w:rsidRPr="003569BE">
        <w:rPr>
          <w:rFonts w:cs="Times New Roman"/>
          <w:szCs w:val="24"/>
          <w:lang w:val="en-GB"/>
        </w:rPr>
        <w:t>It is essential to differentiate between discretionary and non-discretionary accruals</w:t>
      </w:r>
      <w:r w:rsidR="000D2FF2" w:rsidRPr="003569BE">
        <w:rPr>
          <w:rFonts w:cs="Times New Roman"/>
          <w:szCs w:val="24"/>
          <w:lang w:val="en-GB"/>
        </w:rPr>
        <w:t xml:space="preserve"> </w:t>
      </w:r>
      <w:sdt>
        <w:sdtPr>
          <w:rPr>
            <w:rFonts w:cs="Times New Roman"/>
            <w:szCs w:val="24"/>
            <w:lang w:val="en-GB"/>
          </w:rPr>
          <w:id w:val="52366068"/>
          <w:citation/>
        </w:sdtPr>
        <w:sdtContent>
          <w:r w:rsidR="000E4BAF" w:rsidRPr="003569BE">
            <w:rPr>
              <w:rFonts w:cs="Times New Roman"/>
              <w:szCs w:val="24"/>
              <w:lang w:val="en-GB"/>
            </w:rPr>
            <w:fldChar w:fldCharType="begin"/>
          </w:r>
          <w:r w:rsidR="001A5316" w:rsidRPr="003569BE">
            <w:rPr>
              <w:rFonts w:cs="Times New Roman"/>
              <w:szCs w:val="24"/>
              <w:lang w:val="en-GB"/>
            </w:rPr>
            <w:instrText xml:space="preserve">CITATION alC08 \t  \l 1033 </w:instrText>
          </w:r>
          <w:r w:rsidR="000E4BAF" w:rsidRPr="003569BE">
            <w:rPr>
              <w:rFonts w:cs="Times New Roman"/>
              <w:szCs w:val="24"/>
              <w:lang w:val="en-GB"/>
            </w:rPr>
            <w:fldChar w:fldCharType="separate"/>
          </w:r>
          <w:r w:rsidR="008F7EB3" w:rsidRPr="003569BE">
            <w:rPr>
              <w:rFonts w:cs="Times New Roman"/>
              <w:noProof/>
              <w:szCs w:val="24"/>
              <w:lang w:val="en-GB"/>
            </w:rPr>
            <w:t>(Cohen, Dey, &amp; Lys, 2008)</w:t>
          </w:r>
          <w:r w:rsidR="000E4BAF" w:rsidRPr="003569BE">
            <w:rPr>
              <w:rFonts w:cs="Times New Roman"/>
              <w:szCs w:val="24"/>
              <w:lang w:val="en-GB"/>
            </w:rPr>
            <w:fldChar w:fldCharType="end"/>
          </w:r>
        </w:sdtContent>
      </w:sdt>
      <w:r w:rsidR="000D2FF2" w:rsidRPr="003569BE">
        <w:rPr>
          <w:rFonts w:cs="Times New Roman"/>
          <w:szCs w:val="24"/>
          <w:lang w:val="en-GB"/>
        </w:rPr>
        <w:t>.</w:t>
      </w:r>
      <w:r w:rsidR="0040605B" w:rsidRPr="003569BE">
        <w:rPr>
          <w:rFonts w:cs="Times New Roman"/>
          <w:szCs w:val="24"/>
          <w:lang w:val="en-GB"/>
        </w:rPr>
        <w:t xml:space="preserve"> Discretionary accruals are at the discretion of the management, while non-discretionary accruals </w:t>
      </w:r>
      <w:r w:rsidR="004A436D" w:rsidRPr="003569BE">
        <w:rPr>
          <w:rFonts w:cs="Times New Roman"/>
          <w:szCs w:val="24"/>
          <w:lang w:val="en-GB"/>
        </w:rPr>
        <w:t>are dependent on</w:t>
      </w:r>
      <w:r w:rsidR="0040605B" w:rsidRPr="003569BE">
        <w:rPr>
          <w:rFonts w:cs="Times New Roman"/>
          <w:szCs w:val="24"/>
          <w:lang w:val="en-GB"/>
        </w:rPr>
        <w:t xml:space="preserve"> the company’s business operations and other </w:t>
      </w:r>
      <w:r w:rsidR="00544863" w:rsidRPr="003569BE">
        <w:rPr>
          <w:rFonts w:cs="Times New Roman"/>
          <w:szCs w:val="24"/>
          <w:lang w:val="en-GB"/>
        </w:rPr>
        <w:t>environmental</w:t>
      </w:r>
      <w:r w:rsidR="0040605B" w:rsidRPr="003569BE">
        <w:rPr>
          <w:rFonts w:cs="Times New Roman"/>
          <w:szCs w:val="24"/>
          <w:lang w:val="en-GB"/>
        </w:rPr>
        <w:t xml:space="preserve"> factors.</w:t>
      </w:r>
      <w:r w:rsidR="004D1C2F" w:rsidRPr="003569BE">
        <w:rPr>
          <w:rFonts w:cs="Times New Roman"/>
          <w:szCs w:val="24"/>
          <w:lang w:val="en-GB"/>
        </w:rPr>
        <w:t xml:space="preserve"> </w:t>
      </w:r>
    </w:p>
    <w:p w:rsidR="00BB48F5" w:rsidRPr="003569BE" w:rsidRDefault="00424550" w:rsidP="005870D2">
      <w:pPr>
        <w:spacing w:line="360" w:lineRule="auto"/>
        <w:rPr>
          <w:rFonts w:cs="Times New Roman"/>
          <w:szCs w:val="24"/>
          <w:lang w:val="en-GB"/>
        </w:rPr>
      </w:pPr>
      <w:r w:rsidRPr="003569BE">
        <w:rPr>
          <w:rFonts w:cs="Times New Roman"/>
          <w:szCs w:val="24"/>
          <w:lang w:val="en-GB"/>
        </w:rPr>
        <w:t xml:space="preserve">Accrual earnings management can now be properly </w:t>
      </w:r>
      <w:r w:rsidR="0048051D" w:rsidRPr="003569BE">
        <w:rPr>
          <w:rFonts w:cs="Times New Roman"/>
          <w:szCs w:val="24"/>
          <w:lang w:val="en-GB"/>
        </w:rPr>
        <w:t>commented</w:t>
      </w:r>
      <w:r w:rsidRPr="003569BE">
        <w:rPr>
          <w:rFonts w:cs="Times New Roman"/>
          <w:szCs w:val="24"/>
          <w:lang w:val="en-GB"/>
        </w:rPr>
        <w:t xml:space="preserve">. </w:t>
      </w:r>
      <w:r w:rsidR="006265FC" w:rsidRPr="003569BE">
        <w:rPr>
          <w:rFonts w:cs="Times New Roman"/>
          <w:szCs w:val="24"/>
          <w:lang w:val="en-GB"/>
        </w:rPr>
        <w:t>Roychowdhury defines accrual earnings management as “</w:t>
      </w:r>
      <w:r w:rsidR="002C5AC2" w:rsidRPr="003569BE">
        <w:rPr>
          <w:rFonts w:cs="Times New Roman"/>
          <w:szCs w:val="24"/>
          <w:lang w:val="en-GB"/>
        </w:rPr>
        <w:t>manipulating accruals with no direct cash flow consequences</w:t>
      </w:r>
      <w:r w:rsidR="006265FC" w:rsidRPr="003569BE">
        <w:rPr>
          <w:rFonts w:cs="Times New Roman"/>
          <w:szCs w:val="24"/>
          <w:lang w:val="en-GB"/>
        </w:rPr>
        <w:t xml:space="preserve">” </w:t>
      </w:r>
      <w:sdt>
        <w:sdtPr>
          <w:rPr>
            <w:rFonts w:cs="Times New Roman"/>
            <w:szCs w:val="24"/>
            <w:lang w:val="en-GB"/>
          </w:rPr>
          <w:id w:val="-1502121205"/>
          <w:citation/>
        </w:sdtPr>
        <w:sdtContent>
          <w:r w:rsidR="000E4BAF" w:rsidRPr="003569BE">
            <w:rPr>
              <w:rFonts w:cs="Times New Roman"/>
              <w:szCs w:val="24"/>
              <w:lang w:val="en-GB"/>
            </w:rPr>
            <w:fldChar w:fldCharType="begin"/>
          </w:r>
          <w:r w:rsidR="005D28A4" w:rsidRPr="003569BE">
            <w:rPr>
              <w:rFonts w:cs="Times New Roman"/>
              <w:szCs w:val="24"/>
              <w:lang w:val="en-GB"/>
            </w:rPr>
            <w:instrText xml:space="preserve">CITATION Ear \p 336 \l 1033 </w:instrText>
          </w:r>
          <w:r w:rsidR="000E4BAF" w:rsidRPr="003569BE">
            <w:rPr>
              <w:rFonts w:cs="Times New Roman"/>
              <w:szCs w:val="24"/>
              <w:lang w:val="en-GB"/>
            </w:rPr>
            <w:fldChar w:fldCharType="separate"/>
          </w:r>
          <w:r w:rsidR="008F7EB3" w:rsidRPr="003569BE">
            <w:rPr>
              <w:rFonts w:cs="Times New Roman"/>
              <w:noProof/>
              <w:szCs w:val="24"/>
              <w:lang w:val="en-GB"/>
            </w:rPr>
            <w:t>(Roychowdhury, 2006, p. 336)</w:t>
          </w:r>
          <w:r w:rsidR="000E4BAF" w:rsidRPr="003569BE">
            <w:rPr>
              <w:rFonts w:cs="Times New Roman"/>
              <w:szCs w:val="24"/>
              <w:lang w:val="en-GB"/>
            </w:rPr>
            <w:fldChar w:fldCharType="end"/>
          </w:r>
        </w:sdtContent>
      </w:sdt>
      <w:r w:rsidR="006B39D9" w:rsidRPr="003569BE">
        <w:rPr>
          <w:rFonts w:cs="Times New Roman"/>
          <w:noProof/>
          <w:szCs w:val="24"/>
          <w:lang w:val="en-GB"/>
        </w:rPr>
        <w:t>.</w:t>
      </w:r>
      <w:r w:rsidR="00C35EFC" w:rsidRPr="003569BE">
        <w:rPr>
          <w:rFonts w:cs="Times New Roman"/>
          <w:noProof/>
          <w:szCs w:val="24"/>
          <w:lang w:val="en-GB"/>
        </w:rPr>
        <w:t xml:space="preserve"> </w:t>
      </w:r>
      <w:r w:rsidR="00C62653" w:rsidRPr="003569BE">
        <w:rPr>
          <w:rFonts w:cs="Times New Roman"/>
          <w:noProof/>
          <w:szCs w:val="24"/>
          <w:lang w:val="en-GB"/>
        </w:rPr>
        <w:t>E</w:t>
      </w:r>
      <w:r w:rsidR="00DC6A06" w:rsidRPr="003569BE">
        <w:rPr>
          <w:rFonts w:cs="Times New Roman"/>
          <w:noProof/>
          <w:szCs w:val="24"/>
          <w:lang w:val="en-GB"/>
        </w:rPr>
        <w:t>xamples of accruals</w:t>
      </w:r>
      <w:r w:rsidR="00C62653" w:rsidRPr="003569BE">
        <w:rPr>
          <w:rFonts w:cs="Times New Roman"/>
          <w:noProof/>
          <w:szCs w:val="24"/>
          <w:lang w:val="en-GB"/>
        </w:rPr>
        <w:t xml:space="preserve"> that could indicate the use of earnings management</w:t>
      </w:r>
      <w:r w:rsidR="00DC6A06" w:rsidRPr="003569BE">
        <w:rPr>
          <w:rFonts w:cs="Times New Roman"/>
          <w:noProof/>
          <w:szCs w:val="24"/>
          <w:lang w:val="en-GB"/>
        </w:rPr>
        <w:t xml:space="preserve"> </w:t>
      </w:r>
      <w:r w:rsidR="00FB5557" w:rsidRPr="003569BE">
        <w:rPr>
          <w:rFonts w:cs="Times New Roman"/>
          <w:noProof/>
          <w:szCs w:val="24"/>
          <w:lang w:val="en-GB"/>
        </w:rPr>
        <w:t>can be</w:t>
      </w:r>
      <w:r w:rsidR="00DC6A06" w:rsidRPr="003569BE">
        <w:rPr>
          <w:rFonts w:cs="Times New Roman"/>
          <w:noProof/>
          <w:szCs w:val="24"/>
          <w:lang w:val="en-GB"/>
        </w:rPr>
        <w:t xml:space="preserve"> prepaid costs or </w:t>
      </w:r>
      <w:r w:rsidR="00922454" w:rsidRPr="003569BE">
        <w:rPr>
          <w:rFonts w:cs="Times New Roman"/>
          <w:noProof/>
          <w:szCs w:val="24"/>
          <w:lang w:val="en-GB"/>
        </w:rPr>
        <w:t>accounts receivable</w:t>
      </w:r>
      <w:r w:rsidR="00DC6A06" w:rsidRPr="003569BE">
        <w:rPr>
          <w:rFonts w:cs="Times New Roman"/>
          <w:noProof/>
          <w:szCs w:val="24"/>
          <w:lang w:val="en-GB"/>
        </w:rPr>
        <w:t xml:space="preserve">. </w:t>
      </w:r>
      <w:r w:rsidR="007B0921" w:rsidRPr="003569BE">
        <w:rPr>
          <w:rFonts w:cs="Times New Roman"/>
          <w:noProof/>
          <w:szCs w:val="24"/>
          <w:lang w:val="en-GB"/>
        </w:rPr>
        <w:t xml:space="preserve">The reason </w:t>
      </w:r>
      <w:r w:rsidR="00CF7B22" w:rsidRPr="003569BE">
        <w:rPr>
          <w:rFonts w:cs="Times New Roman"/>
          <w:noProof/>
          <w:szCs w:val="24"/>
          <w:lang w:val="en-GB"/>
        </w:rPr>
        <w:t xml:space="preserve">why these accruals are considered as potential red flags for earnings management is because </w:t>
      </w:r>
      <w:r w:rsidR="0067442B" w:rsidRPr="003569BE">
        <w:rPr>
          <w:rFonts w:cs="Times New Roman"/>
          <w:noProof/>
          <w:szCs w:val="24"/>
          <w:lang w:val="en-GB"/>
        </w:rPr>
        <w:t xml:space="preserve">of the assumption that </w:t>
      </w:r>
      <w:r w:rsidR="00E37A96" w:rsidRPr="003569BE">
        <w:rPr>
          <w:rFonts w:cs="Times New Roman"/>
          <w:noProof/>
          <w:szCs w:val="24"/>
          <w:lang w:val="en-GB"/>
        </w:rPr>
        <w:t xml:space="preserve">management uses discretion when </w:t>
      </w:r>
      <w:r w:rsidR="00CF7B22" w:rsidRPr="003569BE">
        <w:rPr>
          <w:rFonts w:cs="Times New Roman"/>
          <w:noProof/>
          <w:szCs w:val="24"/>
          <w:lang w:val="en-GB"/>
        </w:rPr>
        <w:t>recogni</w:t>
      </w:r>
      <w:r w:rsidR="00E37A96" w:rsidRPr="003569BE">
        <w:rPr>
          <w:rFonts w:cs="Times New Roman"/>
          <w:noProof/>
          <w:szCs w:val="24"/>
          <w:lang w:val="en-GB"/>
        </w:rPr>
        <w:t>zing</w:t>
      </w:r>
      <w:r w:rsidR="00CF7B22" w:rsidRPr="003569BE">
        <w:rPr>
          <w:rFonts w:cs="Times New Roman"/>
          <w:noProof/>
          <w:szCs w:val="24"/>
          <w:lang w:val="en-GB"/>
        </w:rPr>
        <w:t xml:space="preserve"> </w:t>
      </w:r>
      <w:r w:rsidR="00E37A96" w:rsidRPr="003569BE">
        <w:rPr>
          <w:rFonts w:cs="Times New Roman"/>
          <w:noProof/>
          <w:szCs w:val="24"/>
          <w:lang w:val="en-GB"/>
        </w:rPr>
        <w:t>these items</w:t>
      </w:r>
      <w:r w:rsidR="00CF7B22" w:rsidRPr="003569BE">
        <w:rPr>
          <w:rFonts w:cs="Times New Roman"/>
          <w:noProof/>
          <w:szCs w:val="24"/>
          <w:lang w:val="en-GB"/>
        </w:rPr>
        <w:t>.</w:t>
      </w:r>
    </w:p>
    <w:p w:rsidR="004D1C2F" w:rsidRPr="003569BE" w:rsidRDefault="004D1C2F" w:rsidP="005870D2">
      <w:pPr>
        <w:spacing w:line="360" w:lineRule="auto"/>
        <w:rPr>
          <w:rFonts w:cs="Times New Roman"/>
          <w:szCs w:val="24"/>
          <w:lang w:val="en-GB"/>
        </w:rPr>
      </w:pPr>
      <w:r w:rsidRPr="003569BE">
        <w:rPr>
          <w:rFonts w:cs="Times New Roman"/>
          <w:szCs w:val="24"/>
          <w:lang w:val="en-GB"/>
        </w:rPr>
        <w:t xml:space="preserve">In the next </w:t>
      </w:r>
      <w:r w:rsidR="00A03444" w:rsidRPr="003569BE">
        <w:rPr>
          <w:rFonts w:cs="Times New Roman"/>
          <w:szCs w:val="24"/>
          <w:lang w:val="en-GB"/>
        </w:rPr>
        <w:t>paragraphs</w:t>
      </w:r>
      <w:r w:rsidRPr="003569BE">
        <w:rPr>
          <w:rFonts w:cs="Times New Roman"/>
          <w:szCs w:val="24"/>
          <w:lang w:val="en-GB"/>
        </w:rPr>
        <w:t xml:space="preserve">, several accrual earnings management techniques will be </w:t>
      </w:r>
      <w:r w:rsidR="0048051D" w:rsidRPr="003569BE">
        <w:rPr>
          <w:rFonts w:cs="Times New Roman"/>
          <w:szCs w:val="24"/>
          <w:lang w:val="en-GB"/>
        </w:rPr>
        <w:t>presented</w:t>
      </w:r>
      <w:r w:rsidRPr="003569BE">
        <w:rPr>
          <w:rFonts w:cs="Times New Roman"/>
          <w:szCs w:val="24"/>
          <w:lang w:val="en-GB"/>
        </w:rPr>
        <w:t xml:space="preserve">. </w:t>
      </w:r>
    </w:p>
    <w:p w:rsidR="00195ACC" w:rsidRPr="003569BE" w:rsidRDefault="00195ACC" w:rsidP="005870D2">
      <w:pPr>
        <w:spacing w:line="360" w:lineRule="auto"/>
        <w:rPr>
          <w:rFonts w:cs="Times New Roman"/>
          <w:b/>
          <w:i/>
          <w:szCs w:val="24"/>
          <w:u w:val="single"/>
          <w:lang w:val="en-GB"/>
        </w:rPr>
      </w:pPr>
    </w:p>
    <w:p w:rsidR="00AD5236" w:rsidRPr="003569BE" w:rsidRDefault="00122955" w:rsidP="005870D2">
      <w:pPr>
        <w:spacing w:line="360" w:lineRule="auto"/>
        <w:rPr>
          <w:rFonts w:cs="Times New Roman"/>
          <w:b/>
          <w:i/>
          <w:szCs w:val="24"/>
          <w:u w:val="single"/>
          <w:lang w:val="en-GB"/>
        </w:rPr>
      </w:pPr>
      <w:r w:rsidRPr="003569BE">
        <w:rPr>
          <w:rFonts w:cs="Times New Roman"/>
          <w:b/>
          <w:i/>
          <w:szCs w:val="24"/>
          <w:u w:val="single"/>
          <w:lang w:val="en-GB"/>
        </w:rPr>
        <w:t>Cookie Jar Reserve</w:t>
      </w:r>
      <w:r w:rsidR="00FC54AA" w:rsidRPr="003569BE">
        <w:rPr>
          <w:rFonts w:cs="Times New Roman"/>
          <w:b/>
          <w:i/>
          <w:szCs w:val="24"/>
          <w:u w:val="single"/>
          <w:lang w:val="en-GB"/>
        </w:rPr>
        <w:t>s</w:t>
      </w:r>
      <w:r w:rsidRPr="003569BE">
        <w:rPr>
          <w:rFonts w:cs="Times New Roman"/>
          <w:b/>
          <w:i/>
          <w:szCs w:val="24"/>
          <w:u w:val="single"/>
          <w:lang w:val="en-GB"/>
        </w:rPr>
        <w:t xml:space="preserve"> </w:t>
      </w:r>
    </w:p>
    <w:p w:rsidR="008B6535" w:rsidRPr="003569BE" w:rsidRDefault="00CE27A9" w:rsidP="005870D2">
      <w:pPr>
        <w:spacing w:line="360" w:lineRule="auto"/>
        <w:rPr>
          <w:rFonts w:cs="Times New Roman"/>
          <w:szCs w:val="24"/>
          <w:lang w:val="en-GB"/>
        </w:rPr>
      </w:pPr>
      <w:r w:rsidRPr="003569BE">
        <w:rPr>
          <w:rFonts w:cs="Times New Roman"/>
          <w:szCs w:val="24"/>
          <w:lang w:val="en-GB"/>
        </w:rPr>
        <w:t>General Accepted Ac</w:t>
      </w:r>
      <w:r w:rsidR="00B83E9B" w:rsidRPr="003569BE">
        <w:rPr>
          <w:rFonts w:cs="Times New Roman"/>
          <w:szCs w:val="24"/>
          <w:lang w:val="en-GB"/>
        </w:rPr>
        <w:t xml:space="preserve">counting Principles require </w:t>
      </w:r>
      <w:r w:rsidR="00A044A8" w:rsidRPr="003569BE">
        <w:rPr>
          <w:rFonts w:cs="Times New Roman"/>
          <w:szCs w:val="24"/>
          <w:lang w:val="en-GB"/>
        </w:rPr>
        <w:t>building</w:t>
      </w:r>
      <w:r w:rsidR="00CF66A0" w:rsidRPr="003569BE">
        <w:rPr>
          <w:rFonts w:cs="Times New Roman"/>
          <w:szCs w:val="24"/>
          <w:lang w:val="en-GB"/>
        </w:rPr>
        <w:t xml:space="preserve"> </w:t>
      </w:r>
      <w:r w:rsidRPr="003569BE">
        <w:rPr>
          <w:rFonts w:cs="Times New Roman"/>
          <w:szCs w:val="24"/>
          <w:lang w:val="en-GB"/>
        </w:rPr>
        <w:t xml:space="preserve">reserves </w:t>
      </w:r>
      <w:r w:rsidR="00CF66A0" w:rsidRPr="003569BE">
        <w:rPr>
          <w:rFonts w:cs="Times New Roman"/>
          <w:szCs w:val="24"/>
          <w:lang w:val="en-GB"/>
        </w:rPr>
        <w:t>in order to secure</w:t>
      </w:r>
      <w:r w:rsidR="009B5E70" w:rsidRPr="003569BE">
        <w:rPr>
          <w:rFonts w:cs="Times New Roman"/>
          <w:szCs w:val="24"/>
          <w:lang w:val="en-GB"/>
        </w:rPr>
        <w:t xml:space="preserve"> that subsequent obligations can be paid</w:t>
      </w:r>
      <w:r w:rsidRPr="003569BE">
        <w:rPr>
          <w:rFonts w:cs="Times New Roman"/>
          <w:szCs w:val="24"/>
          <w:lang w:val="en-GB"/>
        </w:rPr>
        <w:t xml:space="preserve"> </w:t>
      </w:r>
      <w:sdt>
        <w:sdtPr>
          <w:rPr>
            <w:rFonts w:cs="Times New Roman"/>
            <w:szCs w:val="24"/>
            <w:lang w:val="en-GB"/>
          </w:rPr>
          <w:id w:val="-1605794594"/>
          <w:citation/>
        </w:sdtPr>
        <w:sdtContent>
          <w:r w:rsidR="000E4BAF" w:rsidRPr="003569BE">
            <w:rPr>
              <w:rFonts w:cs="Times New Roman"/>
              <w:szCs w:val="24"/>
              <w:lang w:val="en-GB"/>
            </w:rPr>
            <w:fldChar w:fldCharType="begin"/>
          </w:r>
          <w:r w:rsidRPr="003569BE">
            <w:rPr>
              <w:rFonts w:cs="Times New Roman"/>
              <w:szCs w:val="24"/>
              <w:lang w:val="en-GB"/>
            </w:rPr>
            <w:instrText xml:space="preserve"> CITATION McK05 \l 1033 </w:instrText>
          </w:r>
          <w:r w:rsidR="000E4BAF" w:rsidRPr="003569BE">
            <w:rPr>
              <w:rFonts w:cs="Times New Roman"/>
              <w:szCs w:val="24"/>
              <w:lang w:val="en-GB"/>
            </w:rPr>
            <w:fldChar w:fldCharType="separate"/>
          </w:r>
          <w:r w:rsidR="008F7EB3" w:rsidRPr="003569BE">
            <w:rPr>
              <w:rFonts w:cs="Times New Roman"/>
              <w:noProof/>
              <w:szCs w:val="24"/>
              <w:lang w:val="en-GB"/>
            </w:rPr>
            <w:t>(McKee, 2005)</w:t>
          </w:r>
          <w:r w:rsidR="000E4BAF" w:rsidRPr="003569BE">
            <w:rPr>
              <w:rFonts w:cs="Times New Roman"/>
              <w:szCs w:val="24"/>
              <w:lang w:val="en-GB"/>
            </w:rPr>
            <w:fldChar w:fldCharType="end"/>
          </w:r>
        </w:sdtContent>
      </w:sdt>
      <w:r w:rsidRPr="003569BE">
        <w:rPr>
          <w:rFonts w:cs="Times New Roman"/>
          <w:szCs w:val="24"/>
          <w:lang w:val="en-GB"/>
        </w:rPr>
        <w:t>.</w:t>
      </w:r>
      <w:r w:rsidR="00212750" w:rsidRPr="003569BE">
        <w:rPr>
          <w:rFonts w:cs="Times New Roman"/>
          <w:szCs w:val="24"/>
          <w:lang w:val="en-GB"/>
        </w:rPr>
        <w:t xml:space="preserve"> </w:t>
      </w:r>
      <w:r w:rsidR="00962B9F" w:rsidRPr="003569BE">
        <w:rPr>
          <w:rFonts w:cs="Times New Roman"/>
          <w:szCs w:val="24"/>
          <w:lang w:val="en-GB"/>
        </w:rPr>
        <w:t>E</w:t>
      </w:r>
      <w:r w:rsidR="0048051D" w:rsidRPr="003569BE">
        <w:rPr>
          <w:rFonts w:cs="Times New Roman"/>
          <w:szCs w:val="24"/>
          <w:lang w:val="en-GB"/>
        </w:rPr>
        <w:t>ven though the</w:t>
      </w:r>
      <w:r w:rsidR="00B45DDC" w:rsidRPr="003569BE">
        <w:rPr>
          <w:rFonts w:cs="Times New Roman"/>
          <w:szCs w:val="24"/>
          <w:lang w:val="en-GB"/>
        </w:rPr>
        <w:t>se</w:t>
      </w:r>
      <w:r w:rsidR="0048051D" w:rsidRPr="003569BE">
        <w:rPr>
          <w:rFonts w:cs="Times New Roman"/>
          <w:szCs w:val="24"/>
          <w:lang w:val="en-GB"/>
        </w:rPr>
        <w:t xml:space="preserve"> obligations are related to events </w:t>
      </w:r>
      <w:r w:rsidR="005F6931" w:rsidRPr="003569BE">
        <w:rPr>
          <w:rFonts w:cs="Times New Roman"/>
          <w:szCs w:val="24"/>
          <w:lang w:val="en-GB"/>
        </w:rPr>
        <w:t>from the</w:t>
      </w:r>
      <w:r w:rsidR="0048051D" w:rsidRPr="003569BE">
        <w:rPr>
          <w:rFonts w:cs="Times New Roman"/>
          <w:szCs w:val="24"/>
          <w:lang w:val="en-GB"/>
        </w:rPr>
        <w:t xml:space="preserve"> past, the </w:t>
      </w:r>
      <w:r w:rsidR="00CE4C68" w:rsidRPr="003569BE">
        <w:rPr>
          <w:rFonts w:cs="Times New Roman"/>
          <w:szCs w:val="24"/>
          <w:lang w:val="en-GB"/>
        </w:rPr>
        <w:t>amounts of the future expenses are</w:t>
      </w:r>
      <w:r w:rsidR="0048051D" w:rsidRPr="003569BE">
        <w:rPr>
          <w:rFonts w:cs="Times New Roman"/>
          <w:szCs w:val="24"/>
          <w:lang w:val="en-GB"/>
        </w:rPr>
        <w:t xml:space="preserve"> unclear in most ca</w:t>
      </w:r>
      <w:r w:rsidR="002B403E" w:rsidRPr="003569BE">
        <w:rPr>
          <w:rFonts w:cs="Times New Roman"/>
          <w:szCs w:val="24"/>
          <w:lang w:val="en-GB"/>
        </w:rPr>
        <w:t xml:space="preserve">ses, and estimates are required, since </w:t>
      </w:r>
      <w:r w:rsidR="0048051D" w:rsidRPr="003569BE">
        <w:rPr>
          <w:rFonts w:cs="Times New Roman"/>
          <w:szCs w:val="24"/>
          <w:lang w:val="en-GB"/>
        </w:rPr>
        <w:t>t</w:t>
      </w:r>
      <w:r w:rsidR="00212750" w:rsidRPr="003569BE">
        <w:rPr>
          <w:rFonts w:cs="Times New Roman"/>
          <w:szCs w:val="24"/>
          <w:lang w:val="en-GB"/>
        </w:rPr>
        <w:t>he</w:t>
      </w:r>
      <w:r w:rsidR="00541807" w:rsidRPr="003569BE">
        <w:rPr>
          <w:rFonts w:cs="Times New Roman"/>
          <w:szCs w:val="24"/>
          <w:lang w:val="en-GB"/>
        </w:rPr>
        <w:t xml:space="preserve">se expenses </w:t>
      </w:r>
      <w:r w:rsidR="00212750" w:rsidRPr="003569BE">
        <w:rPr>
          <w:rFonts w:cs="Times New Roman"/>
          <w:szCs w:val="24"/>
          <w:lang w:val="en-GB"/>
        </w:rPr>
        <w:t>are not directly measurable</w:t>
      </w:r>
      <w:r w:rsidR="004A35E4" w:rsidRPr="003569BE">
        <w:rPr>
          <w:rFonts w:cs="Times New Roman"/>
          <w:szCs w:val="24"/>
          <w:lang w:val="en-GB"/>
        </w:rPr>
        <w:t xml:space="preserve">. </w:t>
      </w:r>
      <w:r w:rsidR="0048051D" w:rsidRPr="003569BE">
        <w:rPr>
          <w:rFonts w:cs="Times New Roman"/>
          <w:szCs w:val="24"/>
          <w:lang w:val="en-GB"/>
        </w:rPr>
        <w:t xml:space="preserve">Consequently the </w:t>
      </w:r>
      <w:r w:rsidR="00212750" w:rsidRPr="003569BE">
        <w:rPr>
          <w:rFonts w:cs="Times New Roman"/>
          <w:szCs w:val="24"/>
          <w:lang w:val="en-GB"/>
        </w:rPr>
        <w:t>estimation process create</w:t>
      </w:r>
      <w:r w:rsidR="00476C97" w:rsidRPr="003569BE">
        <w:rPr>
          <w:rFonts w:cs="Times New Roman"/>
          <w:szCs w:val="24"/>
          <w:lang w:val="en-GB"/>
        </w:rPr>
        <w:t>s</w:t>
      </w:r>
      <w:r w:rsidR="00212750" w:rsidRPr="003569BE">
        <w:rPr>
          <w:rFonts w:cs="Times New Roman"/>
          <w:szCs w:val="24"/>
          <w:lang w:val="en-GB"/>
        </w:rPr>
        <w:t xml:space="preserve"> the pos</w:t>
      </w:r>
      <w:r w:rsidR="00537A4A" w:rsidRPr="003569BE">
        <w:rPr>
          <w:rFonts w:cs="Times New Roman"/>
          <w:szCs w:val="24"/>
          <w:lang w:val="en-GB"/>
        </w:rPr>
        <w:t xml:space="preserve">sibility of </w:t>
      </w:r>
      <w:r w:rsidR="0048051D" w:rsidRPr="003569BE">
        <w:rPr>
          <w:rFonts w:cs="Times New Roman"/>
          <w:szCs w:val="24"/>
          <w:lang w:val="en-GB"/>
        </w:rPr>
        <w:t xml:space="preserve">the use of </w:t>
      </w:r>
      <w:r w:rsidR="00537A4A" w:rsidRPr="003569BE">
        <w:rPr>
          <w:rFonts w:cs="Times New Roman"/>
          <w:szCs w:val="24"/>
          <w:lang w:val="en-GB"/>
        </w:rPr>
        <w:t>earnings management:</w:t>
      </w:r>
      <w:r w:rsidR="0038435C" w:rsidRPr="003569BE">
        <w:rPr>
          <w:rFonts w:cs="Times New Roman"/>
          <w:szCs w:val="24"/>
          <w:lang w:val="en-GB"/>
        </w:rPr>
        <w:t xml:space="preserve"> when the actual reserve is created at a larger amount than the estimation of the expenses</w:t>
      </w:r>
      <w:r w:rsidR="00537A4A" w:rsidRPr="003569BE">
        <w:rPr>
          <w:rFonts w:cs="Times New Roman"/>
          <w:szCs w:val="24"/>
          <w:lang w:val="en-GB"/>
        </w:rPr>
        <w:t xml:space="preserve"> a cookie jar reserve is created.</w:t>
      </w:r>
      <w:r w:rsidR="00395E36" w:rsidRPr="003569BE">
        <w:rPr>
          <w:rFonts w:cs="Times New Roman"/>
          <w:szCs w:val="24"/>
          <w:lang w:val="en-GB"/>
        </w:rPr>
        <w:t xml:space="preserve"> This cookie jar reserve increases the expenses and consequently decreases </w:t>
      </w:r>
      <w:r w:rsidR="0038435C" w:rsidRPr="003569BE">
        <w:rPr>
          <w:rFonts w:cs="Times New Roman"/>
          <w:szCs w:val="24"/>
          <w:lang w:val="en-GB"/>
        </w:rPr>
        <w:t xml:space="preserve">the published </w:t>
      </w:r>
      <w:r w:rsidR="00395E36" w:rsidRPr="003569BE">
        <w:rPr>
          <w:rFonts w:cs="Times New Roman"/>
          <w:szCs w:val="24"/>
          <w:lang w:val="en-GB"/>
        </w:rPr>
        <w:t>earnings in the current period. The purpose of creating cookie jar reserve</w:t>
      </w:r>
      <w:r w:rsidR="00BF5F1E" w:rsidRPr="003569BE">
        <w:rPr>
          <w:rFonts w:cs="Times New Roman"/>
          <w:szCs w:val="24"/>
          <w:lang w:val="en-GB"/>
        </w:rPr>
        <w:t>s</w:t>
      </w:r>
      <w:r w:rsidR="00395E36" w:rsidRPr="003569BE">
        <w:rPr>
          <w:rFonts w:cs="Times New Roman"/>
          <w:szCs w:val="24"/>
          <w:lang w:val="en-GB"/>
        </w:rPr>
        <w:t xml:space="preserve"> is to be used to increase </w:t>
      </w:r>
      <w:r w:rsidR="0038435C" w:rsidRPr="003569BE">
        <w:rPr>
          <w:rFonts w:cs="Times New Roman"/>
          <w:szCs w:val="24"/>
          <w:lang w:val="en-GB"/>
        </w:rPr>
        <w:t xml:space="preserve">the published </w:t>
      </w:r>
      <w:r w:rsidR="00395E36" w:rsidRPr="003569BE">
        <w:rPr>
          <w:rFonts w:cs="Times New Roman"/>
          <w:szCs w:val="24"/>
          <w:lang w:val="en-GB"/>
        </w:rPr>
        <w:t xml:space="preserve">earnings in </w:t>
      </w:r>
      <w:r w:rsidR="0038435C" w:rsidRPr="003569BE">
        <w:rPr>
          <w:rFonts w:cs="Times New Roman"/>
          <w:szCs w:val="24"/>
          <w:lang w:val="en-GB"/>
        </w:rPr>
        <w:t xml:space="preserve">the </w:t>
      </w:r>
      <w:r w:rsidR="00395E36" w:rsidRPr="003569BE">
        <w:rPr>
          <w:rFonts w:cs="Times New Roman"/>
          <w:szCs w:val="24"/>
          <w:lang w:val="en-GB"/>
        </w:rPr>
        <w:t>future periods.</w:t>
      </w:r>
      <w:r w:rsidR="00DC16B0" w:rsidRPr="003569BE">
        <w:rPr>
          <w:rFonts w:cs="Times New Roman"/>
          <w:szCs w:val="24"/>
          <w:lang w:val="en-GB"/>
        </w:rPr>
        <w:t xml:space="preserve"> </w:t>
      </w:r>
    </w:p>
    <w:p w:rsidR="00195ACC" w:rsidRPr="003569BE" w:rsidRDefault="00195ACC" w:rsidP="005870D2">
      <w:pPr>
        <w:spacing w:line="360" w:lineRule="auto"/>
        <w:rPr>
          <w:rFonts w:cs="Times New Roman"/>
          <w:b/>
          <w:i/>
          <w:szCs w:val="24"/>
          <w:u w:val="single"/>
          <w:lang w:val="en-GB"/>
        </w:rPr>
      </w:pPr>
    </w:p>
    <w:p w:rsidR="00700FA2" w:rsidRPr="003569BE" w:rsidRDefault="00042B2B" w:rsidP="005870D2">
      <w:pPr>
        <w:spacing w:line="360" w:lineRule="auto"/>
        <w:rPr>
          <w:rFonts w:cs="Times New Roman"/>
          <w:b/>
          <w:i/>
          <w:szCs w:val="24"/>
          <w:u w:val="single"/>
          <w:lang w:val="en-GB"/>
        </w:rPr>
      </w:pPr>
      <w:r w:rsidRPr="003569BE">
        <w:rPr>
          <w:rFonts w:cs="Times New Roman"/>
          <w:b/>
          <w:i/>
          <w:szCs w:val="24"/>
          <w:u w:val="single"/>
          <w:lang w:val="en-GB"/>
        </w:rPr>
        <w:t>Taking a Bath</w:t>
      </w:r>
    </w:p>
    <w:p w:rsidR="0027109E" w:rsidRPr="003569BE" w:rsidRDefault="0021542C" w:rsidP="005870D2">
      <w:pPr>
        <w:spacing w:line="360" w:lineRule="auto"/>
        <w:rPr>
          <w:rFonts w:cs="Times New Roman"/>
          <w:szCs w:val="24"/>
          <w:lang w:val="en-GB"/>
        </w:rPr>
      </w:pPr>
      <w:r w:rsidRPr="003569BE">
        <w:rPr>
          <w:rFonts w:cs="Times New Roman"/>
          <w:szCs w:val="24"/>
          <w:lang w:val="en-GB"/>
        </w:rPr>
        <w:t xml:space="preserve">When a firm’s performance is poor during a year and it </w:t>
      </w:r>
      <w:r w:rsidR="0038435C" w:rsidRPr="003569BE">
        <w:rPr>
          <w:rFonts w:cs="Times New Roman"/>
          <w:szCs w:val="24"/>
          <w:lang w:val="en-GB"/>
        </w:rPr>
        <w:t xml:space="preserve">needs to </w:t>
      </w:r>
      <w:r w:rsidRPr="003569BE">
        <w:rPr>
          <w:rFonts w:cs="Times New Roman"/>
          <w:szCs w:val="24"/>
          <w:lang w:val="en-GB"/>
        </w:rPr>
        <w:t xml:space="preserve">report a loss, management tends to increase </w:t>
      </w:r>
      <w:r w:rsidR="0038435C" w:rsidRPr="003569BE">
        <w:rPr>
          <w:rFonts w:cs="Times New Roman"/>
          <w:szCs w:val="24"/>
          <w:lang w:val="en-GB"/>
        </w:rPr>
        <w:t xml:space="preserve">the published </w:t>
      </w:r>
      <w:r w:rsidRPr="003569BE">
        <w:rPr>
          <w:rFonts w:cs="Times New Roman"/>
          <w:szCs w:val="24"/>
          <w:lang w:val="en-GB"/>
        </w:rPr>
        <w:t xml:space="preserve">expenses and report a larger loss because of the assumption </w:t>
      </w:r>
      <w:r w:rsidR="004134B5" w:rsidRPr="003569BE">
        <w:rPr>
          <w:rFonts w:cs="Times New Roman"/>
          <w:szCs w:val="24"/>
          <w:lang w:val="en-GB"/>
        </w:rPr>
        <w:t>that one bad</w:t>
      </w:r>
      <w:r w:rsidRPr="003569BE">
        <w:rPr>
          <w:rFonts w:cs="Times New Roman"/>
          <w:szCs w:val="24"/>
          <w:lang w:val="en-GB"/>
        </w:rPr>
        <w:t xml:space="preserve"> year is </w:t>
      </w:r>
      <w:r w:rsidR="00D24DEA" w:rsidRPr="003569BE">
        <w:rPr>
          <w:rFonts w:cs="Times New Roman"/>
          <w:szCs w:val="24"/>
          <w:lang w:val="en-GB"/>
        </w:rPr>
        <w:t>not so much</w:t>
      </w:r>
      <w:r w:rsidRPr="003569BE">
        <w:rPr>
          <w:rFonts w:cs="Times New Roman"/>
          <w:szCs w:val="24"/>
          <w:lang w:val="en-GB"/>
        </w:rPr>
        <w:t xml:space="preserve"> </w:t>
      </w:r>
      <w:r w:rsidR="00D24DEA" w:rsidRPr="003569BE">
        <w:rPr>
          <w:rFonts w:cs="Times New Roman"/>
          <w:szCs w:val="24"/>
          <w:lang w:val="en-GB"/>
        </w:rPr>
        <w:t>harmful</w:t>
      </w:r>
      <w:r w:rsidRPr="003569BE">
        <w:rPr>
          <w:rFonts w:cs="Times New Roman"/>
          <w:szCs w:val="24"/>
          <w:lang w:val="en-GB"/>
        </w:rPr>
        <w:t xml:space="preserve"> </w:t>
      </w:r>
      <w:r w:rsidR="00B767F7" w:rsidRPr="003569BE">
        <w:rPr>
          <w:rFonts w:cs="Times New Roman"/>
          <w:szCs w:val="24"/>
          <w:lang w:val="en-GB"/>
        </w:rPr>
        <w:t>as</w:t>
      </w:r>
      <w:r w:rsidRPr="003569BE">
        <w:rPr>
          <w:rFonts w:cs="Times New Roman"/>
          <w:szCs w:val="24"/>
          <w:lang w:val="en-GB"/>
        </w:rPr>
        <w:t xml:space="preserve"> more </w:t>
      </w:r>
      <w:r w:rsidR="00F97A4B" w:rsidRPr="003569BE">
        <w:rPr>
          <w:rFonts w:cs="Times New Roman"/>
          <w:szCs w:val="24"/>
          <w:lang w:val="en-GB"/>
        </w:rPr>
        <w:t xml:space="preserve">bad </w:t>
      </w:r>
      <w:r w:rsidRPr="003569BE">
        <w:rPr>
          <w:rFonts w:cs="Times New Roman"/>
          <w:szCs w:val="24"/>
          <w:lang w:val="en-GB"/>
        </w:rPr>
        <w:t xml:space="preserve">years </w:t>
      </w:r>
      <w:r w:rsidR="00F97A4B" w:rsidRPr="003569BE">
        <w:rPr>
          <w:rFonts w:cs="Times New Roman"/>
          <w:szCs w:val="24"/>
          <w:lang w:val="en-GB"/>
        </w:rPr>
        <w:t>are</w:t>
      </w:r>
      <w:r w:rsidR="006F5087" w:rsidRPr="003569BE">
        <w:rPr>
          <w:rFonts w:cs="Times New Roman"/>
          <w:szCs w:val="24"/>
          <w:lang w:val="en-GB"/>
        </w:rPr>
        <w:t xml:space="preserve"> </w:t>
      </w:r>
      <w:sdt>
        <w:sdtPr>
          <w:rPr>
            <w:rFonts w:cs="Times New Roman"/>
            <w:szCs w:val="24"/>
            <w:lang w:val="en-GB"/>
          </w:rPr>
          <w:id w:val="-55866183"/>
          <w:citation/>
        </w:sdtPr>
        <w:sdtContent>
          <w:r w:rsidR="000E4BAF" w:rsidRPr="003569BE">
            <w:rPr>
              <w:rFonts w:cs="Times New Roman"/>
              <w:szCs w:val="24"/>
              <w:lang w:val="en-GB"/>
            </w:rPr>
            <w:fldChar w:fldCharType="begin"/>
          </w:r>
          <w:r w:rsidR="004E1811"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987363" w:rsidRPr="003569BE">
        <w:rPr>
          <w:rFonts w:cs="Times New Roman"/>
          <w:szCs w:val="24"/>
          <w:lang w:val="en-GB"/>
        </w:rPr>
        <w:t>.</w:t>
      </w:r>
      <w:r w:rsidR="004C6B79" w:rsidRPr="003569BE">
        <w:rPr>
          <w:rFonts w:cs="Times New Roman"/>
          <w:szCs w:val="24"/>
          <w:lang w:val="en-GB"/>
        </w:rPr>
        <w:t xml:space="preserve"> </w:t>
      </w:r>
      <w:r w:rsidR="007403EC" w:rsidRPr="003569BE">
        <w:rPr>
          <w:rFonts w:cs="Times New Roman"/>
          <w:szCs w:val="24"/>
          <w:lang w:val="en-GB"/>
        </w:rPr>
        <w:t xml:space="preserve">An </w:t>
      </w:r>
      <w:r w:rsidR="00A044A8" w:rsidRPr="003569BE">
        <w:rPr>
          <w:rFonts w:cs="Times New Roman"/>
          <w:szCs w:val="24"/>
          <w:lang w:val="en-GB"/>
        </w:rPr>
        <w:t>example</w:t>
      </w:r>
      <w:r w:rsidR="007403EC" w:rsidRPr="003569BE">
        <w:rPr>
          <w:rFonts w:cs="Times New Roman"/>
          <w:szCs w:val="24"/>
          <w:lang w:val="en-GB"/>
        </w:rPr>
        <w:t xml:space="preserve"> of </w:t>
      </w:r>
      <w:r w:rsidR="004C6B79" w:rsidRPr="003569BE">
        <w:rPr>
          <w:rFonts w:cs="Times New Roman"/>
          <w:szCs w:val="24"/>
          <w:lang w:val="en-GB"/>
        </w:rPr>
        <w:lastRenderedPageBreak/>
        <w:t xml:space="preserve">“taking a bath” technique </w:t>
      </w:r>
      <w:r w:rsidR="00B621C4" w:rsidRPr="003569BE">
        <w:rPr>
          <w:rFonts w:cs="Times New Roman"/>
          <w:szCs w:val="24"/>
          <w:lang w:val="en-GB"/>
        </w:rPr>
        <w:t>is excessive</w:t>
      </w:r>
      <w:r w:rsidR="004C6B79" w:rsidRPr="003569BE">
        <w:rPr>
          <w:rFonts w:cs="Times New Roman"/>
          <w:szCs w:val="24"/>
          <w:lang w:val="en-GB"/>
        </w:rPr>
        <w:t xml:space="preserve"> assets write-offs.</w:t>
      </w:r>
      <w:r w:rsidR="008D6B38" w:rsidRPr="003569BE">
        <w:rPr>
          <w:rFonts w:cs="Times New Roman"/>
          <w:szCs w:val="24"/>
          <w:lang w:val="en-GB"/>
        </w:rPr>
        <w:t xml:space="preserve"> Consequently, the accrual reversal increases the probability of </w:t>
      </w:r>
      <w:r w:rsidR="0038435C" w:rsidRPr="003569BE">
        <w:rPr>
          <w:rFonts w:cs="Times New Roman"/>
          <w:szCs w:val="24"/>
          <w:lang w:val="en-GB"/>
        </w:rPr>
        <w:t xml:space="preserve">the </w:t>
      </w:r>
      <w:r w:rsidR="00427911" w:rsidRPr="003569BE">
        <w:rPr>
          <w:rFonts w:cs="Times New Roman"/>
          <w:szCs w:val="24"/>
          <w:lang w:val="en-GB"/>
        </w:rPr>
        <w:t>subsequent</w:t>
      </w:r>
      <w:r w:rsidR="008D6B38" w:rsidRPr="003569BE">
        <w:rPr>
          <w:rFonts w:cs="Times New Roman"/>
          <w:szCs w:val="24"/>
          <w:lang w:val="en-GB"/>
        </w:rPr>
        <w:t xml:space="preserve"> profits.</w:t>
      </w:r>
      <w:r w:rsidR="00DA1321" w:rsidRPr="003569BE">
        <w:rPr>
          <w:rFonts w:cs="Times New Roman"/>
          <w:szCs w:val="24"/>
          <w:lang w:val="en-GB"/>
        </w:rPr>
        <w:t xml:space="preserve"> Scott</w:t>
      </w:r>
      <w:r w:rsidR="004A5860" w:rsidRPr="003569BE">
        <w:rPr>
          <w:rFonts w:cs="Times New Roman"/>
          <w:szCs w:val="24"/>
          <w:lang w:val="en-GB"/>
        </w:rPr>
        <w:t xml:space="preserve"> (2014)</w:t>
      </w:r>
      <w:r w:rsidR="0061605C" w:rsidRPr="003569BE">
        <w:rPr>
          <w:rFonts w:cs="Times New Roman"/>
          <w:szCs w:val="24"/>
          <w:lang w:val="en-GB"/>
        </w:rPr>
        <w:t xml:space="preserve"> state</w:t>
      </w:r>
      <w:r w:rsidR="00600B9C" w:rsidRPr="003569BE">
        <w:rPr>
          <w:rFonts w:cs="Times New Roman"/>
          <w:szCs w:val="24"/>
          <w:lang w:val="en-GB"/>
        </w:rPr>
        <w:t>d</w:t>
      </w:r>
      <w:r w:rsidR="0061605C" w:rsidRPr="003569BE">
        <w:rPr>
          <w:rFonts w:cs="Times New Roman"/>
          <w:szCs w:val="24"/>
          <w:lang w:val="en-GB"/>
        </w:rPr>
        <w:t xml:space="preserve"> that this technique often </w:t>
      </w:r>
      <w:r w:rsidR="00C8180E" w:rsidRPr="003569BE">
        <w:rPr>
          <w:rFonts w:cs="Times New Roman"/>
          <w:szCs w:val="24"/>
          <w:lang w:val="en-GB"/>
        </w:rPr>
        <w:t xml:space="preserve">occur </w:t>
      </w:r>
      <w:r w:rsidR="00600B9C" w:rsidRPr="003569BE">
        <w:rPr>
          <w:rFonts w:cs="Times New Roman"/>
          <w:szCs w:val="24"/>
          <w:lang w:val="en-GB"/>
        </w:rPr>
        <w:t>during periods of organizational stress or restructuring activities</w:t>
      </w:r>
      <w:r w:rsidR="00037389" w:rsidRPr="003569BE">
        <w:rPr>
          <w:rFonts w:cs="Times New Roman"/>
          <w:szCs w:val="24"/>
          <w:lang w:val="en-GB"/>
        </w:rPr>
        <w:t xml:space="preserve">, since </w:t>
      </w:r>
      <w:r w:rsidR="00E066B6" w:rsidRPr="003569BE">
        <w:rPr>
          <w:rFonts w:cs="Times New Roman"/>
          <w:szCs w:val="24"/>
          <w:lang w:val="en-GB"/>
        </w:rPr>
        <w:t>in this situation an opportunity arises for the management to engage in earnings management: restructuring costs involve estimates and estimates imply discretion.</w:t>
      </w:r>
    </w:p>
    <w:p w:rsidR="00195ACC" w:rsidRPr="003569BE" w:rsidRDefault="00195ACC" w:rsidP="005870D2">
      <w:pPr>
        <w:spacing w:line="360" w:lineRule="auto"/>
        <w:rPr>
          <w:rFonts w:cs="Times New Roman"/>
          <w:b/>
          <w:i/>
          <w:szCs w:val="24"/>
          <w:u w:val="single"/>
          <w:lang w:val="en-GB"/>
        </w:rPr>
      </w:pPr>
    </w:p>
    <w:p w:rsidR="00700FA2" w:rsidRPr="003569BE" w:rsidRDefault="00700FA2" w:rsidP="005870D2">
      <w:pPr>
        <w:spacing w:line="360" w:lineRule="auto"/>
        <w:rPr>
          <w:rFonts w:cs="Times New Roman"/>
          <w:b/>
          <w:i/>
          <w:szCs w:val="24"/>
          <w:u w:val="single"/>
          <w:lang w:val="en-GB"/>
        </w:rPr>
      </w:pPr>
      <w:r w:rsidRPr="003569BE">
        <w:rPr>
          <w:rFonts w:cs="Times New Roman"/>
          <w:b/>
          <w:i/>
          <w:szCs w:val="24"/>
          <w:u w:val="single"/>
          <w:lang w:val="en-GB"/>
        </w:rPr>
        <w:t xml:space="preserve">Income </w:t>
      </w:r>
      <w:r w:rsidR="00024D8C" w:rsidRPr="003569BE">
        <w:rPr>
          <w:rFonts w:cs="Times New Roman"/>
          <w:b/>
          <w:i/>
          <w:szCs w:val="24"/>
          <w:u w:val="single"/>
          <w:lang w:val="en-GB"/>
        </w:rPr>
        <w:t>M</w:t>
      </w:r>
      <w:r w:rsidRPr="003569BE">
        <w:rPr>
          <w:rFonts w:cs="Times New Roman"/>
          <w:b/>
          <w:i/>
          <w:szCs w:val="24"/>
          <w:u w:val="single"/>
          <w:lang w:val="en-GB"/>
        </w:rPr>
        <w:t>inimization</w:t>
      </w:r>
    </w:p>
    <w:p w:rsidR="0027109E" w:rsidRPr="003569BE" w:rsidRDefault="00405EDA" w:rsidP="005870D2">
      <w:pPr>
        <w:spacing w:line="360" w:lineRule="auto"/>
        <w:rPr>
          <w:rFonts w:cs="Times New Roman"/>
          <w:szCs w:val="24"/>
          <w:lang w:val="en-GB"/>
        </w:rPr>
      </w:pPr>
      <w:r w:rsidRPr="003569BE">
        <w:rPr>
          <w:rFonts w:cs="Times New Roman"/>
          <w:szCs w:val="24"/>
          <w:lang w:val="en-GB"/>
        </w:rPr>
        <w:t xml:space="preserve">This pattern is, to a certain extent, similar to taking a bath. </w:t>
      </w:r>
      <w:r w:rsidR="008407C0" w:rsidRPr="003569BE">
        <w:rPr>
          <w:rFonts w:cs="Times New Roman"/>
          <w:szCs w:val="24"/>
          <w:lang w:val="en-GB"/>
        </w:rPr>
        <w:t>However, it is less extreme, s</w:t>
      </w:r>
      <w:r w:rsidR="0038435C" w:rsidRPr="003569BE">
        <w:rPr>
          <w:rFonts w:cs="Times New Roman"/>
          <w:szCs w:val="24"/>
          <w:lang w:val="en-GB"/>
        </w:rPr>
        <w:t xml:space="preserve">ince it occurs mostly by politically visible firms during periods of high profitability </w:t>
      </w:r>
      <w:sdt>
        <w:sdtPr>
          <w:rPr>
            <w:rFonts w:cs="Times New Roman"/>
            <w:szCs w:val="24"/>
            <w:lang w:val="en-GB"/>
          </w:rPr>
          <w:id w:val="245924517"/>
          <w:citation/>
        </w:sdtPr>
        <w:sdtContent>
          <w:r w:rsidR="000E4BAF" w:rsidRPr="003569BE">
            <w:rPr>
              <w:rFonts w:cs="Times New Roman"/>
              <w:szCs w:val="24"/>
              <w:lang w:val="en-GB"/>
            </w:rPr>
            <w:fldChar w:fldCharType="begin"/>
          </w:r>
          <w:r w:rsidR="00A025BD"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A025BD" w:rsidRPr="003569BE">
        <w:rPr>
          <w:rFonts w:cs="Times New Roman"/>
          <w:szCs w:val="24"/>
          <w:lang w:val="en-GB"/>
        </w:rPr>
        <w:t>. In situations like this, management undertakes accounting policies that suggest income minimization, such as rapid write-offs of capital assets and intangibles and the expensing of advertising or R&amp;D expenditures.</w:t>
      </w:r>
      <w:r w:rsidR="00FC34B9" w:rsidRPr="003569BE">
        <w:rPr>
          <w:rFonts w:cs="Times New Roman"/>
          <w:szCs w:val="24"/>
          <w:lang w:val="en-GB"/>
        </w:rPr>
        <w:t xml:space="preserve"> The most common motivation for minimizing the income is the income tax consideration </w:t>
      </w:r>
      <w:sdt>
        <w:sdtPr>
          <w:rPr>
            <w:rFonts w:cs="Times New Roman"/>
            <w:szCs w:val="24"/>
            <w:lang w:val="en-GB"/>
          </w:rPr>
          <w:id w:val="-1848940876"/>
          <w:citation/>
        </w:sdtPr>
        <w:sdtContent>
          <w:r w:rsidR="000E4BAF" w:rsidRPr="003569BE">
            <w:rPr>
              <w:rFonts w:cs="Times New Roman"/>
              <w:szCs w:val="24"/>
              <w:lang w:val="en-GB"/>
            </w:rPr>
            <w:fldChar w:fldCharType="begin"/>
          </w:r>
          <w:r w:rsidR="00FC34B9"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FC34B9" w:rsidRPr="003569BE">
        <w:rPr>
          <w:rFonts w:cs="Times New Roman"/>
          <w:szCs w:val="24"/>
          <w:lang w:val="en-GB"/>
        </w:rPr>
        <w:t>.</w:t>
      </w:r>
    </w:p>
    <w:p w:rsidR="00195ACC" w:rsidRPr="003569BE" w:rsidRDefault="00195ACC" w:rsidP="005870D2">
      <w:pPr>
        <w:spacing w:line="360" w:lineRule="auto"/>
        <w:rPr>
          <w:rFonts w:cs="Times New Roman"/>
          <w:b/>
          <w:i/>
          <w:szCs w:val="24"/>
          <w:u w:val="single"/>
          <w:lang w:val="en-GB"/>
        </w:rPr>
      </w:pPr>
    </w:p>
    <w:p w:rsidR="00700FA2" w:rsidRPr="003569BE" w:rsidRDefault="00700FA2" w:rsidP="005870D2">
      <w:pPr>
        <w:spacing w:line="360" w:lineRule="auto"/>
        <w:rPr>
          <w:rFonts w:cs="Times New Roman"/>
          <w:b/>
          <w:i/>
          <w:szCs w:val="24"/>
          <w:u w:val="single"/>
          <w:lang w:val="en-GB"/>
        </w:rPr>
      </w:pPr>
      <w:r w:rsidRPr="003569BE">
        <w:rPr>
          <w:rFonts w:cs="Times New Roman"/>
          <w:b/>
          <w:i/>
          <w:szCs w:val="24"/>
          <w:u w:val="single"/>
          <w:lang w:val="en-GB"/>
        </w:rPr>
        <w:t xml:space="preserve">Income </w:t>
      </w:r>
      <w:r w:rsidR="00024D8C" w:rsidRPr="003569BE">
        <w:rPr>
          <w:rFonts w:cs="Times New Roman"/>
          <w:b/>
          <w:i/>
          <w:szCs w:val="24"/>
          <w:u w:val="single"/>
          <w:lang w:val="en-GB"/>
        </w:rPr>
        <w:t>M</w:t>
      </w:r>
      <w:r w:rsidRPr="003569BE">
        <w:rPr>
          <w:rFonts w:cs="Times New Roman"/>
          <w:b/>
          <w:i/>
          <w:szCs w:val="24"/>
          <w:u w:val="single"/>
          <w:lang w:val="en-GB"/>
        </w:rPr>
        <w:t>aximization</w:t>
      </w:r>
    </w:p>
    <w:p w:rsidR="0027109E" w:rsidRPr="003569BE" w:rsidRDefault="000E610E" w:rsidP="005870D2">
      <w:pPr>
        <w:spacing w:line="360" w:lineRule="auto"/>
        <w:rPr>
          <w:rFonts w:cs="Times New Roman"/>
          <w:szCs w:val="24"/>
          <w:lang w:val="en-GB"/>
        </w:rPr>
      </w:pPr>
      <w:r w:rsidRPr="003569BE">
        <w:rPr>
          <w:rFonts w:cs="Times New Roman"/>
          <w:szCs w:val="24"/>
          <w:lang w:val="en-GB"/>
        </w:rPr>
        <w:t xml:space="preserve">Income maximization is in </w:t>
      </w:r>
      <w:r w:rsidR="0038435C" w:rsidRPr="003569BE">
        <w:rPr>
          <w:rFonts w:cs="Times New Roman"/>
          <w:szCs w:val="24"/>
          <w:lang w:val="en-GB"/>
        </w:rPr>
        <w:t xml:space="preserve">conformity </w:t>
      </w:r>
      <w:r w:rsidRPr="003569BE">
        <w:rPr>
          <w:rFonts w:cs="Times New Roman"/>
          <w:szCs w:val="24"/>
          <w:lang w:val="en-GB"/>
        </w:rPr>
        <w:t xml:space="preserve">with </w:t>
      </w:r>
      <w:r w:rsidR="0038435C" w:rsidRPr="003569BE">
        <w:rPr>
          <w:rFonts w:cs="Times New Roman"/>
          <w:szCs w:val="24"/>
          <w:lang w:val="en-GB"/>
        </w:rPr>
        <w:t xml:space="preserve">the </w:t>
      </w:r>
      <w:r w:rsidRPr="003569BE">
        <w:rPr>
          <w:rFonts w:cs="Times New Roman"/>
          <w:szCs w:val="24"/>
          <w:lang w:val="en-GB"/>
        </w:rPr>
        <w:t xml:space="preserve">positive accounting theory. </w:t>
      </w:r>
      <w:r w:rsidR="004D6D8F" w:rsidRPr="003569BE">
        <w:rPr>
          <w:rFonts w:cs="Times New Roman"/>
          <w:szCs w:val="24"/>
          <w:lang w:val="en-GB"/>
        </w:rPr>
        <w:t xml:space="preserve">Management may use earnings management to maximize the reported income for bonus purposes, while potential debt covenant violations </w:t>
      </w:r>
      <w:r w:rsidR="0038435C" w:rsidRPr="003569BE">
        <w:rPr>
          <w:rFonts w:cs="Times New Roman"/>
          <w:szCs w:val="24"/>
          <w:lang w:val="en-GB"/>
        </w:rPr>
        <w:t xml:space="preserve">in addition </w:t>
      </w:r>
      <w:r w:rsidR="004D6D8F" w:rsidRPr="003569BE">
        <w:rPr>
          <w:rFonts w:cs="Times New Roman"/>
          <w:szCs w:val="24"/>
          <w:lang w:val="en-GB"/>
        </w:rPr>
        <w:t xml:space="preserve">could be an incentive for </w:t>
      </w:r>
      <w:r w:rsidR="0038435C" w:rsidRPr="003569BE">
        <w:rPr>
          <w:rFonts w:cs="Times New Roman"/>
          <w:szCs w:val="24"/>
          <w:lang w:val="en-GB"/>
        </w:rPr>
        <w:t xml:space="preserve">the use of </w:t>
      </w:r>
      <w:r w:rsidR="004D6D8F" w:rsidRPr="003569BE">
        <w:rPr>
          <w:rFonts w:cs="Times New Roman"/>
          <w:szCs w:val="24"/>
          <w:lang w:val="en-GB"/>
        </w:rPr>
        <w:t xml:space="preserve">earnings management to maximize </w:t>
      </w:r>
      <w:r w:rsidR="0038435C" w:rsidRPr="003569BE">
        <w:rPr>
          <w:rFonts w:cs="Times New Roman"/>
          <w:szCs w:val="24"/>
          <w:lang w:val="en-GB"/>
        </w:rPr>
        <w:t xml:space="preserve">the published </w:t>
      </w:r>
      <w:r w:rsidR="004D6D8F" w:rsidRPr="003569BE">
        <w:rPr>
          <w:rFonts w:cs="Times New Roman"/>
          <w:szCs w:val="24"/>
          <w:lang w:val="en-GB"/>
        </w:rPr>
        <w:t xml:space="preserve">income </w:t>
      </w:r>
      <w:sdt>
        <w:sdtPr>
          <w:rPr>
            <w:rFonts w:cs="Times New Roman"/>
            <w:szCs w:val="24"/>
            <w:lang w:val="en-GB"/>
          </w:rPr>
          <w:id w:val="-1516845843"/>
          <w:citation/>
        </w:sdtPr>
        <w:sdtContent>
          <w:r w:rsidR="000E4BAF" w:rsidRPr="003569BE">
            <w:rPr>
              <w:rFonts w:cs="Times New Roman"/>
              <w:szCs w:val="24"/>
              <w:lang w:val="en-GB"/>
            </w:rPr>
            <w:fldChar w:fldCharType="begin"/>
          </w:r>
          <w:r w:rsidR="004D6D8F"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4D6D8F" w:rsidRPr="003569BE">
        <w:rPr>
          <w:rFonts w:cs="Times New Roman"/>
          <w:szCs w:val="24"/>
          <w:lang w:val="en-GB"/>
        </w:rPr>
        <w:t>.</w:t>
      </w:r>
    </w:p>
    <w:p w:rsidR="00195ACC" w:rsidRPr="003569BE" w:rsidRDefault="00195ACC" w:rsidP="005870D2">
      <w:pPr>
        <w:spacing w:line="360" w:lineRule="auto"/>
        <w:rPr>
          <w:rFonts w:cs="Times New Roman"/>
          <w:b/>
          <w:i/>
          <w:szCs w:val="24"/>
          <w:u w:val="single"/>
          <w:lang w:val="en-GB"/>
        </w:rPr>
      </w:pPr>
    </w:p>
    <w:p w:rsidR="00700FA2" w:rsidRPr="003569BE" w:rsidRDefault="00700FA2" w:rsidP="005870D2">
      <w:pPr>
        <w:spacing w:line="360" w:lineRule="auto"/>
        <w:rPr>
          <w:rFonts w:cs="Times New Roman"/>
          <w:b/>
          <w:i/>
          <w:szCs w:val="24"/>
          <w:u w:val="single"/>
          <w:lang w:val="en-GB"/>
        </w:rPr>
      </w:pPr>
      <w:r w:rsidRPr="003569BE">
        <w:rPr>
          <w:rFonts w:cs="Times New Roman"/>
          <w:b/>
          <w:i/>
          <w:szCs w:val="24"/>
          <w:u w:val="single"/>
          <w:lang w:val="en-GB"/>
        </w:rPr>
        <w:t xml:space="preserve">Income </w:t>
      </w:r>
      <w:r w:rsidR="00024D8C" w:rsidRPr="003569BE">
        <w:rPr>
          <w:rFonts w:cs="Times New Roman"/>
          <w:b/>
          <w:i/>
          <w:szCs w:val="24"/>
          <w:u w:val="single"/>
          <w:lang w:val="en-GB"/>
        </w:rPr>
        <w:t>S</w:t>
      </w:r>
      <w:r w:rsidRPr="003569BE">
        <w:rPr>
          <w:rFonts w:cs="Times New Roman"/>
          <w:b/>
          <w:i/>
          <w:szCs w:val="24"/>
          <w:u w:val="single"/>
          <w:lang w:val="en-GB"/>
        </w:rPr>
        <w:t>moothing</w:t>
      </w:r>
    </w:p>
    <w:p w:rsidR="00A00542" w:rsidRPr="003569BE" w:rsidRDefault="009C7E0C" w:rsidP="005870D2">
      <w:pPr>
        <w:spacing w:line="360" w:lineRule="auto"/>
        <w:rPr>
          <w:rFonts w:cs="Times New Roman"/>
          <w:szCs w:val="24"/>
          <w:lang w:val="en-GB"/>
        </w:rPr>
      </w:pPr>
      <w:r w:rsidRPr="003569BE">
        <w:rPr>
          <w:rFonts w:cs="Times New Roman"/>
          <w:szCs w:val="24"/>
          <w:lang w:val="en-GB"/>
        </w:rPr>
        <w:t xml:space="preserve">Income smoothing is </w:t>
      </w:r>
      <w:r w:rsidR="00D55E68" w:rsidRPr="003569BE">
        <w:rPr>
          <w:rFonts w:cs="Times New Roman"/>
          <w:szCs w:val="24"/>
          <w:lang w:val="en-GB"/>
        </w:rPr>
        <w:t>probably the most interesting earnings management technique.</w:t>
      </w:r>
      <w:r w:rsidR="00CF7C84" w:rsidRPr="003569BE">
        <w:rPr>
          <w:rFonts w:cs="Times New Roman"/>
          <w:szCs w:val="24"/>
          <w:lang w:val="en-GB"/>
        </w:rPr>
        <w:t xml:space="preserve"> </w:t>
      </w:r>
      <w:r w:rsidR="0038435C" w:rsidRPr="003569BE">
        <w:rPr>
          <w:rFonts w:cs="Times New Roman"/>
          <w:szCs w:val="24"/>
          <w:lang w:val="en-GB"/>
        </w:rPr>
        <w:t>V</w:t>
      </w:r>
      <w:r w:rsidR="0049020A" w:rsidRPr="003569BE">
        <w:rPr>
          <w:rFonts w:cs="Times New Roman"/>
          <w:szCs w:val="24"/>
          <w:lang w:val="en-GB"/>
        </w:rPr>
        <w:t xml:space="preserve">arious motivations </w:t>
      </w:r>
      <w:r w:rsidR="0038435C" w:rsidRPr="003569BE">
        <w:rPr>
          <w:rFonts w:cs="Times New Roman"/>
          <w:szCs w:val="24"/>
          <w:lang w:val="en-GB"/>
        </w:rPr>
        <w:t xml:space="preserve">exist concerning </w:t>
      </w:r>
      <w:r w:rsidR="0049020A" w:rsidRPr="003569BE">
        <w:rPr>
          <w:rFonts w:cs="Times New Roman"/>
          <w:szCs w:val="24"/>
          <w:lang w:val="en-GB"/>
        </w:rPr>
        <w:t>undertaking income smoothing practices.</w:t>
      </w:r>
      <w:r w:rsidR="00E3477E" w:rsidRPr="003569BE">
        <w:rPr>
          <w:rFonts w:cs="Times New Roman"/>
          <w:szCs w:val="24"/>
          <w:lang w:val="en-GB"/>
        </w:rPr>
        <w:t xml:space="preserve"> </w:t>
      </w:r>
    </w:p>
    <w:p w:rsidR="0027109E" w:rsidRPr="003569BE" w:rsidRDefault="0038435C" w:rsidP="005870D2">
      <w:pPr>
        <w:spacing w:line="360" w:lineRule="auto"/>
        <w:rPr>
          <w:rFonts w:cs="Times New Roman"/>
          <w:szCs w:val="24"/>
          <w:lang w:val="en-GB"/>
        </w:rPr>
      </w:pPr>
      <w:r w:rsidRPr="003569BE">
        <w:rPr>
          <w:rFonts w:cs="Times New Roman"/>
          <w:szCs w:val="24"/>
          <w:lang w:val="en-GB"/>
        </w:rPr>
        <w:t xml:space="preserve">Based on </w:t>
      </w:r>
      <w:r w:rsidR="00E3477E" w:rsidRPr="003569BE">
        <w:rPr>
          <w:rFonts w:cs="Times New Roman"/>
          <w:szCs w:val="24"/>
          <w:lang w:val="en-GB"/>
        </w:rPr>
        <w:t>a contracting point of view, managers who have a risk-averse attitude would rather have a less variable bonus stream,</w:t>
      </w:r>
      <w:r w:rsidR="009F16A2" w:rsidRPr="003569BE">
        <w:rPr>
          <w:rFonts w:cs="Times New Roman"/>
          <w:szCs w:val="24"/>
          <w:lang w:val="en-GB"/>
        </w:rPr>
        <w:t xml:space="preserve"> which implies a less variable earnings stream</w:t>
      </w:r>
      <w:r w:rsidR="00EE2229" w:rsidRPr="003569BE">
        <w:rPr>
          <w:rFonts w:cs="Times New Roman"/>
          <w:szCs w:val="24"/>
          <w:lang w:val="en-GB"/>
        </w:rPr>
        <w:t xml:space="preserve"> </w:t>
      </w:r>
      <w:sdt>
        <w:sdtPr>
          <w:rPr>
            <w:rFonts w:cs="Times New Roman"/>
            <w:szCs w:val="24"/>
            <w:lang w:val="en-GB"/>
          </w:rPr>
          <w:id w:val="1045793551"/>
          <w:citation/>
        </w:sdtPr>
        <w:sdtContent>
          <w:r w:rsidR="000E4BAF" w:rsidRPr="003569BE">
            <w:rPr>
              <w:rFonts w:cs="Times New Roman"/>
              <w:szCs w:val="24"/>
              <w:lang w:val="en-GB"/>
            </w:rPr>
            <w:fldChar w:fldCharType="begin"/>
          </w:r>
          <w:r w:rsidR="00EE2229"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9F16A2" w:rsidRPr="003569BE">
        <w:rPr>
          <w:rFonts w:cs="Times New Roman"/>
          <w:szCs w:val="24"/>
          <w:lang w:val="en-GB"/>
        </w:rPr>
        <w:t>.</w:t>
      </w:r>
      <w:r w:rsidR="002609FA" w:rsidRPr="003569BE">
        <w:rPr>
          <w:rFonts w:cs="Times New Roman"/>
          <w:szCs w:val="24"/>
          <w:lang w:val="en-GB"/>
        </w:rPr>
        <w:t xml:space="preserve"> Accordingly, in order to be awarded with a relatively constant compensation, managers could smooth </w:t>
      </w:r>
      <w:r w:rsidRPr="003569BE">
        <w:rPr>
          <w:rFonts w:cs="Times New Roman"/>
          <w:szCs w:val="24"/>
          <w:lang w:val="en-GB"/>
        </w:rPr>
        <w:t xml:space="preserve">the </w:t>
      </w:r>
      <w:r w:rsidR="002609FA" w:rsidRPr="003569BE">
        <w:rPr>
          <w:rFonts w:cs="Times New Roman"/>
          <w:szCs w:val="24"/>
          <w:lang w:val="en-GB"/>
        </w:rPr>
        <w:t>reported earnings over time.</w:t>
      </w:r>
      <w:r w:rsidR="00EE2229" w:rsidRPr="003569BE">
        <w:rPr>
          <w:rFonts w:cs="Times New Roman"/>
          <w:szCs w:val="24"/>
          <w:lang w:val="en-GB"/>
        </w:rPr>
        <w:t xml:space="preserve"> In addition, managers may </w:t>
      </w:r>
      <w:r w:rsidR="001E5541" w:rsidRPr="003569BE">
        <w:rPr>
          <w:rFonts w:cs="Times New Roman"/>
          <w:szCs w:val="24"/>
          <w:lang w:val="en-GB"/>
        </w:rPr>
        <w:t xml:space="preserve">use income smoothing to reduce the likelihood of reporting low earnings, which minimizes the risk of </w:t>
      </w:r>
      <w:r w:rsidR="00963D82" w:rsidRPr="003569BE">
        <w:rPr>
          <w:rFonts w:cs="Times New Roman"/>
          <w:szCs w:val="24"/>
          <w:lang w:val="en-GB"/>
        </w:rPr>
        <w:t xml:space="preserve">managers </w:t>
      </w:r>
      <w:r w:rsidR="001E5541" w:rsidRPr="003569BE">
        <w:rPr>
          <w:rFonts w:cs="Times New Roman"/>
          <w:szCs w:val="24"/>
          <w:lang w:val="en-GB"/>
        </w:rPr>
        <w:t>being fired.</w:t>
      </w:r>
      <w:r w:rsidR="000E45D6" w:rsidRPr="003569BE">
        <w:rPr>
          <w:rFonts w:cs="Times New Roman"/>
          <w:szCs w:val="24"/>
          <w:lang w:val="en-GB"/>
        </w:rPr>
        <w:t xml:space="preserve"> </w:t>
      </w:r>
      <w:r w:rsidR="00435A80" w:rsidRPr="003569BE">
        <w:rPr>
          <w:rFonts w:cs="Times New Roman"/>
          <w:szCs w:val="24"/>
          <w:lang w:val="en-GB"/>
        </w:rPr>
        <w:t xml:space="preserve">Another incentive for </w:t>
      </w:r>
      <w:r w:rsidRPr="003569BE">
        <w:rPr>
          <w:rFonts w:cs="Times New Roman"/>
          <w:szCs w:val="24"/>
          <w:lang w:val="en-GB"/>
        </w:rPr>
        <w:t xml:space="preserve">the use of </w:t>
      </w:r>
      <w:r w:rsidR="00435A80" w:rsidRPr="003569BE">
        <w:rPr>
          <w:rFonts w:cs="Times New Roman"/>
          <w:szCs w:val="24"/>
          <w:lang w:val="en-GB"/>
        </w:rPr>
        <w:t>income smoothing is potential debt covenants violations.</w:t>
      </w:r>
      <w:r w:rsidR="00626C24" w:rsidRPr="003569BE">
        <w:rPr>
          <w:rFonts w:cs="Times New Roman"/>
          <w:szCs w:val="24"/>
          <w:lang w:val="en-GB"/>
        </w:rPr>
        <w:t xml:space="preserve"> According to Scott (2014), the more volatile the stream of reported net income, the </w:t>
      </w:r>
      <w:r w:rsidR="00626C24" w:rsidRPr="003569BE">
        <w:rPr>
          <w:rFonts w:cs="Times New Roman"/>
          <w:szCs w:val="24"/>
          <w:lang w:val="en-GB"/>
        </w:rPr>
        <w:lastRenderedPageBreak/>
        <w:t>higher the probability that covenant violation will occur</w:t>
      </w:r>
      <w:r w:rsidR="000211CF" w:rsidRPr="003569BE">
        <w:rPr>
          <w:rFonts w:cs="Times New Roman"/>
          <w:szCs w:val="24"/>
          <w:lang w:val="en-GB"/>
        </w:rPr>
        <w:t xml:space="preserve"> </w:t>
      </w:r>
      <w:sdt>
        <w:sdtPr>
          <w:rPr>
            <w:rFonts w:cs="Times New Roman"/>
            <w:szCs w:val="24"/>
            <w:lang w:val="en-GB"/>
          </w:rPr>
          <w:id w:val="-1612513586"/>
          <w:citation/>
        </w:sdtPr>
        <w:sdtContent>
          <w:r w:rsidR="000E4BAF" w:rsidRPr="003569BE">
            <w:rPr>
              <w:rFonts w:cs="Times New Roman"/>
              <w:szCs w:val="24"/>
              <w:lang w:val="en-GB"/>
            </w:rPr>
            <w:fldChar w:fldCharType="begin"/>
          </w:r>
          <w:r w:rsidR="000211CF"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626C24" w:rsidRPr="003569BE">
        <w:rPr>
          <w:rFonts w:cs="Times New Roman"/>
          <w:szCs w:val="24"/>
          <w:lang w:val="en-GB"/>
        </w:rPr>
        <w:t>.</w:t>
      </w:r>
      <w:r w:rsidR="002609FA" w:rsidRPr="003569BE">
        <w:rPr>
          <w:rFonts w:cs="Times New Roman"/>
          <w:szCs w:val="24"/>
          <w:lang w:val="en-GB"/>
        </w:rPr>
        <w:t xml:space="preserve"> </w:t>
      </w:r>
      <w:r w:rsidR="00B7095A" w:rsidRPr="003569BE">
        <w:rPr>
          <w:rFonts w:cs="Times New Roman"/>
          <w:szCs w:val="24"/>
          <w:lang w:val="en-GB"/>
        </w:rPr>
        <w:t xml:space="preserve">Consequently, in order to have smooth covenant ratios over time, managers </w:t>
      </w:r>
      <w:r w:rsidR="00146888" w:rsidRPr="003569BE">
        <w:rPr>
          <w:rFonts w:cs="Times New Roman"/>
          <w:szCs w:val="24"/>
          <w:lang w:val="en-GB"/>
        </w:rPr>
        <w:t xml:space="preserve">could smooth </w:t>
      </w:r>
      <w:r w:rsidRPr="003569BE">
        <w:rPr>
          <w:rFonts w:cs="Times New Roman"/>
          <w:szCs w:val="24"/>
          <w:lang w:val="en-GB"/>
        </w:rPr>
        <w:t xml:space="preserve">the </w:t>
      </w:r>
      <w:r w:rsidR="00146888" w:rsidRPr="003569BE">
        <w:rPr>
          <w:rFonts w:cs="Times New Roman"/>
          <w:szCs w:val="24"/>
          <w:lang w:val="en-GB"/>
        </w:rPr>
        <w:t>reported earnings.</w:t>
      </w:r>
      <w:r w:rsidR="002323C4" w:rsidRPr="003569BE">
        <w:rPr>
          <w:rFonts w:cs="Times New Roman"/>
          <w:szCs w:val="24"/>
          <w:lang w:val="en-GB"/>
        </w:rPr>
        <w:t xml:space="preserve"> </w:t>
      </w:r>
      <w:r w:rsidR="00600B9C" w:rsidRPr="003569BE">
        <w:rPr>
          <w:rFonts w:cs="Times New Roman"/>
          <w:szCs w:val="24"/>
          <w:lang w:val="en-GB"/>
        </w:rPr>
        <w:t>Finally</w:t>
      </w:r>
      <w:r w:rsidR="00531E50" w:rsidRPr="003569BE">
        <w:rPr>
          <w:rFonts w:cs="Times New Roman"/>
          <w:szCs w:val="24"/>
          <w:lang w:val="en-GB"/>
        </w:rPr>
        <w:t xml:space="preserve">, </w:t>
      </w:r>
      <w:r w:rsidRPr="003569BE">
        <w:rPr>
          <w:rFonts w:cs="Times New Roman"/>
          <w:szCs w:val="24"/>
          <w:lang w:val="en-GB"/>
        </w:rPr>
        <w:t xml:space="preserve">the management of </w:t>
      </w:r>
      <w:r w:rsidR="00531E50" w:rsidRPr="003569BE">
        <w:rPr>
          <w:rFonts w:cs="Times New Roman"/>
          <w:szCs w:val="24"/>
          <w:lang w:val="en-GB"/>
        </w:rPr>
        <w:t xml:space="preserve">companies may use income </w:t>
      </w:r>
      <w:r w:rsidR="00597804" w:rsidRPr="003569BE">
        <w:rPr>
          <w:rFonts w:cs="Times New Roman"/>
          <w:szCs w:val="24"/>
          <w:lang w:val="en-GB"/>
        </w:rPr>
        <w:t xml:space="preserve">smoothing </w:t>
      </w:r>
      <w:r w:rsidRPr="003569BE">
        <w:rPr>
          <w:rFonts w:cs="Times New Roman"/>
          <w:szCs w:val="24"/>
          <w:lang w:val="en-GB"/>
        </w:rPr>
        <w:t xml:space="preserve">concerning </w:t>
      </w:r>
      <w:r w:rsidR="00597804" w:rsidRPr="003569BE">
        <w:rPr>
          <w:rFonts w:cs="Times New Roman"/>
          <w:szCs w:val="24"/>
          <w:lang w:val="en-GB"/>
        </w:rPr>
        <w:t>external purposes:</w:t>
      </w:r>
      <w:r w:rsidRPr="003569BE">
        <w:rPr>
          <w:rFonts w:cs="Times New Roman"/>
          <w:szCs w:val="24"/>
          <w:lang w:val="en-GB"/>
        </w:rPr>
        <w:t xml:space="preserve"> by conveying its expected persistent earning power</w:t>
      </w:r>
      <w:r w:rsidR="00597804" w:rsidRPr="003569BE">
        <w:rPr>
          <w:rFonts w:cs="Times New Roman"/>
          <w:szCs w:val="24"/>
          <w:lang w:val="en-GB"/>
        </w:rPr>
        <w:t xml:space="preserve"> smoothing reported net income can provide inside valuable information to the market</w:t>
      </w:r>
      <w:r w:rsidR="00E20FE1" w:rsidRPr="003569BE">
        <w:rPr>
          <w:rFonts w:cs="Times New Roman"/>
          <w:szCs w:val="24"/>
          <w:lang w:val="en-GB"/>
        </w:rPr>
        <w:t xml:space="preserve"> </w:t>
      </w:r>
      <w:sdt>
        <w:sdtPr>
          <w:rPr>
            <w:rFonts w:cs="Times New Roman"/>
            <w:szCs w:val="24"/>
            <w:lang w:val="en-GB"/>
          </w:rPr>
          <w:id w:val="-158936512"/>
          <w:citation/>
        </w:sdtPr>
        <w:sdtContent>
          <w:r w:rsidR="000E4BAF" w:rsidRPr="003569BE">
            <w:rPr>
              <w:rFonts w:cs="Times New Roman"/>
              <w:szCs w:val="24"/>
              <w:lang w:val="en-GB"/>
            </w:rPr>
            <w:fldChar w:fldCharType="begin"/>
          </w:r>
          <w:r w:rsidR="00866CC3"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E20FE1" w:rsidRPr="003569BE">
        <w:rPr>
          <w:rFonts w:cs="Times New Roman"/>
          <w:szCs w:val="24"/>
          <w:lang w:val="en-GB"/>
        </w:rPr>
        <w:t xml:space="preserve">. </w:t>
      </w:r>
    </w:p>
    <w:p w:rsidR="00B873B1" w:rsidRPr="003569BE" w:rsidRDefault="00AC010F" w:rsidP="005870D2">
      <w:pPr>
        <w:spacing w:line="360" w:lineRule="auto"/>
        <w:rPr>
          <w:rFonts w:cs="Times New Roman"/>
          <w:szCs w:val="24"/>
          <w:lang w:val="en-GB"/>
        </w:rPr>
      </w:pPr>
      <w:r w:rsidRPr="003569BE">
        <w:rPr>
          <w:rFonts w:cs="Times New Roman"/>
          <w:szCs w:val="24"/>
          <w:lang w:val="en-GB"/>
        </w:rPr>
        <w:t xml:space="preserve">Concerning the use of earnings management </w:t>
      </w:r>
      <w:r w:rsidR="00321EFC" w:rsidRPr="003569BE">
        <w:rPr>
          <w:rFonts w:cs="Times New Roman"/>
          <w:szCs w:val="24"/>
          <w:lang w:val="en-GB"/>
        </w:rPr>
        <w:t xml:space="preserve">it is </w:t>
      </w:r>
      <w:r w:rsidRPr="003569BE">
        <w:rPr>
          <w:rFonts w:cs="Times New Roman"/>
          <w:szCs w:val="24"/>
          <w:lang w:val="en-GB"/>
        </w:rPr>
        <w:t xml:space="preserve">essential </w:t>
      </w:r>
      <w:r w:rsidR="00321EFC" w:rsidRPr="003569BE">
        <w:rPr>
          <w:rFonts w:cs="Times New Roman"/>
          <w:szCs w:val="24"/>
          <w:lang w:val="en-GB"/>
        </w:rPr>
        <w:t>to underline</w:t>
      </w:r>
      <w:r w:rsidR="00B873B1" w:rsidRPr="003569BE">
        <w:rPr>
          <w:rFonts w:cs="Times New Roman"/>
          <w:szCs w:val="24"/>
          <w:lang w:val="en-GB"/>
        </w:rPr>
        <w:t xml:space="preserve"> </w:t>
      </w:r>
      <w:r w:rsidR="00321EFC" w:rsidRPr="003569BE">
        <w:rPr>
          <w:rFonts w:cs="Times New Roman"/>
          <w:szCs w:val="24"/>
          <w:lang w:val="en-GB"/>
        </w:rPr>
        <w:t xml:space="preserve">one essential </w:t>
      </w:r>
      <w:r w:rsidR="00B873B1" w:rsidRPr="003569BE">
        <w:rPr>
          <w:rFonts w:cs="Times New Roman"/>
          <w:szCs w:val="24"/>
          <w:lang w:val="en-GB"/>
        </w:rPr>
        <w:t>aspect concerning these various accrual earnings management techniques</w:t>
      </w:r>
      <w:r w:rsidR="00321EFC" w:rsidRPr="003569BE">
        <w:rPr>
          <w:rFonts w:cs="Times New Roman"/>
          <w:szCs w:val="24"/>
          <w:lang w:val="en-GB"/>
        </w:rPr>
        <w:t>:</w:t>
      </w:r>
      <w:r w:rsidR="00B873B1" w:rsidRPr="003569BE">
        <w:rPr>
          <w:rFonts w:cs="Times New Roman"/>
          <w:szCs w:val="24"/>
          <w:lang w:val="en-GB"/>
        </w:rPr>
        <w:t xml:space="preserve"> they can be in conflict with each other.</w:t>
      </w:r>
      <w:r w:rsidR="00DF5252" w:rsidRPr="003569BE">
        <w:rPr>
          <w:rFonts w:cs="Times New Roman"/>
          <w:szCs w:val="24"/>
          <w:lang w:val="en-GB"/>
        </w:rPr>
        <w:t xml:space="preserve"> </w:t>
      </w:r>
      <w:r w:rsidR="007841F4" w:rsidRPr="003569BE">
        <w:rPr>
          <w:rFonts w:cs="Times New Roman"/>
          <w:szCs w:val="24"/>
          <w:lang w:val="en-GB"/>
        </w:rPr>
        <w:t xml:space="preserve">At a given point in time, a company can be confronted by conflicting </w:t>
      </w:r>
      <w:r w:rsidR="00F23AAD" w:rsidRPr="003569BE">
        <w:rPr>
          <w:rFonts w:cs="Times New Roman"/>
          <w:szCs w:val="24"/>
          <w:lang w:val="en-GB"/>
        </w:rPr>
        <w:t>circumstances</w:t>
      </w:r>
      <w:r w:rsidR="007841F4" w:rsidRPr="003569BE">
        <w:rPr>
          <w:rFonts w:cs="Times New Roman"/>
          <w:szCs w:val="24"/>
          <w:lang w:val="en-GB"/>
        </w:rPr>
        <w:t xml:space="preserve">: </w:t>
      </w:r>
      <w:r w:rsidR="0044085D" w:rsidRPr="003569BE">
        <w:rPr>
          <w:rFonts w:cs="Times New Roman"/>
          <w:szCs w:val="24"/>
          <w:lang w:val="en-GB"/>
        </w:rPr>
        <w:t xml:space="preserve">to minimize income for political reasons, to maximize it to meet </w:t>
      </w:r>
      <w:r w:rsidRPr="003569BE">
        <w:rPr>
          <w:rFonts w:cs="Times New Roman"/>
          <w:szCs w:val="24"/>
          <w:lang w:val="en-GB"/>
        </w:rPr>
        <w:t xml:space="preserve">the </w:t>
      </w:r>
      <w:r w:rsidR="0044085D" w:rsidRPr="003569BE">
        <w:rPr>
          <w:rFonts w:cs="Times New Roman"/>
          <w:szCs w:val="24"/>
          <w:lang w:val="en-GB"/>
        </w:rPr>
        <w:t xml:space="preserve">analysts’ forecasts and </w:t>
      </w:r>
      <w:r w:rsidRPr="003569BE">
        <w:rPr>
          <w:rFonts w:cs="Times New Roman"/>
          <w:szCs w:val="24"/>
          <w:lang w:val="en-GB"/>
        </w:rPr>
        <w:t xml:space="preserve">the </w:t>
      </w:r>
      <w:r w:rsidR="0044085D" w:rsidRPr="003569BE">
        <w:rPr>
          <w:rFonts w:cs="Times New Roman"/>
          <w:szCs w:val="24"/>
          <w:lang w:val="en-GB"/>
        </w:rPr>
        <w:t xml:space="preserve">investors’ expectations, or to smooth income for borrowing purposes </w:t>
      </w:r>
      <w:sdt>
        <w:sdtPr>
          <w:rPr>
            <w:rFonts w:cs="Times New Roman"/>
            <w:szCs w:val="24"/>
            <w:lang w:val="en-GB"/>
          </w:rPr>
          <w:id w:val="2139447907"/>
          <w:citation/>
        </w:sdtPr>
        <w:sdtContent>
          <w:r w:rsidR="000E4BAF" w:rsidRPr="003569BE">
            <w:rPr>
              <w:rFonts w:cs="Times New Roman"/>
              <w:szCs w:val="24"/>
              <w:lang w:val="en-GB"/>
            </w:rPr>
            <w:fldChar w:fldCharType="begin"/>
          </w:r>
          <w:r w:rsidR="008E6B09" w:rsidRPr="003569BE">
            <w:rPr>
              <w:rFonts w:cs="Times New Roman"/>
              <w:szCs w:val="24"/>
              <w:lang w:val="en-GB"/>
            </w:rPr>
            <w:instrText xml:space="preserve">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44085D" w:rsidRPr="003569BE">
        <w:rPr>
          <w:rFonts w:cs="Times New Roman"/>
          <w:szCs w:val="24"/>
          <w:lang w:val="en-GB"/>
        </w:rPr>
        <w:t xml:space="preserve">. </w:t>
      </w:r>
      <w:r w:rsidR="002F62A7" w:rsidRPr="003569BE">
        <w:rPr>
          <w:rFonts w:cs="Times New Roman"/>
          <w:szCs w:val="24"/>
          <w:lang w:val="en-GB"/>
        </w:rPr>
        <w:t xml:space="preserve">In addition, a company may choose to engage in different techniques of earnings management, depending on changes in </w:t>
      </w:r>
      <w:r w:rsidRPr="003569BE">
        <w:rPr>
          <w:rFonts w:cs="Times New Roman"/>
          <w:szCs w:val="24"/>
          <w:lang w:val="en-GB"/>
        </w:rPr>
        <w:t xml:space="preserve">the </w:t>
      </w:r>
      <w:r w:rsidR="002F62A7" w:rsidRPr="003569BE">
        <w:rPr>
          <w:rFonts w:cs="Times New Roman"/>
          <w:szCs w:val="24"/>
          <w:lang w:val="en-GB"/>
        </w:rPr>
        <w:t xml:space="preserve">contracts, in </w:t>
      </w:r>
      <w:r w:rsidRPr="003569BE">
        <w:rPr>
          <w:rFonts w:cs="Times New Roman"/>
          <w:szCs w:val="24"/>
          <w:lang w:val="en-GB"/>
        </w:rPr>
        <w:t xml:space="preserve">the </w:t>
      </w:r>
      <w:r w:rsidR="002F62A7" w:rsidRPr="003569BE">
        <w:rPr>
          <w:rFonts w:cs="Times New Roman"/>
          <w:szCs w:val="24"/>
          <w:lang w:val="en-GB"/>
        </w:rPr>
        <w:t xml:space="preserve">profitability and in </w:t>
      </w:r>
      <w:r w:rsidRPr="003569BE">
        <w:rPr>
          <w:rFonts w:cs="Times New Roman"/>
          <w:szCs w:val="24"/>
          <w:lang w:val="en-GB"/>
        </w:rPr>
        <w:t xml:space="preserve">the </w:t>
      </w:r>
      <w:r w:rsidR="002F62A7" w:rsidRPr="003569BE">
        <w:rPr>
          <w:rFonts w:cs="Times New Roman"/>
          <w:szCs w:val="24"/>
          <w:lang w:val="en-GB"/>
        </w:rPr>
        <w:t>political visibility</w:t>
      </w:r>
      <w:r w:rsidR="005656E1" w:rsidRPr="003569BE">
        <w:rPr>
          <w:rFonts w:cs="Times New Roman"/>
          <w:szCs w:val="24"/>
          <w:lang w:val="en-GB"/>
        </w:rPr>
        <w:t xml:space="preserve"> </w:t>
      </w:r>
      <w:sdt>
        <w:sdtPr>
          <w:rPr>
            <w:rFonts w:cs="Times New Roman"/>
            <w:szCs w:val="24"/>
            <w:lang w:val="en-GB"/>
          </w:rPr>
          <w:id w:val="-431899093"/>
          <w:citation/>
        </w:sdtPr>
        <w:sdtContent>
          <w:r w:rsidR="000E4BAF" w:rsidRPr="003569BE">
            <w:rPr>
              <w:rFonts w:cs="Times New Roman"/>
              <w:szCs w:val="24"/>
              <w:lang w:val="en-GB"/>
            </w:rPr>
            <w:fldChar w:fldCharType="begin"/>
          </w:r>
          <w:r w:rsidR="00054140"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2F62A7" w:rsidRPr="003569BE">
        <w:rPr>
          <w:rFonts w:cs="Times New Roman"/>
          <w:szCs w:val="24"/>
          <w:lang w:val="en-GB"/>
        </w:rPr>
        <w:t>.</w:t>
      </w:r>
    </w:p>
    <w:p w:rsidR="00546711" w:rsidRPr="003569BE" w:rsidRDefault="00546711" w:rsidP="00846EA1">
      <w:pPr>
        <w:pStyle w:val="Heading2"/>
        <w:numPr>
          <w:ilvl w:val="2"/>
          <w:numId w:val="6"/>
        </w:numPr>
        <w:spacing w:line="360" w:lineRule="auto"/>
        <w:rPr>
          <w:lang w:val="en-GB"/>
        </w:rPr>
      </w:pPr>
      <w:bookmarkStart w:id="15" w:name="_Toc396633547"/>
      <w:r w:rsidRPr="003569BE">
        <w:rPr>
          <w:lang w:val="en-GB"/>
        </w:rPr>
        <w:t>Real Earnings Management</w:t>
      </w:r>
      <w:bookmarkEnd w:id="15"/>
    </w:p>
    <w:p w:rsidR="006171F7" w:rsidRPr="003569BE" w:rsidRDefault="006132D5" w:rsidP="000D2FF2">
      <w:pPr>
        <w:spacing w:line="360" w:lineRule="auto"/>
        <w:rPr>
          <w:rFonts w:cs="Times New Roman"/>
          <w:szCs w:val="24"/>
          <w:lang w:val="en-GB"/>
        </w:rPr>
      </w:pPr>
      <w:r w:rsidRPr="003569BE">
        <w:rPr>
          <w:rFonts w:cs="Times New Roman"/>
          <w:szCs w:val="24"/>
          <w:lang w:val="en-GB"/>
        </w:rPr>
        <w:t xml:space="preserve">Managers can use real earnings management either as an alternative for </w:t>
      </w:r>
      <w:r w:rsidR="00AC010F" w:rsidRPr="003569BE">
        <w:rPr>
          <w:rFonts w:cs="Times New Roman"/>
          <w:szCs w:val="24"/>
          <w:lang w:val="en-GB"/>
        </w:rPr>
        <w:t xml:space="preserve">the use of </w:t>
      </w:r>
      <w:r w:rsidRPr="003569BE">
        <w:rPr>
          <w:rFonts w:cs="Times New Roman"/>
          <w:szCs w:val="24"/>
          <w:lang w:val="en-GB"/>
        </w:rPr>
        <w:t>accruals based earnings management or in combination with accrual earnings management.</w:t>
      </w:r>
    </w:p>
    <w:p w:rsidR="00A955B4" w:rsidRPr="003569BE" w:rsidRDefault="00A955B4" w:rsidP="000D2FF2">
      <w:pPr>
        <w:spacing w:line="360" w:lineRule="auto"/>
        <w:rPr>
          <w:rFonts w:cs="Times New Roman"/>
          <w:szCs w:val="24"/>
          <w:lang w:val="en-GB"/>
        </w:rPr>
      </w:pPr>
      <w:r w:rsidRPr="003569BE">
        <w:rPr>
          <w:rFonts w:cs="Times New Roman"/>
          <w:szCs w:val="24"/>
          <w:lang w:val="en-GB"/>
        </w:rPr>
        <w:t>Before pursuing with the presentation of real earnings management, a recall of the equation in the previous section is required:</w:t>
      </w:r>
    </w:p>
    <w:p w:rsidR="00236918" w:rsidRPr="003569BE" w:rsidRDefault="00236918" w:rsidP="00236918">
      <w:pPr>
        <w:spacing w:line="360" w:lineRule="auto"/>
        <w:jc w:val="center"/>
        <w:rPr>
          <w:rFonts w:cs="Times New Roman"/>
          <w:i/>
          <w:szCs w:val="24"/>
          <w:lang w:val="en-GB"/>
        </w:rPr>
      </w:pPr>
      <w:r w:rsidRPr="003569BE">
        <w:rPr>
          <w:rFonts w:cs="Times New Roman"/>
          <w:i/>
          <w:szCs w:val="24"/>
          <w:lang w:val="en-GB"/>
        </w:rPr>
        <w:t>Total Earnings = Total Accruals + Net Cash Flows</w:t>
      </w:r>
    </w:p>
    <w:p w:rsidR="000D2FF2" w:rsidRPr="003569BE" w:rsidRDefault="000D2FF2" w:rsidP="000D2FF2">
      <w:pPr>
        <w:spacing w:line="360" w:lineRule="auto"/>
        <w:rPr>
          <w:rFonts w:cs="Times New Roman"/>
          <w:szCs w:val="24"/>
          <w:lang w:val="en-GB"/>
        </w:rPr>
      </w:pPr>
      <w:r w:rsidRPr="003569BE">
        <w:rPr>
          <w:rFonts w:cs="Times New Roman"/>
          <w:szCs w:val="24"/>
          <w:lang w:val="en-GB"/>
        </w:rPr>
        <w:t>While accrual earnings management involves manipulating accruals, in the case of real earnings management net cash flows are manipulated</w:t>
      </w:r>
      <w:r w:rsidR="005D523F" w:rsidRPr="003569BE">
        <w:rPr>
          <w:rFonts w:cs="Times New Roman"/>
          <w:szCs w:val="24"/>
          <w:lang w:val="en-GB"/>
        </w:rPr>
        <w:t xml:space="preserve"> </w:t>
      </w:r>
      <w:sdt>
        <w:sdtPr>
          <w:rPr>
            <w:rFonts w:cs="Times New Roman"/>
            <w:szCs w:val="24"/>
            <w:lang w:val="en-GB"/>
          </w:rPr>
          <w:id w:val="-495111996"/>
          <w:citation/>
        </w:sdtPr>
        <w:sdtContent>
          <w:r w:rsidR="000E4BAF" w:rsidRPr="003569BE">
            <w:rPr>
              <w:rFonts w:cs="Times New Roman"/>
              <w:szCs w:val="24"/>
              <w:lang w:val="en-GB"/>
            </w:rPr>
            <w:fldChar w:fldCharType="begin"/>
          </w:r>
          <w:r w:rsidR="00B96822" w:rsidRPr="003569BE">
            <w:rPr>
              <w:rFonts w:cs="Times New Roman"/>
              <w:szCs w:val="24"/>
              <w:lang w:val="en-GB"/>
            </w:rPr>
            <w:instrText xml:space="preserve">CITATION LiF08 \l 1033 </w:instrText>
          </w:r>
          <w:r w:rsidR="000E4BAF" w:rsidRPr="003569BE">
            <w:rPr>
              <w:rFonts w:cs="Times New Roman"/>
              <w:szCs w:val="24"/>
              <w:lang w:val="en-GB"/>
            </w:rPr>
            <w:fldChar w:fldCharType="separate"/>
          </w:r>
          <w:r w:rsidR="008F7EB3" w:rsidRPr="003569BE">
            <w:rPr>
              <w:rFonts w:cs="Times New Roman"/>
              <w:noProof/>
              <w:szCs w:val="24"/>
              <w:lang w:val="en-GB"/>
            </w:rPr>
            <w:t>(Li, McDowell, &amp; Moore, 2008)</w:t>
          </w:r>
          <w:r w:rsidR="000E4BAF" w:rsidRPr="003569BE">
            <w:rPr>
              <w:rFonts w:cs="Times New Roman"/>
              <w:szCs w:val="24"/>
              <w:lang w:val="en-GB"/>
            </w:rPr>
            <w:fldChar w:fldCharType="end"/>
          </w:r>
        </w:sdtContent>
      </w:sdt>
      <w:r w:rsidRPr="003569BE">
        <w:rPr>
          <w:rFonts w:cs="Times New Roman"/>
          <w:szCs w:val="24"/>
          <w:lang w:val="en-GB"/>
        </w:rPr>
        <w:t>.</w:t>
      </w:r>
      <w:r w:rsidR="00296E79" w:rsidRPr="003569BE">
        <w:rPr>
          <w:rFonts w:cs="Times New Roman"/>
          <w:szCs w:val="24"/>
          <w:lang w:val="en-GB"/>
        </w:rPr>
        <w:t xml:space="preserve"> </w:t>
      </w:r>
    </w:p>
    <w:p w:rsidR="00F33F41" w:rsidRPr="003569BE" w:rsidRDefault="00B66BC4" w:rsidP="000D2FF2">
      <w:pPr>
        <w:spacing w:line="360" w:lineRule="auto"/>
        <w:rPr>
          <w:rFonts w:cs="Times New Roman"/>
          <w:noProof/>
          <w:szCs w:val="24"/>
          <w:lang w:val="en-GB"/>
        </w:rPr>
      </w:pPr>
      <w:r w:rsidRPr="003569BE">
        <w:rPr>
          <w:rFonts w:cs="Times New Roman"/>
          <w:szCs w:val="24"/>
          <w:lang w:val="en-GB"/>
        </w:rPr>
        <w:t xml:space="preserve">According to Xu et Al. (2007), earnings can be managed through manipulating various operating, investing and financial activities </w:t>
      </w:r>
      <w:sdt>
        <w:sdtPr>
          <w:rPr>
            <w:rFonts w:cs="Times New Roman"/>
            <w:szCs w:val="24"/>
            <w:lang w:val="en-GB"/>
          </w:rPr>
          <w:id w:val="-1936819823"/>
          <w:citation/>
        </w:sdtPr>
        <w:sdtContent>
          <w:r w:rsidR="000E4BAF" w:rsidRPr="003569BE">
            <w:rPr>
              <w:rFonts w:cs="Times New Roman"/>
              <w:szCs w:val="24"/>
              <w:lang w:val="en-GB"/>
            </w:rPr>
            <w:fldChar w:fldCharType="begin"/>
          </w:r>
          <w:r w:rsidR="009078C8" w:rsidRPr="003569BE">
            <w:rPr>
              <w:rFonts w:cs="Times New Roman"/>
              <w:szCs w:val="24"/>
              <w:lang w:val="en-GB"/>
            </w:rPr>
            <w:instrText xml:space="preserve">CITATION Rev \l 1033 </w:instrText>
          </w:r>
          <w:r w:rsidR="000E4BAF" w:rsidRPr="003569BE">
            <w:rPr>
              <w:rFonts w:cs="Times New Roman"/>
              <w:szCs w:val="24"/>
              <w:lang w:val="en-GB"/>
            </w:rPr>
            <w:fldChar w:fldCharType="separate"/>
          </w:r>
          <w:r w:rsidR="008F7EB3" w:rsidRPr="003569BE">
            <w:rPr>
              <w:rFonts w:cs="Times New Roman"/>
              <w:noProof/>
              <w:szCs w:val="24"/>
              <w:lang w:val="en-GB"/>
            </w:rPr>
            <w:t>(Xu, Taylor, &amp; Dugan, 2007)</w:t>
          </w:r>
          <w:r w:rsidR="000E4BAF" w:rsidRPr="003569BE">
            <w:rPr>
              <w:rFonts w:cs="Times New Roman"/>
              <w:szCs w:val="24"/>
              <w:lang w:val="en-GB"/>
            </w:rPr>
            <w:fldChar w:fldCharType="end"/>
          </w:r>
        </w:sdtContent>
      </w:sdt>
      <w:r w:rsidRPr="003569BE">
        <w:rPr>
          <w:rFonts w:cs="Times New Roman"/>
          <w:szCs w:val="24"/>
          <w:lang w:val="en-GB"/>
        </w:rPr>
        <w:t>.</w:t>
      </w:r>
      <w:r w:rsidR="00E37D02" w:rsidRPr="003569BE">
        <w:rPr>
          <w:rFonts w:cs="Times New Roman"/>
          <w:szCs w:val="24"/>
          <w:lang w:val="en-GB"/>
        </w:rPr>
        <w:t xml:space="preserve"> </w:t>
      </w:r>
      <w:r w:rsidR="0013016B" w:rsidRPr="003569BE">
        <w:rPr>
          <w:rFonts w:cs="Times New Roman"/>
          <w:szCs w:val="24"/>
          <w:lang w:val="en-GB"/>
        </w:rPr>
        <w:t xml:space="preserve">Roychowdhury (2006) defines real earnings management as “management actions that deviate from normal business practices, undertaken with the primary objective of meeting certain earnings thresholds” </w:t>
      </w:r>
      <w:sdt>
        <w:sdtPr>
          <w:rPr>
            <w:rFonts w:cs="Times New Roman"/>
            <w:szCs w:val="24"/>
            <w:lang w:val="en-GB"/>
          </w:rPr>
          <w:id w:val="-1192291149"/>
          <w:citation/>
        </w:sdtPr>
        <w:sdtContent>
          <w:r w:rsidR="000E4BAF" w:rsidRPr="003569BE">
            <w:rPr>
              <w:rFonts w:cs="Times New Roman"/>
              <w:szCs w:val="24"/>
              <w:lang w:val="en-GB"/>
            </w:rPr>
            <w:fldChar w:fldCharType="begin"/>
          </w:r>
          <w:r w:rsidR="00791E2A" w:rsidRPr="003569BE">
            <w:rPr>
              <w:rFonts w:cs="Times New Roman"/>
              <w:szCs w:val="24"/>
              <w:lang w:val="en-GB"/>
            </w:rPr>
            <w:instrText xml:space="preserve">CITATION Ear \p 336 \l 1033 </w:instrText>
          </w:r>
          <w:r w:rsidR="000E4BAF" w:rsidRPr="003569BE">
            <w:rPr>
              <w:rFonts w:cs="Times New Roman"/>
              <w:szCs w:val="24"/>
              <w:lang w:val="en-GB"/>
            </w:rPr>
            <w:fldChar w:fldCharType="separate"/>
          </w:r>
          <w:r w:rsidR="008F7EB3" w:rsidRPr="003569BE">
            <w:rPr>
              <w:rFonts w:cs="Times New Roman"/>
              <w:noProof/>
              <w:szCs w:val="24"/>
              <w:lang w:val="en-GB"/>
            </w:rPr>
            <w:t>(Roychowdhury, 2006, p. 336)</w:t>
          </w:r>
          <w:r w:rsidR="000E4BAF" w:rsidRPr="003569BE">
            <w:rPr>
              <w:rFonts w:cs="Times New Roman"/>
              <w:szCs w:val="24"/>
              <w:lang w:val="en-GB"/>
            </w:rPr>
            <w:fldChar w:fldCharType="end"/>
          </w:r>
        </w:sdtContent>
      </w:sdt>
      <w:r w:rsidR="0013016B" w:rsidRPr="003569BE">
        <w:rPr>
          <w:rFonts w:cs="Times New Roman"/>
          <w:szCs w:val="24"/>
          <w:lang w:val="en-GB"/>
        </w:rPr>
        <w:t>.</w:t>
      </w:r>
      <w:r w:rsidR="00F33F41" w:rsidRPr="003569BE">
        <w:rPr>
          <w:rFonts w:cs="Times New Roman"/>
          <w:szCs w:val="24"/>
          <w:lang w:val="en-GB"/>
        </w:rPr>
        <w:t xml:space="preserve"> In addition, the last part of Schipper’s (1989) definition of earnings management in general provides a definition of real earnings management: “a minor extension of this definition would </w:t>
      </w:r>
      <w:r w:rsidR="00F33F41" w:rsidRPr="003569BE">
        <w:rPr>
          <w:rFonts w:cs="Times New Roman"/>
          <w:i/>
          <w:szCs w:val="24"/>
          <w:lang w:val="en-GB"/>
        </w:rPr>
        <w:t>encompass ‘real’ earnings management</w:t>
      </w:r>
      <w:r w:rsidR="00F33F41" w:rsidRPr="003569BE">
        <w:rPr>
          <w:rFonts w:cs="Times New Roman"/>
          <w:szCs w:val="24"/>
          <w:lang w:val="en-GB"/>
        </w:rPr>
        <w:t>, accomplished by timing investment or financing decision to alter reported earnings or some subset of it</w:t>
      </w:r>
      <w:r w:rsidR="00F33F41" w:rsidRPr="003569BE">
        <w:rPr>
          <w:rFonts w:cs="Times New Roman"/>
          <w:i/>
          <w:szCs w:val="24"/>
          <w:lang w:val="en-GB"/>
        </w:rPr>
        <w:t>”</w:t>
      </w:r>
      <w:r w:rsidR="00F33F41" w:rsidRPr="003569BE">
        <w:rPr>
          <w:rFonts w:cs="Times New Roman"/>
          <w:szCs w:val="24"/>
          <w:lang w:val="en-GB"/>
        </w:rPr>
        <w:t xml:space="preserve"> </w:t>
      </w:r>
      <w:sdt>
        <w:sdtPr>
          <w:rPr>
            <w:rFonts w:cs="Times New Roman"/>
            <w:szCs w:val="24"/>
            <w:lang w:val="en-GB"/>
          </w:rPr>
          <w:id w:val="-1670791362"/>
          <w:citation/>
        </w:sdtPr>
        <w:sdtContent>
          <w:r w:rsidR="000E4BAF" w:rsidRPr="003569BE">
            <w:rPr>
              <w:rFonts w:cs="Times New Roman"/>
              <w:szCs w:val="24"/>
              <w:lang w:val="en-GB"/>
            </w:rPr>
            <w:fldChar w:fldCharType="begin"/>
          </w:r>
          <w:r w:rsidR="00791E2A" w:rsidRPr="003569BE">
            <w:rPr>
              <w:rFonts w:cs="Times New Roman"/>
              <w:szCs w:val="24"/>
              <w:lang w:val="en-GB"/>
            </w:rPr>
            <w:instrText xml:space="preserve">CITATION Sch99 \p 92 \l 1033 </w:instrText>
          </w:r>
          <w:r w:rsidR="000E4BAF" w:rsidRPr="003569BE">
            <w:rPr>
              <w:rFonts w:cs="Times New Roman"/>
              <w:szCs w:val="24"/>
              <w:lang w:val="en-GB"/>
            </w:rPr>
            <w:fldChar w:fldCharType="separate"/>
          </w:r>
          <w:r w:rsidR="008F7EB3" w:rsidRPr="003569BE">
            <w:rPr>
              <w:rFonts w:cs="Times New Roman"/>
              <w:noProof/>
              <w:szCs w:val="24"/>
              <w:lang w:val="en-GB"/>
            </w:rPr>
            <w:t>(Schipper, 1989, p. 92)</w:t>
          </w:r>
          <w:r w:rsidR="000E4BAF" w:rsidRPr="003569BE">
            <w:rPr>
              <w:rFonts w:cs="Times New Roman"/>
              <w:szCs w:val="24"/>
              <w:lang w:val="en-GB"/>
            </w:rPr>
            <w:fldChar w:fldCharType="end"/>
          </w:r>
        </w:sdtContent>
      </w:sdt>
      <w:r w:rsidR="00F85789" w:rsidRPr="003569BE">
        <w:rPr>
          <w:rFonts w:cs="Times New Roman"/>
          <w:noProof/>
          <w:szCs w:val="24"/>
          <w:lang w:val="en-GB"/>
        </w:rPr>
        <w:t>.</w:t>
      </w:r>
    </w:p>
    <w:p w:rsidR="00864F45" w:rsidRPr="003569BE" w:rsidRDefault="00AC010F" w:rsidP="000D2FF2">
      <w:pPr>
        <w:spacing w:line="360" w:lineRule="auto"/>
        <w:rPr>
          <w:rFonts w:cs="Times New Roman"/>
          <w:noProof/>
          <w:szCs w:val="24"/>
          <w:lang w:val="en-GB"/>
        </w:rPr>
      </w:pPr>
      <w:r w:rsidRPr="003569BE">
        <w:rPr>
          <w:rFonts w:cs="Times New Roman"/>
          <w:noProof/>
          <w:szCs w:val="24"/>
          <w:lang w:val="en-GB"/>
        </w:rPr>
        <w:lastRenderedPageBreak/>
        <w:t xml:space="preserve">Based on </w:t>
      </w:r>
      <w:r w:rsidR="00864F45" w:rsidRPr="003569BE">
        <w:rPr>
          <w:rFonts w:cs="Times New Roman"/>
          <w:noProof/>
          <w:szCs w:val="24"/>
          <w:lang w:val="en-GB"/>
        </w:rPr>
        <w:t xml:space="preserve">the definitions presented </w:t>
      </w:r>
      <w:r w:rsidRPr="003569BE">
        <w:rPr>
          <w:rFonts w:cs="Times New Roman"/>
          <w:noProof/>
          <w:szCs w:val="24"/>
          <w:lang w:val="en-GB"/>
        </w:rPr>
        <w:t xml:space="preserve">before </w:t>
      </w:r>
      <w:r w:rsidR="00864F45" w:rsidRPr="003569BE">
        <w:rPr>
          <w:rFonts w:cs="Times New Roman"/>
          <w:noProof/>
          <w:szCs w:val="24"/>
          <w:lang w:val="en-GB"/>
        </w:rPr>
        <w:t xml:space="preserve">can be concluded that real earnings management relies on manipulating the real activities of the company. For instance, a reduction in </w:t>
      </w:r>
      <w:r w:rsidRPr="003569BE">
        <w:rPr>
          <w:rFonts w:cs="Times New Roman"/>
          <w:noProof/>
          <w:szCs w:val="24"/>
          <w:lang w:val="en-GB"/>
        </w:rPr>
        <w:t xml:space="preserve">the </w:t>
      </w:r>
      <w:r w:rsidR="00864F45" w:rsidRPr="003569BE">
        <w:rPr>
          <w:rFonts w:cs="Times New Roman"/>
          <w:noProof/>
          <w:szCs w:val="24"/>
          <w:lang w:val="en-GB"/>
        </w:rPr>
        <w:t>di</w:t>
      </w:r>
      <w:r w:rsidR="002A543A" w:rsidRPr="003569BE">
        <w:rPr>
          <w:rFonts w:cs="Times New Roman"/>
          <w:noProof/>
          <w:szCs w:val="24"/>
          <w:lang w:val="en-GB"/>
        </w:rPr>
        <w:t>scretionary expenses, e.g. R&amp;D</w:t>
      </w:r>
      <w:r w:rsidR="00181CF0" w:rsidRPr="003569BE">
        <w:rPr>
          <w:rFonts w:cs="Times New Roman"/>
          <w:noProof/>
          <w:szCs w:val="24"/>
          <w:lang w:val="en-GB"/>
        </w:rPr>
        <w:t>,</w:t>
      </w:r>
      <w:r w:rsidR="009F54E2" w:rsidRPr="003569BE">
        <w:rPr>
          <w:rFonts w:cs="Times New Roman"/>
          <w:noProof/>
          <w:szCs w:val="24"/>
          <w:lang w:val="en-GB"/>
        </w:rPr>
        <w:t xml:space="preserve"> which consequently</w:t>
      </w:r>
      <w:r w:rsidR="002A543A" w:rsidRPr="003569BE">
        <w:rPr>
          <w:rFonts w:cs="Times New Roman"/>
          <w:noProof/>
          <w:szCs w:val="24"/>
          <w:lang w:val="en-GB"/>
        </w:rPr>
        <w:t xml:space="preserve"> increases </w:t>
      </w:r>
      <w:r w:rsidR="009F54E2" w:rsidRPr="003569BE">
        <w:rPr>
          <w:rFonts w:cs="Times New Roman"/>
          <w:noProof/>
          <w:szCs w:val="24"/>
          <w:lang w:val="en-GB"/>
        </w:rPr>
        <w:t xml:space="preserve">the earnings, </w:t>
      </w:r>
      <w:r w:rsidR="002A543A" w:rsidRPr="003569BE">
        <w:rPr>
          <w:rFonts w:cs="Times New Roman"/>
          <w:noProof/>
          <w:szCs w:val="24"/>
          <w:lang w:val="en-GB"/>
        </w:rPr>
        <w:t xml:space="preserve">is considered </w:t>
      </w:r>
      <w:r w:rsidRPr="003569BE">
        <w:rPr>
          <w:rFonts w:cs="Times New Roman"/>
          <w:noProof/>
          <w:szCs w:val="24"/>
          <w:lang w:val="en-GB"/>
        </w:rPr>
        <w:t xml:space="preserve">as </w:t>
      </w:r>
      <w:r w:rsidR="002A543A" w:rsidRPr="003569BE">
        <w:rPr>
          <w:rFonts w:cs="Times New Roman"/>
          <w:noProof/>
          <w:szCs w:val="24"/>
          <w:lang w:val="en-GB"/>
        </w:rPr>
        <w:t>a real earnings manag</w:t>
      </w:r>
      <w:r w:rsidR="003033E3" w:rsidRPr="003569BE">
        <w:rPr>
          <w:rFonts w:cs="Times New Roman"/>
          <w:noProof/>
          <w:szCs w:val="24"/>
          <w:lang w:val="en-GB"/>
        </w:rPr>
        <w:t>ement practice</w:t>
      </w:r>
      <w:r w:rsidR="006E1FC5" w:rsidRPr="003569BE">
        <w:rPr>
          <w:rFonts w:cs="Times New Roman"/>
          <w:noProof/>
          <w:szCs w:val="24"/>
          <w:lang w:val="en-GB"/>
        </w:rPr>
        <w:t xml:space="preserve"> </w:t>
      </w:r>
      <w:sdt>
        <w:sdtPr>
          <w:rPr>
            <w:rFonts w:cs="Times New Roman"/>
            <w:noProof/>
            <w:szCs w:val="24"/>
            <w:lang w:val="en-GB"/>
          </w:rPr>
          <w:id w:val="-602809325"/>
          <w:citation/>
        </w:sdtPr>
        <w:sdtContent>
          <w:r w:rsidR="000E4BAF" w:rsidRPr="003569BE">
            <w:rPr>
              <w:rFonts w:cs="Times New Roman"/>
              <w:noProof/>
              <w:szCs w:val="24"/>
              <w:lang w:val="en-GB"/>
            </w:rPr>
            <w:fldChar w:fldCharType="begin"/>
          </w:r>
          <w:r w:rsidR="001A5316" w:rsidRPr="003569BE">
            <w:rPr>
              <w:rFonts w:cs="Times New Roman"/>
              <w:noProof/>
              <w:szCs w:val="24"/>
              <w:lang w:val="en-GB"/>
            </w:rPr>
            <w:instrText xml:space="preserve">CITATION alC08 \t  \l 1033 </w:instrText>
          </w:r>
          <w:r w:rsidR="000E4BAF" w:rsidRPr="003569BE">
            <w:rPr>
              <w:rFonts w:cs="Times New Roman"/>
              <w:noProof/>
              <w:szCs w:val="24"/>
              <w:lang w:val="en-GB"/>
            </w:rPr>
            <w:fldChar w:fldCharType="separate"/>
          </w:r>
          <w:r w:rsidR="008F7EB3" w:rsidRPr="003569BE">
            <w:rPr>
              <w:rFonts w:cs="Times New Roman"/>
              <w:noProof/>
              <w:szCs w:val="24"/>
              <w:lang w:val="en-GB"/>
            </w:rPr>
            <w:t>(Cohen, Dey, &amp; Lys, 2008)</w:t>
          </w:r>
          <w:r w:rsidR="000E4BAF" w:rsidRPr="003569BE">
            <w:rPr>
              <w:rFonts w:cs="Times New Roman"/>
              <w:noProof/>
              <w:szCs w:val="24"/>
              <w:lang w:val="en-GB"/>
            </w:rPr>
            <w:fldChar w:fldCharType="end"/>
          </w:r>
        </w:sdtContent>
      </w:sdt>
      <w:r w:rsidR="003033E3" w:rsidRPr="003569BE">
        <w:rPr>
          <w:rFonts w:cs="Times New Roman"/>
          <w:noProof/>
          <w:szCs w:val="24"/>
          <w:lang w:val="en-GB"/>
        </w:rPr>
        <w:t>.</w:t>
      </w:r>
    </w:p>
    <w:p w:rsidR="008144D8" w:rsidRPr="003569BE" w:rsidRDefault="00DF18DB" w:rsidP="000F7FB0">
      <w:pPr>
        <w:spacing w:line="360" w:lineRule="auto"/>
        <w:rPr>
          <w:rFonts w:cs="Times New Roman"/>
          <w:noProof/>
          <w:szCs w:val="24"/>
          <w:lang w:val="en-GB"/>
        </w:rPr>
      </w:pPr>
      <w:r w:rsidRPr="003569BE">
        <w:rPr>
          <w:rFonts w:cs="Times New Roman"/>
          <w:szCs w:val="24"/>
          <w:lang w:val="en-GB"/>
        </w:rPr>
        <w:t xml:space="preserve">Although real earnings management has not been studied as extensively as accrual earnings management, Graham et Al. </w:t>
      </w:r>
      <w:r w:rsidR="00962965" w:rsidRPr="003569BE">
        <w:rPr>
          <w:rFonts w:cs="Times New Roman"/>
          <w:szCs w:val="24"/>
          <w:lang w:val="en-GB"/>
        </w:rPr>
        <w:t>(2005) found that managers</w:t>
      </w:r>
      <w:r w:rsidR="00460CAD" w:rsidRPr="003569BE">
        <w:rPr>
          <w:rFonts w:cs="Times New Roman"/>
          <w:szCs w:val="24"/>
          <w:lang w:val="en-GB"/>
        </w:rPr>
        <w:t>, in order</w:t>
      </w:r>
      <w:r w:rsidR="00962965" w:rsidRPr="003569BE">
        <w:rPr>
          <w:rFonts w:cs="Times New Roman"/>
          <w:szCs w:val="24"/>
          <w:lang w:val="en-GB"/>
        </w:rPr>
        <w:t xml:space="preserve"> </w:t>
      </w:r>
      <w:r w:rsidR="00AC010F" w:rsidRPr="003569BE">
        <w:rPr>
          <w:rFonts w:cs="Times New Roman"/>
          <w:szCs w:val="24"/>
          <w:lang w:val="en-GB"/>
        </w:rPr>
        <w:t>to manage the reported earnings</w:t>
      </w:r>
      <w:r w:rsidR="00460CAD" w:rsidRPr="003569BE">
        <w:rPr>
          <w:rFonts w:cs="Times New Roman"/>
          <w:szCs w:val="24"/>
          <w:lang w:val="en-GB"/>
        </w:rPr>
        <w:t>,</w:t>
      </w:r>
      <w:r w:rsidR="00AC010F" w:rsidRPr="003569BE">
        <w:rPr>
          <w:rFonts w:cs="Times New Roman"/>
          <w:szCs w:val="24"/>
          <w:lang w:val="en-GB"/>
        </w:rPr>
        <w:t xml:space="preserve"> </w:t>
      </w:r>
      <w:r w:rsidR="00962965" w:rsidRPr="003569BE">
        <w:rPr>
          <w:rFonts w:cs="Times New Roman"/>
          <w:szCs w:val="24"/>
          <w:lang w:val="en-GB"/>
        </w:rPr>
        <w:t xml:space="preserve">prefer to manipulate </w:t>
      </w:r>
      <w:r w:rsidR="00AC010F" w:rsidRPr="003569BE">
        <w:rPr>
          <w:rFonts w:cs="Times New Roman"/>
          <w:szCs w:val="24"/>
          <w:lang w:val="en-GB"/>
        </w:rPr>
        <w:t xml:space="preserve">the </w:t>
      </w:r>
      <w:r w:rsidR="00962965" w:rsidRPr="003569BE">
        <w:rPr>
          <w:rFonts w:cs="Times New Roman"/>
          <w:szCs w:val="24"/>
          <w:lang w:val="en-GB"/>
        </w:rPr>
        <w:t xml:space="preserve">real activities rather than manipulating </w:t>
      </w:r>
      <w:r w:rsidR="00AC010F" w:rsidRPr="003569BE">
        <w:rPr>
          <w:rFonts w:cs="Times New Roman"/>
          <w:szCs w:val="24"/>
          <w:lang w:val="en-GB"/>
        </w:rPr>
        <w:t xml:space="preserve">the </w:t>
      </w:r>
      <w:r w:rsidR="00962965" w:rsidRPr="003569BE">
        <w:rPr>
          <w:rFonts w:cs="Times New Roman"/>
          <w:szCs w:val="24"/>
          <w:lang w:val="en-GB"/>
        </w:rPr>
        <w:t xml:space="preserve">accruals </w:t>
      </w:r>
      <w:sdt>
        <w:sdtPr>
          <w:rPr>
            <w:rFonts w:cs="Times New Roman"/>
            <w:szCs w:val="24"/>
            <w:lang w:val="en-GB"/>
          </w:rPr>
          <w:id w:val="2039848846"/>
          <w:citation/>
        </w:sdtPr>
        <w:sdtContent>
          <w:r w:rsidR="000E4BAF" w:rsidRPr="003569BE">
            <w:rPr>
              <w:rFonts w:cs="Times New Roman"/>
              <w:szCs w:val="24"/>
              <w:lang w:val="en-GB"/>
            </w:rPr>
            <w:fldChar w:fldCharType="begin"/>
          </w:r>
          <w:r w:rsidR="008D7E53" w:rsidRPr="003569BE">
            <w:rPr>
              <w:rFonts w:cs="Times New Roman"/>
              <w:szCs w:val="24"/>
              <w:lang w:val="en-GB"/>
            </w:rPr>
            <w:instrText xml:space="preserve"> CITATION Gra05 \l 1033 </w:instrText>
          </w:r>
          <w:r w:rsidR="000E4BAF" w:rsidRPr="003569BE">
            <w:rPr>
              <w:rFonts w:cs="Times New Roman"/>
              <w:szCs w:val="24"/>
              <w:lang w:val="en-GB"/>
            </w:rPr>
            <w:fldChar w:fldCharType="separate"/>
          </w:r>
          <w:r w:rsidR="008F7EB3" w:rsidRPr="003569BE">
            <w:rPr>
              <w:rFonts w:cs="Times New Roman"/>
              <w:noProof/>
              <w:szCs w:val="24"/>
              <w:lang w:val="en-GB"/>
            </w:rPr>
            <w:t>(Graham, Harvey, &amp; Rajgopal, 2005)</w:t>
          </w:r>
          <w:r w:rsidR="000E4BAF" w:rsidRPr="003569BE">
            <w:rPr>
              <w:rFonts w:cs="Times New Roman"/>
              <w:szCs w:val="24"/>
              <w:lang w:val="en-GB"/>
            </w:rPr>
            <w:fldChar w:fldCharType="end"/>
          </w:r>
        </w:sdtContent>
      </w:sdt>
      <w:r w:rsidR="00962965" w:rsidRPr="003569BE">
        <w:rPr>
          <w:rFonts w:cs="Times New Roman"/>
          <w:szCs w:val="24"/>
          <w:lang w:val="en-GB"/>
        </w:rPr>
        <w:t>.</w:t>
      </w:r>
      <w:r w:rsidR="008D7E53" w:rsidRPr="003569BE">
        <w:rPr>
          <w:rFonts w:cs="Times New Roman"/>
          <w:szCs w:val="24"/>
          <w:lang w:val="en-GB"/>
        </w:rPr>
        <w:t xml:space="preserve"> </w:t>
      </w:r>
      <w:r w:rsidR="00AB232B" w:rsidRPr="003569BE">
        <w:rPr>
          <w:rFonts w:cs="Times New Roman"/>
          <w:szCs w:val="24"/>
          <w:lang w:val="en-GB"/>
        </w:rPr>
        <w:t>They found “</w:t>
      </w:r>
      <w:r w:rsidR="000F7FB0" w:rsidRPr="003569BE">
        <w:rPr>
          <w:rFonts w:cs="Times New Roman"/>
          <w:szCs w:val="24"/>
          <w:lang w:val="en-GB"/>
        </w:rPr>
        <w:t xml:space="preserve">strong evidence that managers take real economic actions to keep up </w:t>
      </w:r>
      <w:r w:rsidR="00AC010F" w:rsidRPr="003569BE">
        <w:rPr>
          <w:rFonts w:cs="Times New Roman"/>
          <w:szCs w:val="24"/>
          <w:lang w:val="en-GB"/>
        </w:rPr>
        <w:t xml:space="preserve">the </w:t>
      </w:r>
      <w:r w:rsidR="000F7FB0" w:rsidRPr="003569BE">
        <w:rPr>
          <w:rFonts w:cs="Times New Roman"/>
          <w:szCs w:val="24"/>
          <w:lang w:val="en-GB"/>
        </w:rPr>
        <w:t xml:space="preserve">accounting appearances. In particular, 80% of survey participants report that they </w:t>
      </w:r>
      <w:r w:rsidR="00AC010F" w:rsidRPr="003569BE">
        <w:rPr>
          <w:rFonts w:cs="Times New Roman"/>
          <w:szCs w:val="24"/>
          <w:lang w:val="en-GB"/>
        </w:rPr>
        <w:t xml:space="preserve">have investigated </w:t>
      </w:r>
      <w:r w:rsidR="000F7FB0" w:rsidRPr="003569BE">
        <w:rPr>
          <w:rFonts w:cs="Times New Roman"/>
          <w:szCs w:val="24"/>
          <w:lang w:val="en-GB"/>
        </w:rPr>
        <w:t xml:space="preserve">would decrease </w:t>
      </w:r>
      <w:r w:rsidR="00AC010F" w:rsidRPr="003569BE">
        <w:rPr>
          <w:rFonts w:cs="Times New Roman"/>
          <w:szCs w:val="24"/>
          <w:lang w:val="en-GB"/>
        </w:rPr>
        <w:t xml:space="preserve">the </w:t>
      </w:r>
      <w:r w:rsidR="000F7FB0" w:rsidRPr="003569BE">
        <w:rPr>
          <w:rFonts w:cs="Times New Roman"/>
          <w:szCs w:val="24"/>
          <w:lang w:val="en-GB"/>
        </w:rPr>
        <w:t xml:space="preserve">discretionary spending on R&amp;D, advertising and maintenance to meet an earnings target. More than half (55.3%) </w:t>
      </w:r>
      <w:r w:rsidR="00AC010F" w:rsidRPr="003569BE">
        <w:rPr>
          <w:rFonts w:cs="Times New Roman"/>
          <w:szCs w:val="24"/>
          <w:lang w:val="en-GB"/>
        </w:rPr>
        <w:t xml:space="preserve">of survey participants </w:t>
      </w:r>
      <w:r w:rsidR="000F7FB0" w:rsidRPr="003569BE">
        <w:rPr>
          <w:rFonts w:cs="Times New Roman"/>
          <w:szCs w:val="24"/>
          <w:lang w:val="en-GB"/>
        </w:rPr>
        <w:t>state that they would delay starting a new project to meet an earnings target, even when such a delay entails a small sacrifice in value</w:t>
      </w:r>
      <w:r w:rsidR="00AB232B" w:rsidRPr="003569BE">
        <w:rPr>
          <w:rFonts w:cs="Times New Roman"/>
          <w:szCs w:val="24"/>
          <w:lang w:val="en-GB"/>
        </w:rPr>
        <w:t xml:space="preserve">” </w:t>
      </w:r>
      <w:sdt>
        <w:sdtPr>
          <w:rPr>
            <w:rFonts w:cs="Times New Roman"/>
            <w:szCs w:val="24"/>
            <w:lang w:val="en-GB"/>
          </w:rPr>
          <w:id w:val="1581648080"/>
          <w:citation/>
        </w:sdtPr>
        <w:sdtContent>
          <w:r w:rsidR="000E4BAF" w:rsidRPr="003569BE">
            <w:rPr>
              <w:rFonts w:cs="Times New Roman"/>
              <w:szCs w:val="24"/>
              <w:lang w:val="en-GB"/>
            </w:rPr>
            <w:fldChar w:fldCharType="begin"/>
          </w:r>
          <w:r w:rsidR="006023A8" w:rsidRPr="003569BE">
            <w:rPr>
              <w:rFonts w:cs="Times New Roman"/>
              <w:szCs w:val="24"/>
              <w:lang w:val="en-GB"/>
            </w:rPr>
            <w:instrText xml:space="preserve">CITATION Gra05 \p 32 \l 1033 </w:instrText>
          </w:r>
          <w:r w:rsidR="000E4BAF" w:rsidRPr="003569BE">
            <w:rPr>
              <w:rFonts w:cs="Times New Roman"/>
              <w:szCs w:val="24"/>
              <w:lang w:val="en-GB"/>
            </w:rPr>
            <w:fldChar w:fldCharType="separate"/>
          </w:r>
          <w:r w:rsidR="008F7EB3" w:rsidRPr="003569BE">
            <w:rPr>
              <w:rFonts w:cs="Times New Roman"/>
              <w:noProof/>
              <w:szCs w:val="24"/>
              <w:lang w:val="en-GB"/>
            </w:rPr>
            <w:t>(Graham, Harvey, &amp; Rajgopal, 2005, p. 32)</w:t>
          </w:r>
          <w:r w:rsidR="000E4BAF" w:rsidRPr="003569BE">
            <w:rPr>
              <w:rFonts w:cs="Times New Roman"/>
              <w:szCs w:val="24"/>
              <w:lang w:val="en-GB"/>
            </w:rPr>
            <w:fldChar w:fldCharType="end"/>
          </w:r>
        </w:sdtContent>
      </w:sdt>
      <w:r w:rsidR="000F7FB0" w:rsidRPr="003569BE">
        <w:rPr>
          <w:rFonts w:cs="Times New Roman"/>
          <w:noProof/>
          <w:szCs w:val="24"/>
          <w:lang w:val="en-GB"/>
        </w:rPr>
        <w:t>.</w:t>
      </w:r>
    </w:p>
    <w:p w:rsidR="00D46C29" w:rsidRPr="003569BE" w:rsidRDefault="00D71822" w:rsidP="000F7FB0">
      <w:pPr>
        <w:spacing w:line="360" w:lineRule="auto"/>
        <w:rPr>
          <w:rFonts w:cs="Times New Roman"/>
          <w:szCs w:val="24"/>
          <w:lang w:val="en-GB"/>
        </w:rPr>
      </w:pPr>
      <w:r w:rsidRPr="003569BE">
        <w:rPr>
          <w:rFonts w:cs="Times New Roman"/>
          <w:szCs w:val="24"/>
          <w:lang w:val="en-GB"/>
        </w:rPr>
        <w:t xml:space="preserve">Cohen and Zarowin (2010) provide two reasons for the managers’ inclination to use real earnings management: first, accrual earnings management has a higher change of being critically examined and discovered by auditors than </w:t>
      </w:r>
      <w:r w:rsidR="00AC010F" w:rsidRPr="003569BE">
        <w:rPr>
          <w:rFonts w:cs="Times New Roman"/>
          <w:szCs w:val="24"/>
          <w:lang w:val="en-GB"/>
        </w:rPr>
        <w:t xml:space="preserve">the use of </w:t>
      </w:r>
      <w:r w:rsidRPr="003569BE">
        <w:rPr>
          <w:rFonts w:cs="Times New Roman"/>
          <w:szCs w:val="24"/>
          <w:lang w:val="en-GB"/>
        </w:rPr>
        <w:t xml:space="preserve">real earnings management activities do, e.g. product pricing, production, expenditures on R&amp;D or advertising; </w:t>
      </w:r>
      <w:r w:rsidR="00C274E0" w:rsidRPr="003569BE">
        <w:rPr>
          <w:rFonts w:cs="Times New Roman"/>
          <w:szCs w:val="24"/>
          <w:lang w:val="en-GB"/>
        </w:rPr>
        <w:t xml:space="preserve">and </w:t>
      </w:r>
      <w:r w:rsidRPr="003569BE">
        <w:rPr>
          <w:rFonts w:cs="Times New Roman"/>
          <w:szCs w:val="24"/>
          <w:lang w:val="en-GB"/>
        </w:rPr>
        <w:t xml:space="preserve">second, </w:t>
      </w:r>
      <w:r w:rsidR="00C274E0" w:rsidRPr="003569BE">
        <w:rPr>
          <w:rFonts w:cs="Times New Roman"/>
          <w:szCs w:val="24"/>
          <w:lang w:val="en-GB"/>
        </w:rPr>
        <w:t xml:space="preserve">using accrual manipulating only is too risky </w:t>
      </w:r>
      <w:sdt>
        <w:sdtPr>
          <w:rPr>
            <w:rFonts w:cs="Times New Roman"/>
            <w:szCs w:val="24"/>
            <w:lang w:val="en-GB"/>
          </w:rPr>
          <w:id w:val="1749613153"/>
          <w:citation/>
        </w:sdtPr>
        <w:sdtContent>
          <w:r w:rsidR="000E4BAF" w:rsidRPr="003569BE">
            <w:rPr>
              <w:rFonts w:cs="Times New Roman"/>
              <w:szCs w:val="24"/>
              <w:lang w:val="en-GB"/>
            </w:rPr>
            <w:fldChar w:fldCharType="begin"/>
          </w:r>
          <w:r w:rsidR="001A5316" w:rsidRPr="003569BE">
            <w:rPr>
              <w:rFonts w:cs="Times New Roman"/>
              <w:szCs w:val="24"/>
              <w:lang w:val="en-GB"/>
            </w:rPr>
            <w:instrText xml:space="preserve">CITATION Coh10 \t  \l 1033 </w:instrText>
          </w:r>
          <w:r w:rsidR="000E4BAF" w:rsidRPr="003569BE">
            <w:rPr>
              <w:rFonts w:cs="Times New Roman"/>
              <w:szCs w:val="24"/>
              <w:lang w:val="en-GB"/>
            </w:rPr>
            <w:fldChar w:fldCharType="separate"/>
          </w:r>
          <w:r w:rsidR="008F7EB3" w:rsidRPr="003569BE">
            <w:rPr>
              <w:rFonts w:cs="Times New Roman"/>
              <w:noProof/>
              <w:szCs w:val="24"/>
              <w:lang w:val="en-GB"/>
            </w:rPr>
            <w:t>(Cohen &amp; Zarowin, 2010)</w:t>
          </w:r>
          <w:r w:rsidR="000E4BAF" w:rsidRPr="003569BE">
            <w:rPr>
              <w:rFonts w:cs="Times New Roman"/>
              <w:szCs w:val="24"/>
              <w:lang w:val="en-GB"/>
            </w:rPr>
            <w:fldChar w:fldCharType="end"/>
          </w:r>
        </w:sdtContent>
      </w:sdt>
      <w:r w:rsidR="00C274E0" w:rsidRPr="003569BE">
        <w:rPr>
          <w:rFonts w:cs="Times New Roman"/>
          <w:szCs w:val="24"/>
          <w:lang w:val="en-GB"/>
        </w:rPr>
        <w:t>.</w:t>
      </w:r>
      <w:r w:rsidR="00B53F13" w:rsidRPr="003569BE">
        <w:rPr>
          <w:rFonts w:cs="Times New Roman"/>
          <w:szCs w:val="24"/>
          <w:lang w:val="en-GB"/>
        </w:rPr>
        <w:t xml:space="preserve"> </w:t>
      </w:r>
    </w:p>
    <w:p w:rsidR="00442BAC" w:rsidRPr="003569BE" w:rsidRDefault="00442BAC" w:rsidP="00846EA1">
      <w:pPr>
        <w:pStyle w:val="Heading2"/>
        <w:numPr>
          <w:ilvl w:val="2"/>
          <w:numId w:val="6"/>
        </w:numPr>
        <w:spacing w:line="360" w:lineRule="auto"/>
        <w:rPr>
          <w:lang w:val="en-GB"/>
        </w:rPr>
      </w:pPr>
      <w:bookmarkStart w:id="16" w:name="_Toc396633548"/>
      <w:r w:rsidRPr="003569BE">
        <w:rPr>
          <w:lang w:val="en-GB"/>
        </w:rPr>
        <w:t xml:space="preserve">Incentives for </w:t>
      </w:r>
      <w:r w:rsidR="00AC010F" w:rsidRPr="003569BE">
        <w:rPr>
          <w:lang w:val="en-GB"/>
        </w:rPr>
        <w:t xml:space="preserve">the </w:t>
      </w:r>
      <w:r w:rsidR="00460CAD" w:rsidRPr="003569BE">
        <w:rPr>
          <w:lang w:val="en-GB"/>
        </w:rPr>
        <w:t>U</w:t>
      </w:r>
      <w:r w:rsidR="00AC010F" w:rsidRPr="003569BE">
        <w:rPr>
          <w:lang w:val="en-GB"/>
        </w:rPr>
        <w:t xml:space="preserve">se of </w:t>
      </w:r>
      <w:r w:rsidRPr="003569BE">
        <w:rPr>
          <w:lang w:val="en-GB"/>
        </w:rPr>
        <w:t>Earnings Management</w:t>
      </w:r>
      <w:bookmarkEnd w:id="16"/>
    </w:p>
    <w:p w:rsidR="00021A17" w:rsidRPr="003569BE" w:rsidRDefault="006F3E80" w:rsidP="006F3E80">
      <w:pPr>
        <w:spacing w:line="360" w:lineRule="auto"/>
        <w:rPr>
          <w:rFonts w:cs="Times New Roman"/>
          <w:szCs w:val="24"/>
          <w:lang w:val="en-GB"/>
        </w:rPr>
      </w:pPr>
      <w:r w:rsidRPr="003569BE">
        <w:rPr>
          <w:rFonts w:cs="Times New Roman"/>
          <w:szCs w:val="24"/>
          <w:lang w:val="en-GB"/>
        </w:rPr>
        <w:t>Although the</w:t>
      </w:r>
      <w:r w:rsidR="002238F2" w:rsidRPr="003569BE">
        <w:rPr>
          <w:rFonts w:cs="Times New Roman"/>
          <w:szCs w:val="24"/>
          <w:lang w:val="en-GB"/>
        </w:rPr>
        <w:t xml:space="preserve"> definitions presented before</w:t>
      </w:r>
      <w:r w:rsidRPr="003569BE">
        <w:rPr>
          <w:rFonts w:cs="Times New Roman"/>
          <w:szCs w:val="24"/>
          <w:lang w:val="en-GB"/>
        </w:rPr>
        <w:t xml:space="preserve"> </w:t>
      </w:r>
      <w:r w:rsidR="00C43042" w:rsidRPr="003569BE">
        <w:rPr>
          <w:rFonts w:cs="Times New Roman"/>
          <w:szCs w:val="24"/>
          <w:lang w:val="en-GB"/>
        </w:rPr>
        <w:t xml:space="preserve">are widely accepted, since they </w:t>
      </w:r>
      <w:r w:rsidR="00327709" w:rsidRPr="003569BE">
        <w:rPr>
          <w:rFonts w:cs="Times New Roman"/>
          <w:szCs w:val="24"/>
          <w:lang w:val="en-GB"/>
        </w:rPr>
        <w:t xml:space="preserve">are based on </w:t>
      </w:r>
      <w:r w:rsidRPr="003569BE">
        <w:rPr>
          <w:rFonts w:cs="Times New Roman"/>
          <w:szCs w:val="24"/>
          <w:lang w:val="en-GB"/>
        </w:rPr>
        <w:t>managerial intent,</w:t>
      </w:r>
      <w:r w:rsidR="002B1FCB" w:rsidRPr="003569BE">
        <w:rPr>
          <w:rFonts w:cs="Times New Roman"/>
          <w:szCs w:val="24"/>
          <w:lang w:val="en-GB"/>
        </w:rPr>
        <w:t xml:space="preserve"> which is unobservable, the definitions </w:t>
      </w:r>
      <w:r w:rsidRPr="003569BE">
        <w:rPr>
          <w:rFonts w:cs="Times New Roman"/>
          <w:szCs w:val="24"/>
          <w:lang w:val="en-GB"/>
        </w:rPr>
        <w:t xml:space="preserve">are difficult to directly operationalize using attributes of </w:t>
      </w:r>
      <w:r w:rsidR="00AC010F" w:rsidRPr="003569BE">
        <w:rPr>
          <w:rFonts w:cs="Times New Roman"/>
          <w:szCs w:val="24"/>
          <w:lang w:val="en-GB"/>
        </w:rPr>
        <w:t xml:space="preserve">the </w:t>
      </w:r>
      <w:r w:rsidRPr="003569BE">
        <w:rPr>
          <w:rFonts w:cs="Times New Roman"/>
          <w:szCs w:val="24"/>
          <w:lang w:val="en-GB"/>
        </w:rPr>
        <w:t>reported accounting numbers. With regard to managers reporting incentives, Healy and Wahlen (1999) state that researchers have examined many different incentives for the use of earnings management, such as: capital market expectations and valuation</w:t>
      </w:r>
      <w:r w:rsidR="00AC010F" w:rsidRPr="003569BE">
        <w:rPr>
          <w:rFonts w:cs="Times New Roman"/>
          <w:szCs w:val="24"/>
          <w:lang w:val="en-GB"/>
        </w:rPr>
        <w:t>,</w:t>
      </w:r>
      <w:r w:rsidR="00AC010F" w:rsidRPr="003569BE" w:rsidDel="00AC010F">
        <w:rPr>
          <w:rFonts w:cs="Times New Roman"/>
          <w:szCs w:val="24"/>
          <w:lang w:val="en-GB"/>
        </w:rPr>
        <w:t xml:space="preserve"> </w:t>
      </w:r>
      <w:r w:rsidRPr="003569BE">
        <w:rPr>
          <w:rFonts w:cs="Times New Roman"/>
          <w:szCs w:val="24"/>
          <w:lang w:val="en-GB"/>
        </w:rPr>
        <w:t>e.g. meeting the expectations of financial analysts, contracting motivations</w:t>
      </w:r>
      <w:r w:rsidR="00AC010F" w:rsidRPr="003569BE">
        <w:rPr>
          <w:rFonts w:cs="Times New Roman"/>
          <w:szCs w:val="24"/>
          <w:lang w:val="en-GB"/>
        </w:rPr>
        <w:t>,</w:t>
      </w:r>
      <w:r w:rsidR="00AC010F" w:rsidRPr="003569BE" w:rsidDel="00AC010F">
        <w:rPr>
          <w:rFonts w:cs="Times New Roman"/>
          <w:szCs w:val="24"/>
          <w:lang w:val="en-GB"/>
        </w:rPr>
        <w:t xml:space="preserve"> </w:t>
      </w:r>
      <w:r w:rsidRPr="003569BE">
        <w:rPr>
          <w:rFonts w:cs="Times New Roman"/>
          <w:szCs w:val="24"/>
          <w:lang w:val="en-GB"/>
        </w:rPr>
        <w:t>e.g. lending contracts, management compensation contracts</w:t>
      </w:r>
      <w:r w:rsidR="00AC010F" w:rsidRPr="003569BE">
        <w:rPr>
          <w:rFonts w:cs="Times New Roman"/>
          <w:szCs w:val="24"/>
          <w:lang w:val="en-GB"/>
        </w:rPr>
        <w:t>,</w:t>
      </w:r>
      <w:r w:rsidRPr="003569BE">
        <w:rPr>
          <w:rFonts w:cs="Times New Roman"/>
          <w:szCs w:val="24"/>
          <w:lang w:val="en-GB"/>
        </w:rPr>
        <w:t xml:space="preserve"> and regulatory motivations</w:t>
      </w:r>
      <w:r w:rsidR="00AC010F" w:rsidRPr="003569BE">
        <w:rPr>
          <w:rFonts w:cs="Times New Roman"/>
          <w:szCs w:val="24"/>
          <w:lang w:val="en-GB"/>
        </w:rPr>
        <w:t>,</w:t>
      </w:r>
      <w:r w:rsidR="00AC010F" w:rsidRPr="003569BE" w:rsidDel="00AC010F">
        <w:rPr>
          <w:rFonts w:cs="Times New Roman"/>
          <w:szCs w:val="24"/>
          <w:lang w:val="en-GB"/>
        </w:rPr>
        <w:t xml:space="preserve"> </w:t>
      </w:r>
      <w:r w:rsidRPr="003569BE">
        <w:rPr>
          <w:rFonts w:cs="Times New Roman"/>
          <w:szCs w:val="24"/>
          <w:lang w:val="en-GB"/>
        </w:rPr>
        <w:t>e.g. industry regulations, anti-trust and other regulations</w:t>
      </w:r>
      <w:r w:rsidR="001A5316" w:rsidRPr="003569BE">
        <w:rPr>
          <w:rFonts w:cs="Times New Roman"/>
          <w:szCs w:val="24"/>
          <w:lang w:val="en-GB"/>
        </w:rPr>
        <w:t xml:space="preserve"> </w:t>
      </w:r>
      <w:sdt>
        <w:sdtPr>
          <w:rPr>
            <w:rFonts w:cs="Times New Roman"/>
            <w:szCs w:val="24"/>
            <w:lang w:val="en-GB"/>
          </w:rPr>
          <w:id w:val="-1488160499"/>
          <w:citation/>
        </w:sdtPr>
        <w:sdtContent>
          <w:r w:rsidR="000E4BAF" w:rsidRPr="003569BE">
            <w:rPr>
              <w:rFonts w:cs="Times New Roman"/>
              <w:szCs w:val="24"/>
              <w:lang w:val="en-GB"/>
            </w:rPr>
            <w:fldChar w:fldCharType="begin"/>
          </w:r>
          <w:r w:rsidR="001A5316" w:rsidRPr="003569BE">
            <w:rPr>
              <w:rFonts w:cs="Times New Roman"/>
              <w:szCs w:val="24"/>
              <w:lang w:val="en-GB"/>
            </w:rPr>
            <w:instrText xml:space="preserve"> CITATION Are99 \l 1033 </w:instrText>
          </w:r>
          <w:r w:rsidR="000E4BAF" w:rsidRPr="003569BE">
            <w:rPr>
              <w:rFonts w:cs="Times New Roman"/>
              <w:szCs w:val="24"/>
              <w:lang w:val="en-GB"/>
            </w:rPr>
            <w:fldChar w:fldCharType="separate"/>
          </w:r>
          <w:r w:rsidR="008F7EB3" w:rsidRPr="003569BE">
            <w:rPr>
              <w:rFonts w:cs="Times New Roman"/>
              <w:noProof/>
              <w:szCs w:val="24"/>
              <w:lang w:val="en-GB"/>
            </w:rPr>
            <w:t>(Healy &amp; Whalen, 1999)</w:t>
          </w:r>
          <w:r w:rsidR="000E4BAF" w:rsidRPr="003569BE">
            <w:rPr>
              <w:rFonts w:cs="Times New Roman"/>
              <w:szCs w:val="24"/>
              <w:lang w:val="en-GB"/>
            </w:rPr>
            <w:fldChar w:fldCharType="end"/>
          </w:r>
        </w:sdtContent>
      </w:sdt>
      <w:r w:rsidRPr="003569BE">
        <w:rPr>
          <w:rFonts w:cs="Times New Roman"/>
          <w:szCs w:val="24"/>
          <w:lang w:val="en-GB"/>
        </w:rPr>
        <w:t>.</w:t>
      </w:r>
      <w:r w:rsidR="00733016" w:rsidRPr="003569BE">
        <w:rPr>
          <w:rFonts w:cs="Times New Roman"/>
          <w:szCs w:val="24"/>
          <w:lang w:val="en-GB"/>
        </w:rPr>
        <w:t xml:space="preserve"> Managers may engage in earnings management to meet </w:t>
      </w:r>
      <w:r w:rsidR="00AC010F" w:rsidRPr="003569BE">
        <w:rPr>
          <w:rFonts w:cs="Times New Roman"/>
          <w:szCs w:val="24"/>
          <w:lang w:val="en-GB"/>
        </w:rPr>
        <w:t xml:space="preserve">the </w:t>
      </w:r>
      <w:r w:rsidR="00733016" w:rsidRPr="003569BE">
        <w:rPr>
          <w:rFonts w:cs="Times New Roman"/>
          <w:szCs w:val="24"/>
          <w:lang w:val="en-GB"/>
        </w:rPr>
        <w:t xml:space="preserve">analysts’ </w:t>
      </w:r>
      <w:r w:rsidR="00B26154" w:rsidRPr="003569BE">
        <w:rPr>
          <w:rFonts w:cs="Times New Roman"/>
          <w:szCs w:val="24"/>
          <w:lang w:val="en-GB"/>
        </w:rPr>
        <w:t>forecasts</w:t>
      </w:r>
      <w:r w:rsidR="00733016" w:rsidRPr="003569BE">
        <w:rPr>
          <w:rFonts w:cs="Times New Roman"/>
          <w:szCs w:val="24"/>
          <w:lang w:val="en-GB"/>
        </w:rPr>
        <w:t xml:space="preserve">, the purpose being to avoid potential reputation damage and a potential negative share price reaction in the market, </w:t>
      </w:r>
      <w:r w:rsidR="001534C2" w:rsidRPr="003569BE">
        <w:rPr>
          <w:rFonts w:cs="Times New Roman"/>
          <w:szCs w:val="24"/>
          <w:lang w:val="en-GB"/>
        </w:rPr>
        <w:t>which would follow</w:t>
      </w:r>
      <w:r w:rsidR="00572668" w:rsidRPr="003569BE">
        <w:rPr>
          <w:rFonts w:cs="Times New Roman"/>
          <w:szCs w:val="24"/>
          <w:lang w:val="en-GB"/>
        </w:rPr>
        <w:t xml:space="preserve"> after</w:t>
      </w:r>
      <w:r w:rsidR="00733016" w:rsidRPr="003569BE">
        <w:rPr>
          <w:rFonts w:cs="Times New Roman"/>
          <w:szCs w:val="24"/>
          <w:lang w:val="en-GB"/>
        </w:rPr>
        <w:t xml:space="preserve"> </w:t>
      </w:r>
      <w:r w:rsidR="006A5D37" w:rsidRPr="003569BE">
        <w:rPr>
          <w:rFonts w:cs="Times New Roman"/>
          <w:szCs w:val="24"/>
          <w:lang w:val="en-GB"/>
        </w:rPr>
        <w:t xml:space="preserve">the failure to meet </w:t>
      </w:r>
      <w:r w:rsidR="00730C7B" w:rsidRPr="003569BE">
        <w:rPr>
          <w:rFonts w:cs="Times New Roman"/>
          <w:szCs w:val="24"/>
          <w:lang w:val="en-GB"/>
        </w:rPr>
        <w:t>the</w:t>
      </w:r>
      <w:r w:rsidR="006A5D37" w:rsidRPr="003569BE">
        <w:rPr>
          <w:rFonts w:cs="Times New Roman"/>
          <w:szCs w:val="24"/>
          <w:lang w:val="en-GB"/>
        </w:rPr>
        <w:t xml:space="preserve"> expectations</w:t>
      </w:r>
      <w:r w:rsidR="00730C7B" w:rsidRPr="003569BE">
        <w:rPr>
          <w:rFonts w:cs="Times New Roman"/>
          <w:szCs w:val="24"/>
          <w:lang w:val="en-GB"/>
        </w:rPr>
        <w:t xml:space="preserve"> of the investors</w:t>
      </w:r>
      <w:r w:rsidR="006A5D37" w:rsidRPr="003569BE">
        <w:rPr>
          <w:rFonts w:cs="Times New Roman"/>
          <w:szCs w:val="24"/>
          <w:lang w:val="en-GB"/>
        </w:rPr>
        <w:t>.</w:t>
      </w:r>
      <w:r w:rsidR="00642476" w:rsidRPr="003569BE">
        <w:rPr>
          <w:rFonts w:cs="Times New Roman"/>
          <w:szCs w:val="24"/>
          <w:lang w:val="en-GB"/>
        </w:rPr>
        <w:t xml:space="preserve"> </w:t>
      </w:r>
      <w:r w:rsidR="00572C41" w:rsidRPr="003569BE">
        <w:rPr>
          <w:rFonts w:cs="Times New Roman"/>
          <w:szCs w:val="24"/>
          <w:lang w:val="en-GB"/>
        </w:rPr>
        <w:t xml:space="preserve">Another perspective towards earnings management </w:t>
      </w:r>
      <w:r w:rsidR="001C5A28" w:rsidRPr="003569BE">
        <w:rPr>
          <w:rFonts w:cs="Times New Roman"/>
          <w:szCs w:val="24"/>
          <w:lang w:val="en-GB"/>
        </w:rPr>
        <w:t xml:space="preserve">reveals another </w:t>
      </w:r>
      <w:r w:rsidR="004F1BBB" w:rsidRPr="003569BE">
        <w:rPr>
          <w:rFonts w:cs="Times New Roman"/>
          <w:szCs w:val="24"/>
          <w:lang w:val="en-GB"/>
        </w:rPr>
        <w:t xml:space="preserve">incentive: management’s intent </w:t>
      </w:r>
      <w:r w:rsidR="00823293" w:rsidRPr="003569BE">
        <w:rPr>
          <w:rFonts w:cs="Times New Roman"/>
          <w:szCs w:val="24"/>
          <w:lang w:val="en-GB"/>
        </w:rPr>
        <w:t xml:space="preserve">to </w:t>
      </w:r>
      <w:r w:rsidR="004F1BBB" w:rsidRPr="003569BE">
        <w:rPr>
          <w:rFonts w:cs="Times New Roman"/>
          <w:szCs w:val="24"/>
          <w:lang w:val="en-GB"/>
        </w:rPr>
        <w:t xml:space="preserve">have a </w:t>
      </w:r>
      <w:r w:rsidR="004F1BBB" w:rsidRPr="003569BE">
        <w:rPr>
          <w:rFonts w:cs="Times New Roman"/>
          <w:szCs w:val="24"/>
          <w:lang w:val="en-GB"/>
        </w:rPr>
        <w:lastRenderedPageBreak/>
        <w:t>smooth and growing earnings path over time.</w:t>
      </w:r>
      <w:r w:rsidR="00021A17" w:rsidRPr="003569BE">
        <w:rPr>
          <w:rFonts w:cs="Times New Roman"/>
          <w:szCs w:val="24"/>
          <w:lang w:val="en-GB"/>
        </w:rPr>
        <w:t xml:space="preserve"> In addition, Dechow and Skinner (2000) concluded two strong incentives in particular: </w:t>
      </w:r>
    </w:p>
    <w:p w:rsidR="00572C41" w:rsidRPr="003569BE" w:rsidRDefault="00021A17" w:rsidP="00021A17">
      <w:pPr>
        <w:pStyle w:val="ListParagraph"/>
        <w:numPr>
          <w:ilvl w:val="0"/>
          <w:numId w:val="10"/>
        </w:numPr>
        <w:spacing w:line="360" w:lineRule="auto"/>
        <w:ind w:left="284" w:hanging="284"/>
        <w:rPr>
          <w:rFonts w:cs="Times New Roman"/>
          <w:szCs w:val="24"/>
          <w:lang w:val="en-GB"/>
        </w:rPr>
      </w:pPr>
      <w:r w:rsidRPr="003569BE">
        <w:rPr>
          <w:rFonts w:cs="Times New Roman"/>
          <w:szCs w:val="24"/>
          <w:lang w:val="en-GB"/>
        </w:rPr>
        <w:t>“Managers have strong incentives to ‘beat benchmarks’, implying that firms just beating benchmarks are potentially more likely to be engaging in earnings management.</w:t>
      </w:r>
    </w:p>
    <w:p w:rsidR="00021A17" w:rsidRPr="003569BE" w:rsidRDefault="00021A17" w:rsidP="00021A17">
      <w:pPr>
        <w:pStyle w:val="ListParagraph"/>
        <w:numPr>
          <w:ilvl w:val="0"/>
          <w:numId w:val="10"/>
        </w:numPr>
        <w:spacing w:line="360" w:lineRule="auto"/>
        <w:ind w:left="284" w:hanging="284"/>
        <w:rPr>
          <w:rFonts w:cs="Times New Roman"/>
          <w:szCs w:val="24"/>
          <w:lang w:val="en-GB"/>
        </w:rPr>
      </w:pPr>
      <w:r w:rsidRPr="003569BE">
        <w:rPr>
          <w:rFonts w:cs="Times New Roman"/>
          <w:szCs w:val="24"/>
          <w:lang w:val="en-GB"/>
        </w:rPr>
        <w:t xml:space="preserve">Managers of firms desiring to issue equity have strong incentives to boost </w:t>
      </w:r>
      <w:r w:rsidR="00AC010F" w:rsidRPr="003569BE">
        <w:rPr>
          <w:rFonts w:cs="Times New Roman"/>
          <w:szCs w:val="24"/>
          <w:lang w:val="en-GB"/>
        </w:rPr>
        <w:t xml:space="preserve">the </w:t>
      </w:r>
      <w:r w:rsidRPr="003569BE">
        <w:rPr>
          <w:rFonts w:cs="Times New Roman"/>
          <w:szCs w:val="24"/>
          <w:lang w:val="en-GB"/>
        </w:rPr>
        <w:t>stock price and hence engage in earnings management.”</w:t>
      </w:r>
      <w:r w:rsidR="007418D8" w:rsidRPr="003569BE">
        <w:rPr>
          <w:rFonts w:cs="Times New Roman"/>
          <w:szCs w:val="24"/>
          <w:lang w:val="en-GB"/>
        </w:rPr>
        <w:t xml:space="preserve"> </w:t>
      </w:r>
      <w:sdt>
        <w:sdtPr>
          <w:rPr>
            <w:rFonts w:cs="Times New Roman"/>
            <w:szCs w:val="24"/>
            <w:lang w:val="en-GB"/>
          </w:rPr>
          <w:id w:val="661581768"/>
          <w:citation/>
        </w:sdtPr>
        <w:sdtContent>
          <w:r w:rsidR="000E4BAF" w:rsidRPr="003569BE">
            <w:rPr>
              <w:rFonts w:cs="Times New Roman"/>
              <w:szCs w:val="24"/>
              <w:lang w:val="en-GB"/>
            </w:rPr>
            <w:fldChar w:fldCharType="begin"/>
          </w:r>
          <w:r w:rsidR="007418D8" w:rsidRPr="003569BE">
            <w:rPr>
              <w:rFonts w:cs="Times New Roman"/>
              <w:szCs w:val="24"/>
              <w:lang w:val="en-GB"/>
            </w:rPr>
            <w:instrText xml:space="preserve">CITATION Dec00 \p 248 \t  \l 1033 </w:instrText>
          </w:r>
          <w:r w:rsidR="000E4BAF" w:rsidRPr="003569BE">
            <w:rPr>
              <w:rFonts w:cs="Times New Roman"/>
              <w:szCs w:val="24"/>
              <w:lang w:val="en-GB"/>
            </w:rPr>
            <w:fldChar w:fldCharType="separate"/>
          </w:r>
          <w:r w:rsidR="008F7EB3" w:rsidRPr="003569BE">
            <w:rPr>
              <w:rFonts w:cs="Times New Roman"/>
              <w:noProof/>
              <w:szCs w:val="24"/>
              <w:lang w:val="en-GB"/>
            </w:rPr>
            <w:t>(Dechow &amp; Skinner, 2000, p. 248)</w:t>
          </w:r>
          <w:r w:rsidR="000E4BAF" w:rsidRPr="003569BE">
            <w:rPr>
              <w:rFonts w:cs="Times New Roman"/>
              <w:szCs w:val="24"/>
              <w:lang w:val="en-GB"/>
            </w:rPr>
            <w:fldChar w:fldCharType="end"/>
          </w:r>
        </w:sdtContent>
      </w:sdt>
    </w:p>
    <w:p w:rsidR="00C91A85" w:rsidRPr="003569BE" w:rsidRDefault="00C91A85" w:rsidP="00846EA1">
      <w:pPr>
        <w:pStyle w:val="Heading2"/>
        <w:numPr>
          <w:ilvl w:val="2"/>
          <w:numId w:val="6"/>
        </w:numPr>
        <w:spacing w:line="360" w:lineRule="auto"/>
        <w:rPr>
          <w:lang w:val="en-GB"/>
        </w:rPr>
      </w:pPr>
      <w:bookmarkStart w:id="17" w:name="_Toc396633549"/>
      <w:r w:rsidRPr="003569BE">
        <w:rPr>
          <w:lang w:val="en-GB"/>
        </w:rPr>
        <w:t xml:space="preserve">What are the positions of </w:t>
      </w:r>
      <w:r w:rsidR="00AC010F" w:rsidRPr="003569BE">
        <w:rPr>
          <w:lang w:val="en-GB"/>
        </w:rPr>
        <w:t xml:space="preserve">the </w:t>
      </w:r>
      <w:r w:rsidRPr="003569BE">
        <w:rPr>
          <w:lang w:val="en-GB"/>
        </w:rPr>
        <w:t xml:space="preserve">regulators and </w:t>
      </w:r>
      <w:r w:rsidR="00AC010F" w:rsidRPr="003569BE">
        <w:rPr>
          <w:lang w:val="en-GB"/>
        </w:rPr>
        <w:t xml:space="preserve">of the </w:t>
      </w:r>
      <w:r w:rsidRPr="003569BE">
        <w:rPr>
          <w:lang w:val="en-GB"/>
        </w:rPr>
        <w:t>dependent bodies?</w:t>
      </w:r>
      <w:bookmarkEnd w:id="17"/>
    </w:p>
    <w:p w:rsidR="006E70F9" w:rsidRPr="003569BE" w:rsidRDefault="00702BCC" w:rsidP="006E70F9">
      <w:pPr>
        <w:spacing w:line="360" w:lineRule="auto"/>
        <w:rPr>
          <w:rFonts w:cs="Times New Roman"/>
          <w:szCs w:val="24"/>
          <w:lang w:val="en-GB"/>
        </w:rPr>
      </w:pPr>
      <w:r w:rsidRPr="003569BE">
        <w:rPr>
          <w:rFonts w:cs="Times New Roman"/>
          <w:szCs w:val="24"/>
          <w:lang w:val="en-GB"/>
        </w:rPr>
        <w:t>As Dechow and Skinner (2000) in their paper</w:t>
      </w:r>
      <w:r w:rsidR="00AC010F" w:rsidRPr="003569BE">
        <w:rPr>
          <w:rFonts w:cs="Times New Roman"/>
          <w:szCs w:val="24"/>
          <w:lang w:val="en-GB"/>
        </w:rPr>
        <w:t xml:space="preserve"> argue</w:t>
      </w:r>
      <w:r w:rsidRPr="003569BE">
        <w:rPr>
          <w:rFonts w:cs="Times New Roman"/>
          <w:szCs w:val="24"/>
          <w:lang w:val="en-GB"/>
        </w:rPr>
        <w:t>, a</w:t>
      </w:r>
      <w:r w:rsidR="00DA601C" w:rsidRPr="003569BE">
        <w:rPr>
          <w:rFonts w:cs="Times New Roman"/>
          <w:szCs w:val="24"/>
          <w:lang w:val="en-GB"/>
        </w:rPr>
        <w:t xml:space="preserve">ccounting academics often perceive earnings management differently from regulators and practitioners. On one hand, regulators and practitioners generally </w:t>
      </w:r>
      <w:r w:rsidR="00AC010F" w:rsidRPr="003569BE">
        <w:rPr>
          <w:rFonts w:cs="Times New Roman"/>
          <w:szCs w:val="24"/>
          <w:lang w:val="en-GB"/>
        </w:rPr>
        <w:t xml:space="preserve">qualified </w:t>
      </w:r>
      <w:r w:rsidR="00DA601C" w:rsidRPr="003569BE">
        <w:rPr>
          <w:rFonts w:cs="Times New Roman"/>
          <w:szCs w:val="24"/>
          <w:lang w:val="en-GB"/>
        </w:rPr>
        <w:t xml:space="preserve">earnings management </w:t>
      </w:r>
      <w:r w:rsidR="00AC010F" w:rsidRPr="003569BE">
        <w:rPr>
          <w:rFonts w:cs="Times New Roman"/>
          <w:szCs w:val="24"/>
          <w:lang w:val="en-GB"/>
        </w:rPr>
        <w:t xml:space="preserve">as </w:t>
      </w:r>
      <w:r w:rsidR="00DA601C" w:rsidRPr="003569BE">
        <w:rPr>
          <w:rFonts w:cs="Times New Roman"/>
          <w:szCs w:val="24"/>
          <w:lang w:val="en-GB"/>
        </w:rPr>
        <w:t>to be pervasive, problematic and they consider it needs remedial action.</w:t>
      </w:r>
      <w:r w:rsidRPr="003569BE">
        <w:rPr>
          <w:rFonts w:cs="Times New Roman"/>
          <w:szCs w:val="24"/>
          <w:lang w:val="en-GB"/>
        </w:rPr>
        <w:t xml:space="preserve"> On the other hand, academics are hesitant when it comes to believing that most firms actively engage in earnings management or whether investors should really be concerned when earnings management actually exists</w:t>
      </w:r>
      <w:r w:rsidR="00F84C42" w:rsidRPr="003569BE">
        <w:rPr>
          <w:rFonts w:cs="Times New Roman"/>
          <w:szCs w:val="24"/>
          <w:lang w:val="en-GB"/>
        </w:rPr>
        <w:t xml:space="preserve"> </w:t>
      </w:r>
      <w:sdt>
        <w:sdtPr>
          <w:rPr>
            <w:rFonts w:cs="Times New Roman"/>
            <w:szCs w:val="24"/>
            <w:lang w:val="en-GB"/>
          </w:rPr>
          <w:id w:val="-732233675"/>
          <w:citation/>
        </w:sdtPr>
        <w:sdtContent>
          <w:r w:rsidR="000E4BAF" w:rsidRPr="003569BE">
            <w:rPr>
              <w:rFonts w:cs="Times New Roman"/>
              <w:szCs w:val="24"/>
              <w:lang w:val="en-GB"/>
            </w:rPr>
            <w:fldChar w:fldCharType="begin"/>
          </w:r>
          <w:r w:rsidR="00FD1600" w:rsidRPr="003569BE">
            <w:rPr>
              <w:rFonts w:cs="Times New Roman"/>
              <w:szCs w:val="24"/>
              <w:lang w:val="en-GB"/>
            </w:rPr>
            <w:instrText xml:space="preserve">CITATION Dec00 \t  \l 1033 </w:instrText>
          </w:r>
          <w:r w:rsidR="000E4BAF" w:rsidRPr="003569BE">
            <w:rPr>
              <w:rFonts w:cs="Times New Roman"/>
              <w:szCs w:val="24"/>
              <w:lang w:val="en-GB"/>
            </w:rPr>
            <w:fldChar w:fldCharType="separate"/>
          </w:r>
          <w:r w:rsidR="008F7EB3" w:rsidRPr="003569BE">
            <w:rPr>
              <w:rFonts w:cs="Times New Roman"/>
              <w:noProof/>
              <w:szCs w:val="24"/>
              <w:lang w:val="en-GB"/>
            </w:rPr>
            <w:t>(Dechow &amp; Skinner, 2000)</w:t>
          </w:r>
          <w:r w:rsidR="000E4BAF" w:rsidRPr="003569BE">
            <w:rPr>
              <w:rFonts w:cs="Times New Roman"/>
              <w:szCs w:val="24"/>
              <w:lang w:val="en-GB"/>
            </w:rPr>
            <w:fldChar w:fldCharType="end"/>
          </w:r>
        </w:sdtContent>
      </w:sdt>
      <w:r w:rsidRPr="003569BE">
        <w:rPr>
          <w:rFonts w:cs="Times New Roman"/>
          <w:szCs w:val="24"/>
          <w:lang w:val="en-GB"/>
        </w:rPr>
        <w:t>.</w:t>
      </w:r>
      <w:r w:rsidR="001601DB" w:rsidRPr="003569BE">
        <w:rPr>
          <w:rFonts w:cs="Times New Roman"/>
          <w:szCs w:val="24"/>
          <w:lang w:val="en-GB"/>
        </w:rPr>
        <w:t xml:space="preserve"> They conclude that the reality is somewhere in the middle: academics seem to be underrating the earnings management issue, whereas regulators and practitioners generally overstate the extent of the problem regarding earnings management</w:t>
      </w:r>
      <w:r w:rsidR="00FB61FB" w:rsidRPr="003569BE">
        <w:rPr>
          <w:rFonts w:cs="Times New Roman"/>
          <w:szCs w:val="24"/>
          <w:lang w:val="en-GB"/>
        </w:rPr>
        <w:t xml:space="preserve"> </w:t>
      </w:r>
      <w:sdt>
        <w:sdtPr>
          <w:rPr>
            <w:rFonts w:cs="Times New Roman"/>
            <w:szCs w:val="24"/>
            <w:lang w:val="en-GB"/>
          </w:rPr>
          <w:id w:val="122741243"/>
          <w:citation/>
        </w:sdtPr>
        <w:sdtContent>
          <w:r w:rsidR="000E4BAF" w:rsidRPr="003569BE">
            <w:rPr>
              <w:rFonts w:cs="Times New Roman"/>
              <w:szCs w:val="24"/>
              <w:lang w:val="en-GB"/>
            </w:rPr>
            <w:fldChar w:fldCharType="begin"/>
          </w:r>
          <w:r w:rsidR="00FB61FB" w:rsidRPr="003569BE">
            <w:rPr>
              <w:rFonts w:cs="Times New Roman"/>
              <w:szCs w:val="24"/>
              <w:lang w:val="en-GB"/>
            </w:rPr>
            <w:instrText xml:space="preserve">CITATION Dec00 \t  \l 1033 </w:instrText>
          </w:r>
          <w:r w:rsidR="000E4BAF" w:rsidRPr="003569BE">
            <w:rPr>
              <w:rFonts w:cs="Times New Roman"/>
              <w:szCs w:val="24"/>
              <w:lang w:val="en-GB"/>
            </w:rPr>
            <w:fldChar w:fldCharType="separate"/>
          </w:r>
          <w:r w:rsidR="008F7EB3" w:rsidRPr="003569BE">
            <w:rPr>
              <w:rFonts w:cs="Times New Roman"/>
              <w:noProof/>
              <w:szCs w:val="24"/>
              <w:lang w:val="en-GB"/>
            </w:rPr>
            <w:t>(Dechow &amp; Skinner, 2000)</w:t>
          </w:r>
          <w:r w:rsidR="000E4BAF" w:rsidRPr="003569BE">
            <w:rPr>
              <w:rFonts w:cs="Times New Roman"/>
              <w:szCs w:val="24"/>
              <w:lang w:val="en-GB"/>
            </w:rPr>
            <w:fldChar w:fldCharType="end"/>
          </w:r>
        </w:sdtContent>
      </w:sdt>
      <w:r w:rsidR="001601DB" w:rsidRPr="003569BE">
        <w:rPr>
          <w:rFonts w:cs="Times New Roman"/>
          <w:szCs w:val="24"/>
          <w:lang w:val="en-GB"/>
        </w:rPr>
        <w:t>.</w:t>
      </w:r>
      <w:r w:rsidR="00FB61FB" w:rsidRPr="003569BE">
        <w:rPr>
          <w:rFonts w:cs="Times New Roman"/>
          <w:szCs w:val="24"/>
          <w:lang w:val="en-GB"/>
        </w:rPr>
        <w:t xml:space="preserve"> </w:t>
      </w:r>
    </w:p>
    <w:p w:rsidR="00ED76D2" w:rsidRPr="003569BE" w:rsidRDefault="00ED76D2" w:rsidP="00846EA1">
      <w:pPr>
        <w:pStyle w:val="Heading2"/>
        <w:numPr>
          <w:ilvl w:val="1"/>
          <w:numId w:val="6"/>
        </w:numPr>
        <w:spacing w:line="360" w:lineRule="auto"/>
        <w:rPr>
          <w:lang w:val="en-GB"/>
        </w:rPr>
      </w:pPr>
      <w:bookmarkStart w:id="18" w:name="_Toc396633550"/>
      <w:r w:rsidRPr="003569BE">
        <w:rPr>
          <w:lang w:val="en-GB"/>
        </w:rPr>
        <w:t>Agency Theory</w:t>
      </w:r>
      <w:bookmarkEnd w:id="18"/>
    </w:p>
    <w:p w:rsidR="00DF18DB" w:rsidRPr="003569BE" w:rsidRDefault="0027248E" w:rsidP="00846EA1">
      <w:pPr>
        <w:spacing w:line="360" w:lineRule="auto"/>
        <w:rPr>
          <w:rFonts w:cs="Times New Roman"/>
          <w:szCs w:val="24"/>
          <w:lang w:val="en-GB"/>
        </w:rPr>
      </w:pPr>
      <w:r w:rsidRPr="003569BE">
        <w:rPr>
          <w:rFonts w:cs="Times New Roman"/>
          <w:szCs w:val="24"/>
          <w:lang w:val="en-GB"/>
        </w:rPr>
        <w:t xml:space="preserve">Instituted </w:t>
      </w:r>
      <w:r w:rsidR="00391A92" w:rsidRPr="003569BE">
        <w:rPr>
          <w:rFonts w:cs="Times New Roman"/>
          <w:szCs w:val="24"/>
          <w:lang w:val="en-GB"/>
        </w:rPr>
        <w:t>by Jensen and Meckling (1976</w:t>
      </w:r>
      <w:r w:rsidRPr="003569BE">
        <w:rPr>
          <w:rFonts w:cs="Times New Roman"/>
          <w:szCs w:val="24"/>
          <w:lang w:val="en-GB"/>
        </w:rPr>
        <w:t xml:space="preserve">), </w:t>
      </w:r>
      <w:r w:rsidR="00AC010F" w:rsidRPr="003569BE">
        <w:rPr>
          <w:rFonts w:cs="Times New Roman"/>
          <w:szCs w:val="24"/>
          <w:lang w:val="en-GB"/>
        </w:rPr>
        <w:t xml:space="preserve">the </w:t>
      </w:r>
      <w:r w:rsidR="00442EA6" w:rsidRPr="003569BE">
        <w:rPr>
          <w:rFonts w:cs="Times New Roman"/>
          <w:szCs w:val="24"/>
          <w:lang w:val="en-GB"/>
        </w:rPr>
        <w:t xml:space="preserve">agency theory </w:t>
      </w:r>
      <w:r w:rsidR="009167B9" w:rsidRPr="003569BE">
        <w:rPr>
          <w:rFonts w:cs="Times New Roman"/>
          <w:szCs w:val="24"/>
          <w:lang w:val="en-GB"/>
        </w:rPr>
        <w:t xml:space="preserve">concerning this thesis </w:t>
      </w:r>
      <w:r w:rsidR="00442EA6" w:rsidRPr="003569BE">
        <w:rPr>
          <w:rFonts w:cs="Times New Roman"/>
          <w:szCs w:val="24"/>
          <w:lang w:val="en-GB"/>
        </w:rPr>
        <w:t>has a high relevance,</w:t>
      </w:r>
      <w:r w:rsidR="006B1079" w:rsidRPr="003569BE">
        <w:rPr>
          <w:rFonts w:cs="Times New Roman"/>
          <w:szCs w:val="24"/>
          <w:lang w:val="en-GB"/>
        </w:rPr>
        <w:t xml:space="preserve"> addressing the management’s behaviour in a mandatory audit firm rotation environment.</w:t>
      </w:r>
      <w:r w:rsidR="00E63085" w:rsidRPr="003569BE">
        <w:rPr>
          <w:rFonts w:cs="Times New Roman"/>
          <w:szCs w:val="24"/>
          <w:lang w:val="en-GB"/>
        </w:rPr>
        <w:t xml:space="preserve"> </w:t>
      </w:r>
      <w:r w:rsidR="009167B9" w:rsidRPr="003569BE">
        <w:rPr>
          <w:rFonts w:cs="Times New Roman"/>
          <w:szCs w:val="24"/>
          <w:lang w:val="en-GB"/>
        </w:rPr>
        <w:t>The a</w:t>
      </w:r>
      <w:r w:rsidR="00A023AF" w:rsidRPr="003569BE">
        <w:rPr>
          <w:rFonts w:cs="Times New Roman"/>
          <w:szCs w:val="24"/>
          <w:lang w:val="en-GB"/>
        </w:rPr>
        <w:t xml:space="preserve">gency theory explains the relationship between </w:t>
      </w:r>
      <w:r w:rsidR="009167B9" w:rsidRPr="003569BE">
        <w:rPr>
          <w:rFonts w:cs="Times New Roman"/>
          <w:szCs w:val="24"/>
          <w:lang w:val="en-GB"/>
        </w:rPr>
        <w:t xml:space="preserve">the </w:t>
      </w:r>
      <w:r w:rsidR="00A023AF" w:rsidRPr="003569BE">
        <w:rPr>
          <w:rFonts w:cs="Times New Roman"/>
          <w:szCs w:val="24"/>
          <w:lang w:val="en-GB"/>
        </w:rPr>
        <w:t xml:space="preserve">principals and </w:t>
      </w:r>
      <w:r w:rsidR="009167B9" w:rsidRPr="003569BE">
        <w:rPr>
          <w:rFonts w:cs="Times New Roman"/>
          <w:szCs w:val="24"/>
          <w:lang w:val="en-GB"/>
        </w:rPr>
        <w:t xml:space="preserve">the </w:t>
      </w:r>
      <w:r w:rsidR="00A023AF" w:rsidRPr="003569BE">
        <w:rPr>
          <w:rFonts w:cs="Times New Roman"/>
          <w:szCs w:val="24"/>
          <w:lang w:val="en-GB"/>
        </w:rPr>
        <w:t>agents in business</w:t>
      </w:r>
      <w:r w:rsidR="00DA4268" w:rsidRPr="003569BE">
        <w:rPr>
          <w:rFonts w:cs="Times New Roman"/>
          <w:szCs w:val="24"/>
          <w:lang w:val="en-GB"/>
        </w:rPr>
        <w:t xml:space="preserve"> and is concerned with resolving problems that </w:t>
      </w:r>
      <w:r w:rsidR="00E36AFC" w:rsidRPr="003569BE">
        <w:rPr>
          <w:rFonts w:cs="Times New Roman"/>
          <w:szCs w:val="24"/>
          <w:lang w:val="en-GB"/>
        </w:rPr>
        <w:t>arise</w:t>
      </w:r>
      <w:r w:rsidR="00DA4268" w:rsidRPr="003569BE">
        <w:rPr>
          <w:rFonts w:cs="Times New Roman"/>
          <w:szCs w:val="24"/>
          <w:lang w:val="en-GB"/>
        </w:rPr>
        <w:t xml:space="preserve"> in agency relationships</w:t>
      </w:r>
      <w:r w:rsidR="000014CC" w:rsidRPr="003569BE">
        <w:rPr>
          <w:rFonts w:cs="Times New Roman"/>
          <w:szCs w:val="24"/>
          <w:lang w:val="en-GB"/>
        </w:rPr>
        <w:t xml:space="preserve">, i.e. between </w:t>
      </w:r>
      <w:r w:rsidR="009167B9" w:rsidRPr="003569BE">
        <w:rPr>
          <w:rFonts w:cs="Times New Roman"/>
          <w:szCs w:val="24"/>
          <w:lang w:val="en-GB"/>
        </w:rPr>
        <w:t xml:space="preserve">the </w:t>
      </w:r>
      <w:r w:rsidR="000014CC" w:rsidRPr="003569BE">
        <w:rPr>
          <w:rFonts w:cs="Times New Roman"/>
          <w:szCs w:val="24"/>
          <w:lang w:val="en-GB"/>
        </w:rPr>
        <w:t>principals, such as shareholders, and the agents of the principals, such as company executives</w:t>
      </w:r>
      <w:r w:rsidR="007D2B0C" w:rsidRPr="003569BE">
        <w:rPr>
          <w:rFonts w:cs="Times New Roman"/>
          <w:szCs w:val="24"/>
          <w:lang w:val="en-GB"/>
        </w:rPr>
        <w:t xml:space="preserve"> </w:t>
      </w:r>
      <w:sdt>
        <w:sdtPr>
          <w:rPr>
            <w:rFonts w:cs="Times New Roman"/>
            <w:szCs w:val="24"/>
            <w:lang w:val="en-GB"/>
          </w:rPr>
          <w:id w:val="-66962832"/>
          <w:citation/>
        </w:sdtPr>
        <w:sdtContent>
          <w:r w:rsidR="000E4BAF" w:rsidRPr="003569BE">
            <w:rPr>
              <w:rFonts w:cs="Times New Roman"/>
              <w:szCs w:val="24"/>
              <w:lang w:val="en-GB"/>
            </w:rPr>
            <w:fldChar w:fldCharType="begin"/>
          </w:r>
          <w:r w:rsidR="001D034D" w:rsidRPr="003569BE">
            <w:rPr>
              <w:rFonts w:cs="Times New Roman"/>
              <w:szCs w:val="24"/>
              <w:lang w:val="en-GB"/>
            </w:rPr>
            <w:instrText xml:space="preserve">CITATION Jen76 \l 1033 </w:instrText>
          </w:r>
          <w:r w:rsidR="000E4BAF" w:rsidRPr="003569BE">
            <w:rPr>
              <w:rFonts w:cs="Times New Roman"/>
              <w:szCs w:val="24"/>
              <w:lang w:val="en-GB"/>
            </w:rPr>
            <w:fldChar w:fldCharType="separate"/>
          </w:r>
          <w:r w:rsidR="008F7EB3" w:rsidRPr="003569BE">
            <w:rPr>
              <w:rFonts w:cs="Times New Roman"/>
              <w:noProof/>
              <w:szCs w:val="24"/>
              <w:lang w:val="en-GB"/>
            </w:rPr>
            <w:t>(Jensen &amp; Meckling, 1976)</w:t>
          </w:r>
          <w:r w:rsidR="000E4BAF" w:rsidRPr="003569BE">
            <w:rPr>
              <w:rFonts w:cs="Times New Roman"/>
              <w:szCs w:val="24"/>
              <w:lang w:val="en-GB"/>
            </w:rPr>
            <w:fldChar w:fldCharType="end"/>
          </w:r>
        </w:sdtContent>
      </w:sdt>
      <w:r w:rsidR="000014CC" w:rsidRPr="003569BE">
        <w:rPr>
          <w:rFonts w:cs="Times New Roman"/>
          <w:szCs w:val="24"/>
          <w:lang w:val="en-GB"/>
        </w:rPr>
        <w:t>.</w:t>
      </w:r>
      <w:r w:rsidR="005E29D5" w:rsidRPr="003569BE">
        <w:rPr>
          <w:rFonts w:cs="Times New Roman"/>
          <w:szCs w:val="24"/>
          <w:lang w:val="en-GB"/>
        </w:rPr>
        <w:t xml:space="preserve"> </w:t>
      </w:r>
      <w:r w:rsidR="009167B9" w:rsidRPr="003569BE">
        <w:rPr>
          <w:rFonts w:cs="Times New Roman"/>
          <w:szCs w:val="24"/>
          <w:lang w:val="en-GB"/>
        </w:rPr>
        <w:t>The p</w:t>
      </w:r>
      <w:r w:rsidR="00717765" w:rsidRPr="003569BE">
        <w:rPr>
          <w:rFonts w:cs="Times New Roman"/>
          <w:szCs w:val="24"/>
          <w:lang w:val="en-GB"/>
        </w:rPr>
        <w:t xml:space="preserve">rincipal-agent problems arise when the desires, goals and/or interests of the principal and </w:t>
      </w:r>
      <w:r w:rsidR="009167B9" w:rsidRPr="003569BE">
        <w:rPr>
          <w:rFonts w:cs="Times New Roman"/>
          <w:szCs w:val="24"/>
          <w:lang w:val="en-GB"/>
        </w:rPr>
        <w:t xml:space="preserve">the </w:t>
      </w:r>
      <w:r w:rsidR="00717765" w:rsidRPr="003569BE">
        <w:rPr>
          <w:rFonts w:cs="Times New Roman"/>
          <w:szCs w:val="24"/>
          <w:lang w:val="en-GB"/>
        </w:rPr>
        <w:t xml:space="preserve">agent are in conflict, and the principal is unable </w:t>
      </w:r>
      <w:r w:rsidR="001956D2" w:rsidRPr="003569BE">
        <w:rPr>
          <w:rFonts w:cs="Times New Roman"/>
          <w:szCs w:val="24"/>
          <w:lang w:val="en-GB"/>
        </w:rPr>
        <w:t xml:space="preserve">to verify </w:t>
      </w:r>
      <w:r w:rsidR="00717765" w:rsidRPr="003569BE">
        <w:rPr>
          <w:rFonts w:cs="Times New Roman"/>
          <w:szCs w:val="24"/>
          <w:lang w:val="en-GB"/>
        </w:rPr>
        <w:t>what the agent is actually doing</w:t>
      </w:r>
      <w:r w:rsidR="00C80EE0" w:rsidRPr="003569BE">
        <w:rPr>
          <w:rFonts w:cs="Times New Roman"/>
          <w:szCs w:val="24"/>
          <w:lang w:val="en-GB"/>
        </w:rPr>
        <w:t xml:space="preserve">; this situation occurs due to </w:t>
      </w:r>
      <w:r w:rsidR="009167B9" w:rsidRPr="003569BE">
        <w:rPr>
          <w:rFonts w:cs="Times New Roman"/>
          <w:szCs w:val="24"/>
          <w:lang w:val="en-GB"/>
        </w:rPr>
        <w:t xml:space="preserve">the </w:t>
      </w:r>
      <w:r w:rsidR="00C80EE0" w:rsidRPr="003569BE">
        <w:rPr>
          <w:rFonts w:cs="Times New Roman"/>
          <w:szCs w:val="24"/>
          <w:lang w:val="en-GB"/>
        </w:rPr>
        <w:t xml:space="preserve">information asymmetry, which arises </w:t>
      </w:r>
      <w:r w:rsidR="003C68E8" w:rsidRPr="003569BE">
        <w:rPr>
          <w:rFonts w:cs="Times New Roman"/>
          <w:szCs w:val="24"/>
          <w:lang w:val="en-GB"/>
        </w:rPr>
        <w:t>when the agent has direct access to information, while the information ac</w:t>
      </w:r>
      <w:r w:rsidR="00BF5FD3" w:rsidRPr="003569BE">
        <w:rPr>
          <w:rFonts w:cs="Times New Roman"/>
          <w:szCs w:val="24"/>
          <w:lang w:val="en-GB"/>
        </w:rPr>
        <w:t>cessible to the principal is indirect and inferior</w:t>
      </w:r>
      <w:r w:rsidR="00C80EE0" w:rsidRPr="003569BE">
        <w:rPr>
          <w:rFonts w:cs="Times New Roman"/>
          <w:szCs w:val="24"/>
          <w:lang w:val="en-GB"/>
        </w:rPr>
        <w:t>.</w:t>
      </w:r>
      <w:r w:rsidR="001F09BD" w:rsidRPr="003569BE">
        <w:rPr>
          <w:rFonts w:cs="Times New Roman"/>
          <w:szCs w:val="24"/>
          <w:lang w:val="en-GB"/>
        </w:rPr>
        <w:t xml:space="preserve"> </w:t>
      </w:r>
      <w:r w:rsidR="001F2DDC" w:rsidRPr="003569BE">
        <w:rPr>
          <w:rFonts w:cs="Times New Roman"/>
          <w:szCs w:val="24"/>
          <w:lang w:val="en-GB"/>
        </w:rPr>
        <w:t>In a situation like this</w:t>
      </w:r>
      <w:r w:rsidR="00FE7085" w:rsidRPr="003569BE">
        <w:rPr>
          <w:rFonts w:cs="Times New Roman"/>
          <w:szCs w:val="24"/>
          <w:lang w:val="en-GB"/>
        </w:rPr>
        <w:t xml:space="preserve"> the agent might engage in a behaviour that is beneficial for him, rather than for the principal.</w:t>
      </w:r>
      <w:r w:rsidR="005107FD" w:rsidRPr="003569BE">
        <w:rPr>
          <w:rFonts w:cs="Times New Roman"/>
          <w:szCs w:val="24"/>
          <w:lang w:val="en-GB"/>
        </w:rPr>
        <w:t xml:space="preserve"> </w:t>
      </w:r>
      <w:r w:rsidR="00511436" w:rsidRPr="003569BE">
        <w:rPr>
          <w:rFonts w:cs="Times New Roman"/>
          <w:szCs w:val="24"/>
          <w:lang w:val="en-GB"/>
        </w:rPr>
        <w:t>Other problems arise when the principal and the agent have di</w:t>
      </w:r>
      <w:r w:rsidR="009E2152" w:rsidRPr="003569BE">
        <w:rPr>
          <w:rFonts w:cs="Times New Roman"/>
          <w:szCs w:val="24"/>
          <w:lang w:val="en-GB"/>
        </w:rPr>
        <w:t xml:space="preserve">fferent attitudes towards risk: because of these differences in their risk tolerance, the principal and </w:t>
      </w:r>
      <w:r w:rsidR="009167B9" w:rsidRPr="003569BE">
        <w:rPr>
          <w:rFonts w:cs="Times New Roman"/>
          <w:szCs w:val="24"/>
          <w:lang w:val="en-GB"/>
        </w:rPr>
        <w:t xml:space="preserve">the </w:t>
      </w:r>
      <w:r w:rsidR="009E2152" w:rsidRPr="003569BE">
        <w:rPr>
          <w:rFonts w:cs="Times New Roman"/>
          <w:szCs w:val="24"/>
          <w:lang w:val="en-GB"/>
        </w:rPr>
        <w:t xml:space="preserve">agent may have the tendency </w:t>
      </w:r>
      <w:r w:rsidR="009E2152" w:rsidRPr="003569BE">
        <w:rPr>
          <w:rFonts w:cs="Times New Roman"/>
          <w:szCs w:val="24"/>
          <w:lang w:val="en-GB"/>
        </w:rPr>
        <w:lastRenderedPageBreak/>
        <w:t>to undertake different decisions and actions.</w:t>
      </w:r>
      <w:r w:rsidR="009167B9" w:rsidRPr="003569BE">
        <w:rPr>
          <w:rFonts w:cs="Times New Roman"/>
          <w:szCs w:val="24"/>
          <w:lang w:val="en-GB"/>
        </w:rPr>
        <w:t xml:space="preserve"> Because the agent is supposed to act in the benefit of the principal by managing the business so the principal’s goals and objectives are met,</w:t>
      </w:r>
      <w:r w:rsidR="008120E9" w:rsidRPr="003569BE">
        <w:rPr>
          <w:rFonts w:cs="Times New Roman"/>
          <w:szCs w:val="24"/>
          <w:lang w:val="en-GB"/>
        </w:rPr>
        <w:t xml:space="preserve"> </w:t>
      </w:r>
      <w:r w:rsidR="009167B9" w:rsidRPr="003569BE">
        <w:rPr>
          <w:rFonts w:cs="Times New Roman"/>
          <w:szCs w:val="24"/>
          <w:lang w:val="en-GB"/>
        </w:rPr>
        <w:t>t</w:t>
      </w:r>
      <w:r w:rsidR="008120E9" w:rsidRPr="003569BE">
        <w:rPr>
          <w:rFonts w:cs="Times New Roman"/>
          <w:szCs w:val="24"/>
          <w:lang w:val="en-GB"/>
        </w:rPr>
        <w:t xml:space="preserve">hese problems </w:t>
      </w:r>
      <w:r w:rsidR="00720CAB" w:rsidRPr="003569BE">
        <w:rPr>
          <w:rFonts w:cs="Times New Roman"/>
          <w:szCs w:val="24"/>
          <w:lang w:val="en-GB"/>
        </w:rPr>
        <w:t xml:space="preserve">are </w:t>
      </w:r>
      <w:r w:rsidR="009167B9" w:rsidRPr="003569BE">
        <w:rPr>
          <w:rFonts w:cs="Times New Roman"/>
          <w:szCs w:val="24"/>
          <w:lang w:val="en-GB"/>
        </w:rPr>
        <w:t xml:space="preserve">essential </w:t>
      </w:r>
      <w:r w:rsidR="00720CAB" w:rsidRPr="003569BE">
        <w:rPr>
          <w:rFonts w:cs="Times New Roman"/>
          <w:szCs w:val="24"/>
          <w:lang w:val="en-GB"/>
        </w:rPr>
        <w:t>in every business</w:t>
      </w:r>
      <w:r w:rsidR="009167B9" w:rsidRPr="003569BE">
        <w:rPr>
          <w:rFonts w:cs="Times New Roman"/>
          <w:szCs w:val="24"/>
          <w:lang w:val="en-GB"/>
        </w:rPr>
        <w:t xml:space="preserve">. </w:t>
      </w:r>
      <w:r w:rsidR="00720CAB" w:rsidRPr="003569BE">
        <w:rPr>
          <w:rFonts w:cs="Times New Roman"/>
          <w:szCs w:val="24"/>
          <w:lang w:val="en-GB"/>
        </w:rPr>
        <w:t>.</w:t>
      </w:r>
    </w:p>
    <w:p w:rsidR="00EA3CD6" w:rsidRPr="003569BE" w:rsidRDefault="0051498B" w:rsidP="00846EA1">
      <w:pPr>
        <w:spacing w:line="360" w:lineRule="auto"/>
        <w:rPr>
          <w:rFonts w:cs="Times New Roman"/>
          <w:szCs w:val="24"/>
          <w:lang w:val="en-GB"/>
        </w:rPr>
      </w:pPr>
      <w:r w:rsidRPr="003569BE">
        <w:rPr>
          <w:rFonts w:cs="Times New Roman"/>
          <w:szCs w:val="24"/>
          <w:lang w:val="en-GB"/>
        </w:rPr>
        <w:t xml:space="preserve">However, </w:t>
      </w:r>
      <w:r w:rsidR="00530E6D" w:rsidRPr="003569BE">
        <w:rPr>
          <w:rFonts w:cs="Times New Roman"/>
          <w:szCs w:val="24"/>
          <w:lang w:val="en-GB"/>
        </w:rPr>
        <w:t>this is not always the case.</w:t>
      </w:r>
      <w:r w:rsidR="00505F72" w:rsidRPr="003569BE">
        <w:rPr>
          <w:rFonts w:cs="Times New Roman"/>
          <w:szCs w:val="24"/>
          <w:lang w:val="en-GB"/>
        </w:rPr>
        <w:t xml:space="preserve"> In order to </w:t>
      </w:r>
      <w:r w:rsidR="004E5E6D" w:rsidRPr="003569BE">
        <w:rPr>
          <w:rFonts w:cs="Times New Roman"/>
          <w:szCs w:val="24"/>
          <w:lang w:val="en-GB"/>
        </w:rPr>
        <w:t>put</w:t>
      </w:r>
      <w:r w:rsidR="00505F72" w:rsidRPr="003569BE">
        <w:rPr>
          <w:rFonts w:cs="Times New Roman"/>
          <w:szCs w:val="24"/>
          <w:lang w:val="en-GB"/>
        </w:rPr>
        <w:t xml:space="preserve"> </w:t>
      </w:r>
      <w:r w:rsidR="004E5E6D" w:rsidRPr="003569BE">
        <w:rPr>
          <w:rFonts w:cs="Times New Roman"/>
          <w:szCs w:val="24"/>
          <w:lang w:val="en-GB"/>
        </w:rPr>
        <w:t>the interests of the agent back in line with the interests of the principal, compensation schemes</w:t>
      </w:r>
      <w:r w:rsidR="005B7889" w:rsidRPr="003569BE">
        <w:rPr>
          <w:rFonts w:cs="Times New Roman"/>
          <w:szCs w:val="24"/>
          <w:lang w:val="en-GB"/>
        </w:rPr>
        <w:t>, such as bonuses or stock ownerships,</w:t>
      </w:r>
      <w:r w:rsidR="004E5E6D" w:rsidRPr="003569BE">
        <w:rPr>
          <w:rFonts w:cs="Times New Roman"/>
          <w:szCs w:val="24"/>
          <w:lang w:val="en-GB"/>
        </w:rPr>
        <w:t xml:space="preserve"> </w:t>
      </w:r>
      <w:r w:rsidR="009167B9" w:rsidRPr="003569BE">
        <w:rPr>
          <w:rFonts w:cs="Times New Roman"/>
          <w:szCs w:val="24"/>
          <w:lang w:val="en-GB"/>
        </w:rPr>
        <w:t xml:space="preserve">often </w:t>
      </w:r>
      <w:r w:rsidR="004E5E6D" w:rsidRPr="003569BE">
        <w:rPr>
          <w:rFonts w:cs="Times New Roman"/>
          <w:szCs w:val="24"/>
          <w:lang w:val="en-GB"/>
        </w:rPr>
        <w:t xml:space="preserve">are used </w:t>
      </w:r>
      <w:sdt>
        <w:sdtPr>
          <w:rPr>
            <w:rFonts w:cs="Times New Roman"/>
            <w:szCs w:val="24"/>
            <w:lang w:val="en-GB"/>
          </w:rPr>
          <w:id w:val="-1799761114"/>
          <w:citation/>
        </w:sdtPr>
        <w:sdtContent>
          <w:r w:rsidR="000E4BAF" w:rsidRPr="003569BE">
            <w:rPr>
              <w:rFonts w:cs="Times New Roman"/>
              <w:szCs w:val="24"/>
              <w:lang w:val="en-GB"/>
            </w:rPr>
            <w:fldChar w:fldCharType="begin"/>
          </w:r>
          <w:r w:rsidR="00FC1D6D" w:rsidRPr="003569BE">
            <w:rPr>
              <w:rFonts w:cs="Times New Roman"/>
              <w:szCs w:val="24"/>
              <w:lang w:val="en-GB"/>
            </w:rPr>
            <w:instrText xml:space="preserve">CITATION Sha05 \l 1033 </w:instrText>
          </w:r>
          <w:r w:rsidR="000E4BAF" w:rsidRPr="003569BE">
            <w:rPr>
              <w:rFonts w:cs="Times New Roman"/>
              <w:szCs w:val="24"/>
              <w:lang w:val="en-GB"/>
            </w:rPr>
            <w:fldChar w:fldCharType="separate"/>
          </w:r>
          <w:r w:rsidR="008F7EB3" w:rsidRPr="003569BE">
            <w:rPr>
              <w:rFonts w:cs="Times New Roman"/>
              <w:noProof/>
              <w:szCs w:val="24"/>
              <w:lang w:val="en-GB"/>
            </w:rPr>
            <w:t>(Shapiro, 2005)</w:t>
          </w:r>
          <w:r w:rsidR="000E4BAF" w:rsidRPr="003569BE">
            <w:rPr>
              <w:rFonts w:cs="Times New Roman"/>
              <w:szCs w:val="24"/>
              <w:lang w:val="en-GB"/>
            </w:rPr>
            <w:fldChar w:fldCharType="end"/>
          </w:r>
        </w:sdtContent>
      </w:sdt>
      <w:r w:rsidR="004E5E6D" w:rsidRPr="003569BE">
        <w:rPr>
          <w:rFonts w:cs="Times New Roman"/>
          <w:szCs w:val="24"/>
          <w:lang w:val="en-GB"/>
        </w:rPr>
        <w:t>.</w:t>
      </w:r>
    </w:p>
    <w:p w:rsidR="00ED76D2" w:rsidRPr="003569BE" w:rsidRDefault="00ED76D2" w:rsidP="00846EA1">
      <w:pPr>
        <w:pStyle w:val="Heading2"/>
        <w:numPr>
          <w:ilvl w:val="1"/>
          <w:numId w:val="6"/>
        </w:numPr>
        <w:spacing w:line="360" w:lineRule="auto"/>
        <w:rPr>
          <w:lang w:val="en-GB"/>
        </w:rPr>
      </w:pPr>
      <w:bookmarkStart w:id="19" w:name="_Toc396633551"/>
      <w:r w:rsidRPr="003569BE">
        <w:rPr>
          <w:lang w:val="en-GB"/>
        </w:rPr>
        <w:t>Positive Accounting Theory</w:t>
      </w:r>
      <w:bookmarkEnd w:id="19"/>
    </w:p>
    <w:p w:rsidR="00B50ACC" w:rsidRPr="003569BE" w:rsidRDefault="00233A4C" w:rsidP="00534D74">
      <w:pPr>
        <w:spacing w:line="360" w:lineRule="auto"/>
        <w:rPr>
          <w:rFonts w:cs="Times New Roman"/>
          <w:szCs w:val="24"/>
          <w:lang w:val="en-GB"/>
        </w:rPr>
      </w:pPr>
      <w:r w:rsidRPr="003569BE">
        <w:rPr>
          <w:rFonts w:cs="Times New Roman"/>
          <w:szCs w:val="24"/>
          <w:lang w:val="en-GB"/>
        </w:rPr>
        <w:t xml:space="preserve">This thesis studies the behaviour of </w:t>
      </w:r>
      <w:r w:rsidR="00600B9C" w:rsidRPr="003569BE">
        <w:rPr>
          <w:rFonts w:cs="Times New Roman"/>
          <w:szCs w:val="24"/>
          <w:lang w:val="en-GB"/>
        </w:rPr>
        <w:t>the</w:t>
      </w:r>
      <w:r w:rsidR="009167B9" w:rsidRPr="003569BE">
        <w:rPr>
          <w:rFonts w:cs="Times New Roman"/>
          <w:szCs w:val="24"/>
          <w:lang w:val="en-GB"/>
        </w:rPr>
        <w:t xml:space="preserve"> </w:t>
      </w:r>
      <w:r w:rsidRPr="003569BE">
        <w:rPr>
          <w:rFonts w:cs="Times New Roman"/>
          <w:szCs w:val="24"/>
          <w:lang w:val="en-GB"/>
        </w:rPr>
        <w:t>management in terms of the use of earnings management; consequently,</w:t>
      </w:r>
      <w:r w:rsidR="00F25EB8" w:rsidRPr="003569BE">
        <w:rPr>
          <w:rFonts w:cs="Times New Roman"/>
          <w:szCs w:val="24"/>
          <w:lang w:val="en-GB"/>
        </w:rPr>
        <w:t xml:space="preserve"> in order to understand </w:t>
      </w:r>
      <w:r w:rsidR="009167B9" w:rsidRPr="003569BE">
        <w:rPr>
          <w:rFonts w:cs="Times New Roman"/>
          <w:szCs w:val="24"/>
          <w:lang w:val="en-GB"/>
        </w:rPr>
        <w:t xml:space="preserve">the </w:t>
      </w:r>
      <w:r w:rsidR="00F25EB8" w:rsidRPr="003569BE">
        <w:rPr>
          <w:rFonts w:cs="Times New Roman"/>
          <w:szCs w:val="24"/>
          <w:lang w:val="en-GB"/>
        </w:rPr>
        <w:t>management’s behaviour, it is essential to have knowledge of the positive accounting theory, which is highly relevant to this thesis.</w:t>
      </w:r>
      <w:r w:rsidR="001430FC" w:rsidRPr="003569BE">
        <w:rPr>
          <w:rFonts w:cs="Times New Roman"/>
          <w:szCs w:val="24"/>
          <w:lang w:val="en-GB"/>
        </w:rPr>
        <w:t xml:space="preserve"> </w:t>
      </w:r>
    </w:p>
    <w:p w:rsidR="001430FC" w:rsidRPr="003569BE" w:rsidRDefault="00F6610D" w:rsidP="00534D74">
      <w:pPr>
        <w:spacing w:line="360" w:lineRule="auto"/>
        <w:rPr>
          <w:rFonts w:cs="Times New Roman"/>
          <w:szCs w:val="24"/>
          <w:lang w:val="en-GB"/>
        </w:rPr>
      </w:pPr>
      <w:r w:rsidRPr="003569BE">
        <w:rPr>
          <w:rFonts w:cs="Times New Roman"/>
          <w:szCs w:val="24"/>
          <w:lang w:val="en-GB"/>
        </w:rPr>
        <w:t xml:space="preserve">This </w:t>
      </w:r>
      <w:r w:rsidR="001430FC" w:rsidRPr="003569BE">
        <w:rPr>
          <w:rFonts w:cs="Times New Roman"/>
          <w:szCs w:val="24"/>
          <w:lang w:val="en-GB"/>
        </w:rPr>
        <w:t xml:space="preserve">theory has been </w:t>
      </w:r>
      <w:r w:rsidR="008E3FA4" w:rsidRPr="003569BE">
        <w:rPr>
          <w:rFonts w:cs="Times New Roman"/>
          <w:szCs w:val="24"/>
          <w:lang w:val="en-GB"/>
        </w:rPr>
        <w:t>introduced</w:t>
      </w:r>
      <w:r w:rsidR="001430FC" w:rsidRPr="003569BE">
        <w:rPr>
          <w:rFonts w:cs="Times New Roman"/>
          <w:szCs w:val="24"/>
          <w:lang w:val="en-GB"/>
        </w:rPr>
        <w:t xml:space="preserve"> by Watts and Zimmerman (1978)</w:t>
      </w:r>
      <w:r w:rsidR="008E3FA4" w:rsidRPr="003569BE">
        <w:rPr>
          <w:rFonts w:cs="Times New Roman"/>
          <w:szCs w:val="24"/>
          <w:lang w:val="en-GB"/>
        </w:rPr>
        <w:t>, who used the agency theory presented in the previous paragraph as a fundamental object for the development of the positive accounting theory</w:t>
      </w:r>
      <w:r w:rsidR="008E0FE0" w:rsidRPr="003569BE">
        <w:rPr>
          <w:rFonts w:cs="Times New Roman"/>
          <w:szCs w:val="24"/>
          <w:lang w:val="en-GB"/>
        </w:rPr>
        <w:t xml:space="preserve"> </w:t>
      </w:r>
      <w:sdt>
        <w:sdtPr>
          <w:rPr>
            <w:rFonts w:cs="Times New Roman"/>
            <w:szCs w:val="24"/>
            <w:lang w:val="en-GB"/>
          </w:rPr>
          <w:id w:val="-822739131"/>
          <w:citation/>
        </w:sdtPr>
        <w:sdtContent>
          <w:r w:rsidR="000E4BAF" w:rsidRPr="003569BE">
            <w:rPr>
              <w:rFonts w:cs="Times New Roman"/>
              <w:szCs w:val="24"/>
              <w:lang w:val="en-GB"/>
            </w:rPr>
            <w:fldChar w:fldCharType="begin"/>
          </w:r>
          <w:r w:rsidR="008E0FE0" w:rsidRPr="003569BE">
            <w:rPr>
              <w:rFonts w:cs="Times New Roman"/>
              <w:szCs w:val="24"/>
              <w:lang w:val="en-GB"/>
            </w:rPr>
            <w:instrText xml:space="preserve">CITATION Tow \l 1033 </w:instrText>
          </w:r>
          <w:r w:rsidR="000E4BAF" w:rsidRPr="003569BE">
            <w:rPr>
              <w:rFonts w:cs="Times New Roman"/>
              <w:szCs w:val="24"/>
              <w:lang w:val="en-GB"/>
            </w:rPr>
            <w:fldChar w:fldCharType="separate"/>
          </w:r>
          <w:r w:rsidR="008F7EB3" w:rsidRPr="003569BE">
            <w:rPr>
              <w:rFonts w:cs="Times New Roman"/>
              <w:noProof/>
              <w:szCs w:val="24"/>
              <w:lang w:val="en-GB"/>
            </w:rPr>
            <w:t>(Watts &amp; Zimmerman, 1978)</w:t>
          </w:r>
          <w:r w:rsidR="000E4BAF" w:rsidRPr="003569BE">
            <w:rPr>
              <w:rFonts w:cs="Times New Roman"/>
              <w:szCs w:val="24"/>
              <w:lang w:val="en-GB"/>
            </w:rPr>
            <w:fldChar w:fldCharType="end"/>
          </w:r>
        </w:sdtContent>
      </w:sdt>
      <w:r w:rsidR="008E3FA4" w:rsidRPr="003569BE">
        <w:rPr>
          <w:rFonts w:cs="Times New Roman"/>
          <w:szCs w:val="24"/>
          <w:lang w:val="en-GB"/>
        </w:rPr>
        <w:t>.</w:t>
      </w:r>
      <w:r w:rsidR="003455AB" w:rsidRPr="003569BE">
        <w:rPr>
          <w:rFonts w:cs="Times New Roman"/>
          <w:szCs w:val="24"/>
          <w:lang w:val="en-GB"/>
        </w:rPr>
        <w:t xml:space="preserve"> </w:t>
      </w:r>
      <w:r w:rsidR="009167B9" w:rsidRPr="003569BE">
        <w:rPr>
          <w:rFonts w:cs="Times New Roman"/>
          <w:szCs w:val="24"/>
          <w:lang w:val="en-GB"/>
        </w:rPr>
        <w:t>The p</w:t>
      </w:r>
      <w:r w:rsidR="003E38B0" w:rsidRPr="003569BE">
        <w:rPr>
          <w:rFonts w:cs="Times New Roman"/>
          <w:szCs w:val="24"/>
          <w:lang w:val="en-GB"/>
        </w:rPr>
        <w:t xml:space="preserve">ositive accounting theory is concerned with predicting and explaining why managers choose to use specific accounting policies and </w:t>
      </w:r>
      <w:r w:rsidR="009167B9" w:rsidRPr="003569BE">
        <w:rPr>
          <w:rFonts w:cs="Times New Roman"/>
          <w:szCs w:val="24"/>
          <w:lang w:val="en-GB"/>
        </w:rPr>
        <w:t xml:space="preserve">in which way </w:t>
      </w:r>
      <w:r w:rsidR="003E38B0" w:rsidRPr="003569BE">
        <w:rPr>
          <w:rFonts w:cs="Times New Roman"/>
          <w:szCs w:val="24"/>
          <w:lang w:val="en-GB"/>
        </w:rPr>
        <w:t>managers respond to new accounting standards</w:t>
      </w:r>
      <w:r w:rsidR="00715F28" w:rsidRPr="003569BE">
        <w:rPr>
          <w:rFonts w:cs="Times New Roman"/>
          <w:szCs w:val="24"/>
          <w:lang w:val="en-GB"/>
        </w:rPr>
        <w:t xml:space="preserve">, by taking into consideration several internal and external factors </w:t>
      </w:r>
      <w:sdt>
        <w:sdtPr>
          <w:rPr>
            <w:rFonts w:cs="Times New Roman"/>
            <w:szCs w:val="24"/>
            <w:lang w:val="en-GB"/>
          </w:rPr>
          <w:id w:val="846445369"/>
          <w:citation/>
        </w:sdtPr>
        <w:sdtContent>
          <w:r w:rsidR="000E4BAF" w:rsidRPr="003569BE">
            <w:rPr>
              <w:rFonts w:cs="Times New Roman"/>
              <w:szCs w:val="24"/>
              <w:lang w:val="en-GB"/>
            </w:rPr>
            <w:fldChar w:fldCharType="begin"/>
          </w:r>
          <w:r w:rsidR="003E38B0"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3E38B0" w:rsidRPr="003569BE">
        <w:rPr>
          <w:rFonts w:cs="Times New Roman"/>
          <w:szCs w:val="24"/>
          <w:lang w:val="en-GB"/>
        </w:rPr>
        <w:t xml:space="preserve">. </w:t>
      </w:r>
      <w:r w:rsidR="00A94D06" w:rsidRPr="003569BE">
        <w:rPr>
          <w:rFonts w:cs="Times New Roman"/>
          <w:szCs w:val="24"/>
          <w:lang w:val="en-GB"/>
        </w:rPr>
        <w:t>Watts and Zimmerman (1978)</w:t>
      </w:r>
      <w:r w:rsidR="00B36E78" w:rsidRPr="003569BE">
        <w:rPr>
          <w:rFonts w:cs="Times New Roman"/>
          <w:szCs w:val="24"/>
          <w:lang w:val="en-GB"/>
        </w:rPr>
        <w:t xml:space="preserve"> formulated factors that influence </w:t>
      </w:r>
      <w:r w:rsidR="009167B9" w:rsidRPr="003569BE">
        <w:rPr>
          <w:rFonts w:cs="Times New Roman"/>
          <w:szCs w:val="24"/>
          <w:lang w:val="en-GB"/>
        </w:rPr>
        <w:t xml:space="preserve">the </w:t>
      </w:r>
      <w:r w:rsidR="00B36E78" w:rsidRPr="003569BE">
        <w:rPr>
          <w:rFonts w:cs="Times New Roman"/>
          <w:szCs w:val="24"/>
          <w:lang w:val="en-GB"/>
        </w:rPr>
        <w:t xml:space="preserve">management’s attitudes on accounting standards and </w:t>
      </w:r>
      <w:r w:rsidR="009167B9" w:rsidRPr="003569BE">
        <w:rPr>
          <w:rFonts w:cs="Times New Roman"/>
          <w:szCs w:val="24"/>
          <w:lang w:val="en-GB"/>
        </w:rPr>
        <w:t xml:space="preserve">the </w:t>
      </w:r>
      <w:r w:rsidR="00B36E78" w:rsidRPr="003569BE">
        <w:rPr>
          <w:rFonts w:cs="Times New Roman"/>
          <w:szCs w:val="24"/>
          <w:lang w:val="en-GB"/>
        </w:rPr>
        <w:t>management’s accounting choices.</w:t>
      </w:r>
      <w:r w:rsidR="00534D74" w:rsidRPr="003569BE">
        <w:rPr>
          <w:rFonts w:cs="Times New Roman"/>
          <w:szCs w:val="24"/>
          <w:lang w:val="en-GB"/>
        </w:rPr>
        <w:t xml:space="preserve"> The factors they provide are: taxes, regulation, management compensation plans, bookkeeping costs, and political costs.</w:t>
      </w:r>
    </w:p>
    <w:p w:rsidR="00314B5F" w:rsidRPr="003569BE" w:rsidRDefault="005B2214" w:rsidP="00534D74">
      <w:pPr>
        <w:spacing w:line="360" w:lineRule="auto"/>
        <w:rPr>
          <w:rFonts w:cs="Times New Roman"/>
          <w:szCs w:val="24"/>
          <w:lang w:val="en-GB"/>
        </w:rPr>
      </w:pPr>
      <w:r w:rsidRPr="003569BE">
        <w:rPr>
          <w:rFonts w:cs="Times New Roman"/>
          <w:szCs w:val="24"/>
          <w:lang w:val="en-GB"/>
        </w:rPr>
        <w:t>This theory</w:t>
      </w:r>
      <w:r w:rsidR="00333E86" w:rsidRPr="003569BE">
        <w:rPr>
          <w:rFonts w:cs="Times New Roman"/>
          <w:szCs w:val="24"/>
          <w:lang w:val="en-GB"/>
        </w:rPr>
        <w:t xml:space="preserve"> relies on the assumption that individuals are particularly driven by self-interest.</w:t>
      </w:r>
      <w:r w:rsidR="00045DA7" w:rsidRPr="003569BE">
        <w:rPr>
          <w:rFonts w:cs="Times New Roman"/>
          <w:szCs w:val="24"/>
          <w:lang w:val="en-GB"/>
        </w:rPr>
        <w:t xml:space="preserve"> That </w:t>
      </w:r>
      <w:r w:rsidR="009167B9" w:rsidRPr="003569BE">
        <w:rPr>
          <w:rFonts w:cs="Times New Roman"/>
          <w:szCs w:val="24"/>
          <w:lang w:val="en-GB"/>
        </w:rPr>
        <w:t xml:space="preserve">implies </w:t>
      </w:r>
      <w:r w:rsidR="00045DA7" w:rsidRPr="003569BE">
        <w:rPr>
          <w:rFonts w:cs="Times New Roman"/>
          <w:szCs w:val="24"/>
          <w:lang w:val="en-GB"/>
        </w:rPr>
        <w:t xml:space="preserve">that individuals will seek to maximize their own wealth by taking advantage of their superiority in the information </w:t>
      </w:r>
      <w:r w:rsidR="00332917" w:rsidRPr="003569BE">
        <w:rPr>
          <w:rFonts w:cs="Times New Roman"/>
          <w:szCs w:val="24"/>
          <w:lang w:val="en-GB"/>
        </w:rPr>
        <w:t>asymmetry issue.</w:t>
      </w:r>
      <w:r w:rsidR="00201C8D" w:rsidRPr="003569BE">
        <w:rPr>
          <w:rFonts w:cs="Times New Roman"/>
          <w:szCs w:val="24"/>
          <w:lang w:val="en-GB"/>
        </w:rPr>
        <w:t xml:space="preserve"> </w:t>
      </w:r>
      <w:r w:rsidR="0040386A" w:rsidRPr="003569BE">
        <w:rPr>
          <w:rFonts w:cs="Times New Roman"/>
          <w:szCs w:val="24"/>
          <w:lang w:val="en-GB"/>
        </w:rPr>
        <w:t>The manager takes several aspects into consideration when deciding which accounting method to use. It is essential to emphasize that</w:t>
      </w:r>
      <w:r w:rsidR="009167B9" w:rsidRPr="003569BE">
        <w:rPr>
          <w:rFonts w:cs="Times New Roman"/>
          <w:szCs w:val="24"/>
          <w:lang w:val="en-GB"/>
        </w:rPr>
        <w:t>, since it would be too costly,</w:t>
      </w:r>
      <w:r w:rsidR="0040386A" w:rsidRPr="003569BE">
        <w:rPr>
          <w:rFonts w:cs="Times New Roman"/>
          <w:szCs w:val="24"/>
          <w:lang w:val="en-GB"/>
        </w:rPr>
        <w:t xml:space="preserve"> </w:t>
      </w:r>
      <w:r w:rsidR="009167B9" w:rsidRPr="003569BE">
        <w:rPr>
          <w:rFonts w:cs="Times New Roman"/>
          <w:szCs w:val="24"/>
          <w:lang w:val="en-GB"/>
        </w:rPr>
        <w:t xml:space="preserve">the </w:t>
      </w:r>
      <w:r w:rsidR="0040386A" w:rsidRPr="003569BE">
        <w:rPr>
          <w:rFonts w:cs="Times New Roman"/>
          <w:szCs w:val="24"/>
          <w:lang w:val="en-GB"/>
        </w:rPr>
        <w:t>positive accounting theory does not suggest that firms and standard setters should completely specify the accounting policies they will use.</w:t>
      </w:r>
      <w:r w:rsidR="0052548F" w:rsidRPr="003569BE">
        <w:rPr>
          <w:rFonts w:cs="Times New Roman"/>
          <w:szCs w:val="24"/>
          <w:lang w:val="en-GB"/>
        </w:rPr>
        <w:t xml:space="preserve"> </w:t>
      </w:r>
      <w:r w:rsidR="00216D98" w:rsidRPr="003569BE">
        <w:rPr>
          <w:rFonts w:cs="Times New Roman"/>
          <w:szCs w:val="24"/>
          <w:lang w:val="en-GB"/>
        </w:rPr>
        <w:t>It is rather beneficial to allow managers a degree of flexibility to choose from a collection of available policies so they will be able to adapt to unexpected circumstances.</w:t>
      </w:r>
      <w:r w:rsidR="004138FC" w:rsidRPr="003569BE">
        <w:rPr>
          <w:rFonts w:cs="Times New Roman"/>
          <w:szCs w:val="24"/>
          <w:lang w:val="en-GB"/>
        </w:rPr>
        <w:t xml:space="preserve"> However, giving managers the ability to choose from a set of accounting policies </w:t>
      </w:r>
      <w:r w:rsidR="009167B9" w:rsidRPr="003569BE">
        <w:rPr>
          <w:rFonts w:cs="Times New Roman"/>
          <w:szCs w:val="24"/>
          <w:lang w:val="en-GB"/>
        </w:rPr>
        <w:t xml:space="preserve">creates </w:t>
      </w:r>
      <w:r w:rsidR="00500285" w:rsidRPr="003569BE">
        <w:rPr>
          <w:rFonts w:cs="Times New Roman"/>
          <w:szCs w:val="24"/>
          <w:lang w:val="en-GB"/>
        </w:rPr>
        <w:t xml:space="preserve">the prospect of opportunistic behaviour “ex post” </w:t>
      </w:r>
      <w:sdt>
        <w:sdtPr>
          <w:rPr>
            <w:rFonts w:cs="Times New Roman"/>
            <w:szCs w:val="24"/>
            <w:lang w:val="en-GB"/>
          </w:rPr>
          <w:id w:val="-134035089"/>
          <w:citation/>
        </w:sdtPr>
        <w:sdtContent>
          <w:r w:rsidR="000E4BAF" w:rsidRPr="003569BE">
            <w:rPr>
              <w:rFonts w:cs="Times New Roman"/>
              <w:szCs w:val="24"/>
              <w:lang w:val="en-GB"/>
            </w:rPr>
            <w:fldChar w:fldCharType="begin"/>
          </w:r>
          <w:r w:rsidR="00500285"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500285" w:rsidRPr="003569BE">
        <w:rPr>
          <w:rFonts w:cs="Times New Roman"/>
          <w:szCs w:val="24"/>
          <w:lang w:val="en-GB"/>
        </w:rPr>
        <w:t>.</w:t>
      </w:r>
      <w:r w:rsidR="00E55325" w:rsidRPr="003569BE">
        <w:rPr>
          <w:rFonts w:cs="Times New Roman"/>
          <w:szCs w:val="24"/>
          <w:lang w:val="en-GB"/>
        </w:rPr>
        <w:t xml:space="preserve"> </w:t>
      </w:r>
      <w:r w:rsidR="00C26916" w:rsidRPr="003569BE">
        <w:rPr>
          <w:rFonts w:cs="Times New Roman"/>
          <w:szCs w:val="24"/>
          <w:lang w:val="en-GB"/>
        </w:rPr>
        <w:t>That implies that managers might choose from the set of accounting policies the one for their own interest.</w:t>
      </w:r>
      <w:r w:rsidR="00314B5F" w:rsidRPr="003569BE">
        <w:rPr>
          <w:rFonts w:cs="Times New Roman"/>
          <w:szCs w:val="24"/>
          <w:lang w:val="en-GB"/>
        </w:rPr>
        <w:t xml:space="preserve"> This underlines the assumption of the positive accounting theory that managers, like investors, are rational and would choose accounting policies for their own purpose if </w:t>
      </w:r>
      <w:r w:rsidR="009167B9" w:rsidRPr="003569BE">
        <w:rPr>
          <w:rFonts w:cs="Times New Roman"/>
          <w:szCs w:val="24"/>
          <w:lang w:val="en-GB"/>
        </w:rPr>
        <w:t xml:space="preserve">they are </w:t>
      </w:r>
      <w:r w:rsidR="00314B5F" w:rsidRPr="003569BE">
        <w:rPr>
          <w:rFonts w:cs="Times New Roman"/>
          <w:szCs w:val="24"/>
          <w:lang w:val="en-GB"/>
        </w:rPr>
        <w:t>able to do so.</w:t>
      </w:r>
      <w:r w:rsidR="00357416" w:rsidRPr="003569BE">
        <w:rPr>
          <w:rFonts w:cs="Times New Roman"/>
          <w:szCs w:val="24"/>
          <w:lang w:val="en-GB"/>
        </w:rPr>
        <w:t xml:space="preserve"> </w:t>
      </w:r>
      <w:r w:rsidR="00611D79" w:rsidRPr="003569BE">
        <w:rPr>
          <w:rFonts w:cs="Times New Roman"/>
          <w:szCs w:val="24"/>
          <w:lang w:val="en-GB"/>
        </w:rPr>
        <w:t xml:space="preserve">Hence, </w:t>
      </w:r>
      <w:r w:rsidR="00327709" w:rsidRPr="003569BE">
        <w:rPr>
          <w:rFonts w:cs="Times New Roman"/>
          <w:szCs w:val="24"/>
          <w:lang w:val="en-GB"/>
        </w:rPr>
        <w:t xml:space="preserve">the </w:t>
      </w:r>
      <w:r w:rsidR="00611D79" w:rsidRPr="003569BE">
        <w:rPr>
          <w:rFonts w:cs="Times New Roman"/>
          <w:szCs w:val="24"/>
          <w:lang w:val="en-GB"/>
        </w:rPr>
        <w:lastRenderedPageBreak/>
        <w:t xml:space="preserve">positive accounting theory does not assume that managers will just act for maximizing </w:t>
      </w:r>
      <w:r w:rsidR="00327709" w:rsidRPr="003569BE">
        <w:rPr>
          <w:rFonts w:cs="Times New Roman"/>
          <w:szCs w:val="24"/>
          <w:lang w:val="en-GB"/>
        </w:rPr>
        <w:t xml:space="preserve">the </w:t>
      </w:r>
      <w:r w:rsidR="00611D79" w:rsidRPr="003569BE">
        <w:rPr>
          <w:rFonts w:cs="Times New Roman"/>
          <w:szCs w:val="24"/>
          <w:lang w:val="en-GB"/>
        </w:rPr>
        <w:t xml:space="preserve">firm’s profits, but the manager will maximize profits if he considers </w:t>
      </w:r>
      <w:r w:rsidR="00327709" w:rsidRPr="003569BE">
        <w:rPr>
          <w:rFonts w:cs="Times New Roman"/>
          <w:szCs w:val="24"/>
          <w:lang w:val="en-GB"/>
        </w:rPr>
        <w:t>being</w:t>
      </w:r>
      <w:r w:rsidR="00611D79" w:rsidRPr="003569BE">
        <w:rPr>
          <w:rFonts w:cs="Times New Roman"/>
          <w:szCs w:val="24"/>
          <w:lang w:val="en-GB"/>
        </w:rPr>
        <w:t xml:space="preserve"> in his own benefit.</w:t>
      </w:r>
    </w:p>
    <w:p w:rsidR="004B6288" w:rsidRPr="003569BE" w:rsidRDefault="009167B9" w:rsidP="00534D74">
      <w:pPr>
        <w:spacing w:line="360" w:lineRule="auto"/>
        <w:rPr>
          <w:rFonts w:cs="Times New Roman"/>
          <w:szCs w:val="24"/>
          <w:lang w:val="en-GB"/>
        </w:rPr>
      </w:pPr>
      <w:r w:rsidRPr="003569BE">
        <w:rPr>
          <w:rFonts w:cs="Times New Roman"/>
          <w:szCs w:val="24"/>
          <w:lang w:val="en-GB"/>
        </w:rPr>
        <w:t>The p</w:t>
      </w:r>
      <w:r w:rsidR="00711DC2" w:rsidRPr="003569BE">
        <w:rPr>
          <w:rFonts w:cs="Times New Roman"/>
          <w:szCs w:val="24"/>
          <w:lang w:val="en-GB"/>
        </w:rPr>
        <w:t xml:space="preserve">ositive accounting theory’s predictions </w:t>
      </w:r>
      <w:r w:rsidR="004B6288" w:rsidRPr="003569BE">
        <w:rPr>
          <w:rFonts w:cs="Times New Roman"/>
          <w:szCs w:val="24"/>
          <w:lang w:val="en-GB"/>
        </w:rPr>
        <w:t xml:space="preserve">by Watts and Zimmerman (1986) </w:t>
      </w:r>
      <w:r w:rsidR="00711DC2" w:rsidRPr="003569BE">
        <w:rPr>
          <w:rFonts w:cs="Times New Roman"/>
          <w:szCs w:val="24"/>
          <w:lang w:val="en-GB"/>
        </w:rPr>
        <w:t>a</w:t>
      </w:r>
      <w:r w:rsidR="00552773" w:rsidRPr="003569BE">
        <w:rPr>
          <w:rFonts w:cs="Times New Roman"/>
          <w:szCs w:val="24"/>
          <w:lang w:val="en-GB"/>
        </w:rPr>
        <w:t>re arranged in three hypotheses</w:t>
      </w:r>
      <w:r w:rsidR="006700A7" w:rsidRPr="003569BE">
        <w:rPr>
          <w:rFonts w:cs="Times New Roman"/>
          <w:szCs w:val="24"/>
          <w:lang w:val="en-GB"/>
        </w:rPr>
        <w:t>.</w:t>
      </w:r>
      <w:r w:rsidR="00392884" w:rsidRPr="003569BE">
        <w:rPr>
          <w:rFonts w:cs="Times New Roman"/>
          <w:szCs w:val="24"/>
          <w:lang w:val="en-GB"/>
        </w:rPr>
        <w:t xml:space="preserve"> </w:t>
      </w:r>
    </w:p>
    <w:p w:rsidR="004B6288" w:rsidRPr="003569BE" w:rsidRDefault="00392884" w:rsidP="00534D74">
      <w:pPr>
        <w:spacing w:line="360" w:lineRule="auto"/>
        <w:rPr>
          <w:rFonts w:cs="Times New Roman"/>
          <w:szCs w:val="24"/>
          <w:lang w:val="en-GB"/>
        </w:rPr>
      </w:pPr>
      <w:r w:rsidRPr="003569BE">
        <w:rPr>
          <w:rFonts w:cs="Times New Roman"/>
          <w:i/>
          <w:szCs w:val="24"/>
          <w:lang w:val="en-GB"/>
        </w:rPr>
        <w:t>The bonus plan hypothesis</w:t>
      </w:r>
      <w:r w:rsidRPr="003569BE">
        <w:rPr>
          <w:rFonts w:cs="Times New Roman"/>
          <w:szCs w:val="24"/>
          <w:lang w:val="en-GB"/>
        </w:rPr>
        <w:t xml:space="preserve"> assumes that managers of firms with bonus plans are more likely to choose accounting procedures that shift </w:t>
      </w:r>
      <w:r w:rsidR="004B6288" w:rsidRPr="003569BE">
        <w:rPr>
          <w:rFonts w:cs="Times New Roman"/>
          <w:szCs w:val="24"/>
          <w:lang w:val="en-GB"/>
        </w:rPr>
        <w:t xml:space="preserve">the </w:t>
      </w:r>
      <w:r w:rsidRPr="003569BE">
        <w:rPr>
          <w:rFonts w:cs="Times New Roman"/>
          <w:szCs w:val="24"/>
          <w:lang w:val="en-GB"/>
        </w:rPr>
        <w:t xml:space="preserve">reported earnings from </w:t>
      </w:r>
      <w:r w:rsidR="004B6288" w:rsidRPr="003569BE">
        <w:rPr>
          <w:rFonts w:cs="Times New Roman"/>
          <w:szCs w:val="24"/>
          <w:lang w:val="en-GB"/>
        </w:rPr>
        <w:t xml:space="preserve">the </w:t>
      </w:r>
      <w:r w:rsidRPr="003569BE">
        <w:rPr>
          <w:rFonts w:cs="Times New Roman"/>
          <w:szCs w:val="24"/>
          <w:lang w:val="en-GB"/>
        </w:rPr>
        <w:t>future periods to the current period</w:t>
      </w:r>
      <w:r w:rsidR="00FC75B1" w:rsidRPr="003569BE">
        <w:rPr>
          <w:rFonts w:cs="Times New Roman"/>
          <w:szCs w:val="24"/>
          <w:lang w:val="en-GB"/>
        </w:rPr>
        <w:t xml:space="preserve"> </w:t>
      </w:r>
      <w:sdt>
        <w:sdtPr>
          <w:rPr>
            <w:rFonts w:cs="Times New Roman"/>
            <w:szCs w:val="24"/>
            <w:lang w:val="en-GB"/>
          </w:rPr>
          <w:id w:val="-114445512"/>
          <w:citation/>
        </w:sdtPr>
        <w:sdtContent>
          <w:r w:rsidR="000E4BAF" w:rsidRPr="003569BE">
            <w:rPr>
              <w:rFonts w:cs="Times New Roman"/>
              <w:szCs w:val="24"/>
              <w:lang w:val="en-GB"/>
            </w:rPr>
            <w:fldChar w:fldCharType="begin"/>
          </w:r>
          <w:r w:rsidR="00FC75B1"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Pr="003569BE">
        <w:rPr>
          <w:rFonts w:cs="Times New Roman"/>
          <w:szCs w:val="24"/>
          <w:lang w:val="en-GB"/>
        </w:rPr>
        <w:t>.</w:t>
      </w:r>
      <w:r w:rsidR="005A4329" w:rsidRPr="003569BE">
        <w:rPr>
          <w:rFonts w:cs="Times New Roman"/>
          <w:szCs w:val="24"/>
          <w:lang w:val="en-GB"/>
        </w:rPr>
        <w:t xml:space="preserve"> </w:t>
      </w:r>
    </w:p>
    <w:p w:rsidR="004B6288" w:rsidRPr="003569BE" w:rsidRDefault="00730FB6" w:rsidP="00534D74">
      <w:pPr>
        <w:spacing w:line="360" w:lineRule="auto"/>
        <w:rPr>
          <w:rFonts w:cs="Times New Roman"/>
          <w:szCs w:val="24"/>
          <w:lang w:val="en-GB"/>
        </w:rPr>
      </w:pPr>
      <w:r w:rsidRPr="003569BE">
        <w:rPr>
          <w:rFonts w:cs="Times New Roman"/>
          <w:i/>
          <w:szCs w:val="24"/>
          <w:lang w:val="en-GB"/>
        </w:rPr>
        <w:t>The debt covenant hypothesis</w:t>
      </w:r>
      <w:r w:rsidR="005D085F" w:rsidRPr="003569BE">
        <w:rPr>
          <w:rFonts w:cs="Times New Roman"/>
          <w:i/>
          <w:szCs w:val="24"/>
          <w:lang w:val="en-GB"/>
        </w:rPr>
        <w:t xml:space="preserve"> </w:t>
      </w:r>
      <w:r w:rsidR="005D085F" w:rsidRPr="003569BE">
        <w:rPr>
          <w:rFonts w:cs="Times New Roman"/>
          <w:szCs w:val="24"/>
          <w:lang w:val="en-GB"/>
        </w:rPr>
        <w:t xml:space="preserve">postulates that the closer a firm is to </w:t>
      </w:r>
      <w:r w:rsidR="004B6288" w:rsidRPr="003569BE">
        <w:rPr>
          <w:rFonts w:cs="Times New Roman"/>
          <w:szCs w:val="24"/>
          <w:lang w:val="en-GB"/>
        </w:rPr>
        <w:t xml:space="preserve">the </w:t>
      </w:r>
      <w:r w:rsidR="005D085F" w:rsidRPr="003569BE">
        <w:rPr>
          <w:rFonts w:cs="Times New Roman"/>
          <w:szCs w:val="24"/>
          <w:lang w:val="en-GB"/>
        </w:rPr>
        <w:t xml:space="preserve">violation of </w:t>
      </w:r>
      <w:r w:rsidR="004B6288" w:rsidRPr="003569BE">
        <w:rPr>
          <w:rFonts w:cs="Times New Roman"/>
          <w:szCs w:val="24"/>
          <w:lang w:val="en-GB"/>
        </w:rPr>
        <w:t xml:space="preserve">the </w:t>
      </w:r>
      <w:r w:rsidR="005D085F" w:rsidRPr="003569BE">
        <w:rPr>
          <w:rFonts w:cs="Times New Roman"/>
          <w:szCs w:val="24"/>
          <w:lang w:val="en-GB"/>
        </w:rPr>
        <w:t xml:space="preserve">accounting-based debt covenants, the more likely the firm manager is to select accounting procedures that shift </w:t>
      </w:r>
      <w:r w:rsidR="004B6288" w:rsidRPr="003569BE">
        <w:rPr>
          <w:rFonts w:cs="Times New Roman"/>
          <w:szCs w:val="24"/>
          <w:lang w:val="en-GB"/>
        </w:rPr>
        <w:t xml:space="preserve">the </w:t>
      </w:r>
      <w:r w:rsidR="005D085F" w:rsidRPr="003569BE">
        <w:rPr>
          <w:rFonts w:cs="Times New Roman"/>
          <w:szCs w:val="24"/>
          <w:lang w:val="en-GB"/>
        </w:rPr>
        <w:t xml:space="preserve">reported earnings from </w:t>
      </w:r>
      <w:r w:rsidR="004B6288" w:rsidRPr="003569BE">
        <w:rPr>
          <w:rFonts w:cs="Times New Roman"/>
          <w:szCs w:val="24"/>
          <w:lang w:val="en-GB"/>
        </w:rPr>
        <w:t xml:space="preserve">the </w:t>
      </w:r>
      <w:r w:rsidR="005D085F" w:rsidRPr="003569BE">
        <w:rPr>
          <w:rFonts w:cs="Times New Roman"/>
          <w:szCs w:val="24"/>
          <w:lang w:val="en-GB"/>
        </w:rPr>
        <w:t>future periods to the current period</w:t>
      </w:r>
      <w:r w:rsidR="00FC75B1" w:rsidRPr="003569BE">
        <w:rPr>
          <w:rFonts w:cs="Times New Roman"/>
          <w:szCs w:val="24"/>
          <w:lang w:val="en-GB"/>
        </w:rPr>
        <w:t xml:space="preserve"> </w:t>
      </w:r>
      <w:sdt>
        <w:sdtPr>
          <w:rPr>
            <w:rFonts w:cs="Times New Roman"/>
            <w:szCs w:val="24"/>
            <w:lang w:val="en-GB"/>
          </w:rPr>
          <w:id w:val="-424038404"/>
          <w:citation/>
        </w:sdtPr>
        <w:sdtContent>
          <w:r w:rsidR="000E4BAF" w:rsidRPr="003569BE">
            <w:rPr>
              <w:rFonts w:cs="Times New Roman"/>
              <w:szCs w:val="24"/>
              <w:lang w:val="en-GB"/>
            </w:rPr>
            <w:fldChar w:fldCharType="begin"/>
          </w:r>
          <w:r w:rsidR="00FC75B1"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005D085F" w:rsidRPr="003569BE">
        <w:rPr>
          <w:rFonts w:cs="Times New Roman"/>
          <w:szCs w:val="24"/>
          <w:lang w:val="en-GB"/>
        </w:rPr>
        <w:t>.</w:t>
      </w:r>
      <w:r w:rsidR="00885603" w:rsidRPr="003569BE">
        <w:rPr>
          <w:rFonts w:cs="Times New Roman"/>
          <w:szCs w:val="24"/>
          <w:lang w:val="en-GB"/>
        </w:rPr>
        <w:t xml:space="preserve"> </w:t>
      </w:r>
    </w:p>
    <w:p w:rsidR="006A36CB" w:rsidRPr="003569BE" w:rsidRDefault="00977FC9" w:rsidP="00534D74">
      <w:pPr>
        <w:spacing w:line="360" w:lineRule="auto"/>
        <w:rPr>
          <w:rFonts w:cs="Times New Roman"/>
          <w:szCs w:val="24"/>
          <w:lang w:val="en-GB"/>
        </w:rPr>
      </w:pPr>
      <w:r w:rsidRPr="003569BE">
        <w:rPr>
          <w:rFonts w:cs="Times New Roman"/>
          <w:szCs w:val="24"/>
          <w:lang w:val="en-GB"/>
        </w:rPr>
        <w:t xml:space="preserve">Finally, </w:t>
      </w:r>
      <w:r w:rsidRPr="003569BE">
        <w:rPr>
          <w:rFonts w:cs="Times New Roman"/>
          <w:i/>
          <w:szCs w:val="24"/>
          <w:lang w:val="en-GB"/>
        </w:rPr>
        <w:t xml:space="preserve">the political cost hypothesis </w:t>
      </w:r>
      <w:r w:rsidRPr="003569BE">
        <w:rPr>
          <w:rFonts w:cs="Times New Roman"/>
          <w:szCs w:val="24"/>
          <w:lang w:val="en-GB"/>
        </w:rPr>
        <w:t>assumes that the greater the political costs of a firm, the more likely manager</w:t>
      </w:r>
      <w:r w:rsidR="00D46C89" w:rsidRPr="003569BE">
        <w:rPr>
          <w:rFonts w:cs="Times New Roman"/>
          <w:szCs w:val="24"/>
          <w:lang w:val="en-GB"/>
        </w:rPr>
        <w:t>s</w:t>
      </w:r>
      <w:r w:rsidRPr="003569BE">
        <w:rPr>
          <w:rFonts w:cs="Times New Roman"/>
          <w:szCs w:val="24"/>
          <w:lang w:val="en-GB"/>
        </w:rPr>
        <w:t xml:space="preserve"> </w:t>
      </w:r>
      <w:r w:rsidR="00D46C89" w:rsidRPr="003569BE">
        <w:rPr>
          <w:rFonts w:cs="Times New Roman"/>
          <w:szCs w:val="24"/>
          <w:lang w:val="en-GB"/>
        </w:rPr>
        <w:t xml:space="preserve">are </w:t>
      </w:r>
      <w:r w:rsidRPr="003569BE">
        <w:rPr>
          <w:rFonts w:cs="Times New Roman"/>
          <w:szCs w:val="24"/>
          <w:lang w:val="en-GB"/>
        </w:rPr>
        <w:t xml:space="preserve">choose accounting methods that defer </w:t>
      </w:r>
      <w:r w:rsidR="004B6288" w:rsidRPr="003569BE">
        <w:rPr>
          <w:rFonts w:cs="Times New Roman"/>
          <w:szCs w:val="24"/>
          <w:lang w:val="en-GB"/>
        </w:rPr>
        <w:t xml:space="preserve">the </w:t>
      </w:r>
      <w:r w:rsidRPr="003569BE">
        <w:rPr>
          <w:rFonts w:cs="Times New Roman"/>
          <w:szCs w:val="24"/>
          <w:lang w:val="en-GB"/>
        </w:rPr>
        <w:t xml:space="preserve">reported earnings from the current period to </w:t>
      </w:r>
      <w:r w:rsidR="004B6288" w:rsidRPr="003569BE">
        <w:rPr>
          <w:rFonts w:cs="Times New Roman"/>
          <w:szCs w:val="24"/>
          <w:lang w:val="en-GB"/>
        </w:rPr>
        <w:t xml:space="preserve">the </w:t>
      </w:r>
      <w:r w:rsidRPr="003569BE">
        <w:rPr>
          <w:rFonts w:cs="Times New Roman"/>
          <w:szCs w:val="24"/>
          <w:lang w:val="en-GB"/>
        </w:rPr>
        <w:t>future periods</w:t>
      </w:r>
      <w:r w:rsidR="00FC75B1" w:rsidRPr="003569BE">
        <w:rPr>
          <w:rFonts w:cs="Times New Roman"/>
          <w:szCs w:val="24"/>
          <w:lang w:val="en-GB"/>
        </w:rPr>
        <w:t xml:space="preserve"> </w:t>
      </w:r>
      <w:sdt>
        <w:sdtPr>
          <w:rPr>
            <w:rFonts w:cs="Times New Roman"/>
            <w:szCs w:val="24"/>
            <w:lang w:val="en-GB"/>
          </w:rPr>
          <w:id w:val="1352145416"/>
          <w:citation/>
        </w:sdtPr>
        <w:sdtContent>
          <w:r w:rsidR="000E4BAF" w:rsidRPr="003569BE">
            <w:rPr>
              <w:rFonts w:cs="Times New Roman"/>
              <w:szCs w:val="24"/>
              <w:lang w:val="en-GB"/>
            </w:rPr>
            <w:fldChar w:fldCharType="begin"/>
          </w:r>
          <w:r w:rsidR="00FC75B1" w:rsidRPr="003569BE">
            <w:rPr>
              <w:rFonts w:cs="Times New Roman"/>
              <w:szCs w:val="24"/>
              <w:lang w:val="en-GB"/>
            </w:rPr>
            <w:instrText xml:space="preserve"> CITATION Sco14 \l 1033 </w:instrText>
          </w:r>
          <w:r w:rsidR="000E4BAF" w:rsidRPr="003569BE">
            <w:rPr>
              <w:rFonts w:cs="Times New Roman"/>
              <w:szCs w:val="24"/>
              <w:lang w:val="en-GB"/>
            </w:rPr>
            <w:fldChar w:fldCharType="separate"/>
          </w:r>
          <w:r w:rsidR="008F7EB3" w:rsidRPr="003569BE">
            <w:rPr>
              <w:rFonts w:cs="Times New Roman"/>
              <w:noProof/>
              <w:szCs w:val="24"/>
              <w:lang w:val="en-GB"/>
            </w:rPr>
            <w:t>(Scott, 2014)</w:t>
          </w:r>
          <w:r w:rsidR="000E4BAF" w:rsidRPr="003569BE">
            <w:rPr>
              <w:rFonts w:cs="Times New Roman"/>
              <w:szCs w:val="24"/>
              <w:lang w:val="en-GB"/>
            </w:rPr>
            <w:fldChar w:fldCharType="end"/>
          </w:r>
        </w:sdtContent>
      </w:sdt>
      <w:r w:rsidRPr="003569BE">
        <w:rPr>
          <w:rFonts w:cs="Times New Roman"/>
          <w:szCs w:val="24"/>
          <w:lang w:val="en-GB"/>
        </w:rPr>
        <w:t>.</w:t>
      </w:r>
    </w:p>
    <w:p w:rsidR="009A51E1" w:rsidRPr="003569BE" w:rsidRDefault="009A51E1" w:rsidP="00846EA1">
      <w:pPr>
        <w:pStyle w:val="Heading2"/>
        <w:numPr>
          <w:ilvl w:val="1"/>
          <w:numId w:val="6"/>
        </w:numPr>
        <w:spacing w:line="360" w:lineRule="auto"/>
        <w:rPr>
          <w:lang w:val="en-GB"/>
        </w:rPr>
      </w:pPr>
      <w:bookmarkStart w:id="20" w:name="_Toc396633552"/>
      <w:r w:rsidRPr="003569BE">
        <w:rPr>
          <w:lang w:val="en-GB"/>
        </w:rPr>
        <w:t>Legitimacy Theory</w:t>
      </w:r>
      <w:bookmarkEnd w:id="20"/>
    </w:p>
    <w:p w:rsidR="00781193" w:rsidRPr="003569BE" w:rsidRDefault="00781193" w:rsidP="00781193">
      <w:pPr>
        <w:spacing w:line="360" w:lineRule="auto"/>
        <w:rPr>
          <w:rFonts w:cs="Times New Roman"/>
          <w:szCs w:val="24"/>
          <w:lang w:val="en-GB"/>
        </w:rPr>
      </w:pPr>
      <w:r w:rsidRPr="003569BE">
        <w:rPr>
          <w:rFonts w:cs="Times New Roman"/>
          <w:szCs w:val="24"/>
          <w:lang w:val="en-GB"/>
        </w:rPr>
        <w:t xml:space="preserve">The fundament of the legitimacy theory is the “social contract” between </w:t>
      </w:r>
      <w:r w:rsidR="004B6288" w:rsidRPr="003569BE">
        <w:rPr>
          <w:rFonts w:cs="Times New Roman"/>
          <w:szCs w:val="24"/>
          <w:lang w:val="en-GB"/>
        </w:rPr>
        <w:t xml:space="preserve">the </w:t>
      </w:r>
      <w:r w:rsidRPr="003569BE">
        <w:rPr>
          <w:rFonts w:cs="Times New Roman"/>
          <w:szCs w:val="24"/>
          <w:lang w:val="en-GB"/>
        </w:rPr>
        <w:t xml:space="preserve">organisations and </w:t>
      </w:r>
      <w:r w:rsidR="004B6288" w:rsidRPr="003569BE">
        <w:rPr>
          <w:rFonts w:cs="Times New Roman"/>
          <w:szCs w:val="24"/>
          <w:lang w:val="en-GB"/>
        </w:rPr>
        <w:t xml:space="preserve">the </w:t>
      </w:r>
      <w:r w:rsidRPr="003569BE">
        <w:rPr>
          <w:rFonts w:cs="Times New Roman"/>
          <w:szCs w:val="24"/>
          <w:lang w:val="en-GB"/>
        </w:rPr>
        <w:t>society.</w:t>
      </w:r>
      <w:r w:rsidR="007646A9" w:rsidRPr="003569BE">
        <w:rPr>
          <w:rFonts w:cs="Times New Roman"/>
          <w:szCs w:val="24"/>
          <w:lang w:val="en-GB"/>
        </w:rPr>
        <w:t xml:space="preserve"> </w:t>
      </w:r>
      <w:r w:rsidR="004B6288" w:rsidRPr="003569BE">
        <w:rPr>
          <w:rFonts w:cs="Times New Roman"/>
          <w:szCs w:val="24"/>
          <w:lang w:val="en-GB"/>
        </w:rPr>
        <w:t>The l</w:t>
      </w:r>
      <w:r w:rsidR="00A8435D" w:rsidRPr="003569BE">
        <w:rPr>
          <w:rFonts w:cs="Times New Roman"/>
          <w:szCs w:val="24"/>
          <w:lang w:val="en-GB"/>
        </w:rPr>
        <w:t xml:space="preserve">egitimacy theory posits that organisations try to ensure that they operate within the boundaries of the rules, norms and social values of the society, </w:t>
      </w:r>
      <w:r w:rsidR="004B6288" w:rsidRPr="003569BE">
        <w:rPr>
          <w:rFonts w:cs="Times New Roman"/>
          <w:szCs w:val="24"/>
          <w:lang w:val="en-GB"/>
        </w:rPr>
        <w:t xml:space="preserve">consequently </w:t>
      </w:r>
      <w:r w:rsidR="00A8435D" w:rsidRPr="003569BE">
        <w:rPr>
          <w:rFonts w:cs="Times New Roman"/>
          <w:szCs w:val="24"/>
          <w:lang w:val="en-GB"/>
        </w:rPr>
        <w:t>the society will perceive the organisation as legitimate</w:t>
      </w:r>
      <w:r w:rsidR="00B32A83" w:rsidRPr="003569BE">
        <w:rPr>
          <w:rFonts w:cs="Times New Roman"/>
          <w:szCs w:val="24"/>
          <w:lang w:val="en-GB"/>
        </w:rPr>
        <w:t xml:space="preserve"> </w:t>
      </w:r>
      <w:sdt>
        <w:sdtPr>
          <w:rPr>
            <w:rFonts w:cs="Times New Roman"/>
            <w:szCs w:val="24"/>
            <w:lang w:val="en-GB"/>
          </w:rPr>
          <w:id w:val="265349102"/>
          <w:citation/>
        </w:sdtPr>
        <w:sdtContent>
          <w:r w:rsidR="000E4BAF" w:rsidRPr="003569BE">
            <w:rPr>
              <w:rFonts w:cs="Times New Roman"/>
              <w:szCs w:val="24"/>
              <w:lang w:val="en-GB"/>
            </w:rPr>
            <w:fldChar w:fldCharType="begin"/>
          </w:r>
          <w:r w:rsidR="00874BA5" w:rsidRPr="003569BE">
            <w:rPr>
              <w:rFonts w:cs="Times New Roman"/>
              <w:szCs w:val="24"/>
              <w:lang w:val="en-GB"/>
            </w:rPr>
            <w:instrText xml:space="preserve">CITATION Dee03 \l 1033 </w:instrText>
          </w:r>
          <w:r w:rsidR="000E4BAF" w:rsidRPr="003569BE">
            <w:rPr>
              <w:rFonts w:cs="Times New Roman"/>
              <w:szCs w:val="24"/>
              <w:lang w:val="en-GB"/>
            </w:rPr>
            <w:fldChar w:fldCharType="separate"/>
          </w:r>
          <w:r w:rsidR="008F7EB3" w:rsidRPr="003569BE">
            <w:rPr>
              <w:rFonts w:cs="Times New Roman"/>
              <w:noProof/>
              <w:szCs w:val="24"/>
              <w:lang w:val="en-GB"/>
            </w:rPr>
            <w:t>(Deegan &amp; Unerman, 2011)</w:t>
          </w:r>
          <w:r w:rsidR="000E4BAF" w:rsidRPr="003569BE">
            <w:rPr>
              <w:rFonts w:cs="Times New Roman"/>
              <w:szCs w:val="24"/>
              <w:lang w:val="en-GB"/>
            </w:rPr>
            <w:fldChar w:fldCharType="end"/>
          </w:r>
        </w:sdtContent>
      </w:sdt>
      <w:r w:rsidR="00A8435D" w:rsidRPr="003569BE">
        <w:rPr>
          <w:rFonts w:cs="Times New Roman"/>
          <w:szCs w:val="24"/>
          <w:lang w:val="en-GB"/>
        </w:rPr>
        <w:t>.</w:t>
      </w:r>
      <w:r w:rsidR="000159A3" w:rsidRPr="003569BE">
        <w:rPr>
          <w:rFonts w:cs="Times New Roman"/>
          <w:szCs w:val="24"/>
          <w:lang w:val="en-GB"/>
        </w:rPr>
        <w:t xml:space="preserve"> Organisations agree to perform various socially appropriate actions in return for </w:t>
      </w:r>
      <w:r w:rsidR="004B6288" w:rsidRPr="003569BE">
        <w:rPr>
          <w:rFonts w:cs="Times New Roman"/>
          <w:szCs w:val="24"/>
          <w:lang w:val="en-GB"/>
        </w:rPr>
        <w:t xml:space="preserve">the </w:t>
      </w:r>
      <w:r w:rsidR="000159A3" w:rsidRPr="003569BE">
        <w:rPr>
          <w:rFonts w:cs="Times New Roman"/>
          <w:szCs w:val="24"/>
          <w:lang w:val="en-GB"/>
        </w:rPr>
        <w:t>approval of its operations and objectives, or other benefits</w:t>
      </w:r>
      <w:r w:rsidR="00722A79" w:rsidRPr="003569BE">
        <w:rPr>
          <w:rFonts w:cs="Times New Roman"/>
          <w:szCs w:val="24"/>
          <w:lang w:val="en-GB"/>
        </w:rPr>
        <w:t>, such as legitimacy or other resources</w:t>
      </w:r>
      <w:r w:rsidR="000159A3" w:rsidRPr="003569BE">
        <w:rPr>
          <w:rFonts w:cs="Times New Roman"/>
          <w:szCs w:val="24"/>
          <w:lang w:val="en-GB"/>
        </w:rPr>
        <w:t>, which ultimately guarantee its continuing existence.</w:t>
      </w:r>
      <w:r w:rsidR="00722A79" w:rsidRPr="003569BE">
        <w:rPr>
          <w:rFonts w:cs="Times New Roman"/>
          <w:szCs w:val="24"/>
          <w:lang w:val="en-GB"/>
        </w:rPr>
        <w:t xml:space="preserve"> On the other hand, </w:t>
      </w:r>
      <w:r w:rsidR="003B53B4" w:rsidRPr="003569BE">
        <w:rPr>
          <w:rFonts w:cs="Times New Roman"/>
          <w:szCs w:val="24"/>
          <w:lang w:val="en-GB"/>
        </w:rPr>
        <w:t xml:space="preserve">if an organisation does not respect the social contract signalled </w:t>
      </w:r>
      <w:r w:rsidR="006E3851" w:rsidRPr="003569BE">
        <w:rPr>
          <w:rFonts w:cs="Times New Roman"/>
          <w:szCs w:val="24"/>
          <w:lang w:val="en-GB"/>
        </w:rPr>
        <w:t>before, the organisation will suffer consequences, su</w:t>
      </w:r>
      <w:r w:rsidR="00402F94" w:rsidRPr="003569BE">
        <w:rPr>
          <w:rFonts w:cs="Times New Roman"/>
          <w:szCs w:val="24"/>
          <w:lang w:val="en-GB"/>
        </w:rPr>
        <w:t>ch as legal lawsuits or a decline</w:t>
      </w:r>
      <w:r w:rsidR="006E3851" w:rsidRPr="003569BE">
        <w:rPr>
          <w:rFonts w:cs="Times New Roman"/>
          <w:szCs w:val="24"/>
          <w:lang w:val="en-GB"/>
        </w:rPr>
        <w:t xml:space="preserve"> in sales.</w:t>
      </w:r>
      <w:r w:rsidR="003B53B4" w:rsidRPr="003569BE">
        <w:rPr>
          <w:rFonts w:cs="Times New Roman"/>
          <w:szCs w:val="24"/>
          <w:lang w:val="en-GB"/>
        </w:rPr>
        <w:t xml:space="preserve"> </w:t>
      </w:r>
      <w:r w:rsidR="00F64488" w:rsidRPr="003569BE">
        <w:rPr>
          <w:rFonts w:cs="Times New Roman"/>
          <w:szCs w:val="24"/>
          <w:lang w:val="en-GB"/>
        </w:rPr>
        <w:t>The most well-known tool to ens</w:t>
      </w:r>
      <w:r w:rsidR="009016DE" w:rsidRPr="003569BE">
        <w:rPr>
          <w:rFonts w:cs="Times New Roman"/>
          <w:szCs w:val="24"/>
          <w:lang w:val="en-GB"/>
        </w:rPr>
        <w:t xml:space="preserve">ure </w:t>
      </w:r>
      <w:r w:rsidR="004B6288" w:rsidRPr="003569BE">
        <w:rPr>
          <w:rFonts w:cs="Times New Roman"/>
          <w:szCs w:val="24"/>
          <w:lang w:val="en-GB"/>
        </w:rPr>
        <w:t xml:space="preserve">the </w:t>
      </w:r>
      <w:r w:rsidR="009016DE" w:rsidRPr="003569BE">
        <w:rPr>
          <w:rFonts w:cs="Times New Roman"/>
          <w:szCs w:val="24"/>
          <w:lang w:val="en-GB"/>
        </w:rPr>
        <w:t xml:space="preserve">legitimacy is </w:t>
      </w:r>
      <w:r w:rsidR="004B6288" w:rsidRPr="003569BE">
        <w:rPr>
          <w:rFonts w:cs="Times New Roman"/>
          <w:szCs w:val="24"/>
          <w:lang w:val="en-GB"/>
        </w:rPr>
        <w:t xml:space="preserve">the </w:t>
      </w:r>
      <w:r w:rsidR="009016DE" w:rsidRPr="003569BE">
        <w:rPr>
          <w:rFonts w:cs="Times New Roman"/>
          <w:szCs w:val="24"/>
          <w:lang w:val="en-GB"/>
        </w:rPr>
        <w:t xml:space="preserve">corporate social responsibility (CSR) </w:t>
      </w:r>
      <w:r w:rsidR="00327709" w:rsidRPr="003569BE">
        <w:rPr>
          <w:rFonts w:cs="Times New Roman"/>
          <w:szCs w:val="24"/>
          <w:lang w:val="en-GB"/>
        </w:rPr>
        <w:t>reporting;</w:t>
      </w:r>
      <w:r w:rsidR="009016DE" w:rsidRPr="003569BE">
        <w:rPr>
          <w:rFonts w:cs="Times New Roman"/>
          <w:szCs w:val="24"/>
          <w:lang w:val="en-GB"/>
        </w:rPr>
        <w:t xml:space="preserve"> in which organisations disclose their operations and the impact of their operations on the</w:t>
      </w:r>
      <w:r w:rsidR="007D6576" w:rsidRPr="003569BE">
        <w:rPr>
          <w:rFonts w:cs="Times New Roman"/>
          <w:szCs w:val="24"/>
          <w:lang w:val="en-GB"/>
        </w:rPr>
        <w:t xml:space="preserve"> environment and on the society. The main purpose for publishing CSR reports, which is purely voluntary, is </w:t>
      </w:r>
      <w:r w:rsidR="00577E5F" w:rsidRPr="003569BE">
        <w:rPr>
          <w:rFonts w:cs="Times New Roman"/>
          <w:szCs w:val="24"/>
          <w:lang w:val="en-GB"/>
        </w:rPr>
        <w:t xml:space="preserve">to ensure that the organisation is </w:t>
      </w:r>
      <w:r w:rsidR="004B6288" w:rsidRPr="003569BE">
        <w:rPr>
          <w:rFonts w:cs="Times New Roman"/>
          <w:szCs w:val="24"/>
          <w:lang w:val="en-GB"/>
        </w:rPr>
        <w:t xml:space="preserve">qualified </w:t>
      </w:r>
      <w:r w:rsidR="00577E5F" w:rsidRPr="003569BE">
        <w:rPr>
          <w:rFonts w:cs="Times New Roman"/>
          <w:szCs w:val="24"/>
          <w:lang w:val="en-GB"/>
        </w:rPr>
        <w:t>as legitimate by the society.</w:t>
      </w:r>
    </w:p>
    <w:p w:rsidR="009548D2" w:rsidRPr="003569BE" w:rsidRDefault="009548D2" w:rsidP="00846EA1">
      <w:pPr>
        <w:pStyle w:val="Heading2"/>
        <w:numPr>
          <w:ilvl w:val="1"/>
          <w:numId w:val="6"/>
        </w:numPr>
        <w:spacing w:line="360" w:lineRule="auto"/>
        <w:rPr>
          <w:lang w:val="en-GB"/>
        </w:rPr>
      </w:pPr>
      <w:bookmarkStart w:id="21" w:name="_Toc396633553"/>
      <w:r w:rsidRPr="003569BE">
        <w:rPr>
          <w:lang w:val="en-GB"/>
        </w:rPr>
        <w:lastRenderedPageBreak/>
        <w:t>Summary</w:t>
      </w:r>
      <w:bookmarkEnd w:id="21"/>
    </w:p>
    <w:p w:rsidR="0089175A" w:rsidRPr="003569BE" w:rsidRDefault="004C4D7F" w:rsidP="004C4D7F">
      <w:pPr>
        <w:spacing w:line="360" w:lineRule="auto"/>
        <w:rPr>
          <w:rFonts w:cs="Times New Roman"/>
          <w:szCs w:val="24"/>
          <w:lang w:val="en-GB"/>
        </w:rPr>
      </w:pPr>
      <w:r w:rsidRPr="003569BE">
        <w:rPr>
          <w:rFonts w:cs="Times New Roman"/>
          <w:szCs w:val="24"/>
          <w:lang w:val="en-GB"/>
        </w:rPr>
        <w:t xml:space="preserve">In this chapter, the background of the mandatory audit firm rotation and </w:t>
      </w:r>
      <w:r w:rsidR="004B6288" w:rsidRPr="003569BE">
        <w:rPr>
          <w:rFonts w:cs="Times New Roman"/>
          <w:szCs w:val="24"/>
          <w:lang w:val="en-GB"/>
        </w:rPr>
        <w:t xml:space="preserve">the use of </w:t>
      </w:r>
      <w:r w:rsidRPr="003569BE">
        <w:rPr>
          <w:rFonts w:cs="Times New Roman"/>
          <w:szCs w:val="24"/>
          <w:lang w:val="en-GB"/>
        </w:rPr>
        <w:t xml:space="preserve">earnings management </w:t>
      </w:r>
      <w:r w:rsidR="004B6288" w:rsidRPr="003569BE">
        <w:rPr>
          <w:rFonts w:cs="Times New Roman"/>
          <w:szCs w:val="24"/>
          <w:lang w:val="en-GB"/>
        </w:rPr>
        <w:t xml:space="preserve">were </w:t>
      </w:r>
      <w:r w:rsidR="00A155AC" w:rsidRPr="003569BE">
        <w:rPr>
          <w:rFonts w:cs="Times New Roman"/>
          <w:szCs w:val="24"/>
          <w:lang w:val="en-GB"/>
        </w:rPr>
        <w:t>presented</w:t>
      </w:r>
      <w:r w:rsidR="002A4737" w:rsidRPr="003569BE">
        <w:rPr>
          <w:rFonts w:cs="Times New Roman"/>
          <w:szCs w:val="24"/>
          <w:lang w:val="en-GB"/>
        </w:rPr>
        <w:t xml:space="preserve">, by commenting on theoretical frameworks that have an essential relevance to this thesis. </w:t>
      </w:r>
      <w:r w:rsidR="00A155AC" w:rsidRPr="003569BE">
        <w:rPr>
          <w:rFonts w:cs="Times New Roman"/>
          <w:szCs w:val="24"/>
          <w:lang w:val="en-GB"/>
        </w:rPr>
        <w:t xml:space="preserve">First, </w:t>
      </w:r>
      <w:r w:rsidR="00627EE1" w:rsidRPr="003569BE">
        <w:rPr>
          <w:rFonts w:cs="Times New Roman"/>
          <w:szCs w:val="24"/>
          <w:lang w:val="en-GB"/>
        </w:rPr>
        <w:t>in paragrap</w:t>
      </w:r>
      <w:r w:rsidR="00E961A1" w:rsidRPr="003569BE">
        <w:rPr>
          <w:rFonts w:cs="Times New Roman"/>
          <w:szCs w:val="24"/>
          <w:lang w:val="en-GB"/>
        </w:rPr>
        <w:t xml:space="preserve">h 2.1, </w:t>
      </w:r>
      <w:r w:rsidR="00D16E06" w:rsidRPr="003569BE">
        <w:rPr>
          <w:rFonts w:cs="Times New Roman"/>
          <w:szCs w:val="24"/>
          <w:lang w:val="en-GB"/>
        </w:rPr>
        <w:t xml:space="preserve">the evolution of </w:t>
      </w:r>
      <w:r w:rsidR="004B6288" w:rsidRPr="003569BE">
        <w:rPr>
          <w:rFonts w:cs="Times New Roman"/>
          <w:szCs w:val="24"/>
          <w:lang w:val="en-GB"/>
        </w:rPr>
        <w:t xml:space="preserve">the </w:t>
      </w:r>
      <w:r w:rsidR="00D16E06" w:rsidRPr="003569BE">
        <w:rPr>
          <w:rFonts w:cs="Times New Roman"/>
          <w:szCs w:val="24"/>
          <w:lang w:val="en-GB"/>
        </w:rPr>
        <w:t xml:space="preserve">mandatory audit firm rotation was presented: after the major financial reporting scandals, </w:t>
      </w:r>
      <w:r w:rsidR="004B6288" w:rsidRPr="003569BE">
        <w:rPr>
          <w:rFonts w:cs="Times New Roman"/>
          <w:szCs w:val="24"/>
          <w:lang w:val="en-GB"/>
        </w:rPr>
        <w:t xml:space="preserve">in the US in 2002 </w:t>
      </w:r>
      <w:r w:rsidR="00D16E06" w:rsidRPr="003569BE">
        <w:rPr>
          <w:rFonts w:cs="Times New Roman"/>
          <w:szCs w:val="24"/>
          <w:lang w:val="en-GB"/>
        </w:rPr>
        <w:t xml:space="preserve">SOX was implemented, which enforced </w:t>
      </w:r>
      <w:r w:rsidR="004B6288" w:rsidRPr="003569BE">
        <w:rPr>
          <w:rFonts w:cs="Times New Roman"/>
          <w:szCs w:val="24"/>
          <w:lang w:val="en-GB"/>
        </w:rPr>
        <w:t xml:space="preserve">the </w:t>
      </w:r>
      <w:r w:rsidR="00D16E06" w:rsidRPr="003569BE">
        <w:rPr>
          <w:rFonts w:cs="Times New Roman"/>
          <w:szCs w:val="24"/>
          <w:lang w:val="en-GB"/>
        </w:rPr>
        <w:t xml:space="preserve">mandatory partner rotation, but audit firm rotation rule was </w:t>
      </w:r>
      <w:r w:rsidR="004B6288" w:rsidRPr="003569BE">
        <w:rPr>
          <w:rFonts w:cs="Times New Roman"/>
          <w:szCs w:val="24"/>
          <w:lang w:val="en-GB"/>
        </w:rPr>
        <w:t xml:space="preserve">not </w:t>
      </w:r>
      <w:r w:rsidR="00D16E06" w:rsidRPr="003569BE">
        <w:rPr>
          <w:rFonts w:cs="Times New Roman"/>
          <w:szCs w:val="24"/>
          <w:lang w:val="en-GB"/>
        </w:rPr>
        <w:t>mandated.</w:t>
      </w:r>
      <w:r w:rsidR="00E961A1" w:rsidRPr="003569BE">
        <w:rPr>
          <w:rFonts w:cs="Times New Roman"/>
          <w:szCs w:val="24"/>
          <w:lang w:val="en-GB"/>
        </w:rPr>
        <w:t xml:space="preserve"> However, in the European Union, Italy has an active MAFR rule, while in the Netherlands MAFR will become active starting from 2016. </w:t>
      </w:r>
      <w:r w:rsidR="004B6288" w:rsidRPr="003569BE">
        <w:rPr>
          <w:rFonts w:cs="Times New Roman"/>
          <w:szCs w:val="24"/>
          <w:lang w:val="en-GB"/>
        </w:rPr>
        <w:t>In addition</w:t>
      </w:r>
      <w:r w:rsidR="00E961A1" w:rsidRPr="003569BE">
        <w:rPr>
          <w:rFonts w:cs="Times New Roman"/>
          <w:szCs w:val="24"/>
          <w:lang w:val="en-GB"/>
        </w:rPr>
        <w:t>, the European C</w:t>
      </w:r>
      <w:r w:rsidR="00855D33" w:rsidRPr="003569BE">
        <w:rPr>
          <w:rFonts w:cs="Times New Roman"/>
          <w:szCs w:val="24"/>
          <w:lang w:val="en-GB"/>
        </w:rPr>
        <w:t xml:space="preserve">ommission recently </w:t>
      </w:r>
      <w:r w:rsidR="004B6288" w:rsidRPr="003569BE">
        <w:rPr>
          <w:rFonts w:cs="Times New Roman"/>
          <w:szCs w:val="24"/>
          <w:lang w:val="en-GB"/>
        </w:rPr>
        <w:t xml:space="preserve">has </w:t>
      </w:r>
      <w:r w:rsidR="00855D33" w:rsidRPr="003569BE">
        <w:rPr>
          <w:rFonts w:cs="Times New Roman"/>
          <w:szCs w:val="24"/>
          <w:lang w:val="en-GB"/>
        </w:rPr>
        <w:t>proposed a MAFR rule for all the Member States.</w:t>
      </w:r>
      <w:r w:rsidR="00E870DC" w:rsidRPr="003569BE">
        <w:rPr>
          <w:rFonts w:cs="Times New Roman"/>
          <w:szCs w:val="24"/>
          <w:lang w:val="en-GB"/>
        </w:rPr>
        <w:t xml:space="preserve"> In section 2.3, the background and </w:t>
      </w:r>
      <w:r w:rsidR="004B6288" w:rsidRPr="003569BE">
        <w:rPr>
          <w:rFonts w:cs="Times New Roman"/>
          <w:szCs w:val="24"/>
          <w:lang w:val="en-GB"/>
        </w:rPr>
        <w:t xml:space="preserve">the </w:t>
      </w:r>
      <w:r w:rsidR="00E870DC" w:rsidRPr="003569BE">
        <w:rPr>
          <w:rFonts w:cs="Times New Roman"/>
          <w:szCs w:val="24"/>
          <w:lang w:val="en-GB"/>
        </w:rPr>
        <w:t xml:space="preserve">definition of </w:t>
      </w:r>
      <w:r w:rsidR="004B6288" w:rsidRPr="003569BE">
        <w:rPr>
          <w:rFonts w:cs="Times New Roman"/>
          <w:szCs w:val="24"/>
          <w:lang w:val="en-GB"/>
        </w:rPr>
        <w:t xml:space="preserve">the use of </w:t>
      </w:r>
      <w:r w:rsidR="00E870DC" w:rsidRPr="003569BE">
        <w:rPr>
          <w:rFonts w:cs="Times New Roman"/>
          <w:szCs w:val="24"/>
          <w:lang w:val="en-GB"/>
        </w:rPr>
        <w:t xml:space="preserve">earnings management </w:t>
      </w:r>
      <w:r w:rsidR="004B6288" w:rsidRPr="003569BE">
        <w:rPr>
          <w:rFonts w:cs="Times New Roman"/>
          <w:szCs w:val="24"/>
          <w:lang w:val="en-GB"/>
        </w:rPr>
        <w:t xml:space="preserve">have been </w:t>
      </w:r>
      <w:r w:rsidR="00E870DC" w:rsidRPr="003569BE">
        <w:rPr>
          <w:rFonts w:cs="Times New Roman"/>
          <w:szCs w:val="24"/>
          <w:lang w:val="en-GB"/>
        </w:rPr>
        <w:t>provided, and the content of the term “earnings management” is presented.</w:t>
      </w:r>
      <w:r w:rsidR="0044781F" w:rsidRPr="003569BE">
        <w:rPr>
          <w:rFonts w:cs="Times New Roman"/>
          <w:szCs w:val="24"/>
          <w:lang w:val="en-GB"/>
        </w:rPr>
        <w:t xml:space="preserve"> Next, in paragraph 2.2, comments on the theoretical framework of the term earnings management have been presented. In addition, several incentives have been discussed that determine managers to engage in earnings management</w:t>
      </w:r>
      <w:r w:rsidR="00E15416" w:rsidRPr="003569BE">
        <w:rPr>
          <w:rFonts w:cs="Times New Roman"/>
          <w:szCs w:val="24"/>
          <w:lang w:val="en-GB"/>
        </w:rPr>
        <w:t xml:space="preserve">. Concerning the management’s incentives to engage in earnings management, agency theory is highly relevant, by addressing the principal-agent issue </w:t>
      </w:r>
      <w:r w:rsidR="005429A3" w:rsidRPr="003569BE">
        <w:rPr>
          <w:rFonts w:cs="Times New Roman"/>
          <w:szCs w:val="24"/>
          <w:lang w:val="en-GB"/>
        </w:rPr>
        <w:t>that arises in</w:t>
      </w:r>
      <w:r w:rsidR="00E15416" w:rsidRPr="003569BE">
        <w:rPr>
          <w:rFonts w:cs="Times New Roman"/>
          <w:szCs w:val="24"/>
          <w:lang w:val="en-GB"/>
        </w:rPr>
        <w:t xml:space="preserve"> the auditor</w:t>
      </w:r>
      <w:r w:rsidR="005429A3" w:rsidRPr="003569BE">
        <w:rPr>
          <w:rFonts w:cs="Times New Roman"/>
          <w:szCs w:val="24"/>
          <w:lang w:val="en-GB"/>
        </w:rPr>
        <w:t xml:space="preserve">-client relationship. </w:t>
      </w:r>
      <w:r w:rsidR="008C4A6F" w:rsidRPr="003569BE">
        <w:rPr>
          <w:rFonts w:cs="Times New Roman"/>
          <w:szCs w:val="24"/>
          <w:lang w:val="en-GB"/>
        </w:rPr>
        <w:t xml:space="preserve">Finally, sections 2.3, 2.4 and 2.5 present the broad theories that this thesis relies upon, that is Agency Theory, </w:t>
      </w:r>
      <w:r w:rsidR="004B6288" w:rsidRPr="003569BE">
        <w:rPr>
          <w:rFonts w:cs="Times New Roman"/>
          <w:szCs w:val="24"/>
          <w:lang w:val="en-GB"/>
        </w:rPr>
        <w:t xml:space="preserve">the </w:t>
      </w:r>
      <w:r w:rsidR="008C4A6F" w:rsidRPr="003569BE">
        <w:rPr>
          <w:rFonts w:cs="Times New Roman"/>
          <w:szCs w:val="24"/>
          <w:lang w:val="en-GB"/>
        </w:rPr>
        <w:t xml:space="preserve">Positive Accounting Theory and </w:t>
      </w:r>
      <w:r w:rsidR="004B6288" w:rsidRPr="003569BE">
        <w:rPr>
          <w:rFonts w:cs="Times New Roman"/>
          <w:szCs w:val="24"/>
          <w:lang w:val="en-GB"/>
        </w:rPr>
        <w:t xml:space="preserve">the </w:t>
      </w:r>
      <w:r w:rsidR="008C4A6F" w:rsidRPr="003569BE">
        <w:rPr>
          <w:rFonts w:cs="Times New Roman"/>
          <w:szCs w:val="24"/>
          <w:lang w:val="en-GB"/>
        </w:rPr>
        <w:t>Legitimacy Theory, respectively.</w:t>
      </w:r>
      <w:r w:rsidR="00A26402" w:rsidRPr="003569BE">
        <w:rPr>
          <w:rFonts w:cs="Times New Roman"/>
          <w:szCs w:val="24"/>
          <w:lang w:val="en-GB"/>
        </w:rPr>
        <w:t xml:space="preserve"> References to these theories will be made in later chapters.</w:t>
      </w:r>
    </w:p>
    <w:p w:rsidR="004C4D7F" w:rsidRPr="003569BE" w:rsidRDefault="004C4D7F" w:rsidP="004C4D7F">
      <w:pPr>
        <w:spacing w:line="360" w:lineRule="auto"/>
        <w:rPr>
          <w:rFonts w:cs="Times New Roman"/>
          <w:szCs w:val="24"/>
          <w:lang w:val="en-GB"/>
        </w:rPr>
      </w:pPr>
      <w:r w:rsidRPr="003569BE">
        <w:rPr>
          <w:rFonts w:cs="Times New Roman"/>
          <w:szCs w:val="24"/>
          <w:lang w:val="en-GB"/>
        </w:rPr>
        <w:t>The next chapter presents models to measure the use of earnings management.</w:t>
      </w:r>
    </w:p>
    <w:p w:rsidR="00E130DD" w:rsidRPr="003569BE" w:rsidRDefault="00E130DD" w:rsidP="004C4D7F">
      <w:pPr>
        <w:spacing w:line="360" w:lineRule="auto"/>
        <w:rPr>
          <w:rFonts w:cs="Times New Roman"/>
          <w:szCs w:val="24"/>
          <w:lang w:val="en-GB"/>
        </w:rPr>
      </w:pPr>
    </w:p>
    <w:p w:rsidR="004B6288" w:rsidRPr="003569BE" w:rsidRDefault="004B6288">
      <w:pPr>
        <w:rPr>
          <w:rFonts w:eastAsiaTheme="majorEastAsia" w:cstheme="majorBidi"/>
          <w:color w:val="2E74B5" w:themeColor="accent1" w:themeShade="BF"/>
          <w:sz w:val="32"/>
          <w:szCs w:val="32"/>
          <w:lang w:val="en-GB"/>
        </w:rPr>
      </w:pPr>
      <w:r w:rsidRPr="003569BE">
        <w:rPr>
          <w:lang w:val="en-GB"/>
        </w:rPr>
        <w:br w:type="page"/>
      </w:r>
    </w:p>
    <w:p w:rsidR="00B94666" w:rsidRPr="003569BE" w:rsidRDefault="00B94666" w:rsidP="00846EA1">
      <w:pPr>
        <w:pStyle w:val="Heading1"/>
        <w:numPr>
          <w:ilvl w:val="0"/>
          <w:numId w:val="6"/>
        </w:numPr>
        <w:spacing w:line="360" w:lineRule="auto"/>
        <w:rPr>
          <w:lang w:val="en-GB"/>
        </w:rPr>
      </w:pPr>
      <w:bookmarkStart w:id="22" w:name="_Toc396633554"/>
      <w:r w:rsidRPr="003569BE">
        <w:rPr>
          <w:lang w:val="en-GB"/>
        </w:rPr>
        <w:lastRenderedPageBreak/>
        <w:t>Models for Detecting and Measuring the Use of Earnings Management</w:t>
      </w:r>
      <w:bookmarkEnd w:id="22"/>
    </w:p>
    <w:p w:rsidR="000C69A1" w:rsidRPr="003569BE" w:rsidRDefault="000C69A1" w:rsidP="000C69A1">
      <w:pPr>
        <w:spacing w:line="360" w:lineRule="auto"/>
        <w:rPr>
          <w:rFonts w:cs="Times New Roman"/>
          <w:szCs w:val="24"/>
          <w:lang w:val="en-GB"/>
        </w:rPr>
      </w:pPr>
      <w:r w:rsidRPr="003569BE">
        <w:rPr>
          <w:rFonts w:cs="Times New Roman"/>
          <w:szCs w:val="24"/>
          <w:lang w:val="en-GB"/>
        </w:rPr>
        <w:t xml:space="preserve">The purpose of this chapter is to answer the third sub-question of this thesis: </w:t>
      </w:r>
    </w:p>
    <w:p w:rsidR="000C69A1" w:rsidRPr="003569BE" w:rsidRDefault="000C69A1" w:rsidP="000C69A1">
      <w:pPr>
        <w:spacing w:line="360" w:lineRule="auto"/>
        <w:rPr>
          <w:rFonts w:cs="Times New Roman"/>
          <w:i/>
          <w:szCs w:val="24"/>
          <w:lang w:val="en-GB"/>
        </w:rPr>
      </w:pPr>
      <w:r w:rsidRPr="003569BE">
        <w:rPr>
          <w:rFonts w:cs="Times New Roman"/>
          <w:i/>
          <w:szCs w:val="24"/>
          <w:lang w:val="en-GB"/>
        </w:rPr>
        <w:t xml:space="preserve">“Which models in prior research </w:t>
      </w:r>
      <w:r w:rsidR="004B6288" w:rsidRPr="003569BE">
        <w:rPr>
          <w:rFonts w:cs="Times New Roman"/>
          <w:i/>
          <w:szCs w:val="24"/>
          <w:lang w:val="en-GB"/>
        </w:rPr>
        <w:t xml:space="preserve">are used concerning </w:t>
      </w:r>
      <w:r w:rsidRPr="003569BE">
        <w:rPr>
          <w:rFonts w:cs="Times New Roman"/>
          <w:i/>
          <w:szCs w:val="24"/>
          <w:lang w:val="en-GB"/>
        </w:rPr>
        <w:t>detecting and measuring the use of earnings management?”</w:t>
      </w:r>
    </w:p>
    <w:p w:rsidR="008A51B3" w:rsidRPr="003569BE" w:rsidRDefault="008A51B3" w:rsidP="000C69A1">
      <w:pPr>
        <w:spacing w:line="360" w:lineRule="auto"/>
        <w:rPr>
          <w:rFonts w:cs="Times New Roman"/>
          <w:szCs w:val="24"/>
          <w:lang w:val="en-GB"/>
        </w:rPr>
      </w:pPr>
      <w:r w:rsidRPr="003569BE">
        <w:rPr>
          <w:rFonts w:cs="Times New Roman"/>
          <w:szCs w:val="24"/>
          <w:lang w:val="en-GB"/>
        </w:rPr>
        <w:t xml:space="preserve">As signalled before, the focus of this thesis is on accruals-based earnings management. </w:t>
      </w:r>
      <w:r w:rsidR="00A354FA" w:rsidRPr="003569BE">
        <w:rPr>
          <w:rFonts w:cs="Times New Roman"/>
          <w:szCs w:val="24"/>
          <w:lang w:val="en-GB"/>
        </w:rPr>
        <w:t xml:space="preserve">Measuring accruals can be </w:t>
      </w:r>
      <w:r w:rsidR="00600B9C" w:rsidRPr="003569BE">
        <w:rPr>
          <w:rFonts w:cs="Times New Roman"/>
          <w:szCs w:val="24"/>
          <w:lang w:val="en-GB"/>
        </w:rPr>
        <w:t>perform</w:t>
      </w:r>
      <w:r w:rsidR="005E6D16" w:rsidRPr="003569BE">
        <w:rPr>
          <w:rFonts w:cs="Times New Roman"/>
          <w:szCs w:val="24"/>
          <w:lang w:val="en-GB"/>
        </w:rPr>
        <w:t>ed</w:t>
      </w:r>
      <w:r w:rsidR="004B6288" w:rsidRPr="003569BE">
        <w:rPr>
          <w:rFonts w:cs="Times New Roman"/>
          <w:szCs w:val="24"/>
          <w:lang w:val="en-GB"/>
        </w:rPr>
        <w:t xml:space="preserve"> </w:t>
      </w:r>
      <w:r w:rsidR="00A354FA" w:rsidRPr="003569BE">
        <w:rPr>
          <w:rFonts w:cs="Times New Roman"/>
          <w:szCs w:val="24"/>
          <w:lang w:val="en-GB"/>
        </w:rPr>
        <w:t xml:space="preserve">in two ways: the single accrual approach and the total accrual approach. </w:t>
      </w:r>
      <w:r w:rsidR="003B3A40" w:rsidRPr="003569BE">
        <w:rPr>
          <w:rFonts w:cs="Times New Roman"/>
          <w:szCs w:val="24"/>
          <w:lang w:val="en-GB"/>
        </w:rPr>
        <w:t xml:space="preserve">The total accrual approach </w:t>
      </w:r>
      <w:r w:rsidR="004B6288" w:rsidRPr="003569BE">
        <w:rPr>
          <w:rFonts w:cs="Times New Roman"/>
          <w:szCs w:val="24"/>
          <w:lang w:val="en-GB"/>
        </w:rPr>
        <w:t xml:space="preserve">in this thesis </w:t>
      </w:r>
      <w:r w:rsidR="003B3A40" w:rsidRPr="003569BE">
        <w:rPr>
          <w:rFonts w:cs="Times New Roman"/>
          <w:szCs w:val="24"/>
          <w:lang w:val="en-GB"/>
        </w:rPr>
        <w:t>will be used.</w:t>
      </w:r>
    </w:p>
    <w:p w:rsidR="005838F9" w:rsidRPr="003569BE" w:rsidRDefault="005838F9" w:rsidP="000C69A1">
      <w:pPr>
        <w:spacing w:line="360" w:lineRule="auto"/>
        <w:rPr>
          <w:rFonts w:cs="Times New Roman"/>
          <w:szCs w:val="24"/>
          <w:lang w:val="en-GB"/>
        </w:rPr>
      </w:pPr>
      <w:r w:rsidRPr="003569BE">
        <w:rPr>
          <w:rFonts w:cs="Times New Roman"/>
          <w:szCs w:val="24"/>
          <w:lang w:val="en-GB"/>
        </w:rPr>
        <w:t xml:space="preserve">Accordingly, the most relevant models for detecting and measuring </w:t>
      </w:r>
      <w:r w:rsidR="00AF0DAA" w:rsidRPr="003569BE">
        <w:rPr>
          <w:rFonts w:cs="Times New Roman"/>
          <w:szCs w:val="24"/>
          <w:lang w:val="en-GB"/>
        </w:rPr>
        <w:t xml:space="preserve">the use of </w:t>
      </w:r>
      <w:r w:rsidRPr="003569BE">
        <w:rPr>
          <w:rFonts w:cs="Times New Roman"/>
          <w:szCs w:val="24"/>
          <w:lang w:val="en-GB"/>
        </w:rPr>
        <w:t xml:space="preserve">earnings management used in prior </w:t>
      </w:r>
      <w:r w:rsidR="00AF0DAA" w:rsidRPr="003569BE">
        <w:rPr>
          <w:rFonts w:cs="Times New Roman"/>
          <w:szCs w:val="24"/>
          <w:lang w:val="en-GB"/>
        </w:rPr>
        <w:t xml:space="preserve">scientific </w:t>
      </w:r>
      <w:r w:rsidRPr="003569BE">
        <w:rPr>
          <w:rFonts w:cs="Times New Roman"/>
          <w:szCs w:val="24"/>
          <w:lang w:val="en-GB"/>
        </w:rPr>
        <w:t>research</w:t>
      </w:r>
      <w:r w:rsidR="00181AEC" w:rsidRPr="003569BE">
        <w:rPr>
          <w:rFonts w:cs="Times New Roman"/>
          <w:szCs w:val="24"/>
          <w:lang w:val="en-GB"/>
        </w:rPr>
        <w:t xml:space="preserve"> will be presented. Finally, the re</w:t>
      </w:r>
      <w:r w:rsidR="008A1560" w:rsidRPr="003569BE">
        <w:rPr>
          <w:rFonts w:cs="Times New Roman"/>
          <w:szCs w:val="24"/>
          <w:lang w:val="en-GB"/>
        </w:rPr>
        <w:t>asoning for selecting the model</w:t>
      </w:r>
      <w:r w:rsidR="00181AEC" w:rsidRPr="003569BE">
        <w:rPr>
          <w:rFonts w:cs="Times New Roman"/>
          <w:szCs w:val="24"/>
          <w:lang w:val="en-GB"/>
        </w:rPr>
        <w:t xml:space="preserve"> to be used when testing the hypotheses will be provided.</w:t>
      </w:r>
    </w:p>
    <w:p w:rsidR="00AB5A27" w:rsidRPr="003569BE" w:rsidRDefault="009418F1" w:rsidP="00DB6BF3">
      <w:pPr>
        <w:pStyle w:val="Heading2"/>
        <w:numPr>
          <w:ilvl w:val="1"/>
          <w:numId w:val="6"/>
        </w:numPr>
        <w:spacing w:line="360" w:lineRule="auto"/>
        <w:rPr>
          <w:lang w:val="en-GB"/>
        </w:rPr>
      </w:pPr>
      <w:bookmarkStart w:id="23" w:name="_Toc396633555"/>
      <w:r w:rsidRPr="003569BE">
        <w:rPr>
          <w:lang w:val="en-GB"/>
        </w:rPr>
        <w:t>Jones Model</w:t>
      </w:r>
      <w:bookmarkEnd w:id="23"/>
    </w:p>
    <w:p w:rsidR="00BF4884" w:rsidRPr="003569BE" w:rsidRDefault="00FD63F5" w:rsidP="00540DA7">
      <w:pPr>
        <w:spacing w:line="360" w:lineRule="auto"/>
        <w:rPr>
          <w:rFonts w:cs="Times New Roman"/>
          <w:szCs w:val="24"/>
          <w:lang w:val="en-GB"/>
        </w:rPr>
      </w:pPr>
      <w:r w:rsidRPr="003569BE">
        <w:rPr>
          <w:rFonts w:cs="Times New Roman"/>
          <w:szCs w:val="24"/>
          <w:lang w:val="en-GB"/>
        </w:rPr>
        <w:t>Jones (1991) developed the model for detecting and measuring the use of earnings management through the use of discretionary accruals</w:t>
      </w:r>
      <w:r w:rsidR="00C40068" w:rsidRPr="003569BE">
        <w:rPr>
          <w:rFonts w:cs="Times New Roman"/>
          <w:szCs w:val="24"/>
          <w:lang w:val="en-GB"/>
        </w:rPr>
        <w:t>.</w:t>
      </w:r>
      <w:r w:rsidR="00602F46" w:rsidRPr="003569BE">
        <w:rPr>
          <w:rFonts w:cs="Times New Roman"/>
          <w:szCs w:val="24"/>
          <w:lang w:val="en-GB"/>
        </w:rPr>
        <w:t xml:space="preserve"> </w:t>
      </w:r>
      <w:r w:rsidR="00AC6174" w:rsidRPr="003569BE">
        <w:rPr>
          <w:rFonts w:cs="Times New Roman"/>
          <w:szCs w:val="24"/>
          <w:lang w:val="en-GB"/>
        </w:rPr>
        <w:t xml:space="preserve">She tested whether firms tend to manage earnings downward during import relief investigations by the United States International Trade Commission (ITC), and finds evidence to support the earnings management hypothesis </w:t>
      </w:r>
      <w:sdt>
        <w:sdtPr>
          <w:rPr>
            <w:rFonts w:cs="Times New Roman"/>
            <w:szCs w:val="24"/>
            <w:lang w:val="en-GB"/>
          </w:rPr>
          <w:id w:val="-1107508271"/>
          <w:citation/>
        </w:sdtPr>
        <w:sdtContent>
          <w:r w:rsidR="000E4BAF" w:rsidRPr="003569BE">
            <w:rPr>
              <w:rFonts w:cs="Times New Roman"/>
              <w:szCs w:val="24"/>
              <w:lang w:val="en-GB"/>
            </w:rPr>
            <w:fldChar w:fldCharType="begin"/>
          </w:r>
          <w:r w:rsidR="00AC6174" w:rsidRPr="003569BE">
            <w:rPr>
              <w:rFonts w:cs="Times New Roman"/>
              <w:szCs w:val="24"/>
              <w:lang w:val="en-GB"/>
            </w:rPr>
            <w:instrText xml:space="preserve"> CITATION Jon91 \l 1033 </w:instrText>
          </w:r>
          <w:r w:rsidR="000E4BAF" w:rsidRPr="003569BE">
            <w:rPr>
              <w:rFonts w:cs="Times New Roman"/>
              <w:szCs w:val="24"/>
              <w:lang w:val="en-GB"/>
            </w:rPr>
            <w:fldChar w:fldCharType="separate"/>
          </w:r>
          <w:r w:rsidR="008F7EB3" w:rsidRPr="003569BE">
            <w:rPr>
              <w:rFonts w:cs="Times New Roman"/>
              <w:noProof/>
              <w:szCs w:val="24"/>
              <w:lang w:val="en-GB"/>
            </w:rPr>
            <w:t>(Jones, 1991)</w:t>
          </w:r>
          <w:r w:rsidR="000E4BAF" w:rsidRPr="003569BE">
            <w:rPr>
              <w:rFonts w:cs="Times New Roman"/>
              <w:szCs w:val="24"/>
              <w:lang w:val="en-GB"/>
            </w:rPr>
            <w:fldChar w:fldCharType="end"/>
          </w:r>
        </w:sdtContent>
      </w:sdt>
      <w:r w:rsidR="00AC6174" w:rsidRPr="003569BE">
        <w:rPr>
          <w:rFonts w:cs="Times New Roman"/>
          <w:szCs w:val="24"/>
          <w:lang w:val="en-GB"/>
        </w:rPr>
        <w:t>.</w:t>
      </w:r>
      <w:r w:rsidR="0032135B" w:rsidRPr="003569BE">
        <w:rPr>
          <w:rFonts w:cs="Times New Roman"/>
          <w:szCs w:val="24"/>
          <w:lang w:val="en-GB"/>
        </w:rPr>
        <w:t xml:space="preserve"> </w:t>
      </w:r>
      <w:r w:rsidR="00AD0FD2" w:rsidRPr="003569BE">
        <w:rPr>
          <w:rFonts w:cs="Times New Roman"/>
          <w:szCs w:val="24"/>
          <w:lang w:val="en-GB"/>
        </w:rPr>
        <w:t xml:space="preserve"> </w:t>
      </w:r>
      <w:r w:rsidR="00775C3D" w:rsidRPr="003569BE">
        <w:rPr>
          <w:rFonts w:cs="Times New Roman"/>
          <w:szCs w:val="24"/>
          <w:lang w:val="en-GB"/>
        </w:rPr>
        <w:t xml:space="preserve">To develop this model </w:t>
      </w:r>
      <w:r w:rsidR="00AF0DAA" w:rsidRPr="003569BE">
        <w:rPr>
          <w:rFonts w:cs="Times New Roman"/>
          <w:szCs w:val="24"/>
          <w:lang w:val="en-GB"/>
        </w:rPr>
        <w:t xml:space="preserve">concerning investigating the of </w:t>
      </w:r>
      <w:r w:rsidR="00775C3D" w:rsidRPr="003569BE">
        <w:rPr>
          <w:rFonts w:cs="Times New Roman"/>
          <w:szCs w:val="24"/>
          <w:lang w:val="en-GB"/>
        </w:rPr>
        <w:t xml:space="preserve">earnings management, Jones based her work on measures used in prior </w:t>
      </w:r>
      <w:r w:rsidR="00AF0DAA" w:rsidRPr="003569BE">
        <w:rPr>
          <w:rFonts w:cs="Times New Roman"/>
          <w:szCs w:val="24"/>
          <w:lang w:val="en-GB"/>
        </w:rPr>
        <w:t xml:space="preserve">scientific </w:t>
      </w:r>
      <w:r w:rsidR="00775C3D" w:rsidRPr="003569BE">
        <w:rPr>
          <w:rFonts w:cs="Times New Roman"/>
          <w:szCs w:val="24"/>
          <w:lang w:val="en-GB"/>
        </w:rPr>
        <w:t xml:space="preserve">studies, </w:t>
      </w:r>
      <w:r w:rsidR="0032135B" w:rsidRPr="003569BE">
        <w:rPr>
          <w:rFonts w:cs="Times New Roman"/>
          <w:szCs w:val="24"/>
          <w:lang w:val="en-GB"/>
        </w:rPr>
        <w:t>i.e</w:t>
      </w:r>
      <w:r w:rsidR="00775C3D" w:rsidRPr="003569BE">
        <w:rPr>
          <w:rFonts w:cs="Times New Roman"/>
          <w:szCs w:val="24"/>
          <w:lang w:val="en-GB"/>
        </w:rPr>
        <w:t xml:space="preserve">. </w:t>
      </w:r>
      <w:r w:rsidR="0032135B" w:rsidRPr="003569BE">
        <w:rPr>
          <w:rFonts w:cs="Times New Roman"/>
          <w:szCs w:val="24"/>
          <w:lang w:val="en-GB"/>
        </w:rPr>
        <w:t>Healy (1985), DeAngelo</w:t>
      </w:r>
      <w:r w:rsidR="00D53279" w:rsidRPr="003569BE">
        <w:rPr>
          <w:rFonts w:cs="Times New Roman"/>
          <w:szCs w:val="24"/>
          <w:lang w:val="en-GB"/>
        </w:rPr>
        <w:t xml:space="preserve"> </w:t>
      </w:r>
      <w:r w:rsidR="0032135B" w:rsidRPr="003569BE">
        <w:rPr>
          <w:rFonts w:cs="Times New Roman"/>
          <w:szCs w:val="24"/>
          <w:lang w:val="en-GB"/>
        </w:rPr>
        <w:t xml:space="preserve">(1986), and McNichols and Wilson (1988), which </w:t>
      </w:r>
      <w:r w:rsidR="00C6204C" w:rsidRPr="003569BE">
        <w:rPr>
          <w:rFonts w:cs="Times New Roman"/>
          <w:szCs w:val="24"/>
          <w:lang w:val="en-GB"/>
        </w:rPr>
        <w:t>also</w:t>
      </w:r>
      <w:r w:rsidR="00AF0DAA" w:rsidRPr="003569BE">
        <w:rPr>
          <w:rFonts w:cs="Times New Roman"/>
          <w:szCs w:val="24"/>
          <w:lang w:val="en-GB"/>
        </w:rPr>
        <w:t xml:space="preserve"> </w:t>
      </w:r>
      <w:r w:rsidR="0032135B" w:rsidRPr="003569BE">
        <w:rPr>
          <w:rFonts w:cs="Times New Roman"/>
          <w:szCs w:val="24"/>
          <w:lang w:val="en-GB"/>
        </w:rPr>
        <w:t>used some type of discretionary accruals measure.</w:t>
      </w:r>
      <w:r w:rsidR="00D53279" w:rsidRPr="003569BE">
        <w:rPr>
          <w:rFonts w:cs="Times New Roman"/>
          <w:szCs w:val="24"/>
          <w:lang w:val="en-GB"/>
        </w:rPr>
        <w:t xml:space="preserve"> However, Jones’s study</w:t>
      </w:r>
      <w:r w:rsidR="00CF3235" w:rsidRPr="003569BE">
        <w:rPr>
          <w:rFonts w:cs="Times New Roman"/>
          <w:szCs w:val="24"/>
          <w:lang w:val="en-GB"/>
        </w:rPr>
        <w:t xml:space="preserve"> only builds on these measures and</w:t>
      </w:r>
      <w:r w:rsidR="00D53279" w:rsidRPr="003569BE">
        <w:rPr>
          <w:rFonts w:cs="Times New Roman"/>
          <w:szCs w:val="24"/>
          <w:lang w:val="en-GB"/>
        </w:rPr>
        <w:t xml:space="preserve"> uses the discretionary portion of </w:t>
      </w:r>
      <w:r w:rsidR="00AF0DAA" w:rsidRPr="003569BE">
        <w:rPr>
          <w:rFonts w:cs="Times New Roman"/>
          <w:szCs w:val="24"/>
          <w:lang w:val="en-GB"/>
        </w:rPr>
        <w:t xml:space="preserve">the </w:t>
      </w:r>
      <w:r w:rsidR="00D53279" w:rsidRPr="003569BE">
        <w:rPr>
          <w:rFonts w:cs="Times New Roman"/>
          <w:szCs w:val="24"/>
          <w:lang w:val="en-GB"/>
        </w:rPr>
        <w:t xml:space="preserve">total accruals to detect and measure </w:t>
      </w:r>
      <w:r w:rsidR="00AF0DAA" w:rsidRPr="003569BE">
        <w:rPr>
          <w:rFonts w:cs="Times New Roman"/>
          <w:szCs w:val="24"/>
          <w:lang w:val="en-GB"/>
        </w:rPr>
        <w:t xml:space="preserve">the use of </w:t>
      </w:r>
      <w:r w:rsidR="00D53279" w:rsidRPr="003569BE">
        <w:rPr>
          <w:rFonts w:cs="Times New Roman"/>
          <w:szCs w:val="24"/>
          <w:lang w:val="en-GB"/>
        </w:rPr>
        <w:t xml:space="preserve">earnings management, rather than focusing on a single accrual account, as McNichols and Wilson (1988) </w:t>
      </w:r>
      <w:r w:rsidR="00AF0DAA" w:rsidRPr="003569BE">
        <w:rPr>
          <w:rFonts w:cs="Times New Roman"/>
          <w:szCs w:val="24"/>
          <w:lang w:val="en-GB"/>
        </w:rPr>
        <w:t xml:space="preserve">in their study </w:t>
      </w:r>
      <w:r w:rsidR="00D53279" w:rsidRPr="003569BE">
        <w:rPr>
          <w:rFonts w:cs="Times New Roman"/>
          <w:szCs w:val="24"/>
          <w:lang w:val="en-GB"/>
        </w:rPr>
        <w:t>did.</w:t>
      </w:r>
      <w:r w:rsidR="00BF4884" w:rsidRPr="003569BE">
        <w:rPr>
          <w:rFonts w:cs="Times New Roman"/>
          <w:szCs w:val="24"/>
          <w:lang w:val="en-GB"/>
        </w:rPr>
        <w:t xml:space="preserve"> </w:t>
      </w:r>
    </w:p>
    <w:p w:rsidR="00AC6174" w:rsidRPr="003569BE" w:rsidRDefault="00BF4884" w:rsidP="00540DA7">
      <w:pPr>
        <w:spacing w:line="360" w:lineRule="auto"/>
        <w:rPr>
          <w:rFonts w:cs="Times New Roman"/>
          <w:szCs w:val="24"/>
          <w:lang w:val="en-GB"/>
        </w:rPr>
      </w:pPr>
      <w:r w:rsidRPr="003569BE">
        <w:rPr>
          <w:rFonts w:cs="Times New Roman"/>
          <w:szCs w:val="24"/>
          <w:lang w:val="en-GB"/>
        </w:rPr>
        <w:t xml:space="preserve">The first step of the Jones (1991) model is to calculate </w:t>
      </w:r>
      <w:r w:rsidR="00AF0DAA" w:rsidRPr="003569BE">
        <w:rPr>
          <w:rFonts w:cs="Times New Roman"/>
          <w:szCs w:val="24"/>
          <w:lang w:val="en-GB"/>
        </w:rPr>
        <w:t xml:space="preserve">the </w:t>
      </w:r>
      <w:r w:rsidR="007D7CCE" w:rsidRPr="003569BE">
        <w:rPr>
          <w:rFonts w:cs="Times New Roman"/>
          <w:szCs w:val="24"/>
          <w:lang w:val="en-GB"/>
        </w:rPr>
        <w:t>total accruals, as follows:</w:t>
      </w:r>
    </w:p>
    <w:p w:rsidR="00FA4FAF" w:rsidRPr="003569BE" w:rsidRDefault="00FA4FAF" w:rsidP="00FA4FAF">
      <w:pPr>
        <w:jc w:val="center"/>
        <w:rPr>
          <w:rFonts w:cs="Times New Roman"/>
          <w:i/>
          <w:szCs w:val="24"/>
          <w:lang w:val="en-GB"/>
        </w:rPr>
      </w:pPr>
      <w:r w:rsidRPr="003569BE">
        <w:rPr>
          <w:rFonts w:cs="Times New Roman"/>
          <w:i/>
          <w:szCs w:val="24"/>
          <w:lang w:val="en-GB"/>
        </w:rPr>
        <w:t>TA</w:t>
      </w:r>
      <w:r w:rsidRPr="003569BE">
        <w:rPr>
          <w:rFonts w:cs="Times New Roman"/>
          <w:i/>
          <w:szCs w:val="24"/>
          <w:vertAlign w:val="subscript"/>
          <w:lang w:val="en-GB"/>
        </w:rPr>
        <w:t>it</w:t>
      </w:r>
      <w:r w:rsidRPr="003569BE">
        <w:rPr>
          <w:rFonts w:cs="Times New Roman"/>
          <w:i/>
          <w:szCs w:val="24"/>
          <w:lang w:val="en-GB"/>
        </w:rPr>
        <w:t xml:space="preserve"> = ΔCA</w:t>
      </w:r>
      <w:r w:rsidRPr="003569BE">
        <w:rPr>
          <w:rFonts w:cs="Times New Roman"/>
          <w:i/>
          <w:szCs w:val="24"/>
          <w:vertAlign w:val="subscript"/>
          <w:lang w:val="en-GB"/>
        </w:rPr>
        <w:t>it</w:t>
      </w:r>
      <w:r w:rsidRPr="003569BE">
        <w:rPr>
          <w:rFonts w:cs="Times New Roman"/>
          <w:i/>
          <w:szCs w:val="24"/>
          <w:lang w:val="en-GB"/>
        </w:rPr>
        <w:t xml:space="preserve"> – ΔCL</w:t>
      </w:r>
      <w:r w:rsidRPr="003569BE">
        <w:rPr>
          <w:rFonts w:cs="Times New Roman"/>
          <w:i/>
          <w:szCs w:val="24"/>
          <w:vertAlign w:val="subscript"/>
          <w:lang w:val="en-GB"/>
        </w:rPr>
        <w:t>it</w:t>
      </w:r>
      <w:r w:rsidRPr="003569BE">
        <w:rPr>
          <w:rFonts w:cs="Times New Roman"/>
          <w:i/>
          <w:szCs w:val="24"/>
          <w:lang w:val="en-GB"/>
        </w:rPr>
        <w:t xml:space="preserve"> – ΔCASH</w:t>
      </w:r>
      <w:r w:rsidRPr="003569BE">
        <w:rPr>
          <w:rFonts w:cs="Times New Roman"/>
          <w:i/>
          <w:szCs w:val="24"/>
          <w:vertAlign w:val="subscript"/>
          <w:lang w:val="en-GB"/>
        </w:rPr>
        <w:t>it</w:t>
      </w:r>
      <w:r w:rsidRPr="003569BE">
        <w:rPr>
          <w:rFonts w:cs="Times New Roman"/>
          <w:i/>
          <w:szCs w:val="24"/>
          <w:lang w:val="en-GB"/>
        </w:rPr>
        <w:t xml:space="preserve"> + ΔCPLTD</w:t>
      </w:r>
      <w:r w:rsidRPr="003569BE">
        <w:rPr>
          <w:rFonts w:cs="Times New Roman"/>
          <w:i/>
          <w:szCs w:val="24"/>
          <w:vertAlign w:val="subscript"/>
          <w:lang w:val="en-GB"/>
        </w:rPr>
        <w:t>it</w:t>
      </w:r>
      <w:r w:rsidRPr="003569BE">
        <w:rPr>
          <w:rFonts w:cs="Times New Roman"/>
          <w:i/>
          <w:szCs w:val="24"/>
          <w:lang w:val="en-GB"/>
        </w:rPr>
        <w:t xml:space="preserve"> – DEPN</w:t>
      </w:r>
      <w:r w:rsidRPr="003569BE">
        <w:rPr>
          <w:rFonts w:cs="Times New Roman"/>
          <w:i/>
          <w:szCs w:val="24"/>
          <w:vertAlign w:val="subscript"/>
          <w:lang w:val="en-GB"/>
        </w:rPr>
        <w:t>it</w:t>
      </w:r>
      <w:r w:rsidR="0081163A" w:rsidRPr="003569BE">
        <w:rPr>
          <w:rFonts w:cs="Times New Roman"/>
          <w:i/>
          <w:szCs w:val="24"/>
          <w:vertAlign w:val="subscript"/>
          <w:lang w:val="en-GB"/>
        </w:rPr>
        <w:t xml:space="preserve">                   </w:t>
      </w:r>
      <w:r w:rsidR="0081163A" w:rsidRPr="003569BE">
        <w:rPr>
          <w:rFonts w:cs="Times New Roman"/>
          <w:i/>
          <w:szCs w:val="24"/>
          <w:lang w:val="en-GB"/>
        </w:rPr>
        <w:t xml:space="preserve">          (1)      </w:t>
      </w:r>
    </w:p>
    <w:p w:rsidR="00FA4FAF" w:rsidRPr="003569BE" w:rsidRDefault="00FA4FAF" w:rsidP="00FA4FAF">
      <w:pPr>
        <w:rPr>
          <w:rFonts w:cs="Times New Roman"/>
          <w:szCs w:val="24"/>
          <w:lang w:val="en-GB"/>
        </w:rPr>
      </w:pPr>
      <w:r w:rsidRPr="003569BE">
        <w:rPr>
          <w:rFonts w:cs="Times New Roman"/>
          <w:szCs w:val="24"/>
          <w:lang w:val="en-GB"/>
        </w:rPr>
        <w:t>Where:</w:t>
      </w:r>
    </w:p>
    <w:p w:rsidR="00FA4FAF" w:rsidRPr="003569BE" w:rsidRDefault="00FA4FAF" w:rsidP="00480F8F">
      <w:pPr>
        <w:spacing w:after="0" w:line="360" w:lineRule="auto"/>
        <w:rPr>
          <w:rFonts w:cs="Times New Roman"/>
          <w:szCs w:val="24"/>
          <w:lang w:val="en-GB"/>
        </w:rPr>
      </w:pPr>
      <w:r w:rsidRPr="003569BE">
        <w:rPr>
          <w:rFonts w:cs="Times New Roman"/>
          <w:szCs w:val="24"/>
          <w:lang w:val="en-GB"/>
        </w:rPr>
        <w:t>TA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total accruals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FA4FAF" w:rsidRPr="003569BE" w:rsidRDefault="00FA4FAF" w:rsidP="00480F8F">
      <w:pPr>
        <w:spacing w:after="0" w:line="360" w:lineRule="auto"/>
        <w:rPr>
          <w:rFonts w:cs="Times New Roman"/>
          <w:szCs w:val="24"/>
          <w:lang w:val="en-GB"/>
        </w:rPr>
      </w:pPr>
      <w:r w:rsidRPr="003569BE">
        <w:rPr>
          <w:rFonts w:cs="Times New Roman"/>
          <w:szCs w:val="24"/>
          <w:lang w:val="en-GB"/>
        </w:rPr>
        <w:t>ΔCA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change in current assets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FA4FAF" w:rsidRPr="003569BE" w:rsidRDefault="00FA4FAF" w:rsidP="00480F8F">
      <w:pPr>
        <w:spacing w:after="0" w:line="360" w:lineRule="auto"/>
        <w:rPr>
          <w:rFonts w:cs="Times New Roman"/>
          <w:szCs w:val="24"/>
          <w:lang w:val="en-GB"/>
        </w:rPr>
      </w:pPr>
      <w:r w:rsidRPr="003569BE">
        <w:rPr>
          <w:rFonts w:cs="Times New Roman"/>
          <w:szCs w:val="24"/>
          <w:lang w:val="en-GB"/>
        </w:rPr>
        <w:t>ΔCL</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i/>
          <w:szCs w:val="24"/>
          <w:lang w:val="en-GB"/>
        </w:rPr>
        <w:tab/>
      </w:r>
      <w:r w:rsidRPr="003569BE">
        <w:rPr>
          <w:rFonts w:cs="Times New Roman"/>
          <w:szCs w:val="24"/>
          <w:lang w:val="en-GB"/>
        </w:rPr>
        <w:t xml:space="preserve">= change in current liabilities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FA4FAF" w:rsidRPr="003569BE" w:rsidRDefault="00FA4FAF" w:rsidP="00480F8F">
      <w:pPr>
        <w:spacing w:after="0" w:line="360" w:lineRule="auto"/>
        <w:rPr>
          <w:rFonts w:cs="Times New Roman"/>
          <w:szCs w:val="24"/>
          <w:lang w:val="en-GB"/>
        </w:rPr>
      </w:pPr>
      <w:r w:rsidRPr="003569BE">
        <w:rPr>
          <w:rFonts w:cs="Times New Roman"/>
          <w:szCs w:val="24"/>
          <w:lang w:val="en-GB"/>
        </w:rPr>
        <w:lastRenderedPageBreak/>
        <w:t>ΔCASH</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szCs w:val="24"/>
          <w:lang w:val="en-GB"/>
        </w:rPr>
        <w:t xml:space="preserve">= change in cash and marketable securities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FA4FAF" w:rsidRPr="003569BE" w:rsidRDefault="00FA4FAF" w:rsidP="00480F8F">
      <w:pPr>
        <w:spacing w:after="0" w:line="360" w:lineRule="auto"/>
        <w:rPr>
          <w:rFonts w:cs="Times New Roman"/>
          <w:szCs w:val="24"/>
          <w:lang w:val="en-GB"/>
        </w:rPr>
      </w:pPr>
      <w:r w:rsidRPr="003569BE">
        <w:rPr>
          <w:rFonts w:cs="Times New Roman"/>
          <w:szCs w:val="24"/>
          <w:lang w:val="en-GB"/>
        </w:rPr>
        <w:t>ΔCPLTD</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t xml:space="preserve">= change in current portion of long-term debt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FA4FAF" w:rsidRPr="003569BE" w:rsidRDefault="00FA4FAF" w:rsidP="00FC0EF3">
      <w:pPr>
        <w:spacing w:line="360" w:lineRule="auto"/>
        <w:rPr>
          <w:rFonts w:cs="Times New Roman"/>
          <w:szCs w:val="24"/>
          <w:lang w:val="en-GB"/>
        </w:rPr>
      </w:pPr>
      <w:r w:rsidRPr="003569BE">
        <w:rPr>
          <w:rFonts w:cs="Times New Roman"/>
          <w:szCs w:val="24"/>
          <w:lang w:val="en-GB"/>
        </w:rPr>
        <w:t>DEPN</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szCs w:val="24"/>
          <w:lang w:val="en-GB"/>
        </w:rPr>
        <w:t xml:space="preserve">= depreciation and amortization expense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720C46" w:rsidRPr="003569BE" w:rsidRDefault="00720C46" w:rsidP="00720C46">
      <w:pPr>
        <w:spacing w:line="360" w:lineRule="auto"/>
        <w:rPr>
          <w:rFonts w:cs="Times New Roman"/>
          <w:szCs w:val="24"/>
          <w:lang w:val="en-GB"/>
        </w:rPr>
      </w:pPr>
      <w:r w:rsidRPr="003569BE">
        <w:rPr>
          <w:rFonts w:cs="Times New Roman"/>
          <w:szCs w:val="24"/>
          <w:lang w:val="en-GB"/>
        </w:rPr>
        <w:t>The second step is to estimate the coefficients b</w:t>
      </w:r>
      <w:r w:rsidR="00071A71" w:rsidRPr="003569BE">
        <w:rPr>
          <w:rFonts w:cs="Times New Roman"/>
          <w:szCs w:val="24"/>
          <w:vertAlign w:val="subscript"/>
          <w:lang w:val="en-GB"/>
        </w:rPr>
        <w:t>0</w:t>
      </w:r>
      <w:r w:rsidRPr="003569BE">
        <w:rPr>
          <w:rFonts w:cs="Times New Roman"/>
          <w:szCs w:val="24"/>
          <w:lang w:val="en-GB"/>
        </w:rPr>
        <w:t>, b</w:t>
      </w:r>
      <w:r w:rsidR="00071A71" w:rsidRPr="003569BE">
        <w:rPr>
          <w:rFonts w:cs="Times New Roman"/>
          <w:szCs w:val="24"/>
          <w:vertAlign w:val="subscript"/>
          <w:lang w:val="en-GB"/>
        </w:rPr>
        <w:t>1</w:t>
      </w:r>
      <w:r w:rsidRPr="003569BE">
        <w:rPr>
          <w:rFonts w:cs="Times New Roman"/>
          <w:szCs w:val="24"/>
          <w:lang w:val="en-GB"/>
        </w:rPr>
        <w:t xml:space="preserve"> and b</w:t>
      </w:r>
      <w:r w:rsidR="00071A71" w:rsidRPr="003569BE">
        <w:rPr>
          <w:rFonts w:cs="Times New Roman"/>
          <w:szCs w:val="24"/>
          <w:vertAlign w:val="subscript"/>
          <w:lang w:val="en-GB"/>
        </w:rPr>
        <w:t>2</w:t>
      </w:r>
      <w:r w:rsidRPr="003569BE">
        <w:rPr>
          <w:rFonts w:cs="Times New Roman"/>
          <w:szCs w:val="24"/>
          <w:lang w:val="en-GB"/>
        </w:rPr>
        <w:t xml:space="preserve"> </w:t>
      </w:r>
      <w:r w:rsidR="00AF0DAA" w:rsidRPr="003569BE">
        <w:rPr>
          <w:rFonts w:cs="Times New Roman"/>
          <w:szCs w:val="24"/>
          <w:lang w:val="en-GB"/>
        </w:rPr>
        <w:t xml:space="preserve">based on the next </w:t>
      </w:r>
      <w:r w:rsidRPr="003569BE">
        <w:rPr>
          <w:rFonts w:cs="Times New Roman"/>
          <w:szCs w:val="24"/>
          <w:lang w:val="en-GB"/>
        </w:rPr>
        <w:t>equation:</w:t>
      </w:r>
    </w:p>
    <w:p w:rsidR="000221E2" w:rsidRPr="003569BE" w:rsidRDefault="00987B7F" w:rsidP="00987B7F">
      <w:pPr>
        <w:spacing w:line="360" w:lineRule="auto"/>
        <w:jc w:val="center"/>
        <w:rPr>
          <w:rFonts w:cs="Times New Roman"/>
          <w:i/>
          <w:szCs w:val="24"/>
          <w:lang w:val="en-GB"/>
        </w:rPr>
      </w:pPr>
      <w:r w:rsidRPr="003569BE">
        <w:rPr>
          <w:rFonts w:cs="Times New Roman"/>
          <w:i/>
          <w:szCs w:val="24"/>
          <w:lang w:val="en-GB"/>
        </w:rPr>
        <w:t>TA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w:t>
      </w:r>
      <w:r w:rsidR="00071A71" w:rsidRPr="003569BE">
        <w:rPr>
          <w:rFonts w:cs="Times New Roman"/>
          <w:i/>
          <w:szCs w:val="24"/>
          <w:lang w:val="en-GB"/>
        </w:rPr>
        <w:t>b</w:t>
      </w:r>
      <w:r w:rsidR="00071A71" w:rsidRPr="003569BE">
        <w:rPr>
          <w:rFonts w:cs="Times New Roman"/>
          <w:i/>
          <w:szCs w:val="24"/>
          <w:vertAlign w:val="subscript"/>
          <w:lang w:val="en-GB"/>
        </w:rPr>
        <w:t>0</w:t>
      </w:r>
      <w:r w:rsidRPr="003569BE">
        <w:rPr>
          <w:rFonts w:cs="Times New Roman"/>
          <w:i/>
          <w:szCs w:val="24"/>
          <w:lang w:val="en-GB"/>
        </w:rPr>
        <w:t xml:space="preserve"> [1/A</w:t>
      </w:r>
      <w:r w:rsidRPr="003569BE">
        <w:rPr>
          <w:rFonts w:cs="Times New Roman"/>
          <w:i/>
          <w:szCs w:val="24"/>
          <w:vertAlign w:val="subscript"/>
          <w:lang w:val="en-GB"/>
        </w:rPr>
        <w:t>it-1</w:t>
      </w:r>
      <w:r w:rsidRPr="003569BE">
        <w:rPr>
          <w:rFonts w:cs="Times New Roman"/>
          <w:i/>
          <w:szCs w:val="24"/>
          <w:lang w:val="en-GB"/>
        </w:rPr>
        <w:t xml:space="preserve">] + </w:t>
      </w:r>
      <w:r w:rsidR="00071A71" w:rsidRPr="003569BE">
        <w:rPr>
          <w:rFonts w:cs="Times New Roman"/>
          <w:i/>
          <w:szCs w:val="24"/>
          <w:lang w:val="en-GB"/>
        </w:rPr>
        <w:t>b</w:t>
      </w:r>
      <w:r w:rsidR="00071A71" w:rsidRPr="003569BE">
        <w:rPr>
          <w:rFonts w:cs="Times New Roman"/>
          <w:i/>
          <w:szCs w:val="24"/>
          <w:vertAlign w:val="subscript"/>
          <w:lang w:val="en-GB"/>
        </w:rPr>
        <w:t>1</w:t>
      </w:r>
      <w:r w:rsidRPr="003569BE">
        <w:rPr>
          <w:rFonts w:cs="Times New Roman"/>
          <w:i/>
          <w:szCs w:val="24"/>
          <w:vertAlign w:val="subscript"/>
          <w:lang w:val="en-GB"/>
        </w:rPr>
        <w:t xml:space="preserve"> </w:t>
      </w:r>
      <w:r w:rsidRPr="003569BE">
        <w:rPr>
          <w:rFonts w:cs="Times New Roman"/>
          <w:i/>
          <w:szCs w:val="24"/>
          <w:lang w:val="en-GB"/>
        </w:rPr>
        <w:t>[ΔREV</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xml:space="preserve">] + </w:t>
      </w:r>
      <w:r w:rsidR="00071A71" w:rsidRPr="003569BE">
        <w:rPr>
          <w:rFonts w:cs="Times New Roman"/>
          <w:i/>
          <w:szCs w:val="24"/>
          <w:lang w:val="en-GB"/>
        </w:rPr>
        <w:t>b</w:t>
      </w:r>
      <w:r w:rsidR="00071A71" w:rsidRPr="003569BE">
        <w:rPr>
          <w:rFonts w:cs="Times New Roman"/>
          <w:i/>
          <w:szCs w:val="24"/>
          <w:vertAlign w:val="subscript"/>
          <w:lang w:val="en-GB"/>
        </w:rPr>
        <w:t>2</w:t>
      </w:r>
      <w:r w:rsidRPr="003569BE">
        <w:rPr>
          <w:rFonts w:cs="Times New Roman"/>
          <w:i/>
          <w:szCs w:val="24"/>
          <w:lang w:val="en-GB"/>
        </w:rPr>
        <w:t xml:space="preserve"> [PPE</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 ε</w:t>
      </w:r>
      <w:r w:rsidRPr="003569BE">
        <w:rPr>
          <w:rFonts w:cs="Times New Roman"/>
          <w:i/>
          <w:szCs w:val="24"/>
          <w:vertAlign w:val="subscript"/>
          <w:lang w:val="en-GB"/>
        </w:rPr>
        <w:t>it</w:t>
      </w:r>
      <w:r w:rsidR="0081163A" w:rsidRPr="003569BE">
        <w:rPr>
          <w:rFonts w:cs="Times New Roman"/>
          <w:i/>
          <w:szCs w:val="24"/>
          <w:lang w:val="en-GB"/>
        </w:rPr>
        <w:t xml:space="preserve">              (2)</w:t>
      </w:r>
    </w:p>
    <w:p w:rsidR="00987B7F" w:rsidRPr="003569BE" w:rsidRDefault="00987B7F" w:rsidP="00987B7F">
      <w:pPr>
        <w:spacing w:line="360" w:lineRule="auto"/>
        <w:rPr>
          <w:rFonts w:cs="Times New Roman"/>
          <w:szCs w:val="24"/>
          <w:lang w:val="en-GB"/>
        </w:rPr>
      </w:pPr>
      <w:r w:rsidRPr="003569BE">
        <w:rPr>
          <w:rFonts w:cs="Times New Roman"/>
          <w:szCs w:val="24"/>
          <w:lang w:val="en-GB"/>
        </w:rPr>
        <w:t>Where:</w:t>
      </w:r>
    </w:p>
    <w:p w:rsidR="00987B7F" w:rsidRPr="003569BE" w:rsidRDefault="00987B7F" w:rsidP="00462A08">
      <w:pPr>
        <w:tabs>
          <w:tab w:val="left" w:pos="142"/>
          <w:tab w:val="left" w:pos="1418"/>
        </w:tabs>
        <w:spacing w:after="0" w:line="360" w:lineRule="auto"/>
        <w:rPr>
          <w:rFonts w:cs="Times New Roman"/>
          <w:szCs w:val="24"/>
          <w:lang w:val="en-GB"/>
        </w:rPr>
      </w:pPr>
      <w:r w:rsidRPr="003569BE">
        <w:rPr>
          <w:rFonts w:cs="Times New Roman"/>
          <w:szCs w:val="24"/>
          <w:lang w:val="en-GB"/>
        </w:rPr>
        <w:t>TA</w:t>
      </w:r>
      <w:r w:rsidRPr="003569BE">
        <w:rPr>
          <w:rFonts w:cs="Times New Roman"/>
          <w:szCs w:val="24"/>
          <w:vertAlign w:val="subscript"/>
          <w:lang w:val="en-GB"/>
        </w:rPr>
        <w:t>it</w:t>
      </w:r>
      <w:r w:rsidRPr="003569BE">
        <w:rPr>
          <w:rFonts w:cs="Times New Roman"/>
          <w:szCs w:val="24"/>
          <w:lang w:val="en-GB"/>
        </w:rPr>
        <w:t xml:space="preserve"> </w:t>
      </w:r>
      <w:r w:rsidR="00462A08" w:rsidRPr="003569BE">
        <w:rPr>
          <w:rFonts w:cs="Times New Roman"/>
          <w:szCs w:val="24"/>
          <w:lang w:val="en-GB"/>
        </w:rPr>
        <w:tab/>
      </w:r>
      <w:r w:rsidRPr="003569BE">
        <w:rPr>
          <w:rFonts w:cs="Times New Roman"/>
          <w:szCs w:val="24"/>
          <w:lang w:val="en-GB"/>
        </w:rPr>
        <w:t xml:space="preserve">= total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987B7F" w:rsidRPr="003569BE" w:rsidRDefault="00987B7F" w:rsidP="00462A08">
      <w:pPr>
        <w:tabs>
          <w:tab w:val="left" w:pos="1418"/>
        </w:tabs>
        <w:spacing w:after="0" w:line="360" w:lineRule="auto"/>
        <w:rPr>
          <w:rFonts w:cs="Times New Roman"/>
          <w:szCs w:val="24"/>
          <w:lang w:val="en-GB"/>
        </w:rPr>
      </w:pPr>
      <w:r w:rsidRPr="003569BE">
        <w:rPr>
          <w:rFonts w:cs="Times New Roman"/>
          <w:szCs w:val="24"/>
          <w:lang w:val="en-GB"/>
        </w:rPr>
        <w:t>ΔREV</w:t>
      </w:r>
      <w:r w:rsidRPr="003569BE">
        <w:rPr>
          <w:rFonts w:cs="Times New Roman"/>
          <w:szCs w:val="24"/>
          <w:vertAlign w:val="subscript"/>
          <w:lang w:val="en-GB"/>
        </w:rPr>
        <w:t>it</w:t>
      </w:r>
      <w:r w:rsidRPr="003569BE">
        <w:rPr>
          <w:rFonts w:cs="Times New Roman"/>
          <w:szCs w:val="24"/>
          <w:lang w:val="en-GB"/>
        </w:rPr>
        <w:t xml:space="preserve"> </w:t>
      </w:r>
      <w:r w:rsidR="00462A08" w:rsidRPr="003569BE">
        <w:rPr>
          <w:rFonts w:cs="Times New Roman"/>
          <w:szCs w:val="24"/>
          <w:lang w:val="en-GB"/>
        </w:rPr>
        <w:tab/>
      </w:r>
      <w:r w:rsidRPr="003569BE">
        <w:rPr>
          <w:rFonts w:cs="Times New Roman"/>
          <w:szCs w:val="24"/>
          <w:lang w:val="en-GB"/>
        </w:rPr>
        <w:t xml:space="preserve">= change in revenues, i.e. revenues in year </w:t>
      </w:r>
      <w:r w:rsidRPr="003569BE">
        <w:rPr>
          <w:rFonts w:cs="Times New Roman"/>
          <w:i/>
          <w:szCs w:val="24"/>
          <w:lang w:val="en-GB"/>
        </w:rPr>
        <w:t>t</w:t>
      </w:r>
      <w:r w:rsidRPr="003569BE">
        <w:rPr>
          <w:rFonts w:cs="Times New Roman"/>
          <w:szCs w:val="24"/>
          <w:lang w:val="en-GB"/>
        </w:rPr>
        <w:t xml:space="preserve"> less revenues in year </w:t>
      </w:r>
      <w:r w:rsidRPr="003569BE">
        <w:rPr>
          <w:rFonts w:cs="Times New Roman"/>
          <w:i/>
          <w:szCs w:val="24"/>
          <w:lang w:val="en-GB"/>
        </w:rPr>
        <w:t>t-1</w:t>
      </w:r>
      <w:r w:rsidR="00C66F0A" w:rsidRPr="003569BE">
        <w:rPr>
          <w:rFonts w:cs="Times New Roman"/>
          <w:szCs w:val="24"/>
          <w:lang w:val="en-GB"/>
        </w:rPr>
        <w:t xml:space="preserve"> for firm </w:t>
      </w:r>
      <w:r w:rsidR="00C66F0A" w:rsidRPr="003569BE">
        <w:rPr>
          <w:rFonts w:cs="Times New Roman"/>
          <w:i/>
          <w:szCs w:val="24"/>
          <w:lang w:val="en-GB"/>
        </w:rPr>
        <w:t>i</w:t>
      </w:r>
      <w:r w:rsidRPr="003569BE">
        <w:rPr>
          <w:rFonts w:cs="Times New Roman"/>
          <w:szCs w:val="24"/>
          <w:lang w:val="en-GB"/>
        </w:rPr>
        <w:t>;</w:t>
      </w:r>
    </w:p>
    <w:p w:rsidR="00920535" w:rsidRPr="003569BE" w:rsidRDefault="007B2E6A" w:rsidP="00462A08">
      <w:pPr>
        <w:tabs>
          <w:tab w:val="left" w:pos="1276"/>
        </w:tabs>
        <w:spacing w:after="0" w:line="360" w:lineRule="auto"/>
        <w:rPr>
          <w:rFonts w:cs="Times New Roman"/>
          <w:szCs w:val="24"/>
          <w:lang w:val="en-GB"/>
        </w:rPr>
      </w:pPr>
      <w:r w:rsidRPr="003569BE">
        <w:rPr>
          <w:rFonts w:cs="Times New Roman"/>
          <w:szCs w:val="24"/>
          <w:lang w:val="en-GB"/>
        </w:rPr>
        <w:t>PPE</w:t>
      </w:r>
      <w:r w:rsidRPr="003569BE">
        <w:rPr>
          <w:rFonts w:cs="Times New Roman"/>
          <w:szCs w:val="24"/>
          <w:vertAlign w:val="subscript"/>
          <w:lang w:val="en-GB"/>
        </w:rPr>
        <w:t>it</w:t>
      </w:r>
      <w:r w:rsidRPr="003569BE">
        <w:rPr>
          <w:rFonts w:cs="Times New Roman"/>
          <w:szCs w:val="24"/>
          <w:lang w:val="en-GB"/>
        </w:rPr>
        <w:t xml:space="preserve"> </w:t>
      </w:r>
      <w:r w:rsidR="00462A08" w:rsidRPr="003569BE">
        <w:rPr>
          <w:rFonts w:cs="Times New Roman"/>
          <w:szCs w:val="24"/>
          <w:lang w:val="en-GB"/>
        </w:rPr>
        <w:tab/>
      </w:r>
      <w:r w:rsidR="00462A08" w:rsidRPr="003569BE">
        <w:rPr>
          <w:rFonts w:cs="Times New Roman"/>
          <w:szCs w:val="24"/>
          <w:lang w:val="en-GB"/>
        </w:rPr>
        <w:tab/>
      </w:r>
      <w:r w:rsidRPr="003569BE">
        <w:rPr>
          <w:rFonts w:cs="Times New Roman"/>
          <w:szCs w:val="24"/>
          <w:lang w:val="en-GB"/>
        </w:rPr>
        <w:t xml:space="preserve">= gross property, plant and equipment in year </w:t>
      </w:r>
      <w:r w:rsidRPr="003569BE">
        <w:rPr>
          <w:rFonts w:cs="Times New Roman"/>
          <w:i/>
          <w:szCs w:val="24"/>
          <w:lang w:val="en-GB"/>
        </w:rPr>
        <w:t xml:space="preserve">t </w:t>
      </w:r>
      <w:r w:rsidRPr="003569BE">
        <w:rPr>
          <w:rFonts w:cs="Times New Roman"/>
          <w:szCs w:val="24"/>
          <w:lang w:val="en-GB"/>
        </w:rPr>
        <w:t xml:space="preserve">for firm </w:t>
      </w:r>
      <w:r w:rsidRPr="003569BE">
        <w:rPr>
          <w:rFonts w:cs="Times New Roman"/>
          <w:i/>
          <w:szCs w:val="24"/>
          <w:lang w:val="en-GB"/>
        </w:rPr>
        <w:t>i</w:t>
      </w:r>
      <w:r w:rsidRPr="003569BE">
        <w:rPr>
          <w:rFonts w:cs="Times New Roman"/>
          <w:szCs w:val="24"/>
          <w:lang w:val="en-GB"/>
        </w:rPr>
        <w:t>;</w:t>
      </w:r>
    </w:p>
    <w:p w:rsidR="007B2E6A" w:rsidRPr="003569BE" w:rsidRDefault="007B2E6A" w:rsidP="00462A08">
      <w:pPr>
        <w:tabs>
          <w:tab w:val="left" w:pos="1418"/>
        </w:tabs>
        <w:spacing w:after="0" w:line="360" w:lineRule="auto"/>
        <w:rPr>
          <w:rFonts w:cs="Times New Roman"/>
          <w:szCs w:val="24"/>
          <w:lang w:val="en-GB"/>
        </w:rPr>
      </w:pPr>
      <w:r w:rsidRPr="003569BE">
        <w:rPr>
          <w:rFonts w:cs="Times New Roman"/>
          <w:szCs w:val="24"/>
          <w:lang w:val="en-GB"/>
        </w:rPr>
        <w:t>A</w:t>
      </w:r>
      <w:r w:rsidRPr="003569BE">
        <w:rPr>
          <w:rFonts w:cs="Times New Roman"/>
          <w:szCs w:val="24"/>
          <w:vertAlign w:val="subscript"/>
          <w:lang w:val="en-GB"/>
        </w:rPr>
        <w:t>it-1</w:t>
      </w:r>
      <w:r w:rsidR="00462A08" w:rsidRPr="003569BE">
        <w:rPr>
          <w:rFonts w:cs="Times New Roman"/>
          <w:szCs w:val="24"/>
          <w:vertAlign w:val="subscript"/>
          <w:lang w:val="en-GB"/>
        </w:rPr>
        <w:tab/>
      </w:r>
      <w:r w:rsidRPr="003569BE">
        <w:rPr>
          <w:rFonts w:cs="Times New Roman"/>
          <w:szCs w:val="24"/>
          <w:lang w:val="en-GB"/>
        </w:rPr>
        <w:t>= total assets in year</w:t>
      </w:r>
      <w:r w:rsidRPr="003569BE">
        <w:rPr>
          <w:rFonts w:cs="Times New Roman"/>
          <w:i/>
          <w:szCs w:val="24"/>
          <w:lang w:val="en-GB"/>
        </w:rPr>
        <w:t xml:space="preserve"> t-1</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0C2C73" w:rsidRPr="003569BE" w:rsidRDefault="007B2E6A" w:rsidP="000C2C73">
      <w:pPr>
        <w:spacing w:line="360" w:lineRule="auto"/>
        <w:rPr>
          <w:rFonts w:cs="Times New Roman"/>
          <w:szCs w:val="24"/>
          <w:lang w:val="en-GB"/>
        </w:rPr>
      </w:pPr>
      <w:r w:rsidRPr="003569BE">
        <w:rPr>
          <w:rFonts w:cs="Times New Roman"/>
          <w:szCs w:val="24"/>
          <w:lang w:val="en-GB"/>
        </w:rPr>
        <w:t>ε</w:t>
      </w:r>
      <w:r w:rsidRPr="003569BE">
        <w:rPr>
          <w:rFonts w:cs="Times New Roman"/>
          <w:szCs w:val="24"/>
          <w:vertAlign w:val="subscript"/>
          <w:lang w:val="en-GB"/>
        </w:rPr>
        <w:t>it</w:t>
      </w:r>
      <w:r w:rsidRPr="003569BE">
        <w:rPr>
          <w:rFonts w:cs="Times New Roman"/>
          <w:szCs w:val="24"/>
          <w:lang w:val="en-GB"/>
        </w:rPr>
        <w:t xml:space="preserve"> </w:t>
      </w:r>
      <w:r w:rsidR="00462A08" w:rsidRPr="003569BE">
        <w:rPr>
          <w:rFonts w:cs="Times New Roman"/>
          <w:szCs w:val="24"/>
          <w:lang w:val="en-GB"/>
        </w:rPr>
        <w:tab/>
      </w:r>
      <w:r w:rsidR="00462A08" w:rsidRPr="003569BE">
        <w:rPr>
          <w:rFonts w:cs="Times New Roman"/>
          <w:szCs w:val="24"/>
          <w:lang w:val="en-GB"/>
        </w:rPr>
        <w:tab/>
      </w:r>
      <w:r w:rsidRPr="003569BE">
        <w:rPr>
          <w:rFonts w:cs="Times New Roman"/>
          <w:szCs w:val="24"/>
          <w:lang w:val="en-GB"/>
        </w:rPr>
        <w:t xml:space="preserve">= error term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7B2E6A" w:rsidRPr="003569BE" w:rsidRDefault="000C2C73" w:rsidP="006269DF">
      <w:pPr>
        <w:spacing w:line="360" w:lineRule="auto"/>
        <w:rPr>
          <w:rFonts w:cs="Times New Roman"/>
          <w:szCs w:val="24"/>
          <w:lang w:val="en-GB"/>
        </w:rPr>
      </w:pPr>
      <w:r w:rsidRPr="003569BE">
        <w:rPr>
          <w:rFonts w:cs="Times New Roman"/>
          <w:szCs w:val="24"/>
          <w:lang w:val="en-GB"/>
        </w:rPr>
        <w:t>In this equation, total accruals, i.e. TA, includes changes in working capital accounts, e.g. accounts receivable</w:t>
      </w:r>
      <w:r w:rsidR="00AF0DAA" w:rsidRPr="003569BE">
        <w:rPr>
          <w:rFonts w:cs="Times New Roman"/>
          <w:szCs w:val="24"/>
          <w:lang w:val="en-GB"/>
        </w:rPr>
        <w:t xml:space="preserve"> and </w:t>
      </w:r>
      <w:r w:rsidRPr="003569BE">
        <w:rPr>
          <w:rFonts w:cs="Times New Roman"/>
          <w:szCs w:val="24"/>
          <w:lang w:val="en-GB"/>
        </w:rPr>
        <w:t>accounts payable. To control for variability in the firm’s economic environment changes, Jones includes revenues in the model, i.e. ΔREV</w:t>
      </w:r>
      <w:r w:rsidR="00DF4585" w:rsidRPr="003569BE">
        <w:rPr>
          <w:rFonts w:cs="Times New Roman"/>
          <w:szCs w:val="24"/>
          <w:lang w:val="en-GB"/>
        </w:rPr>
        <w:t xml:space="preserve"> </w:t>
      </w:r>
      <w:sdt>
        <w:sdtPr>
          <w:rPr>
            <w:rFonts w:cs="Times New Roman"/>
            <w:szCs w:val="24"/>
            <w:lang w:val="en-GB"/>
          </w:rPr>
          <w:id w:val="174087040"/>
          <w:citation/>
        </w:sdtPr>
        <w:sdtContent>
          <w:r w:rsidR="000E4BAF" w:rsidRPr="003569BE">
            <w:rPr>
              <w:rFonts w:cs="Times New Roman"/>
              <w:szCs w:val="24"/>
              <w:lang w:val="en-GB"/>
            </w:rPr>
            <w:fldChar w:fldCharType="begin"/>
          </w:r>
          <w:r w:rsidR="00DF4585" w:rsidRPr="003569BE">
            <w:rPr>
              <w:rFonts w:cs="Times New Roman"/>
              <w:szCs w:val="24"/>
              <w:lang w:val="en-GB"/>
            </w:rPr>
            <w:instrText xml:space="preserve"> CITATION Jon91 \l 1033 </w:instrText>
          </w:r>
          <w:r w:rsidR="000E4BAF" w:rsidRPr="003569BE">
            <w:rPr>
              <w:rFonts w:cs="Times New Roman"/>
              <w:szCs w:val="24"/>
              <w:lang w:val="en-GB"/>
            </w:rPr>
            <w:fldChar w:fldCharType="separate"/>
          </w:r>
          <w:r w:rsidR="008F7EB3" w:rsidRPr="003569BE">
            <w:rPr>
              <w:rFonts w:cs="Times New Roman"/>
              <w:noProof/>
              <w:szCs w:val="24"/>
              <w:lang w:val="en-GB"/>
            </w:rPr>
            <w:t>(Jones, 1991)</w:t>
          </w:r>
          <w:r w:rsidR="000E4BAF" w:rsidRPr="003569BE">
            <w:rPr>
              <w:rFonts w:cs="Times New Roman"/>
              <w:szCs w:val="24"/>
              <w:lang w:val="en-GB"/>
            </w:rPr>
            <w:fldChar w:fldCharType="end"/>
          </w:r>
        </w:sdtContent>
      </w:sdt>
      <w:r w:rsidRPr="003569BE">
        <w:rPr>
          <w:rFonts w:cs="Times New Roman"/>
          <w:szCs w:val="24"/>
          <w:lang w:val="en-GB"/>
        </w:rPr>
        <w:t>.</w:t>
      </w:r>
    </w:p>
    <w:p w:rsidR="00486076" w:rsidRPr="003569BE" w:rsidRDefault="00AF0DAA" w:rsidP="006269DF">
      <w:pPr>
        <w:spacing w:line="360" w:lineRule="auto"/>
        <w:rPr>
          <w:rFonts w:cs="Times New Roman"/>
          <w:szCs w:val="24"/>
          <w:lang w:val="en-GB"/>
        </w:rPr>
      </w:pPr>
      <w:r w:rsidRPr="003569BE">
        <w:rPr>
          <w:rFonts w:cs="Times New Roman"/>
          <w:szCs w:val="24"/>
          <w:lang w:val="en-GB"/>
        </w:rPr>
        <w:t>The t</w:t>
      </w:r>
      <w:r w:rsidR="00486076" w:rsidRPr="003569BE">
        <w:rPr>
          <w:rFonts w:cs="Times New Roman"/>
          <w:szCs w:val="24"/>
          <w:lang w:val="en-GB"/>
        </w:rPr>
        <w:t xml:space="preserve">hird step in </w:t>
      </w:r>
      <w:r w:rsidRPr="003569BE">
        <w:rPr>
          <w:rFonts w:cs="Times New Roman"/>
          <w:szCs w:val="24"/>
          <w:lang w:val="en-GB"/>
        </w:rPr>
        <w:t xml:space="preserve">the </w:t>
      </w:r>
      <w:r w:rsidR="00486076" w:rsidRPr="003569BE">
        <w:rPr>
          <w:rFonts w:cs="Times New Roman"/>
          <w:szCs w:val="24"/>
          <w:lang w:val="en-GB"/>
        </w:rPr>
        <w:t>Jones (1991) model is to calculate the prediction error for estimating total accruals by using the estimates of the b</w:t>
      </w:r>
      <w:r w:rsidR="00486076" w:rsidRPr="003569BE">
        <w:rPr>
          <w:rFonts w:cs="Times New Roman"/>
          <w:szCs w:val="24"/>
          <w:vertAlign w:val="subscript"/>
          <w:lang w:val="en-GB"/>
        </w:rPr>
        <w:t>0</w:t>
      </w:r>
      <w:r w:rsidR="00486076" w:rsidRPr="003569BE">
        <w:rPr>
          <w:rFonts w:cs="Times New Roman"/>
          <w:szCs w:val="24"/>
          <w:lang w:val="en-GB"/>
        </w:rPr>
        <w:t>, b</w:t>
      </w:r>
      <w:r w:rsidR="00486076" w:rsidRPr="003569BE">
        <w:rPr>
          <w:rFonts w:cs="Times New Roman"/>
          <w:szCs w:val="24"/>
          <w:vertAlign w:val="subscript"/>
          <w:lang w:val="en-GB"/>
        </w:rPr>
        <w:t>1</w:t>
      </w:r>
      <w:r w:rsidR="00486076" w:rsidRPr="003569BE">
        <w:rPr>
          <w:rFonts w:cs="Times New Roman"/>
          <w:szCs w:val="24"/>
          <w:lang w:val="en-GB"/>
        </w:rPr>
        <w:t xml:space="preserve"> and b</w:t>
      </w:r>
      <w:r w:rsidR="00486076" w:rsidRPr="003569BE">
        <w:rPr>
          <w:rFonts w:cs="Times New Roman"/>
          <w:szCs w:val="24"/>
          <w:vertAlign w:val="subscript"/>
          <w:lang w:val="en-GB"/>
        </w:rPr>
        <w:t xml:space="preserve">2 </w:t>
      </w:r>
      <w:r w:rsidR="00486076" w:rsidRPr="003569BE">
        <w:rPr>
          <w:rFonts w:cs="Times New Roman"/>
          <w:szCs w:val="24"/>
          <w:lang w:val="en-GB"/>
        </w:rPr>
        <w:t>coefficients computed in the previous step</w:t>
      </w:r>
      <w:r w:rsidR="00C7052A" w:rsidRPr="003569BE">
        <w:rPr>
          <w:rFonts w:cs="Times New Roman"/>
          <w:szCs w:val="24"/>
          <w:lang w:val="en-GB"/>
        </w:rPr>
        <w:t xml:space="preserve"> as β</w:t>
      </w:r>
      <w:r w:rsidR="00C7052A" w:rsidRPr="003569BE">
        <w:rPr>
          <w:rFonts w:cs="Times New Roman"/>
          <w:szCs w:val="24"/>
          <w:vertAlign w:val="subscript"/>
          <w:lang w:val="en-GB"/>
        </w:rPr>
        <w:t>0</w:t>
      </w:r>
      <w:r w:rsidR="00C7052A" w:rsidRPr="003569BE">
        <w:rPr>
          <w:rFonts w:cs="Times New Roman"/>
          <w:szCs w:val="24"/>
          <w:lang w:val="en-GB"/>
        </w:rPr>
        <w:t>, β</w:t>
      </w:r>
      <w:r w:rsidR="00C7052A" w:rsidRPr="003569BE">
        <w:rPr>
          <w:rFonts w:cs="Times New Roman"/>
          <w:szCs w:val="24"/>
          <w:vertAlign w:val="subscript"/>
          <w:lang w:val="en-GB"/>
        </w:rPr>
        <w:t xml:space="preserve">1 </w:t>
      </w:r>
      <w:r w:rsidR="00C7052A" w:rsidRPr="003569BE">
        <w:rPr>
          <w:rFonts w:cs="Times New Roman"/>
          <w:szCs w:val="24"/>
          <w:lang w:val="en-GB"/>
        </w:rPr>
        <w:t>and β</w:t>
      </w:r>
      <w:r w:rsidR="00C7052A" w:rsidRPr="003569BE">
        <w:rPr>
          <w:rFonts w:cs="Times New Roman"/>
          <w:szCs w:val="24"/>
          <w:vertAlign w:val="subscript"/>
          <w:lang w:val="en-GB"/>
        </w:rPr>
        <w:t>2</w:t>
      </w:r>
      <w:r w:rsidR="00486076" w:rsidRPr="003569BE">
        <w:rPr>
          <w:rFonts w:cs="Times New Roman"/>
          <w:szCs w:val="24"/>
          <w:lang w:val="en-GB"/>
        </w:rPr>
        <w:t>:</w:t>
      </w:r>
    </w:p>
    <w:p w:rsidR="00D63373" w:rsidRPr="003569BE" w:rsidRDefault="00CE57AD" w:rsidP="00D63373">
      <w:pPr>
        <w:jc w:val="center"/>
        <w:rPr>
          <w:rFonts w:cs="Times New Roman"/>
          <w:i/>
          <w:szCs w:val="24"/>
          <w:lang w:val="en-GB"/>
        </w:rPr>
      </w:pPr>
      <w:r w:rsidRPr="003569BE">
        <w:rPr>
          <w:rFonts w:cs="Times New Roman"/>
          <w:i/>
          <w:szCs w:val="24"/>
          <w:lang w:val="en-GB"/>
        </w:rPr>
        <w:t>µ</w:t>
      </w:r>
      <w:r w:rsidRPr="003569BE">
        <w:rPr>
          <w:rFonts w:cs="Times New Roman"/>
          <w:i/>
          <w:szCs w:val="24"/>
          <w:vertAlign w:val="subscript"/>
          <w:lang w:val="en-GB"/>
        </w:rPr>
        <w:t>it</w:t>
      </w:r>
      <w:r w:rsidR="00D63373" w:rsidRPr="003569BE">
        <w:rPr>
          <w:rFonts w:cs="Times New Roman"/>
          <w:i/>
          <w:szCs w:val="24"/>
          <w:lang w:val="en-GB"/>
        </w:rPr>
        <w:t xml:space="preserve"> = TA</w:t>
      </w:r>
      <w:r w:rsidR="00D63373" w:rsidRPr="003569BE">
        <w:rPr>
          <w:rFonts w:cs="Times New Roman"/>
          <w:i/>
          <w:szCs w:val="24"/>
          <w:vertAlign w:val="subscript"/>
          <w:lang w:val="en-GB"/>
        </w:rPr>
        <w:t>it</w:t>
      </w:r>
      <w:r w:rsidR="00D63373" w:rsidRPr="003569BE">
        <w:rPr>
          <w:rFonts w:cs="Times New Roman"/>
          <w:i/>
          <w:szCs w:val="24"/>
          <w:lang w:val="en-GB"/>
        </w:rPr>
        <w:t>/A</w:t>
      </w:r>
      <w:r w:rsidR="00D63373" w:rsidRPr="003569BE">
        <w:rPr>
          <w:rFonts w:cs="Times New Roman"/>
          <w:i/>
          <w:szCs w:val="24"/>
          <w:vertAlign w:val="subscript"/>
          <w:lang w:val="en-GB"/>
        </w:rPr>
        <w:t>it-1</w:t>
      </w:r>
      <w:r w:rsidR="00D63373" w:rsidRPr="003569BE">
        <w:rPr>
          <w:rFonts w:cs="Times New Roman"/>
          <w:i/>
          <w:szCs w:val="24"/>
          <w:lang w:val="en-GB"/>
        </w:rPr>
        <w:t xml:space="preserve"> – [β</w:t>
      </w:r>
      <w:r w:rsidR="00D63373" w:rsidRPr="003569BE">
        <w:rPr>
          <w:rFonts w:cs="Times New Roman"/>
          <w:i/>
          <w:szCs w:val="24"/>
          <w:vertAlign w:val="subscript"/>
          <w:lang w:val="en-GB"/>
        </w:rPr>
        <w:t xml:space="preserve">0 </w:t>
      </w:r>
      <w:r w:rsidR="00D63373" w:rsidRPr="003569BE">
        <w:rPr>
          <w:rFonts w:cs="Times New Roman"/>
          <w:i/>
          <w:szCs w:val="24"/>
          <w:lang w:val="en-GB"/>
        </w:rPr>
        <w:t>(1/A</w:t>
      </w:r>
      <w:r w:rsidR="00D63373" w:rsidRPr="003569BE">
        <w:rPr>
          <w:rFonts w:cs="Times New Roman"/>
          <w:i/>
          <w:szCs w:val="24"/>
          <w:vertAlign w:val="subscript"/>
          <w:lang w:val="en-GB"/>
        </w:rPr>
        <w:t>it-1</w:t>
      </w:r>
      <w:r w:rsidR="00D63373" w:rsidRPr="003569BE">
        <w:rPr>
          <w:rFonts w:cs="Times New Roman"/>
          <w:i/>
          <w:szCs w:val="24"/>
          <w:lang w:val="en-GB"/>
        </w:rPr>
        <w:t>) + β</w:t>
      </w:r>
      <w:r w:rsidR="00D63373" w:rsidRPr="003569BE">
        <w:rPr>
          <w:rFonts w:cs="Times New Roman"/>
          <w:i/>
          <w:szCs w:val="24"/>
          <w:vertAlign w:val="subscript"/>
          <w:lang w:val="en-GB"/>
        </w:rPr>
        <w:t xml:space="preserve">1 </w:t>
      </w:r>
      <w:r w:rsidR="00D63373" w:rsidRPr="003569BE">
        <w:rPr>
          <w:rFonts w:cs="Times New Roman"/>
          <w:i/>
          <w:szCs w:val="24"/>
          <w:lang w:val="en-GB"/>
        </w:rPr>
        <w:t>(</w:t>
      </w:r>
      <w:r w:rsidR="004B6D1C" w:rsidRPr="003569BE">
        <w:rPr>
          <w:rFonts w:cs="Times New Roman"/>
          <w:i/>
          <w:szCs w:val="24"/>
          <w:lang w:val="en-GB"/>
        </w:rPr>
        <w:t>ΔREV</w:t>
      </w:r>
      <w:r w:rsidR="004B6D1C" w:rsidRPr="003569BE">
        <w:rPr>
          <w:rFonts w:cs="Times New Roman"/>
          <w:i/>
          <w:szCs w:val="24"/>
          <w:vertAlign w:val="subscript"/>
          <w:lang w:val="en-GB"/>
        </w:rPr>
        <w:t>it</w:t>
      </w:r>
      <w:r w:rsidR="004B6D1C" w:rsidRPr="003569BE">
        <w:rPr>
          <w:rFonts w:cs="Times New Roman"/>
          <w:i/>
          <w:szCs w:val="24"/>
          <w:lang w:val="en-GB"/>
        </w:rPr>
        <w:t>/A</w:t>
      </w:r>
      <w:r w:rsidR="004B6D1C" w:rsidRPr="003569BE">
        <w:rPr>
          <w:rFonts w:cs="Times New Roman"/>
          <w:i/>
          <w:szCs w:val="24"/>
          <w:vertAlign w:val="subscript"/>
          <w:lang w:val="en-GB"/>
        </w:rPr>
        <w:t>it-</w:t>
      </w:r>
      <w:r w:rsidR="00D63373" w:rsidRPr="003569BE">
        <w:rPr>
          <w:rFonts w:cs="Times New Roman"/>
          <w:i/>
          <w:szCs w:val="24"/>
          <w:lang w:val="en-GB"/>
        </w:rPr>
        <w:t>) + β</w:t>
      </w:r>
      <w:r w:rsidR="00D63373" w:rsidRPr="003569BE">
        <w:rPr>
          <w:rFonts w:cs="Times New Roman"/>
          <w:i/>
          <w:szCs w:val="24"/>
          <w:vertAlign w:val="subscript"/>
          <w:lang w:val="en-GB"/>
        </w:rPr>
        <w:t xml:space="preserve">2 </w:t>
      </w:r>
      <w:r w:rsidR="00D63373" w:rsidRPr="003569BE">
        <w:rPr>
          <w:rFonts w:cs="Times New Roman"/>
          <w:i/>
          <w:szCs w:val="24"/>
          <w:lang w:val="en-GB"/>
        </w:rPr>
        <w:t>(</w:t>
      </w:r>
      <w:r w:rsidR="004B6D1C" w:rsidRPr="003569BE">
        <w:rPr>
          <w:rFonts w:cs="Times New Roman"/>
          <w:i/>
          <w:szCs w:val="24"/>
          <w:lang w:val="en-GB"/>
        </w:rPr>
        <w:t>PPE</w:t>
      </w:r>
      <w:r w:rsidR="004B6D1C" w:rsidRPr="003569BE">
        <w:rPr>
          <w:rFonts w:cs="Times New Roman"/>
          <w:i/>
          <w:szCs w:val="24"/>
          <w:vertAlign w:val="subscript"/>
          <w:lang w:val="en-GB"/>
        </w:rPr>
        <w:t>it</w:t>
      </w:r>
      <w:r w:rsidR="004B6D1C" w:rsidRPr="003569BE">
        <w:rPr>
          <w:rFonts w:cs="Times New Roman"/>
          <w:i/>
          <w:szCs w:val="24"/>
          <w:lang w:val="en-GB"/>
        </w:rPr>
        <w:t>/A</w:t>
      </w:r>
      <w:r w:rsidR="004B6D1C" w:rsidRPr="003569BE">
        <w:rPr>
          <w:rFonts w:cs="Times New Roman"/>
          <w:i/>
          <w:szCs w:val="24"/>
          <w:vertAlign w:val="subscript"/>
          <w:lang w:val="en-GB"/>
        </w:rPr>
        <w:t>it-1</w:t>
      </w:r>
      <w:r w:rsidR="00D63373" w:rsidRPr="003569BE">
        <w:rPr>
          <w:rFonts w:cs="Times New Roman"/>
          <w:i/>
          <w:szCs w:val="24"/>
          <w:lang w:val="en-GB"/>
        </w:rPr>
        <w:t>)]</w:t>
      </w:r>
      <w:r w:rsidR="00267F24" w:rsidRPr="003569BE">
        <w:rPr>
          <w:rFonts w:cs="Times New Roman"/>
          <w:i/>
          <w:szCs w:val="24"/>
          <w:lang w:val="en-GB"/>
        </w:rPr>
        <w:t xml:space="preserve">         (3)</w:t>
      </w:r>
    </w:p>
    <w:p w:rsidR="007477C5" w:rsidRPr="003569BE" w:rsidRDefault="001104A9" w:rsidP="006269DF">
      <w:pPr>
        <w:spacing w:line="360" w:lineRule="auto"/>
        <w:rPr>
          <w:rFonts w:cs="Times New Roman"/>
          <w:szCs w:val="24"/>
          <w:lang w:val="en-GB"/>
        </w:rPr>
      </w:pPr>
      <w:r w:rsidRPr="003569BE">
        <w:rPr>
          <w:rFonts w:cs="Times New Roman"/>
          <w:szCs w:val="24"/>
          <w:lang w:val="en-GB"/>
        </w:rPr>
        <w:t>The estimated prediction error, i.e. µ</w:t>
      </w:r>
      <w:r w:rsidRPr="003569BE">
        <w:rPr>
          <w:rFonts w:cs="Times New Roman"/>
          <w:szCs w:val="24"/>
          <w:vertAlign w:val="subscript"/>
          <w:lang w:val="en-GB"/>
        </w:rPr>
        <w:t>it</w:t>
      </w:r>
      <w:r w:rsidRPr="003569BE">
        <w:rPr>
          <w:rFonts w:cs="Times New Roman"/>
          <w:szCs w:val="24"/>
          <w:lang w:val="en-GB"/>
        </w:rPr>
        <w:t xml:space="preserve">, is the proxy for </w:t>
      </w:r>
      <w:r w:rsidR="00AF0DAA" w:rsidRPr="003569BE">
        <w:rPr>
          <w:rFonts w:cs="Times New Roman"/>
          <w:szCs w:val="24"/>
          <w:lang w:val="en-GB"/>
        </w:rPr>
        <w:t xml:space="preserve">the </w:t>
      </w:r>
      <w:r w:rsidRPr="003569BE">
        <w:rPr>
          <w:rFonts w:cs="Times New Roman"/>
          <w:szCs w:val="24"/>
          <w:lang w:val="en-GB"/>
        </w:rPr>
        <w:t>discretionary accruals.</w:t>
      </w:r>
      <w:r w:rsidR="00810093" w:rsidRPr="003569BE">
        <w:rPr>
          <w:rFonts w:cs="Times New Roman"/>
          <w:szCs w:val="24"/>
          <w:lang w:val="en-GB"/>
        </w:rPr>
        <w:t xml:space="preserve"> Consequently, the equations for calculating </w:t>
      </w:r>
      <w:r w:rsidR="00AF0DAA" w:rsidRPr="003569BE">
        <w:rPr>
          <w:rFonts w:cs="Times New Roman"/>
          <w:szCs w:val="24"/>
          <w:lang w:val="en-GB"/>
        </w:rPr>
        <w:t xml:space="preserve">the </w:t>
      </w:r>
      <w:r w:rsidR="00810093" w:rsidRPr="003569BE">
        <w:rPr>
          <w:rFonts w:cs="Times New Roman"/>
          <w:szCs w:val="24"/>
          <w:lang w:val="en-GB"/>
        </w:rPr>
        <w:t xml:space="preserve">non-discretionary accruals and </w:t>
      </w:r>
      <w:r w:rsidR="00AF0DAA" w:rsidRPr="003569BE">
        <w:rPr>
          <w:rFonts w:cs="Times New Roman"/>
          <w:szCs w:val="24"/>
          <w:lang w:val="en-GB"/>
        </w:rPr>
        <w:t xml:space="preserve">the </w:t>
      </w:r>
      <w:r w:rsidR="00810093" w:rsidRPr="003569BE">
        <w:rPr>
          <w:rFonts w:cs="Times New Roman"/>
          <w:szCs w:val="24"/>
          <w:lang w:val="en-GB"/>
        </w:rPr>
        <w:t>discretionary accruals can be extrapolated:</w:t>
      </w:r>
    </w:p>
    <w:p w:rsidR="00810093" w:rsidRPr="003569BE" w:rsidRDefault="003A51DA" w:rsidP="008D7943">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 xml:space="preserve">0 </w:t>
      </w:r>
      <w:r w:rsidRPr="003569BE">
        <w:rPr>
          <w:rFonts w:cs="Times New Roman"/>
          <w:i/>
          <w:szCs w:val="24"/>
          <w:lang w:val="en-GB"/>
        </w:rPr>
        <w:t>[1/A</w:t>
      </w:r>
      <w:r w:rsidRPr="003569BE">
        <w:rPr>
          <w:rFonts w:cs="Times New Roman"/>
          <w:i/>
          <w:szCs w:val="24"/>
          <w:vertAlign w:val="subscript"/>
          <w:lang w:val="en-GB"/>
        </w:rPr>
        <w:t>it-1</w:t>
      </w:r>
      <w:r w:rsidR="00B8138F" w:rsidRPr="003569BE">
        <w:rPr>
          <w:rFonts w:cs="Times New Roman"/>
          <w:i/>
          <w:szCs w:val="24"/>
          <w:lang w:val="en-GB"/>
        </w:rPr>
        <w:t>]</w:t>
      </w:r>
      <w:r w:rsidRPr="003569BE">
        <w:rPr>
          <w:rFonts w:cs="Times New Roman"/>
          <w:i/>
          <w:szCs w:val="24"/>
          <w:lang w:val="en-GB"/>
        </w:rPr>
        <w:t xml:space="preserve"> + β</w:t>
      </w:r>
      <w:r w:rsidRPr="003569BE">
        <w:rPr>
          <w:rFonts w:cs="Times New Roman"/>
          <w:i/>
          <w:szCs w:val="24"/>
          <w:vertAlign w:val="subscript"/>
          <w:lang w:val="en-GB"/>
        </w:rPr>
        <w:t xml:space="preserve">1 </w:t>
      </w:r>
      <w:r w:rsidR="00B8138F" w:rsidRPr="003569BE">
        <w:rPr>
          <w:rFonts w:cs="Times New Roman"/>
          <w:i/>
          <w:szCs w:val="24"/>
          <w:lang w:val="en-GB"/>
        </w:rPr>
        <w:t>[</w:t>
      </w:r>
      <w:r w:rsidRPr="003569BE">
        <w:rPr>
          <w:rFonts w:cs="Times New Roman"/>
          <w:i/>
          <w:szCs w:val="24"/>
          <w:lang w:val="en-GB"/>
        </w:rPr>
        <w:t>ΔREV</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00B8138F" w:rsidRPr="003569BE">
        <w:rPr>
          <w:rFonts w:cs="Times New Roman"/>
          <w:i/>
          <w:szCs w:val="24"/>
          <w:lang w:val="en-GB"/>
        </w:rPr>
        <w:t>]</w:t>
      </w:r>
      <w:r w:rsidRPr="003569BE">
        <w:rPr>
          <w:rFonts w:cs="Times New Roman"/>
          <w:i/>
          <w:szCs w:val="24"/>
          <w:lang w:val="en-GB"/>
        </w:rPr>
        <w:t xml:space="preserve"> + β</w:t>
      </w:r>
      <w:r w:rsidRPr="003569BE">
        <w:rPr>
          <w:rFonts w:cs="Times New Roman"/>
          <w:i/>
          <w:szCs w:val="24"/>
          <w:vertAlign w:val="subscript"/>
          <w:lang w:val="en-GB"/>
        </w:rPr>
        <w:t xml:space="preserve">2 </w:t>
      </w:r>
      <w:r w:rsidR="00B8138F" w:rsidRPr="003569BE">
        <w:rPr>
          <w:rFonts w:cs="Times New Roman"/>
          <w:i/>
          <w:szCs w:val="24"/>
          <w:lang w:val="en-GB"/>
        </w:rPr>
        <w:t>[</w:t>
      </w:r>
      <w:r w:rsidRPr="003569BE">
        <w:rPr>
          <w:rFonts w:cs="Times New Roman"/>
          <w:i/>
          <w:szCs w:val="24"/>
          <w:lang w:val="en-GB"/>
        </w:rPr>
        <w:t>PPE</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00B8138F" w:rsidRPr="003569BE">
        <w:rPr>
          <w:rFonts w:cs="Times New Roman"/>
          <w:i/>
          <w:szCs w:val="24"/>
          <w:lang w:val="en-GB"/>
        </w:rPr>
        <w:t>]</w:t>
      </w:r>
      <w:r w:rsidR="008D7943" w:rsidRPr="003569BE">
        <w:rPr>
          <w:rFonts w:cs="Times New Roman"/>
          <w:i/>
          <w:szCs w:val="24"/>
          <w:lang w:val="en-GB"/>
        </w:rPr>
        <w:t xml:space="preserve">         (4)</w:t>
      </w:r>
    </w:p>
    <w:p w:rsidR="00DB1D00" w:rsidRPr="003569BE" w:rsidRDefault="007F7862" w:rsidP="007F7862">
      <w:pPr>
        <w:spacing w:line="360" w:lineRule="auto"/>
        <w:jc w:val="center"/>
        <w:rPr>
          <w:rFonts w:cs="Times New Roman"/>
          <w:i/>
          <w:szCs w:val="24"/>
          <w:lang w:val="en-GB"/>
        </w:rPr>
      </w:pPr>
      <w:r w:rsidRPr="003569BE">
        <w:rPr>
          <w:rFonts w:cs="Times New Roman"/>
          <w:i/>
          <w:szCs w:val="24"/>
          <w:lang w:val="en-GB"/>
        </w:rPr>
        <w:t>DA</w:t>
      </w:r>
      <w:r w:rsidRPr="003569BE">
        <w:rPr>
          <w:rFonts w:cs="Times New Roman"/>
          <w:i/>
          <w:szCs w:val="24"/>
          <w:vertAlign w:val="subscript"/>
          <w:lang w:val="en-GB"/>
        </w:rPr>
        <w:t>it</w:t>
      </w:r>
      <w:r w:rsidRPr="003569BE">
        <w:rPr>
          <w:rFonts w:cs="Times New Roman"/>
          <w:i/>
          <w:szCs w:val="24"/>
          <w:lang w:val="en-GB"/>
        </w:rPr>
        <w:t xml:space="preserve"> = TA</w:t>
      </w:r>
      <w:r w:rsidRPr="003569BE">
        <w:rPr>
          <w:rFonts w:cs="Times New Roman"/>
          <w:i/>
          <w:szCs w:val="24"/>
          <w:vertAlign w:val="subscript"/>
          <w:lang w:val="en-GB"/>
        </w:rPr>
        <w:t>it</w:t>
      </w:r>
      <w:r w:rsidR="00114FE5" w:rsidRPr="003569BE">
        <w:rPr>
          <w:rFonts w:cs="Times New Roman"/>
          <w:i/>
          <w:szCs w:val="24"/>
          <w:lang w:val="en-GB"/>
        </w:rPr>
        <w:t xml:space="preserve"> – NDA</w:t>
      </w:r>
      <w:r w:rsidR="00114FE5" w:rsidRPr="003569BE">
        <w:rPr>
          <w:rFonts w:cs="Times New Roman"/>
          <w:i/>
          <w:szCs w:val="24"/>
          <w:vertAlign w:val="subscript"/>
          <w:lang w:val="en-GB"/>
        </w:rPr>
        <w:t xml:space="preserve">it                             </w:t>
      </w:r>
      <w:r w:rsidR="00114FE5" w:rsidRPr="003569BE">
        <w:rPr>
          <w:rFonts w:cs="Times New Roman"/>
          <w:i/>
          <w:szCs w:val="24"/>
          <w:lang w:val="en-GB"/>
        </w:rPr>
        <w:t>(5)</w:t>
      </w:r>
    </w:p>
    <w:p w:rsidR="00EA35F3" w:rsidRPr="003569BE" w:rsidRDefault="00EA35F3" w:rsidP="00EA35F3">
      <w:pPr>
        <w:spacing w:line="360" w:lineRule="auto"/>
        <w:rPr>
          <w:rFonts w:cs="Times New Roman"/>
          <w:szCs w:val="24"/>
          <w:lang w:val="en-GB"/>
        </w:rPr>
      </w:pPr>
      <w:r w:rsidRPr="003569BE">
        <w:rPr>
          <w:rFonts w:cs="Times New Roman"/>
          <w:szCs w:val="24"/>
          <w:lang w:val="en-GB"/>
        </w:rPr>
        <w:t>Where:</w:t>
      </w:r>
    </w:p>
    <w:p w:rsidR="00EA35F3" w:rsidRPr="003569BE" w:rsidRDefault="00EA35F3" w:rsidP="00EA35F3">
      <w:pPr>
        <w:spacing w:line="360" w:lineRule="auto"/>
        <w:rPr>
          <w:rFonts w:cs="Times New Roman"/>
          <w:szCs w:val="24"/>
          <w:lang w:val="en-GB"/>
        </w:rPr>
      </w:pPr>
      <w:r w:rsidRPr="003569BE">
        <w:rPr>
          <w:rFonts w:cs="Times New Roman"/>
          <w:szCs w:val="24"/>
          <w:lang w:val="en-GB"/>
        </w:rPr>
        <w:t>NDA</w:t>
      </w:r>
      <w:r w:rsidRPr="003569BE">
        <w:rPr>
          <w:rFonts w:cs="Times New Roman"/>
          <w:szCs w:val="24"/>
          <w:vertAlign w:val="subscript"/>
          <w:lang w:val="en-GB"/>
        </w:rPr>
        <w:t>it</w:t>
      </w:r>
      <w:r w:rsidRPr="003569BE">
        <w:rPr>
          <w:rFonts w:cs="Times New Roman"/>
          <w:szCs w:val="24"/>
          <w:lang w:val="en-GB"/>
        </w:rPr>
        <w:t xml:space="preserve"> </w:t>
      </w:r>
      <w:r w:rsidR="00B705BC" w:rsidRPr="003569BE">
        <w:rPr>
          <w:rFonts w:cs="Times New Roman"/>
          <w:szCs w:val="24"/>
          <w:lang w:val="en-GB"/>
        </w:rPr>
        <w:tab/>
      </w:r>
      <w:r w:rsidR="00B705BC" w:rsidRPr="003569BE">
        <w:rPr>
          <w:rFonts w:cs="Times New Roman"/>
          <w:szCs w:val="24"/>
          <w:lang w:val="en-GB"/>
        </w:rPr>
        <w:tab/>
      </w:r>
      <w:r w:rsidRPr="003569BE">
        <w:rPr>
          <w:rFonts w:cs="Times New Roman"/>
          <w:szCs w:val="24"/>
          <w:lang w:val="en-GB"/>
        </w:rPr>
        <w:t xml:space="preserve">= non-discretionary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EA35F3" w:rsidRPr="003569BE" w:rsidRDefault="00EA35F3" w:rsidP="00EA35F3">
      <w:pPr>
        <w:spacing w:line="360" w:lineRule="auto"/>
        <w:rPr>
          <w:i/>
          <w:lang w:val="en-GB"/>
        </w:rPr>
      </w:pPr>
      <w:r w:rsidRPr="003569BE">
        <w:rPr>
          <w:rFonts w:cs="Times New Roman"/>
          <w:szCs w:val="24"/>
          <w:lang w:val="en-GB"/>
        </w:rPr>
        <w:t>DA</w:t>
      </w:r>
      <w:r w:rsidRPr="003569BE">
        <w:rPr>
          <w:rFonts w:cs="Times New Roman"/>
          <w:szCs w:val="24"/>
          <w:vertAlign w:val="subscript"/>
          <w:lang w:val="en-GB"/>
        </w:rPr>
        <w:t>it</w:t>
      </w:r>
      <w:r w:rsidRPr="003569BE">
        <w:rPr>
          <w:rFonts w:cs="Times New Roman"/>
          <w:szCs w:val="24"/>
          <w:lang w:val="en-GB"/>
        </w:rPr>
        <w:t xml:space="preserve"> </w:t>
      </w:r>
      <w:r w:rsidR="00B705BC" w:rsidRPr="003569BE">
        <w:rPr>
          <w:rFonts w:cs="Times New Roman"/>
          <w:szCs w:val="24"/>
          <w:lang w:val="en-GB"/>
        </w:rPr>
        <w:tab/>
      </w:r>
      <w:r w:rsidR="00B705BC" w:rsidRPr="003569BE">
        <w:rPr>
          <w:rFonts w:cs="Times New Roman"/>
          <w:szCs w:val="24"/>
          <w:lang w:val="en-GB"/>
        </w:rPr>
        <w:tab/>
      </w:r>
      <w:r w:rsidRPr="003569BE">
        <w:rPr>
          <w:rFonts w:cs="Times New Roman"/>
          <w:szCs w:val="24"/>
          <w:lang w:val="en-GB"/>
        </w:rPr>
        <w:t xml:space="preserve">= discretionary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877ECB" w:rsidRPr="003569BE" w:rsidRDefault="00877ECB" w:rsidP="00877ECB">
      <w:pPr>
        <w:pStyle w:val="Heading2"/>
        <w:numPr>
          <w:ilvl w:val="1"/>
          <w:numId w:val="6"/>
        </w:numPr>
        <w:spacing w:line="360" w:lineRule="auto"/>
        <w:rPr>
          <w:lang w:val="en-GB"/>
        </w:rPr>
      </w:pPr>
      <w:bookmarkStart w:id="24" w:name="_Toc396633556"/>
      <w:r w:rsidRPr="003569BE">
        <w:rPr>
          <w:lang w:val="en-GB"/>
        </w:rPr>
        <w:lastRenderedPageBreak/>
        <w:t>Modified Jones Model</w:t>
      </w:r>
      <w:bookmarkEnd w:id="24"/>
    </w:p>
    <w:p w:rsidR="00540DA7" w:rsidRPr="003569BE" w:rsidRDefault="003762F9" w:rsidP="00540DA7">
      <w:pPr>
        <w:spacing w:line="360" w:lineRule="auto"/>
        <w:rPr>
          <w:rFonts w:cs="Times New Roman"/>
          <w:szCs w:val="24"/>
          <w:lang w:val="en-GB"/>
        </w:rPr>
      </w:pPr>
      <w:r w:rsidRPr="003569BE">
        <w:rPr>
          <w:rFonts w:cs="Times New Roman"/>
          <w:szCs w:val="24"/>
          <w:lang w:val="en-GB"/>
        </w:rPr>
        <w:t xml:space="preserve">The original Jones model has provided a relevant understanding regarding the detection and </w:t>
      </w:r>
      <w:r w:rsidR="00AF0DAA" w:rsidRPr="003569BE">
        <w:rPr>
          <w:rFonts w:cs="Times New Roman"/>
          <w:szCs w:val="24"/>
          <w:lang w:val="en-GB"/>
        </w:rPr>
        <w:t xml:space="preserve">the </w:t>
      </w:r>
      <w:r w:rsidRPr="003569BE">
        <w:rPr>
          <w:rFonts w:cs="Times New Roman"/>
          <w:szCs w:val="24"/>
          <w:lang w:val="en-GB"/>
        </w:rPr>
        <w:t xml:space="preserve">measurement of the use of earnings management, </w:t>
      </w:r>
      <w:r w:rsidR="00AF0DAA" w:rsidRPr="003569BE">
        <w:rPr>
          <w:rFonts w:cs="Times New Roman"/>
          <w:szCs w:val="24"/>
          <w:lang w:val="en-GB"/>
        </w:rPr>
        <w:t xml:space="preserve">many </w:t>
      </w:r>
      <w:r w:rsidRPr="003569BE">
        <w:rPr>
          <w:rFonts w:cs="Times New Roman"/>
          <w:szCs w:val="24"/>
          <w:lang w:val="en-GB"/>
        </w:rPr>
        <w:t xml:space="preserve">researchers using it in other studies about </w:t>
      </w:r>
      <w:r w:rsidR="00AF0DAA" w:rsidRPr="003569BE">
        <w:rPr>
          <w:rFonts w:cs="Times New Roman"/>
          <w:szCs w:val="24"/>
          <w:lang w:val="en-GB"/>
        </w:rPr>
        <w:t xml:space="preserve">the use of </w:t>
      </w:r>
      <w:r w:rsidRPr="003569BE">
        <w:rPr>
          <w:rFonts w:cs="Times New Roman"/>
          <w:szCs w:val="24"/>
          <w:lang w:val="en-GB"/>
        </w:rPr>
        <w:t>earnings management. However, over time, it became sub</w:t>
      </w:r>
      <w:r w:rsidR="00C8105E" w:rsidRPr="003569BE">
        <w:rPr>
          <w:rFonts w:cs="Times New Roman"/>
          <w:szCs w:val="24"/>
          <w:lang w:val="en-GB"/>
        </w:rPr>
        <w:t xml:space="preserve">ject to criticism. </w:t>
      </w:r>
      <w:r w:rsidR="004B4AF5" w:rsidRPr="003569BE">
        <w:rPr>
          <w:rFonts w:cs="Times New Roman"/>
          <w:szCs w:val="24"/>
          <w:lang w:val="en-GB"/>
        </w:rPr>
        <w:t>Consequently,</w:t>
      </w:r>
      <w:r w:rsidR="00AF0DAA" w:rsidRPr="003569BE">
        <w:rPr>
          <w:rFonts w:cs="Times New Roman"/>
          <w:szCs w:val="24"/>
          <w:lang w:val="en-GB"/>
        </w:rPr>
        <w:t xml:space="preserve"> </w:t>
      </w:r>
      <w:r w:rsidRPr="003569BE">
        <w:rPr>
          <w:rFonts w:cs="Times New Roman"/>
          <w:szCs w:val="24"/>
          <w:lang w:val="en-GB"/>
        </w:rPr>
        <w:t xml:space="preserve">other researchers have </w:t>
      </w:r>
      <w:r w:rsidR="00AF0DAA" w:rsidRPr="003569BE">
        <w:rPr>
          <w:rFonts w:cs="Times New Roman"/>
          <w:szCs w:val="24"/>
          <w:lang w:val="en-GB"/>
        </w:rPr>
        <w:t>perform</w:t>
      </w:r>
      <w:r w:rsidR="005E6D16" w:rsidRPr="003569BE">
        <w:rPr>
          <w:rFonts w:cs="Times New Roman"/>
          <w:szCs w:val="24"/>
          <w:lang w:val="en-GB"/>
        </w:rPr>
        <w:t>ed</w:t>
      </w:r>
      <w:r w:rsidR="00AF0DAA" w:rsidRPr="003569BE">
        <w:rPr>
          <w:rFonts w:cs="Times New Roman"/>
          <w:szCs w:val="24"/>
          <w:lang w:val="en-GB"/>
        </w:rPr>
        <w:t xml:space="preserve"> </w:t>
      </w:r>
      <w:r w:rsidRPr="003569BE">
        <w:rPr>
          <w:rFonts w:cs="Times New Roman"/>
          <w:szCs w:val="24"/>
          <w:lang w:val="en-GB"/>
        </w:rPr>
        <w:t xml:space="preserve">efforts to upgrade the original model and make it more effective and accurate. </w:t>
      </w:r>
      <w:r w:rsidR="00AF0DAA" w:rsidRPr="003569BE">
        <w:rPr>
          <w:rFonts w:cs="Times New Roman"/>
          <w:szCs w:val="24"/>
          <w:lang w:val="en-GB"/>
        </w:rPr>
        <w:t>To the original Jones model t</w:t>
      </w:r>
      <w:r w:rsidRPr="003569BE">
        <w:rPr>
          <w:rFonts w:cs="Times New Roman"/>
          <w:szCs w:val="24"/>
          <w:lang w:val="en-GB"/>
        </w:rPr>
        <w:t>wo types of adjustment</w:t>
      </w:r>
      <w:r w:rsidR="00352CCD" w:rsidRPr="003569BE">
        <w:rPr>
          <w:rFonts w:cs="Times New Roman"/>
          <w:szCs w:val="24"/>
          <w:lang w:val="en-GB"/>
        </w:rPr>
        <w:t>s</w:t>
      </w:r>
      <w:r w:rsidRPr="003569BE">
        <w:rPr>
          <w:rFonts w:cs="Times New Roman"/>
          <w:szCs w:val="24"/>
          <w:lang w:val="en-GB"/>
        </w:rPr>
        <w:t xml:space="preserve"> have been </w:t>
      </w:r>
      <w:r w:rsidR="00AF0DAA" w:rsidRPr="003569BE">
        <w:rPr>
          <w:rFonts w:cs="Times New Roman"/>
          <w:szCs w:val="24"/>
          <w:lang w:val="en-GB"/>
        </w:rPr>
        <w:t>perform</w:t>
      </w:r>
      <w:r w:rsidR="005E6D16" w:rsidRPr="003569BE">
        <w:rPr>
          <w:rFonts w:cs="Times New Roman"/>
          <w:szCs w:val="24"/>
          <w:lang w:val="en-GB"/>
        </w:rPr>
        <w:t>ed</w:t>
      </w:r>
      <w:r w:rsidRPr="003569BE">
        <w:rPr>
          <w:rFonts w:cs="Times New Roman"/>
          <w:szCs w:val="24"/>
          <w:lang w:val="en-GB"/>
        </w:rPr>
        <w:t xml:space="preserve">: data adjustment and variable adjustment. </w:t>
      </w:r>
    </w:p>
    <w:p w:rsidR="00B80447" w:rsidRPr="003569BE" w:rsidRDefault="00B80447" w:rsidP="00540DA7">
      <w:pPr>
        <w:spacing w:line="360" w:lineRule="auto"/>
        <w:rPr>
          <w:rFonts w:cs="Times New Roman"/>
          <w:szCs w:val="24"/>
          <w:lang w:val="en-GB"/>
        </w:rPr>
      </w:pPr>
      <w:r w:rsidRPr="003569BE">
        <w:rPr>
          <w:rFonts w:cs="Times New Roman"/>
          <w:szCs w:val="24"/>
          <w:lang w:val="en-GB"/>
        </w:rPr>
        <w:t xml:space="preserve">The first type, i.e. data adjustment, addresses the data to be used in the model for estimating accruals. The most significant data adjustment was </w:t>
      </w:r>
      <w:r w:rsidR="00AF0DAA" w:rsidRPr="003569BE">
        <w:rPr>
          <w:rFonts w:cs="Times New Roman"/>
          <w:szCs w:val="24"/>
          <w:lang w:val="en-GB"/>
        </w:rPr>
        <w:t>perform</w:t>
      </w:r>
      <w:r w:rsidR="005E6D16" w:rsidRPr="003569BE">
        <w:rPr>
          <w:rFonts w:cs="Times New Roman"/>
          <w:szCs w:val="24"/>
          <w:lang w:val="en-GB"/>
        </w:rPr>
        <w:t>ed</w:t>
      </w:r>
      <w:r w:rsidR="00AF0DAA" w:rsidRPr="003569BE">
        <w:rPr>
          <w:rFonts w:cs="Times New Roman"/>
          <w:szCs w:val="24"/>
          <w:lang w:val="en-GB"/>
        </w:rPr>
        <w:t xml:space="preserve"> </w:t>
      </w:r>
      <w:r w:rsidRPr="003569BE">
        <w:rPr>
          <w:rFonts w:cs="Times New Roman"/>
          <w:szCs w:val="24"/>
          <w:lang w:val="en-GB"/>
        </w:rPr>
        <w:t>by DeFond and Jiambalvo (1994), who</w:t>
      </w:r>
      <w:r w:rsidR="00AF0DAA" w:rsidRPr="003569BE">
        <w:rPr>
          <w:rFonts w:cs="Times New Roman"/>
          <w:szCs w:val="24"/>
          <w:lang w:val="en-GB"/>
        </w:rPr>
        <w:t>, to improve the original model that used time-series data,</w:t>
      </w:r>
      <w:r w:rsidRPr="003569BE">
        <w:rPr>
          <w:rFonts w:cs="Times New Roman"/>
          <w:szCs w:val="24"/>
          <w:lang w:val="en-GB"/>
        </w:rPr>
        <w:t xml:space="preserve"> introduced the usage of cross-sectional data</w:t>
      </w:r>
      <w:r w:rsidR="006E21AD" w:rsidRPr="003569BE">
        <w:rPr>
          <w:rFonts w:cs="Times New Roman"/>
          <w:szCs w:val="24"/>
          <w:lang w:val="en-GB"/>
        </w:rPr>
        <w:t>.</w:t>
      </w:r>
    </w:p>
    <w:p w:rsidR="000A48D8" w:rsidRPr="003569BE" w:rsidRDefault="00984650" w:rsidP="00540DA7">
      <w:pPr>
        <w:spacing w:line="360" w:lineRule="auto"/>
        <w:rPr>
          <w:rFonts w:cs="Times New Roman"/>
          <w:szCs w:val="24"/>
          <w:lang w:val="en-GB"/>
        </w:rPr>
      </w:pPr>
      <w:r w:rsidRPr="003569BE">
        <w:rPr>
          <w:rFonts w:cs="Times New Roman"/>
          <w:szCs w:val="24"/>
          <w:lang w:val="en-GB"/>
        </w:rPr>
        <w:t xml:space="preserve">The variable adjustment type of modification addresses the variables used in the model. </w:t>
      </w:r>
      <w:r w:rsidR="00AF0DAA" w:rsidRPr="003569BE">
        <w:rPr>
          <w:rFonts w:cs="Times New Roman"/>
          <w:szCs w:val="24"/>
          <w:lang w:val="en-GB"/>
        </w:rPr>
        <w:t>The m</w:t>
      </w:r>
      <w:r w:rsidRPr="003569BE">
        <w:rPr>
          <w:rFonts w:cs="Times New Roman"/>
          <w:szCs w:val="24"/>
          <w:lang w:val="en-GB"/>
        </w:rPr>
        <w:t>odified Jones models attempt to improve the original model by adding extra variables, or by substituting the original variables with items that have the potential to be more relevant.</w:t>
      </w:r>
    </w:p>
    <w:p w:rsidR="000A2220" w:rsidRPr="003569BE" w:rsidRDefault="0083086B" w:rsidP="00540DA7">
      <w:pPr>
        <w:spacing w:line="360" w:lineRule="auto"/>
        <w:rPr>
          <w:rFonts w:cs="Times New Roman"/>
          <w:szCs w:val="24"/>
          <w:lang w:val="en-GB"/>
        </w:rPr>
      </w:pPr>
      <w:r w:rsidRPr="003569BE">
        <w:rPr>
          <w:rFonts w:cs="Times New Roman"/>
          <w:szCs w:val="24"/>
          <w:lang w:val="en-GB"/>
        </w:rPr>
        <w:t xml:space="preserve">Dechow et Al. (1995) introduced the modified </w:t>
      </w:r>
      <w:r w:rsidR="00AF0DAA" w:rsidRPr="003569BE">
        <w:rPr>
          <w:rFonts w:cs="Times New Roman"/>
          <w:szCs w:val="24"/>
          <w:lang w:val="en-GB"/>
        </w:rPr>
        <w:t xml:space="preserve">Jones </w:t>
      </w:r>
      <w:r w:rsidRPr="003569BE">
        <w:rPr>
          <w:rFonts w:cs="Times New Roman"/>
          <w:szCs w:val="24"/>
          <w:lang w:val="en-GB"/>
        </w:rPr>
        <w:t>model, by adjusting</w:t>
      </w:r>
      <w:r w:rsidR="00C020DE" w:rsidRPr="003569BE">
        <w:rPr>
          <w:rFonts w:cs="Times New Roman"/>
          <w:szCs w:val="24"/>
          <w:lang w:val="en-GB"/>
        </w:rPr>
        <w:t xml:space="preserve"> the</w:t>
      </w:r>
      <w:r w:rsidRPr="003569BE">
        <w:rPr>
          <w:rFonts w:cs="Times New Roman"/>
          <w:szCs w:val="24"/>
          <w:lang w:val="en-GB"/>
        </w:rPr>
        <w:t xml:space="preserve"> ch</w:t>
      </w:r>
      <w:r w:rsidR="00C020DE" w:rsidRPr="003569BE">
        <w:rPr>
          <w:rFonts w:cs="Times New Roman"/>
          <w:szCs w:val="24"/>
          <w:lang w:val="en-GB"/>
        </w:rPr>
        <w:t>ange</w:t>
      </w:r>
      <w:r w:rsidRPr="003569BE">
        <w:rPr>
          <w:rFonts w:cs="Times New Roman"/>
          <w:szCs w:val="24"/>
          <w:lang w:val="en-GB"/>
        </w:rPr>
        <w:t xml:space="preserve"> in </w:t>
      </w:r>
      <w:r w:rsidR="000A2220" w:rsidRPr="003569BE">
        <w:rPr>
          <w:rFonts w:cs="Times New Roman"/>
          <w:szCs w:val="24"/>
          <w:lang w:val="en-GB"/>
        </w:rPr>
        <w:t>revenues</w:t>
      </w:r>
      <w:r w:rsidRPr="003569BE">
        <w:rPr>
          <w:rFonts w:cs="Times New Roman"/>
          <w:szCs w:val="24"/>
          <w:lang w:val="en-GB"/>
        </w:rPr>
        <w:t xml:space="preserve"> with the change in </w:t>
      </w:r>
      <w:r w:rsidR="00AF0DAA" w:rsidRPr="003569BE">
        <w:rPr>
          <w:rFonts w:cs="Times New Roman"/>
          <w:szCs w:val="24"/>
          <w:lang w:val="en-GB"/>
        </w:rPr>
        <w:t xml:space="preserve">the </w:t>
      </w:r>
      <w:r w:rsidRPr="003569BE">
        <w:rPr>
          <w:rFonts w:cs="Times New Roman"/>
          <w:szCs w:val="24"/>
          <w:lang w:val="en-GB"/>
        </w:rPr>
        <w:t>account receivables</w:t>
      </w:r>
      <w:r w:rsidR="000F063F" w:rsidRPr="003569BE">
        <w:rPr>
          <w:rFonts w:cs="Times New Roman"/>
          <w:szCs w:val="24"/>
          <w:lang w:val="en-GB"/>
        </w:rPr>
        <w:t>.</w:t>
      </w:r>
      <w:r w:rsidR="00C020DE" w:rsidRPr="003569BE">
        <w:rPr>
          <w:rFonts w:cs="Times New Roman"/>
          <w:szCs w:val="24"/>
          <w:lang w:val="en-GB"/>
        </w:rPr>
        <w:t xml:space="preserve"> </w:t>
      </w:r>
      <w:r w:rsidR="000A2220" w:rsidRPr="003569BE">
        <w:rPr>
          <w:rFonts w:cs="Times New Roman"/>
          <w:szCs w:val="24"/>
          <w:lang w:val="en-GB"/>
        </w:rPr>
        <w:t xml:space="preserve">The purpose of this modification was to eliminate the tendency of the original model to erroneously measure </w:t>
      </w:r>
      <w:r w:rsidR="00AF0DAA" w:rsidRPr="003569BE">
        <w:rPr>
          <w:rFonts w:cs="Times New Roman"/>
          <w:szCs w:val="24"/>
          <w:lang w:val="en-GB"/>
        </w:rPr>
        <w:t xml:space="preserve">the </w:t>
      </w:r>
      <w:r w:rsidR="000A2220" w:rsidRPr="003569BE">
        <w:rPr>
          <w:rFonts w:cs="Times New Roman"/>
          <w:szCs w:val="24"/>
          <w:lang w:val="en-GB"/>
        </w:rPr>
        <w:t>discretionary accruals when discretion was applied by man</w:t>
      </w:r>
      <w:r w:rsidR="00373E10" w:rsidRPr="003569BE">
        <w:rPr>
          <w:rFonts w:cs="Times New Roman"/>
          <w:szCs w:val="24"/>
          <w:lang w:val="en-GB"/>
        </w:rPr>
        <w:t>a</w:t>
      </w:r>
      <w:r w:rsidR="000A2220" w:rsidRPr="003569BE">
        <w:rPr>
          <w:rFonts w:cs="Times New Roman"/>
          <w:szCs w:val="24"/>
          <w:lang w:val="en-GB"/>
        </w:rPr>
        <w:t>gers over revenues.</w:t>
      </w:r>
      <w:r w:rsidR="00C52498" w:rsidRPr="003569BE">
        <w:rPr>
          <w:rFonts w:cs="Times New Roman"/>
          <w:szCs w:val="24"/>
          <w:lang w:val="en-GB"/>
        </w:rPr>
        <w:t xml:space="preserve"> </w:t>
      </w:r>
    </w:p>
    <w:p w:rsidR="00C52498" w:rsidRPr="003569BE" w:rsidRDefault="00AA50FA" w:rsidP="00AA50FA">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1</w:t>
      </w:r>
      <w:r w:rsidRPr="003569BE">
        <w:rPr>
          <w:rFonts w:cs="Times New Roman"/>
          <w:i/>
          <w:szCs w:val="24"/>
          <w:lang w:val="en-GB"/>
        </w:rPr>
        <w:t xml:space="preserve"> (1/A</w:t>
      </w:r>
      <w:r w:rsidRPr="003569BE">
        <w:rPr>
          <w:rFonts w:cs="Times New Roman"/>
          <w:i/>
          <w:szCs w:val="24"/>
          <w:vertAlign w:val="subscript"/>
          <w:lang w:val="en-GB"/>
        </w:rPr>
        <w:t>t-1</w:t>
      </w:r>
      <w:r w:rsidRPr="003569BE">
        <w:rPr>
          <w:rFonts w:cs="Times New Roman"/>
          <w:i/>
          <w:szCs w:val="24"/>
          <w:lang w:val="en-GB"/>
        </w:rPr>
        <w:t>) + a</w:t>
      </w:r>
      <w:r w:rsidRPr="003569BE">
        <w:rPr>
          <w:rFonts w:cs="Times New Roman"/>
          <w:i/>
          <w:szCs w:val="24"/>
          <w:vertAlign w:val="subscript"/>
          <w:lang w:val="en-GB"/>
        </w:rPr>
        <w:t>2</w:t>
      </w:r>
      <w:r w:rsidRPr="003569BE">
        <w:rPr>
          <w:rFonts w:cs="Times New Roman"/>
          <w:i/>
          <w:szCs w:val="24"/>
          <w:lang w:val="en-GB"/>
        </w:rPr>
        <w:t xml:space="preserve"> (∆REV</w:t>
      </w:r>
      <w:r w:rsidRPr="003569BE">
        <w:rPr>
          <w:rFonts w:cs="Times New Roman"/>
          <w:i/>
          <w:szCs w:val="24"/>
          <w:vertAlign w:val="subscript"/>
          <w:lang w:val="en-GB"/>
        </w:rPr>
        <w:t>t</w:t>
      </w:r>
      <w:r w:rsidRPr="003569BE">
        <w:rPr>
          <w:rFonts w:cs="Times New Roman"/>
          <w:i/>
          <w:szCs w:val="24"/>
          <w:lang w:val="en-GB"/>
        </w:rPr>
        <w:t xml:space="preserve"> - ∆REC</w:t>
      </w:r>
      <w:r w:rsidRPr="003569BE">
        <w:rPr>
          <w:rFonts w:cs="Times New Roman"/>
          <w:i/>
          <w:szCs w:val="24"/>
          <w:vertAlign w:val="subscript"/>
          <w:lang w:val="en-GB"/>
        </w:rPr>
        <w:t>t</w:t>
      </w:r>
      <w:r w:rsidRPr="003569BE">
        <w:rPr>
          <w:rFonts w:cs="Times New Roman"/>
          <w:i/>
          <w:szCs w:val="24"/>
          <w:lang w:val="en-GB"/>
        </w:rPr>
        <w:t>) + a</w:t>
      </w:r>
      <w:r w:rsidRPr="003569BE">
        <w:rPr>
          <w:rFonts w:cs="Times New Roman"/>
          <w:i/>
          <w:szCs w:val="24"/>
          <w:vertAlign w:val="subscript"/>
          <w:lang w:val="en-GB"/>
        </w:rPr>
        <w:t>3</w:t>
      </w:r>
      <w:r w:rsidRPr="003569BE">
        <w:rPr>
          <w:rFonts w:cs="Times New Roman"/>
          <w:i/>
          <w:szCs w:val="24"/>
          <w:lang w:val="en-GB"/>
        </w:rPr>
        <w:t xml:space="preserve"> PPE</w:t>
      </w:r>
      <w:r w:rsidRPr="003569BE">
        <w:rPr>
          <w:rFonts w:cs="Times New Roman"/>
          <w:i/>
          <w:szCs w:val="24"/>
          <w:vertAlign w:val="subscript"/>
          <w:lang w:val="en-GB"/>
        </w:rPr>
        <w:t>t</w:t>
      </w:r>
      <w:r w:rsidR="00C7683E" w:rsidRPr="003569BE">
        <w:rPr>
          <w:rFonts w:cs="Times New Roman"/>
          <w:i/>
          <w:szCs w:val="24"/>
          <w:vertAlign w:val="subscript"/>
          <w:lang w:val="en-GB"/>
        </w:rPr>
        <w:t xml:space="preserve">              </w:t>
      </w:r>
      <w:r w:rsidR="00C7683E" w:rsidRPr="003569BE">
        <w:rPr>
          <w:rFonts w:cs="Times New Roman"/>
          <w:i/>
          <w:szCs w:val="24"/>
          <w:lang w:val="en-GB"/>
        </w:rPr>
        <w:t>(6)</w:t>
      </w:r>
    </w:p>
    <w:p w:rsidR="00C7683E" w:rsidRPr="003569BE" w:rsidRDefault="00C7683E" w:rsidP="00C7683E">
      <w:pPr>
        <w:spacing w:line="360" w:lineRule="auto"/>
        <w:rPr>
          <w:rFonts w:cs="Times New Roman"/>
          <w:szCs w:val="24"/>
          <w:lang w:val="en-GB"/>
        </w:rPr>
      </w:pPr>
      <w:r w:rsidRPr="003569BE">
        <w:rPr>
          <w:rFonts w:cs="Times New Roman"/>
          <w:szCs w:val="24"/>
          <w:lang w:val="en-GB"/>
        </w:rPr>
        <w:t>Where:</w:t>
      </w:r>
    </w:p>
    <w:p w:rsidR="008073A2" w:rsidRPr="003569BE" w:rsidRDefault="008073A2" w:rsidP="00F831A4">
      <w:pPr>
        <w:tabs>
          <w:tab w:val="left" w:pos="1843"/>
        </w:tabs>
        <w:spacing w:after="0" w:line="360" w:lineRule="auto"/>
        <w:ind w:left="1418" w:hanging="1418"/>
        <w:rPr>
          <w:rFonts w:cs="Times New Roman"/>
          <w:szCs w:val="24"/>
          <w:lang w:val="en-GB"/>
        </w:rPr>
      </w:pPr>
      <w:r w:rsidRPr="003569BE">
        <w:rPr>
          <w:rFonts w:cs="Times New Roman"/>
          <w:szCs w:val="24"/>
          <w:lang w:val="en-GB"/>
        </w:rPr>
        <w:t>∆REV</w:t>
      </w:r>
      <w:r w:rsidRPr="003569BE">
        <w:rPr>
          <w:rFonts w:cs="Times New Roman"/>
          <w:szCs w:val="24"/>
          <w:vertAlign w:val="subscript"/>
          <w:lang w:val="en-GB"/>
        </w:rPr>
        <w:t>t</w:t>
      </w:r>
      <w:r w:rsidRPr="003569BE">
        <w:rPr>
          <w:rFonts w:cs="Times New Roman"/>
          <w:szCs w:val="24"/>
          <w:lang w:val="en-GB"/>
        </w:rPr>
        <w:t xml:space="preserve"> </w:t>
      </w:r>
      <w:r w:rsidRPr="003569BE">
        <w:rPr>
          <w:rFonts w:cs="Times New Roman"/>
          <w:szCs w:val="24"/>
          <w:lang w:val="en-GB"/>
        </w:rPr>
        <w:tab/>
        <w:t xml:space="preserve">= change in revenues, i.e. revenues in year </w:t>
      </w:r>
      <w:r w:rsidRPr="003569BE">
        <w:rPr>
          <w:rFonts w:cs="Times New Roman"/>
          <w:i/>
          <w:szCs w:val="24"/>
          <w:lang w:val="en-GB"/>
        </w:rPr>
        <w:t>t</w:t>
      </w:r>
      <w:r w:rsidRPr="003569BE">
        <w:rPr>
          <w:rFonts w:cs="Times New Roman"/>
          <w:szCs w:val="24"/>
          <w:lang w:val="en-GB"/>
        </w:rPr>
        <w:t xml:space="preserve"> less revenues in year </w:t>
      </w:r>
      <w:r w:rsidRPr="003569BE">
        <w:rPr>
          <w:rFonts w:cs="Times New Roman"/>
          <w:i/>
          <w:szCs w:val="24"/>
          <w:lang w:val="en-GB"/>
        </w:rPr>
        <w:t>t-1</w:t>
      </w:r>
      <w:r w:rsidRPr="003569BE">
        <w:rPr>
          <w:rFonts w:cs="Times New Roman"/>
          <w:szCs w:val="24"/>
          <w:lang w:val="en-GB"/>
        </w:rPr>
        <w:t xml:space="preserve">, scaled by total assets at </w:t>
      </w:r>
      <w:r w:rsidRPr="003569BE">
        <w:rPr>
          <w:rFonts w:cs="Times New Roman"/>
          <w:i/>
          <w:szCs w:val="24"/>
          <w:lang w:val="en-GB"/>
        </w:rPr>
        <w:t>t-1</w:t>
      </w:r>
      <w:r w:rsidRPr="003569BE">
        <w:rPr>
          <w:rFonts w:cs="Times New Roman"/>
          <w:szCs w:val="24"/>
          <w:lang w:val="en-GB"/>
        </w:rPr>
        <w:t xml:space="preserve">; </w:t>
      </w:r>
    </w:p>
    <w:p w:rsidR="008073A2" w:rsidRPr="003569BE" w:rsidRDefault="008073A2" w:rsidP="00F831A4">
      <w:pPr>
        <w:tabs>
          <w:tab w:val="left" w:pos="1843"/>
        </w:tabs>
        <w:spacing w:after="0" w:line="360" w:lineRule="auto"/>
        <w:ind w:left="1418" w:hanging="1418"/>
        <w:rPr>
          <w:rFonts w:cs="Times New Roman"/>
          <w:szCs w:val="24"/>
          <w:lang w:val="en-GB"/>
        </w:rPr>
      </w:pPr>
      <w:r w:rsidRPr="003569BE">
        <w:rPr>
          <w:rFonts w:cs="Times New Roman"/>
          <w:szCs w:val="24"/>
          <w:lang w:val="en-GB"/>
        </w:rPr>
        <w:t>∆REC</w:t>
      </w:r>
      <w:r w:rsidRPr="003569BE">
        <w:rPr>
          <w:rFonts w:cs="Times New Roman"/>
          <w:szCs w:val="24"/>
          <w:vertAlign w:val="subscript"/>
          <w:lang w:val="en-GB"/>
        </w:rPr>
        <w:t>t</w:t>
      </w:r>
      <w:r w:rsidRPr="003569BE">
        <w:rPr>
          <w:rFonts w:cs="Times New Roman"/>
          <w:szCs w:val="24"/>
          <w:lang w:val="en-GB"/>
        </w:rPr>
        <w:t xml:space="preserve"> </w:t>
      </w:r>
      <w:r w:rsidRPr="003569BE">
        <w:rPr>
          <w:rFonts w:cs="Times New Roman"/>
          <w:szCs w:val="24"/>
          <w:lang w:val="en-GB"/>
        </w:rPr>
        <w:tab/>
        <w:t xml:space="preserve">= change in net receivables, i.e. net receivables in year </w:t>
      </w:r>
      <w:r w:rsidRPr="003569BE">
        <w:rPr>
          <w:rFonts w:cs="Times New Roman"/>
          <w:i/>
          <w:szCs w:val="24"/>
          <w:lang w:val="en-GB"/>
        </w:rPr>
        <w:t>t</w:t>
      </w:r>
      <w:r w:rsidRPr="003569BE">
        <w:rPr>
          <w:rFonts w:cs="Times New Roman"/>
          <w:szCs w:val="24"/>
          <w:lang w:val="en-GB"/>
        </w:rPr>
        <w:t xml:space="preserve"> less net receivables in year </w:t>
      </w:r>
      <w:r w:rsidRPr="003569BE">
        <w:rPr>
          <w:rFonts w:cs="Times New Roman"/>
          <w:i/>
          <w:szCs w:val="24"/>
          <w:lang w:val="en-GB"/>
        </w:rPr>
        <w:t>t-1</w:t>
      </w:r>
      <w:r w:rsidRPr="003569BE">
        <w:rPr>
          <w:rFonts w:cs="Times New Roman"/>
          <w:szCs w:val="24"/>
          <w:lang w:val="en-GB"/>
        </w:rPr>
        <w:t xml:space="preserve">, scaled by total assets at </w:t>
      </w:r>
      <w:r w:rsidRPr="003569BE">
        <w:rPr>
          <w:rFonts w:cs="Times New Roman"/>
          <w:i/>
          <w:szCs w:val="24"/>
          <w:lang w:val="en-GB"/>
        </w:rPr>
        <w:t>t-1</w:t>
      </w:r>
      <w:r w:rsidRPr="003569BE">
        <w:rPr>
          <w:rFonts w:cs="Times New Roman"/>
          <w:szCs w:val="24"/>
          <w:lang w:val="en-GB"/>
        </w:rPr>
        <w:t xml:space="preserve">; </w:t>
      </w:r>
    </w:p>
    <w:p w:rsidR="008073A2" w:rsidRPr="003569BE" w:rsidRDefault="008073A2" w:rsidP="00F831A4">
      <w:pPr>
        <w:tabs>
          <w:tab w:val="left" w:pos="1276"/>
        </w:tabs>
        <w:spacing w:after="0" w:line="360" w:lineRule="auto"/>
        <w:rPr>
          <w:rFonts w:cs="Times New Roman"/>
          <w:szCs w:val="24"/>
          <w:lang w:val="en-GB"/>
        </w:rPr>
      </w:pPr>
      <w:r w:rsidRPr="003569BE">
        <w:rPr>
          <w:rFonts w:cs="Times New Roman"/>
          <w:szCs w:val="24"/>
          <w:lang w:val="en-GB"/>
        </w:rPr>
        <w:t>PPE</w:t>
      </w:r>
      <w:r w:rsidRPr="003569BE">
        <w:rPr>
          <w:rFonts w:cs="Times New Roman"/>
          <w:szCs w:val="24"/>
          <w:vertAlign w:val="subscript"/>
          <w:lang w:val="en-GB"/>
        </w:rPr>
        <w:t>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gross property, plant and equipment in year </w:t>
      </w:r>
      <w:r w:rsidRPr="003569BE">
        <w:rPr>
          <w:rFonts w:cs="Times New Roman"/>
          <w:i/>
          <w:szCs w:val="24"/>
          <w:lang w:val="en-GB"/>
        </w:rPr>
        <w:t>t</w:t>
      </w:r>
      <w:r w:rsidRPr="003569BE">
        <w:rPr>
          <w:rFonts w:cs="Times New Roman"/>
          <w:szCs w:val="24"/>
          <w:lang w:val="en-GB"/>
        </w:rPr>
        <w:t xml:space="preserve">, scaled by total assets at </w:t>
      </w:r>
      <w:r w:rsidRPr="003569BE">
        <w:rPr>
          <w:rFonts w:cs="Times New Roman"/>
          <w:i/>
          <w:szCs w:val="24"/>
          <w:lang w:val="en-GB"/>
        </w:rPr>
        <w:t>t-1</w:t>
      </w:r>
      <w:r w:rsidRPr="003569BE">
        <w:rPr>
          <w:rFonts w:cs="Times New Roman"/>
          <w:szCs w:val="24"/>
          <w:lang w:val="en-GB"/>
        </w:rPr>
        <w:t>;</w:t>
      </w:r>
    </w:p>
    <w:p w:rsidR="00A737F4" w:rsidRPr="003569BE" w:rsidRDefault="00A737F4" w:rsidP="00F831A4">
      <w:pPr>
        <w:tabs>
          <w:tab w:val="left" w:pos="1843"/>
        </w:tabs>
        <w:spacing w:after="0" w:line="360" w:lineRule="auto"/>
        <w:ind w:left="1418" w:hanging="1418"/>
        <w:rPr>
          <w:rFonts w:cs="Times New Roman"/>
          <w:szCs w:val="24"/>
          <w:lang w:val="en-GB"/>
        </w:rPr>
      </w:pPr>
      <w:r w:rsidRPr="003569BE">
        <w:rPr>
          <w:rFonts w:cs="Times New Roman"/>
          <w:szCs w:val="24"/>
          <w:lang w:val="en-GB"/>
        </w:rPr>
        <w:t>A</w:t>
      </w:r>
      <w:r w:rsidRPr="003569BE">
        <w:rPr>
          <w:rFonts w:cs="Times New Roman"/>
          <w:szCs w:val="24"/>
          <w:vertAlign w:val="subscript"/>
          <w:lang w:val="en-GB"/>
        </w:rPr>
        <w:t>t-1</w:t>
      </w:r>
      <w:r w:rsidRPr="003569BE">
        <w:rPr>
          <w:rFonts w:cs="Times New Roman"/>
          <w:szCs w:val="24"/>
          <w:vertAlign w:val="subscript"/>
          <w:lang w:val="en-GB"/>
        </w:rPr>
        <w:tab/>
      </w:r>
      <w:r w:rsidRPr="003569BE">
        <w:rPr>
          <w:rFonts w:cs="Times New Roman"/>
          <w:szCs w:val="24"/>
          <w:lang w:val="en-GB"/>
        </w:rPr>
        <w:t xml:space="preserve">= total assets at </w:t>
      </w:r>
      <w:r w:rsidRPr="003569BE">
        <w:rPr>
          <w:rFonts w:cs="Times New Roman"/>
          <w:i/>
          <w:szCs w:val="24"/>
          <w:lang w:val="en-GB"/>
        </w:rPr>
        <w:t>t-1</w:t>
      </w:r>
      <w:r w:rsidRPr="003569BE">
        <w:rPr>
          <w:rFonts w:cs="Times New Roman"/>
          <w:szCs w:val="24"/>
          <w:lang w:val="en-GB"/>
        </w:rPr>
        <w:t>;</w:t>
      </w:r>
    </w:p>
    <w:p w:rsidR="0060643B" w:rsidRPr="003569BE" w:rsidRDefault="0060643B" w:rsidP="00D0457A">
      <w:pPr>
        <w:tabs>
          <w:tab w:val="left" w:pos="1843"/>
        </w:tabs>
        <w:spacing w:line="360" w:lineRule="auto"/>
        <w:ind w:left="1418" w:hanging="1418"/>
        <w:rPr>
          <w:rFonts w:cs="Times New Roman"/>
          <w:szCs w:val="24"/>
          <w:lang w:val="en-GB"/>
        </w:rPr>
      </w:pPr>
      <w:r w:rsidRPr="003569BE">
        <w:rPr>
          <w:rFonts w:cs="Times New Roman"/>
          <w:szCs w:val="24"/>
          <w:lang w:val="en-GB"/>
        </w:rPr>
        <w:t>a</w:t>
      </w:r>
      <w:r w:rsidRPr="003569BE">
        <w:rPr>
          <w:rFonts w:cs="Times New Roman"/>
          <w:szCs w:val="24"/>
          <w:vertAlign w:val="subscript"/>
          <w:lang w:val="en-GB"/>
        </w:rPr>
        <w:t>1</w:t>
      </w:r>
      <w:r w:rsidRPr="003569BE">
        <w:rPr>
          <w:rFonts w:cs="Times New Roman"/>
          <w:szCs w:val="24"/>
          <w:lang w:val="en-GB"/>
        </w:rPr>
        <w:t>, a</w:t>
      </w:r>
      <w:r w:rsidRPr="003569BE">
        <w:rPr>
          <w:rFonts w:cs="Times New Roman"/>
          <w:szCs w:val="24"/>
          <w:vertAlign w:val="subscript"/>
          <w:lang w:val="en-GB"/>
        </w:rPr>
        <w:t>2</w:t>
      </w:r>
      <w:r w:rsidRPr="003569BE">
        <w:rPr>
          <w:rFonts w:cs="Times New Roman"/>
          <w:szCs w:val="24"/>
          <w:lang w:val="en-GB"/>
        </w:rPr>
        <w:t>, a</w:t>
      </w:r>
      <w:r w:rsidRPr="003569BE">
        <w:rPr>
          <w:rFonts w:cs="Times New Roman"/>
          <w:szCs w:val="24"/>
          <w:vertAlign w:val="subscript"/>
          <w:lang w:val="en-GB"/>
        </w:rPr>
        <w:t>3</w:t>
      </w:r>
      <w:r w:rsidRPr="003569BE">
        <w:rPr>
          <w:rFonts w:cs="Times New Roman"/>
          <w:szCs w:val="24"/>
          <w:lang w:val="en-GB"/>
        </w:rPr>
        <w:tab/>
        <w:t>= firm-specific parameters;</w:t>
      </w:r>
    </w:p>
    <w:p w:rsidR="00623D0F" w:rsidRPr="003569BE" w:rsidRDefault="00431048" w:rsidP="00D0457A">
      <w:pPr>
        <w:tabs>
          <w:tab w:val="left" w:pos="1843"/>
        </w:tabs>
        <w:spacing w:line="360" w:lineRule="auto"/>
        <w:rPr>
          <w:rFonts w:cs="Times New Roman"/>
          <w:szCs w:val="24"/>
          <w:lang w:val="en-GB"/>
        </w:rPr>
      </w:pPr>
      <w:r w:rsidRPr="003569BE">
        <w:rPr>
          <w:rFonts w:cs="Times New Roman"/>
          <w:szCs w:val="24"/>
          <w:lang w:val="en-GB"/>
        </w:rPr>
        <w:t>This modified version of the Jones (1991) model assumes that the changes</w:t>
      </w:r>
      <w:r w:rsidR="00D0457A" w:rsidRPr="003569BE">
        <w:rPr>
          <w:rFonts w:cs="Times New Roman"/>
          <w:szCs w:val="24"/>
          <w:lang w:val="en-GB"/>
        </w:rPr>
        <w:t xml:space="preserve"> </w:t>
      </w:r>
      <w:r w:rsidR="00AF0DAA" w:rsidRPr="003569BE">
        <w:rPr>
          <w:rFonts w:cs="Times New Roman"/>
          <w:szCs w:val="24"/>
          <w:lang w:val="en-GB"/>
        </w:rPr>
        <w:t xml:space="preserve">in the </w:t>
      </w:r>
      <w:r w:rsidR="00D0457A" w:rsidRPr="003569BE">
        <w:rPr>
          <w:rFonts w:cs="Times New Roman"/>
          <w:szCs w:val="24"/>
          <w:lang w:val="en-GB"/>
        </w:rPr>
        <w:t xml:space="preserve">sales result from </w:t>
      </w:r>
      <w:r w:rsidR="000A2220" w:rsidRPr="003569BE">
        <w:rPr>
          <w:rFonts w:cs="Times New Roman"/>
          <w:szCs w:val="24"/>
          <w:lang w:val="en-GB"/>
        </w:rPr>
        <w:t>the use of earnings management.</w:t>
      </w:r>
    </w:p>
    <w:p w:rsidR="00877ECB" w:rsidRPr="003569BE" w:rsidRDefault="0020747E" w:rsidP="00877ECB">
      <w:pPr>
        <w:pStyle w:val="Heading2"/>
        <w:numPr>
          <w:ilvl w:val="1"/>
          <w:numId w:val="6"/>
        </w:numPr>
        <w:spacing w:line="360" w:lineRule="auto"/>
        <w:rPr>
          <w:lang w:val="en-GB"/>
        </w:rPr>
      </w:pPr>
      <w:bookmarkStart w:id="25" w:name="_Toc396633557"/>
      <w:r w:rsidRPr="003569BE">
        <w:rPr>
          <w:lang w:val="en-GB"/>
        </w:rPr>
        <w:lastRenderedPageBreak/>
        <w:t>The Industry Model</w:t>
      </w:r>
      <w:bookmarkEnd w:id="25"/>
    </w:p>
    <w:p w:rsidR="00B925C4" w:rsidRPr="003569BE" w:rsidRDefault="00486220" w:rsidP="00B925C4">
      <w:pPr>
        <w:spacing w:line="360" w:lineRule="auto"/>
        <w:rPr>
          <w:rFonts w:cs="Times New Roman"/>
          <w:szCs w:val="24"/>
          <w:lang w:val="en-GB"/>
        </w:rPr>
      </w:pPr>
      <w:r w:rsidRPr="003569BE">
        <w:rPr>
          <w:rFonts w:cs="Times New Roman"/>
          <w:szCs w:val="24"/>
          <w:lang w:val="en-GB"/>
        </w:rPr>
        <w:t xml:space="preserve">The Industry Model was used by Dechow and Sloan (1991), and </w:t>
      </w:r>
      <w:r w:rsidR="00DF374F" w:rsidRPr="003569BE">
        <w:rPr>
          <w:rFonts w:cs="Times New Roman"/>
          <w:szCs w:val="24"/>
          <w:lang w:val="en-GB"/>
        </w:rPr>
        <w:t xml:space="preserve">in addition was </w:t>
      </w:r>
      <w:r w:rsidRPr="003569BE">
        <w:rPr>
          <w:rFonts w:cs="Times New Roman"/>
          <w:szCs w:val="24"/>
          <w:lang w:val="en-GB"/>
        </w:rPr>
        <w:t>considered by Dechow et Al. (1995).</w:t>
      </w:r>
      <w:r w:rsidR="008635DE" w:rsidRPr="003569BE">
        <w:rPr>
          <w:rFonts w:cs="Times New Roman"/>
          <w:szCs w:val="24"/>
          <w:lang w:val="en-GB"/>
        </w:rPr>
        <w:t xml:space="preserve"> This model, just like the original Jones model, relaxes the premise that </w:t>
      </w:r>
      <w:r w:rsidR="00DF374F" w:rsidRPr="003569BE">
        <w:rPr>
          <w:rFonts w:cs="Times New Roman"/>
          <w:szCs w:val="24"/>
          <w:lang w:val="en-GB"/>
        </w:rPr>
        <w:t xml:space="preserve">the </w:t>
      </w:r>
      <w:r w:rsidR="008635DE" w:rsidRPr="003569BE">
        <w:rPr>
          <w:rFonts w:cs="Times New Roman"/>
          <w:szCs w:val="24"/>
          <w:lang w:val="en-GB"/>
        </w:rPr>
        <w:t>non-discretionary accruals would be constant over time.</w:t>
      </w:r>
      <w:r w:rsidR="00C20F4C" w:rsidRPr="003569BE">
        <w:rPr>
          <w:rFonts w:cs="Times New Roman"/>
          <w:szCs w:val="24"/>
          <w:lang w:val="en-GB"/>
        </w:rPr>
        <w:t xml:space="preserve"> In addition, it assumes that </w:t>
      </w:r>
      <w:r w:rsidR="004A4B28" w:rsidRPr="003569BE">
        <w:rPr>
          <w:rFonts w:cs="Times New Roman"/>
          <w:szCs w:val="24"/>
          <w:lang w:val="en-GB"/>
        </w:rPr>
        <w:t>variations</w:t>
      </w:r>
      <w:r w:rsidR="00C20F4C" w:rsidRPr="003569BE">
        <w:rPr>
          <w:rFonts w:cs="Times New Roman"/>
          <w:szCs w:val="24"/>
          <w:lang w:val="en-GB"/>
        </w:rPr>
        <w:t xml:space="preserve"> in the factors that affect </w:t>
      </w:r>
      <w:r w:rsidR="00DF374F" w:rsidRPr="003569BE">
        <w:rPr>
          <w:rFonts w:cs="Times New Roman"/>
          <w:szCs w:val="24"/>
          <w:lang w:val="en-GB"/>
        </w:rPr>
        <w:t xml:space="preserve">the </w:t>
      </w:r>
      <w:r w:rsidR="00C20F4C" w:rsidRPr="003569BE">
        <w:rPr>
          <w:rFonts w:cs="Times New Roman"/>
          <w:szCs w:val="24"/>
          <w:lang w:val="en-GB"/>
        </w:rPr>
        <w:t xml:space="preserve">non-discretionary accruals are standard for firms in the same industry. </w:t>
      </w:r>
      <w:r w:rsidR="00DF374F" w:rsidRPr="003569BE">
        <w:rPr>
          <w:rFonts w:cs="Times New Roman"/>
          <w:szCs w:val="24"/>
          <w:lang w:val="en-GB"/>
        </w:rPr>
        <w:t>Consequently</w:t>
      </w:r>
      <w:r w:rsidR="00C20F4C" w:rsidRPr="003569BE">
        <w:rPr>
          <w:rFonts w:cs="Times New Roman"/>
          <w:szCs w:val="24"/>
          <w:lang w:val="en-GB"/>
        </w:rPr>
        <w:t>, the Industry Model is:</w:t>
      </w:r>
    </w:p>
    <w:p w:rsidR="001473E5" w:rsidRPr="003569BE" w:rsidRDefault="001473E5" w:rsidP="00052494">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t</w:t>
      </w:r>
      <w:r w:rsidRPr="003569BE">
        <w:rPr>
          <w:rFonts w:cs="Times New Roman"/>
          <w:i/>
          <w:szCs w:val="24"/>
          <w:lang w:val="en-GB"/>
        </w:rPr>
        <w:t xml:space="preserve"> = γ</w:t>
      </w:r>
      <w:r w:rsidRPr="003569BE">
        <w:rPr>
          <w:rFonts w:cs="Times New Roman"/>
          <w:i/>
          <w:szCs w:val="24"/>
          <w:vertAlign w:val="subscript"/>
          <w:lang w:val="en-GB"/>
        </w:rPr>
        <w:t>1</w:t>
      </w:r>
      <w:r w:rsidRPr="003569BE">
        <w:rPr>
          <w:rFonts w:cs="Times New Roman"/>
          <w:i/>
          <w:szCs w:val="24"/>
          <w:lang w:val="en-GB"/>
        </w:rPr>
        <w:t xml:space="preserve"> + γ</w:t>
      </w:r>
      <w:r w:rsidRPr="003569BE">
        <w:rPr>
          <w:rFonts w:cs="Times New Roman"/>
          <w:i/>
          <w:szCs w:val="24"/>
          <w:vertAlign w:val="subscript"/>
          <w:lang w:val="en-GB"/>
        </w:rPr>
        <w:t>2</w:t>
      </w:r>
      <w:r w:rsidRPr="003569BE">
        <w:rPr>
          <w:rFonts w:cs="Times New Roman"/>
          <w:i/>
          <w:szCs w:val="24"/>
          <w:lang w:val="en-GB"/>
        </w:rPr>
        <w:t xml:space="preserve"> median(TA</w:t>
      </w:r>
      <w:r w:rsidRPr="003569BE">
        <w:rPr>
          <w:rFonts w:cs="Times New Roman"/>
          <w:i/>
          <w:szCs w:val="24"/>
          <w:vertAlign w:val="subscript"/>
          <w:lang w:val="en-GB"/>
        </w:rPr>
        <w:t>t</w:t>
      </w:r>
      <w:r w:rsidRPr="003569BE">
        <w:rPr>
          <w:rFonts w:cs="Times New Roman"/>
          <w:i/>
          <w:szCs w:val="24"/>
          <w:lang w:val="en-GB"/>
        </w:rPr>
        <w:t>)</w:t>
      </w:r>
      <w:r w:rsidR="00052494" w:rsidRPr="003569BE">
        <w:rPr>
          <w:rFonts w:cs="Times New Roman"/>
          <w:i/>
          <w:szCs w:val="24"/>
          <w:lang w:val="en-GB"/>
        </w:rPr>
        <w:t xml:space="preserve">                        (7)</w:t>
      </w:r>
    </w:p>
    <w:p w:rsidR="00B8182F" w:rsidRPr="003569BE" w:rsidRDefault="00B8182F" w:rsidP="00B8182F">
      <w:pPr>
        <w:spacing w:line="360" w:lineRule="auto"/>
        <w:rPr>
          <w:rFonts w:cs="Times New Roman"/>
          <w:szCs w:val="24"/>
          <w:lang w:val="en-GB"/>
        </w:rPr>
      </w:pPr>
      <w:r w:rsidRPr="003569BE">
        <w:rPr>
          <w:rFonts w:cs="Times New Roman"/>
          <w:szCs w:val="24"/>
          <w:lang w:val="en-GB"/>
        </w:rPr>
        <w:t>Where:</w:t>
      </w:r>
    </w:p>
    <w:p w:rsidR="00721A75" w:rsidRPr="003569BE" w:rsidRDefault="00B8182F" w:rsidP="00B8182F">
      <w:pPr>
        <w:spacing w:line="360" w:lineRule="auto"/>
        <w:ind w:left="1276" w:hanging="1276"/>
        <w:rPr>
          <w:rFonts w:cs="Times New Roman"/>
          <w:szCs w:val="24"/>
          <w:lang w:val="en-GB"/>
        </w:rPr>
      </w:pPr>
      <w:r w:rsidRPr="003569BE">
        <w:rPr>
          <w:rFonts w:cs="Times New Roman"/>
          <w:szCs w:val="24"/>
          <w:lang w:val="en-GB"/>
        </w:rPr>
        <w:t>median(TA</w:t>
      </w:r>
      <w:r w:rsidRPr="003569BE">
        <w:rPr>
          <w:rFonts w:cs="Times New Roman"/>
          <w:szCs w:val="24"/>
          <w:vertAlign w:val="subscript"/>
          <w:lang w:val="en-GB"/>
        </w:rPr>
        <w:t>t</w:t>
      </w:r>
      <w:r w:rsidRPr="003569BE">
        <w:rPr>
          <w:rFonts w:cs="Times New Roman"/>
          <w:szCs w:val="24"/>
          <w:lang w:val="en-GB"/>
        </w:rPr>
        <w:t xml:space="preserve">) = the median value of total accruals scaled by lagged assets for all non-sample firms in the same 2-digit </w:t>
      </w:r>
      <w:r w:rsidR="00721A75" w:rsidRPr="003569BE">
        <w:rPr>
          <w:rFonts w:cs="Times New Roman"/>
          <w:szCs w:val="24"/>
          <w:lang w:val="en-GB"/>
        </w:rPr>
        <w:t>SIC code;</w:t>
      </w:r>
    </w:p>
    <w:p w:rsidR="00721A75" w:rsidRPr="003569BE" w:rsidRDefault="00721A75" w:rsidP="00B8182F">
      <w:pPr>
        <w:spacing w:line="360" w:lineRule="auto"/>
        <w:ind w:left="1276" w:hanging="1276"/>
        <w:rPr>
          <w:rFonts w:cs="Times New Roman"/>
          <w:szCs w:val="24"/>
          <w:lang w:val="en-GB"/>
        </w:rPr>
      </w:pPr>
      <w:r w:rsidRPr="003569BE">
        <w:rPr>
          <w:rFonts w:cs="Times New Roman"/>
          <w:szCs w:val="24"/>
          <w:lang w:val="en-GB"/>
        </w:rPr>
        <w:t>γ</w:t>
      </w:r>
      <w:r w:rsidRPr="003569BE">
        <w:rPr>
          <w:rFonts w:cs="Times New Roman"/>
          <w:szCs w:val="24"/>
          <w:vertAlign w:val="subscript"/>
          <w:lang w:val="en-GB"/>
        </w:rPr>
        <w:t>1</w:t>
      </w:r>
      <w:r w:rsidRPr="003569BE">
        <w:rPr>
          <w:rFonts w:cs="Times New Roman"/>
          <w:szCs w:val="24"/>
          <w:lang w:val="en-GB"/>
        </w:rPr>
        <w:t>, γ</w:t>
      </w:r>
      <w:r w:rsidRPr="003569BE">
        <w:rPr>
          <w:rFonts w:cs="Times New Roman"/>
          <w:szCs w:val="24"/>
          <w:vertAlign w:val="subscript"/>
          <w:lang w:val="en-GB"/>
        </w:rPr>
        <w:t>2</w:t>
      </w:r>
      <w:r w:rsidRPr="003569BE">
        <w:rPr>
          <w:rFonts w:cs="Times New Roman"/>
          <w:szCs w:val="24"/>
          <w:lang w:val="en-GB"/>
        </w:rPr>
        <w:t xml:space="preserve"> </w:t>
      </w:r>
      <w:r w:rsidR="004F7319" w:rsidRPr="003569BE">
        <w:rPr>
          <w:rFonts w:cs="Times New Roman"/>
          <w:szCs w:val="24"/>
          <w:lang w:val="en-GB"/>
        </w:rPr>
        <w:tab/>
      </w:r>
      <w:r w:rsidRPr="003569BE">
        <w:rPr>
          <w:rFonts w:cs="Times New Roman"/>
          <w:szCs w:val="24"/>
          <w:lang w:val="en-GB"/>
        </w:rPr>
        <w:t>= specific parameters estimated using OLS on the observations in the estimation period;</w:t>
      </w:r>
    </w:p>
    <w:p w:rsidR="002A7B1C" w:rsidRPr="003569BE" w:rsidRDefault="00DF374F" w:rsidP="002A7B1C">
      <w:pPr>
        <w:tabs>
          <w:tab w:val="left" w:pos="0"/>
        </w:tabs>
        <w:spacing w:line="360" w:lineRule="auto"/>
        <w:rPr>
          <w:rFonts w:eastAsiaTheme="majorEastAsia" w:cstheme="majorBidi"/>
          <w:szCs w:val="24"/>
          <w:lang w:val="en-GB"/>
        </w:rPr>
      </w:pPr>
      <w:r w:rsidRPr="003569BE">
        <w:rPr>
          <w:rFonts w:eastAsiaTheme="majorEastAsia" w:cstheme="majorBidi"/>
          <w:szCs w:val="24"/>
          <w:lang w:val="en-GB"/>
        </w:rPr>
        <w:t xml:space="preserve"> Regarding the Industry Model, as Dechow et Al. (1995) presented o</w:t>
      </w:r>
      <w:r w:rsidR="00927E4B" w:rsidRPr="003569BE">
        <w:rPr>
          <w:rFonts w:eastAsiaTheme="majorEastAsia" w:cstheme="majorBidi"/>
          <w:szCs w:val="24"/>
          <w:lang w:val="en-GB"/>
        </w:rPr>
        <w:t>ne problem</w:t>
      </w:r>
      <w:r w:rsidRPr="003569BE">
        <w:rPr>
          <w:rFonts w:eastAsiaTheme="majorEastAsia" w:cstheme="majorBidi"/>
          <w:szCs w:val="24"/>
          <w:lang w:val="en-GB"/>
        </w:rPr>
        <w:t xml:space="preserve"> exists</w:t>
      </w:r>
      <w:r w:rsidR="00A35B44" w:rsidRPr="003569BE">
        <w:rPr>
          <w:rFonts w:eastAsiaTheme="majorEastAsia" w:cstheme="majorBidi"/>
          <w:szCs w:val="24"/>
          <w:lang w:val="en-GB"/>
        </w:rPr>
        <w:t>: “If changes in non</w:t>
      </w:r>
      <w:r w:rsidRPr="003569BE">
        <w:rPr>
          <w:rFonts w:eastAsiaTheme="majorEastAsia" w:cstheme="majorBidi"/>
          <w:szCs w:val="24"/>
          <w:lang w:val="en-GB"/>
        </w:rPr>
        <w:t>-</w:t>
      </w:r>
      <w:r w:rsidR="00A35B44" w:rsidRPr="003569BE">
        <w:rPr>
          <w:rFonts w:eastAsiaTheme="majorEastAsia" w:cstheme="majorBidi"/>
          <w:szCs w:val="24"/>
          <w:lang w:val="en-GB"/>
        </w:rPr>
        <w:t>discretionary accruals largely reflect responses to changes in firm-specific circumstances, then the Industry Model will not extract all non</w:t>
      </w:r>
      <w:r w:rsidRPr="003569BE">
        <w:rPr>
          <w:rFonts w:eastAsiaTheme="majorEastAsia" w:cstheme="majorBidi"/>
          <w:szCs w:val="24"/>
          <w:lang w:val="en-GB"/>
        </w:rPr>
        <w:t>-</w:t>
      </w:r>
      <w:r w:rsidR="00A35B44" w:rsidRPr="003569BE">
        <w:rPr>
          <w:rFonts w:eastAsiaTheme="majorEastAsia" w:cstheme="majorBidi"/>
          <w:szCs w:val="24"/>
          <w:lang w:val="en-GB"/>
        </w:rPr>
        <w:t>discretionary accruals from the discretionary a</w:t>
      </w:r>
      <w:r w:rsidR="00E914DD" w:rsidRPr="003569BE">
        <w:rPr>
          <w:rFonts w:eastAsiaTheme="majorEastAsia" w:cstheme="majorBidi"/>
          <w:szCs w:val="24"/>
          <w:lang w:val="en-GB"/>
        </w:rPr>
        <w:t>ccrual proxy</w:t>
      </w:r>
      <w:r w:rsidR="00A35B44" w:rsidRPr="003569BE">
        <w:rPr>
          <w:rFonts w:eastAsiaTheme="majorEastAsia" w:cstheme="majorBidi"/>
          <w:szCs w:val="24"/>
          <w:lang w:val="en-GB"/>
        </w:rPr>
        <w:t xml:space="preserve">” </w:t>
      </w:r>
      <w:sdt>
        <w:sdtPr>
          <w:rPr>
            <w:rFonts w:eastAsiaTheme="majorEastAsia" w:cstheme="majorBidi"/>
            <w:szCs w:val="24"/>
            <w:lang w:val="en-GB"/>
          </w:rPr>
          <w:id w:val="917360692"/>
          <w:citation/>
        </w:sdtPr>
        <w:sdtContent>
          <w:r w:rsidR="000E4BAF" w:rsidRPr="003569BE">
            <w:rPr>
              <w:rFonts w:eastAsiaTheme="majorEastAsia" w:cstheme="majorBidi"/>
              <w:szCs w:val="24"/>
              <w:lang w:val="en-GB"/>
            </w:rPr>
            <w:fldChar w:fldCharType="begin"/>
          </w:r>
          <w:r w:rsidR="00E914DD" w:rsidRPr="003569BE">
            <w:rPr>
              <w:rFonts w:eastAsiaTheme="majorEastAsia" w:cstheme="majorBidi"/>
              <w:szCs w:val="24"/>
              <w:lang w:val="en-GB"/>
            </w:rPr>
            <w:instrText xml:space="preserve">CITATION DeC95 \p 200 \t  \l 1033 </w:instrText>
          </w:r>
          <w:r w:rsidR="000E4BAF" w:rsidRPr="003569BE">
            <w:rPr>
              <w:rFonts w:eastAsiaTheme="majorEastAsia" w:cstheme="majorBidi"/>
              <w:szCs w:val="24"/>
              <w:lang w:val="en-GB"/>
            </w:rPr>
            <w:fldChar w:fldCharType="separate"/>
          </w:r>
          <w:r w:rsidR="008F7EB3" w:rsidRPr="003569BE">
            <w:rPr>
              <w:rFonts w:eastAsiaTheme="majorEastAsia" w:cstheme="majorBidi"/>
              <w:noProof/>
              <w:szCs w:val="24"/>
              <w:lang w:val="en-GB"/>
            </w:rPr>
            <w:t>(Dechow, Sweeney, &amp; Sloan, 1995, p. 200)</w:t>
          </w:r>
          <w:r w:rsidR="000E4BAF" w:rsidRPr="003569BE">
            <w:rPr>
              <w:rFonts w:eastAsiaTheme="majorEastAsia" w:cstheme="majorBidi"/>
              <w:szCs w:val="24"/>
              <w:lang w:val="en-GB"/>
            </w:rPr>
            <w:fldChar w:fldCharType="end"/>
          </w:r>
        </w:sdtContent>
      </w:sdt>
      <w:r w:rsidR="00E914DD" w:rsidRPr="003569BE">
        <w:rPr>
          <w:rFonts w:eastAsiaTheme="majorEastAsia" w:cstheme="majorBidi"/>
          <w:szCs w:val="24"/>
          <w:lang w:val="en-GB"/>
        </w:rPr>
        <w:t>.</w:t>
      </w:r>
    </w:p>
    <w:p w:rsidR="00D449C4" w:rsidRPr="003569BE" w:rsidRDefault="00D449C4" w:rsidP="002A7B1C">
      <w:pPr>
        <w:pStyle w:val="Heading2"/>
        <w:numPr>
          <w:ilvl w:val="1"/>
          <w:numId w:val="6"/>
        </w:numPr>
        <w:spacing w:line="360" w:lineRule="auto"/>
        <w:rPr>
          <w:sz w:val="24"/>
          <w:szCs w:val="24"/>
          <w:lang w:val="en-GB"/>
        </w:rPr>
      </w:pPr>
      <w:bookmarkStart w:id="26" w:name="_Toc396633558"/>
      <w:r w:rsidRPr="003569BE">
        <w:rPr>
          <w:sz w:val="24"/>
          <w:szCs w:val="24"/>
          <w:lang w:val="en-GB"/>
        </w:rPr>
        <w:t xml:space="preserve">The </w:t>
      </w:r>
      <w:r w:rsidRPr="003569BE">
        <w:rPr>
          <w:lang w:val="en-GB"/>
        </w:rPr>
        <w:t>Healy</w:t>
      </w:r>
      <w:r w:rsidRPr="003569BE">
        <w:rPr>
          <w:sz w:val="24"/>
          <w:szCs w:val="24"/>
          <w:lang w:val="en-GB"/>
        </w:rPr>
        <w:t xml:space="preserve"> Model</w:t>
      </w:r>
      <w:bookmarkEnd w:id="26"/>
    </w:p>
    <w:p w:rsidR="002A7B1C" w:rsidRPr="003569BE" w:rsidRDefault="00850006" w:rsidP="00850006">
      <w:pPr>
        <w:spacing w:line="360" w:lineRule="auto"/>
        <w:rPr>
          <w:rFonts w:cs="Times New Roman"/>
          <w:szCs w:val="24"/>
          <w:lang w:val="en-GB"/>
        </w:rPr>
      </w:pPr>
      <w:r w:rsidRPr="003569BE">
        <w:rPr>
          <w:rFonts w:cs="Times New Roman"/>
          <w:szCs w:val="24"/>
          <w:lang w:val="en-GB"/>
        </w:rPr>
        <w:t>Introduced by Healy (1985), this model’s approach for detecting and measuring earnings management is by comparing mean total accruals scaled by lagged total assets across the earnings management partitioning variable. The Healy Model is:</w:t>
      </w:r>
    </w:p>
    <w:p w:rsidR="00850006" w:rsidRPr="003569BE" w:rsidRDefault="00850006" w:rsidP="00850006">
      <w:pPr>
        <w:spacing w:line="360" w:lineRule="auto"/>
        <w:jc w:val="center"/>
        <w:rPr>
          <w:rFonts w:cs="Times New Roman"/>
          <w:i/>
          <w:szCs w:val="24"/>
          <w:lang w:val="en-GB"/>
        </w:rPr>
      </w:pPr>
      <w:r w:rsidRPr="003569BE">
        <w:rPr>
          <w:rFonts w:cs="Times New Roman"/>
          <w:i/>
          <w:szCs w:val="24"/>
          <w:lang w:val="en-GB"/>
        </w:rPr>
        <w:t>NDA</w:t>
      </w:r>
      <w:r w:rsidR="00126BAC" w:rsidRPr="003569BE">
        <w:rPr>
          <w:rFonts w:cs="Times New Roman"/>
          <w:i/>
          <w:szCs w:val="24"/>
          <w:vertAlign w:val="subscript"/>
          <w:lang w:val="en-GB"/>
        </w:rPr>
        <w:t>τ</w:t>
      </w:r>
      <w:r w:rsidRPr="003569BE">
        <w:rPr>
          <w:rFonts w:cs="Times New Roman"/>
          <w:i/>
          <w:szCs w:val="24"/>
          <w:lang w:val="en-GB"/>
        </w:rPr>
        <w:t xml:space="preserve"> = ∑ TA</w:t>
      </w:r>
      <w:r w:rsidRPr="003569BE">
        <w:rPr>
          <w:rFonts w:cs="Times New Roman"/>
          <w:i/>
          <w:szCs w:val="24"/>
          <w:vertAlign w:val="subscript"/>
          <w:lang w:val="en-GB"/>
        </w:rPr>
        <w:t xml:space="preserve">t </w:t>
      </w:r>
      <w:r w:rsidRPr="003569BE">
        <w:rPr>
          <w:rFonts w:cs="Times New Roman"/>
          <w:i/>
          <w:szCs w:val="24"/>
          <w:lang w:val="en-GB"/>
        </w:rPr>
        <w:t>/ T                          (8)</w:t>
      </w:r>
    </w:p>
    <w:p w:rsidR="00126BAC" w:rsidRPr="003569BE" w:rsidRDefault="00126BAC" w:rsidP="00126BAC">
      <w:pPr>
        <w:spacing w:line="360" w:lineRule="auto"/>
        <w:rPr>
          <w:rFonts w:cs="Times New Roman"/>
          <w:szCs w:val="24"/>
          <w:lang w:val="en-GB"/>
        </w:rPr>
      </w:pPr>
      <w:r w:rsidRPr="003569BE">
        <w:rPr>
          <w:rFonts w:cs="Times New Roman"/>
          <w:szCs w:val="24"/>
          <w:lang w:val="en-GB"/>
        </w:rPr>
        <w:t>Where:</w:t>
      </w:r>
    </w:p>
    <w:p w:rsidR="00126BAC" w:rsidRPr="003569BE" w:rsidRDefault="00126BAC" w:rsidP="00A723A2">
      <w:pPr>
        <w:spacing w:after="0" w:line="360" w:lineRule="auto"/>
        <w:rPr>
          <w:rFonts w:cs="Times New Roman"/>
          <w:szCs w:val="24"/>
          <w:lang w:val="en-GB"/>
        </w:rPr>
      </w:pPr>
      <w:r w:rsidRPr="003569BE">
        <w:rPr>
          <w:rFonts w:cs="Times New Roman"/>
          <w:szCs w:val="24"/>
          <w:lang w:val="en-GB"/>
        </w:rPr>
        <w:t>NDA = estimated nondiscretionary accruals;</w:t>
      </w:r>
    </w:p>
    <w:p w:rsidR="00126BAC" w:rsidRPr="003569BE" w:rsidRDefault="00126BAC" w:rsidP="00A723A2">
      <w:pPr>
        <w:spacing w:after="0" w:line="360" w:lineRule="auto"/>
        <w:rPr>
          <w:rFonts w:cs="Times New Roman"/>
          <w:szCs w:val="24"/>
          <w:lang w:val="en-GB"/>
        </w:rPr>
      </w:pPr>
      <w:r w:rsidRPr="003569BE">
        <w:rPr>
          <w:rFonts w:cs="Times New Roman"/>
          <w:szCs w:val="24"/>
          <w:lang w:val="en-GB"/>
        </w:rPr>
        <w:t>TA = total accruals scaled by lagged total assets;</w:t>
      </w:r>
    </w:p>
    <w:p w:rsidR="00126BAC" w:rsidRPr="003569BE" w:rsidRDefault="00126BAC" w:rsidP="00A723A2">
      <w:pPr>
        <w:spacing w:line="360" w:lineRule="auto"/>
        <w:rPr>
          <w:rFonts w:cs="Times New Roman"/>
          <w:szCs w:val="24"/>
          <w:lang w:val="en-GB"/>
        </w:rPr>
      </w:pPr>
      <w:r w:rsidRPr="003569BE">
        <w:rPr>
          <w:rFonts w:cs="Times New Roman"/>
          <w:szCs w:val="24"/>
          <w:lang w:val="en-GB"/>
        </w:rPr>
        <w:t>τ = a year subscript indicating a year in the event period;</w:t>
      </w:r>
    </w:p>
    <w:p w:rsidR="000B0C52" w:rsidRPr="003569BE" w:rsidRDefault="007614A7" w:rsidP="007614A7">
      <w:pPr>
        <w:pStyle w:val="Heading2"/>
        <w:numPr>
          <w:ilvl w:val="1"/>
          <w:numId w:val="6"/>
        </w:numPr>
        <w:spacing w:line="360" w:lineRule="auto"/>
        <w:rPr>
          <w:rFonts w:cs="Times New Roman"/>
          <w:sz w:val="24"/>
          <w:szCs w:val="24"/>
          <w:lang w:val="en-GB"/>
        </w:rPr>
      </w:pPr>
      <w:bookmarkStart w:id="27" w:name="_Toc396633559"/>
      <w:r w:rsidRPr="003569BE">
        <w:rPr>
          <w:rFonts w:cs="Times New Roman"/>
          <w:sz w:val="24"/>
          <w:szCs w:val="24"/>
          <w:lang w:val="en-GB"/>
        </w:rPr>
        <w:t xml:space="preserve">The </w:t>
      </w:r>
      <w:r w:rsidRPr="003569BE">
        <w:rPr>
          <w:lang w:val="en-GB"/>
        </w:rPr>
        <w:t>DeAngelo</w:t>
      </w:r>
      <w:r w:rsidRPr="003569BE">
        <w:rPr>
          <w:rFonts w:cs="Times New Roman"/>
          <w:sz w:val="24"/>
          <w:szCs w:val="24"/>
          <w:lang w:val="en-GB"/>
        </w:rPr>
        <w:t xml:space="preserve"> Model</w:t>
      </w:r>
      <w:bookmarkEnd w:id="27"/>
    </w:p>
    <w:p w:rsidR="007614A7" w:rsidRPr="003569BE" w:rsidRDefault="005C1955" w:rsidP="005C1955">
      <w:pPr>
        <w:rPr>
          <w:rFonts w:cs="Times New Roman"/>
          <w:szCs w:val="24"/>
          <w:lang w:val="en-GB"/>
        </w:rPr>
      </w:pPr>
      <w:r w:rsidRPr="003569BE">
        <w:rPr>
          <w:rFonts w:cs="Times New Roman"/>
          <w:szCs w:val="24"/>
          <w:lang w:val="en-GB"/>
        </w:rPr>
        <w:t xml:space="preserve">This model was introduced by DeAngelo (1986), who tested </w:t>
      </w:r>
      <w:r w:rsidR="00DF374F" w:rsidRPr="003569BE">
        <w:rPr>
          <w:rFonts w:cs="Times New Roman"/>
          <w:szCs w:val="24"/>
          <w:lang w:val="en-GB"/>
        </w:rPr>
        <w:t xml:space="preserve">the use of </w:t>
      </w:r>
      <w:r w:rsidRPr="003569BE">
        <w:rPr>
          <w:rFonts w:cs="Times New Roman"/>
          <w:szCs w:val="24"/>
          <w:lang w:val="en-GB"/>
        </w:rPr>
        <w:t>earnings management by assuming a special case of the Healy Model in which the estimation period is restricted only to the previous year.</w:t>
      </w:r>
      <w:r w:rsidR="00D77ADF" w:rsidRPr="003569BE">
        <w:rPr>
          <w:rFonts w:cs="Times New Roman"/>
          <w:szCs w:val="24"/>
          <w:lang w:val="en-GB"/>
        </w:rPr>
        <w:t xml:space="preserve"> </w:t>
      </w:r>
      <w:r w:rsidR="00DF374F" w:rsidRPr="003569BE">
        <w:rPr>
          <w:rFonts w:cs="Times New Roman"/>
          <w:szCs w:val="24"/>
          <w:lang w:val="en-GB"/>
        </w:rPr>
        <w:t>She</w:t>
      </w:r>
      <w:r w:rsidR="00D77ADF" w:rsidRPr="003569BE">
        <w:rPr>
          <w:rFonts w:cs="Times New Roman"/>
          <w:szCs w:val="24"/>
          <w:lang w:val="en-GB"/>
        </w:rPr>
        <w:t xml:space="preserve"> used total accruals scaled by lagged total assets from the </w:t>
      </w:r>
      <w:r w:rsidR="00D77ADF" w:rsidRPr="003569BE">
        <w:rPr>
          <w:rFonts w:cs="Times New Roman"/>
          <w:szCs w:val="24"/>
          <w:lang w:val="en-GB"/>
        </w:rPr>
        <w:lastRenderedPageBreak/>
        <w:t xml:space="preserve">previous period as a proxy for </w:t>
      </w:r>
      <w:r w:rsidR="00DF374F" w:rsidRPr="003569BE">
        <w:rPr>
          <w:rFonts w:cs="Times New Roman"/>
          <w:szCs w:val="24"/>
          <w:lang w:val="en-GB"/>
        </w:rPr>
        <w:t xml:space="preserve">the </w:t>
      </w:r>
      <w:r w:rsidR="00D77ADF" w:rsidRPr="003569BE">
        <w:rPr>
          <w:rFonts w:cs="Times New Roman"/>
          <w:szCs w:val="24"/>
          <w:lang w:val="en-GB"/>
        </w:rPr>
        <w:t>non</w:t>
      </w:r>
      <w:r w:rsidR="00DF374F" w:rsidRPr="003569BE">
        <w:rPr>
          <w:rFonts w:cs="Times New Roman"/>
          <w:szCs w:val="24"/>
          <w:lang w:val="en-GB"/>
        </w:rPr>
        <w:t>-</w:t>
      </w:r>
      <w:r w:rsidR="00D77ADF" w:rsidRPr="003569BE">
        <w:rPr>
          <w:rFonts w:cs="Times New Roman"/>
          <w:szCs w:val="24"/>
          <w:lang w:val="en-GB"/>
        </w:rPr>
        <w:t xml:space="preserve">discretionary accruals. </w:t>
      </w:r>
      <w:r w:rsidR="00DF374F" w:rsidRPr="003569BE">
        <w:rPr>
          <w:rFonts w:cs="Times New Roman"/>
          <w:szCs w:val="24"/>
          <w:lang w:val="en-GB"/>
        </w:rPr>
        <w:t>Consequently</w:t>
      </w:r>
      <w:r w:rsidR="00D77ADF" w:rsidRPr="003569BE">
        <w:rPr>
          <w:rFonts w:cs="Times New Roman"/>
          <w:szCs w:val="24"/>
          <w:lang w:val="en-GB"/>
        </w:rPr>
        <w:t>, the DeAngelo Model is:</w:t>
      </w:r>
    </w:p>
    <w:p w:rsidR="00D77ADF" w:rsidRPr="003569BE" w:rsidRDefault="003C2DA6" w:rsidP="003C2DA6">
      <w:pPr>
        <w:jc w:val="center"/>
        <w:rPr>
          <w:rFonts w:cs="Times New Roman"/>
          <w:szCs w:val="24"/>
          <w:lang w:val="en-GB"/>
        </w:rPr>
      </w:pPr>
      <w:r w:rsidRPr="003569BE">
        <w:rPr>
          <w:rFonts w:cs="Times New Roman"/>
          <w:i/>
          <w:szCs w:val="24"/>
          <w:lang w:val="en-GB"/>
        </w:rPr>
        <w:t>NDA</w:t>
      </w:r>
      <w:r w:rsidRPr="003569BE">
        <w:rPr>
          <w:rFonts w:cs="Times New Roman"/>
          <w:i/>
          <w:szCs w:val="24"/>
          <w:vertAlign w:val="subscript"/>
          <w:lang w:val="en-GB"/>
        </w:rPr>
        <w:t>τ</w:t>
      </w:r>
      <w:r w:rsidRPr="003569BE">
        <w:rPr>
          <w:rFonts w:cs="Times New Roman"/>
          <w:i/>
          <w:szCs w:val="24"/>
          <w:lang w:val="en-GB"/>
        </w:rPr>
        <w:t xml:space="preserve"> = TA</w:t>
      </w:r>
      <w:r w:rsidRPr="003569BE">
        <w:rPr>
          <w:rFonts w:cs="Times New Roman"/>
          <w:i/>
          <w:szCs w:val="24"/>
          <w:vertAlign w:val="subscript"/>
          <w:lang w:val="en-GB"/>
        </w:rPr>
        <w:t xml:space="preserve">t-1 </w:t>
      </w:r>
      <w:r w:rsidR="005B6C48" w:rsidRPr="003569BE">
        <w:rPr>
          <w:rFonts w:cs="Times New Roman"/>
          <w:i/>
          <w:szCs w:val="24"/>
          <w:vertAlign w:val="subscript"/>
          <w:lang w:val="en-GB"/>
        </w:rPr>
        <w:t xml:space="preserve">           </w:t>
      </w:r>
      <w:r w:rsidR="005B6C48" w:rsidRPr="003569BE">
        <w:rPr>
          <w:rFonts w:cs="Times New Roman"/>
          <w:i/>
          <w:szCs w:val="24"/>
          <w:lang w:val="en-GB"/>
        </w:rPr>
        <w:t>(9)</w:t>
      </w:r>
    </w:p>
    <w:p w:rsidR="007F0966" w:rsidRPr="003569BE" w:rsidRDefault="007F0966" w:rsidP="00D449C4">
      <w:pPr>
        <w:pStyle w:val="Heading2"/>
        <w:numPr>
          <w:ilvl w:val="1"/>
          <w:numId w:val="6"/>
        </w:numPr>
        <w:spacing w:line="360" w:lineRule="auto"/>
        <w:rPr>
          <w:lang w:val="en-GB"/>
        </w:rPr>
      </w:pPr>
      <w:bookmarkStart w:id="28" w:name="_Toc396633560"/>
      <w:r w:rsidRPr="003569BE">
        <w:rPr>
          <w:lang w:val="en-GB"/>
        </w:rPr>
        <w:t>McNichols Model</w:t>
      </w:r>
      <w:bookmarkEnd w:id="28"/>
    </w:p>
    <w:p w:rsidR="00540DA7" w:rsidRPr="003569BE" w:rsidRDefault="009150A7" w:rsidP="00540DA7">
      <w:pPr>
        <w:spacing w:line="360" w:lineRule="auto"/>
        <w:rPr>
          <w:rFonts w:cs="Times New Roman"/>
          <w:i/>
          <w:szCs w:val="24"/>
          <w:lang w:val="en-GB"/>
        </w:rPr>
      </w:pPr>
      <w:r w:rsidRPr="003569BE">
        <w:rPr>
          <w:rFonts w:cs="Times New Roman"/>
          <w:szCs w:val="24"/>
          <w:lang w:val="en-GB"/>
        </w:rPr>
        <w:t>McNichols (2002) model is another version of a modified Jones (1991) model.</w:t>
      </w:r>
      <w:r w:rsidR="00BE67A8" w:rsidRPr="003569BE">
        <w:rPr>
          <w:rFonts w:cs="Times New Roman"/>
          <w:szCs w:val="24"/>
          <w:lang w:val="en-GB"/>
        </w:rPr>
        <w:t xml:space="preserve"> It is based on Dechow and Dichev’s (2002) work by adding the cash flows from three periods, i.e. previous, current and future, </w:t>
      </w:r>
      <w:r w:rsidR="00DF374F" w:rsidRPr="003569BE">
        <w:rPr>
          <w:rFonts w:cs="Times New Roman"/>
          <w:szCs w:val="24"/>
          <w:lang w:val="en-GB"/>
        </w:rPr>
        <w:t>in</w:t>
      </w:r>
      <w:r w:rsidR="00BE67A8" w:rsidRPr="003569BE">
        <w:rPr>
          <w:rFonts w:cs="Times New Roman"/>
          <w:szCs w:val="24"/>
          <w:lang w:val="en-GB"/>
        </w:rPr>
        <w:t>to the Jones model</w:t>
      </w:r>
      <w:r w:rsidR="00257A9D" w:rsidRPr="003569BE">
        <w:rPr>
          <w:rFonts w:cs="Times New Roman"/>
          <w:szCs w:val="24"/>
          <w:lang w:val="en-GB"/>
        </w:rPr>
        <w:t xml:space="preserve"> </w:t>
      </w:r>
      <w:sdt>
        <w:sdtPr>
          <w:rPr>
            <w:rFonts w:cs="Times New Roman"/>
            <w:szCs w:val="24"/>
            <w:lang w:val="en-GB"/>
          </w:rPr>
          <w:id w:val="-475075709"/>
          <w:citation/>
        </w:sdtPr>
        <w:sdtContent>
          <w:r w:rsidR="000E4BAF" w:rsidRPr="003569BE">
            <w:rPr>
              <w:rFonts w:cs="Times New Roman"/>
              <w:szCs w:val="24"/>
              <w:lang w:val="en-GB"/>
            </w:rPr>
            <w:fldChar w:fldCharType="begin"/>
          </w:r>
          <w:r w:rsidR="007B30A2" w:rsidRPr="003569BE">
            <w:rPr>
              <w:rFonts w:cs="Times New Roman"/>
              <w:szCs w:val="24"/>
              <w:lang w:val="en-GB"/>
            </w:rPr>
            <w:instrText xml:space="preserve">CITATION McN \l 1033 </w:instrText>
          </w:r>
          <w:r w:rsidR="000E4BAF" w:rsidRPr="003569BE">
            <w:rPr>
              <w:rFonts w:cs="Times New Roman"/>
              <w:szCs w:val="24"/>
              <w:lang w:val="en-GB"/>
            </w:rPr>
            <w:fldChar w:fldCharType="separate"/>
          </w:r>
          <w:r w:rsidR="008F7EB3" w:rsidRPr="003569BE">
            <w:rPr>
              <w:rFonts w:cs="Times New Roman"/>
              <w:noProof/>
              <w:szCs w:val="24"/>
              <w:lang w:val="en-GB"/>
            </w:rPr>
            <w:t>(McNichols, 2002)</w:t>
          </w:r>
          <w:r w:rsidR="000E4BAF" w:rsidRPr="003569BE">
            <w:rPr>
              <w:rFonts w:cs="Times New Roman"/>
              <w:szCs w:val="24"/>
              <w:lang w:val="en-GB"/>
            </w:rPr>
            <w:fldChar w:fldCharType="end"/>
          </w:r>
        </w:sdtContent>
      </w:sdt>
      <w:r w:rsidR="00BE67A8" w:rsidRPr="003569BE">
        <w:rPr>
          <w:rFonts w:cs="Times New Roman"/>
          <w:szCs w:val="24"/>
          <w:lang w:val="en-GB"/>
        </w:rPr>
        <w:t xml:space="preserve">. </w:t>
      </w:r>
      <w:r w:rsidR="00DF374F" w:rsidRPr="003569BE">
        <w:rPr>
          <w:rFonts w:cs="Times New Roman"/>
          <w:szCs w:val="24"/>
          <w:lang w:val="en-GB"/>
        </w:rPr>
        <w:t>Consequently</w:t>
      </w:r>
      <w:r w:rsidR="00ED46E7" w:rsidRPr="003569BE">
        <w:rPr>
          <w:rFonts w:cs="Times New Roman"/>
          <w:szCs w:val="24"/>
          <w:lang w:val="en-GB"/>
        </w:rPr>
        <w:t>, the McNichols Model is:</w:t>
      </w:r>
    </w:p>
    <w:p w:rsidR="00870539" w:rsidRPr="003569BE" w:rsidRDefault="00870539" w:rsidP="00870539">
      <w:pPr>
        <w:spacing w:line="360" w:lineRule="auto"/>
        <w:jc w:val="center"/>
        <w:rPr>
          <w:rFonts w:cs="Times New Roman"/>
          <w:i/>
          <w:szCs w:val="24"/>
          <w:vertAlign w:val="subscript"/>
          <w:lang w:val="en-GB"/>
        </w:rPr>
      </w:pPr>
      <w:r w:rsidRPr="003569BE">
        <w:rPr>
          <w:rFonts w:cs="Times New Roman"/>
          <w:i/>
          <w:szCs w:val="24"/>
          <w:lang w:val="en-GB"/>
        </w:rPr>
        <w:t>NDA</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1</w:t>
      </w:r>
      <w:r w:rsidRPr="003569BE">
        <w:rPr>
          <w:rFonts w:cs="Times New Roman"/>
          <w:i/>
          <w:szCs w:val="24"/>
          <w:lang w:val="en-GB"/>
        </w:rPr>
        <w:t>(1/A</w:t>
      </w:r>
      <w:r w:rsidRPr="003569BE">
        <w:rPr>
          <w:rFonts w:cs="Times New Roman"/>
          <w:i/>
          <w:szCs w:val="24"/>
          <w:vertAlign w:val="subscript"/>
          <w:lang w:val="en-GB"/>
        </w:rPr>
        <w:t>t-1</w:t>
      </w:r>
      <w:r w:rsidRPr="003569BE">
        <w:rPr>
          <w:rFonts w:cs="Times New Roman"/>
          <w:i/>
          <w:szCs w:val="24"/>
          <w:lang w:val="en-GB"/>
        </w:rPr>
        <w:t>) + a</w:t>
      </w:r>
      <w:r w:rsidRPr="003569BE">
        <w:rPr>
          <w:rFonts w:cs="Times New Roman"/>
          <w:i/>
          <w:szCs w:val="24"/>
          <w:vertAlign w:val="subscript"/>
          <w:lang w:val="en-GB"/>
        </w:rPr>
        <w:t>2</w:t>
      </w:r>
      <w:r w:rsidRPr="003569BE">
        <w:rPr>
          <w:rFonts w:cs="Times New Roman"/>
          <w:i/>
          <w:szCs w:val="24"/>
          <w:lang w:val="en-GB"/>
        </w:rPr>
        <w:t>CFO</w:t>
      </w:r>
      <w:r w:rsidRPr="003569BE">
        <w:rPr>
          <w:rFonts w:cs="Times New Roman"/>
          <w:i/>
          <w:szCs w:val="24"/>
          <w:vertAlign w:val="subscript"/>
          <w:lang w:val="en-GB"/>
        </w:rPr>
        <w:t>t-1</w:t>
      </w:r>
      <w:r w:rsidRPr="003569BE">
        <w:rPr>
          <w:rFonts w:cs="Times New Roman"/>
          <w:i/>
          <w:szCs w:val="24"/>
          <w:lang w:val="en-GB"/>
        </w:rPr>
        <w:t xml:space="preserve"> + a</w:t>
      </w:r>
      <w:r w:rsidRPr="003569BE">
        <w:rPr>
          <w:rFonts w:cs="Times New Roman"/>
          <w:i/>
          <w:szCs w:val="24"/>
          <w:vertAlign w:val="subscript"/>
          <w:lang w:val="en-GB"/>
        </w:rPr>
        <w:t>3</w:t>
      </w:r>
      <w:r w:rsidRPr="003569BE">
        <w:rPr>
          <w:rFonts w:cs="Times New Roman"/>
          <w:i/>
          <w:szCs w:val="24"/>
          <w:lang w:val="en-GB"/>
        </w:rPr>
        <w:t>CFO</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4</w:t>
      </w:r>
      <w:r w:rsidRPr="003569BE">
        <w:rPr>
          <w:rFonts w:cs="Times New Roman"/>
          <w:i/>
          <w:szCs w:val="24"/>
          <w:lang w:val="en-GB"/>
        </w:rPr>
        <w:t>CFO</w:t>
      </w:r>
      <w:r w:rsidR="00D04056" w:rsidRPr="003569BE">
        <w:rPr>
          <w:rFonts w:cs="Times New Roman"/>
          <w:i/>
          <w:szCs w:val="24"/>
          <w:vertAlign w:val="subscript"/>
          <w:lang w:val="en-GB"/>
        </w:rPr>
        <w:t>t+1</w:t>
      </w:r>
      <w:r w:rsidRPr="003569BE">
        <w:rPr>
          <w:rFonts w:cs="Times New Roman"/>
          <w:i/>
          <w:szCs w:val="24"/>
          <w:lang w:val="en-GB"/>
        </w:rPr>
        <w:t>∆REV</w:t>
      </w:r>
      <w:r w:rsidRPr="003569BE">
        <w:rPr>
          <w:rFonts w:cs="Times New Roman"/>
          <w:i/>
          <w:szCs w:val="24"/>
          <w:vertAlign w:val="subscript"/>
          <w:lang w:val="en-GB"/>
        </w:rPr>
        <w:t>t</w:t>
      </w:r>
      <w:r w:rsidRPr="003569BE">
        <w:rPr>
          <w:rFonts w:cs="Times New Roman"/>
          <w:i/>
          <w:szCs w:val="24"/>
          <w:lang w:val="en-GB"/>
        </w:rPr>
        <w:t xml:space="preserve"> + a</w:t>
      </w:r>
      <w:r w:rsidR="00D04056" w:rsidRPr="003569BE">
        <w:rPr>
          <w:rFonts w:cs="Times New Roman"/>
          <w:i/>
          <w:szCs w:val="24"/>
          <w:vertAlign w:val="subscript"/>
          <w:lang w:val="en-GB"/>
        </w:rPr>
        <w:t>5</w:t>
      </w:r>
      <w:r w:rsidRPr="003569BE">
        <w:rPr>
          <w:rFonts w:cs="Times New Roman"/>
          <w:i/>
          <w:szCs w:val="24"/>
          <w:lang w:val="en-GB"/>
        </w:rPr>
        <w:t>PPE</w:t>
      </w:r>
      <w:r w:rsidRPr="003569BE">
        <w:rPr>
          <w:rFonts w:cs="Times New Roman"/>
          <w:i/>
          <w:szCs w:val="24"/>
          <w:vertAlign w:val="subscript"/>
          <w:lang w:val="en-GB"/>
        </w:rPr>
        <w:t>t</w:t>
      </w:r>
      <w:r w:rsidR="00BF5223" w:rsidRPr="003569BE">
        <w:rPr>
          <w:rFonts w:cs="Times New Roman"/>
          <w:i/>
          <w:szCs w:val="24"/>
          <w:vertAlign w:val="subscript"/>
          <w:lang w:val="en-GB"/>
        </w:rPr>
        <w:t xml:space="preserve">       </w:t>
      </w:r>
      <w:r w:rsidR="00BF5223" w:rsidRPr="003569BE">
        <w:rPr>
          <w:rFonts w:cs="Times New Roman"/>
          <w:i/>
          <w:szCs w:val="24"/>
          <w:lang w:val="en-GB"/>
        </w:rPr>
        <w:t>(</w:t>
      </w:r>
      <w:r w:rsidR="007202E6" w:rsidRPr="003569BE">
        <w:rPr>
          <w:rFonts w:cs="Times New Roman"/>
          <w:i/>
          <w:szCs w:val="24"/>
          <w:lang w:val="en-GB"/>
        </w:rPr>
        <w:t>10</w:t>
      </w:r>
      <w:r w:rsidR="00BF5223" w:rsidRPr="003569BE">
        <w:rPr>
          <w:rFonts w:cs="Times New Roman"/>
          <w:i/>
          <w:szCs w:val="24"/>
          <w:lang w:val="en-GB"/>
        </w:rPr>
        <w:t>)</w:t>
      </w:r>
    </w:p>
    <w:p w:rsidR="00877ECB" w:rsidRPr="003569BE" w:rsidRDefault="00877ECB" w:rsidP="00D449C4">
      <w:pPr>
        <w:pStyle w:val="Heading2"/>
        <w:numPr>
          <w:ilvl w:val="1"/>
          <w:numId w:val="6"/>
        </w:numPr>
        <w:spacing w:line="360" w:lineRule="auto"/>
        <w:rPr>
          <w:lang w:val="en-GB"/>
        </w:rPr>
      </w:pPr>
      <w:bookmarkStart w:id="29" w:name="_Toc396633561"/>
      <w:r w:rsidRPr="003569BE">
        <w:rPr>
          <w:lang w:val="en-GB"/>
        </w:rPr>
        <w:t>Forward Looking Model</w:t>
      </w:r>
      <w:bookmarkEnd w:id="29"/>
    </w:p>
    <w:p w:rsidR="00AC0788" w:rsidRPr="003569BE" w:rsidRDefault="000D521D" w:rsidP="00540DA7">
      <w:pPr>
        <w:spacing w:line="360" w:lineRule="auto"/>
        <w:rPr>
          <w:rFonts w:cs="Times New Roman"/>
          <w:szCs w:val="24"/>
          <w:lang w:val="en-GB"/>
        </w:rPr>
      </w:pPr>
      <w:r w:rsidRPr="003569BE">
        <w:rPr>
          <w:rFonts w:cs="Times New Roman"/>
          <w:szCs w:val="24"/>
          <w:lang w:val="en-GB"/>
        </w:rPr>
        <w:t xml:space="preserve">The Forward Looking Model </w:t>
      </w:r>
      <w:r w:rsidR="00AC0788" w:rsidRPr="003569BE">
        <w:rPr>
          <w:rFonts w:cs="Times New Roman"/>
          <w:szCs w:val="24"/>
          <w:lang w:val="en-GB"/>
        </w:rPr>
        <w:t>was developed by Dechow et Al. (2003)</w:t>
      </w:r>
      <w:r w:rsidR="007D6191" w:rsidRPr="003569BE">
        <w:rPr>
          <w:rFonts w:cs="Times New Roman"/>
          <w:szCs w:val="24"/>
          <w:lang w:val="en-GB"/>
        </w:rPr>
        <w:t xml:space="preserve">, </w:t>
      </w:r>
      <w:r w:rsidR="00DF374F" w:rsidRPr="003569BE">
        <w:rPr>
          <w:rFonts w:cs="Times New Roman"/>
          <w:szCs w:val="24"/>
          <w:lang w:val="en-GB"/>
        </w:rPr>
        <w:t xml:space="preserve">they </w:t>
      </w:r>
      <w:r w:rsidR="007D6191" w:rsidRPr="003569BE">
        <w:rPr>
          <w:rFonts w:cs="Times New Roman"/>
          <w:szCs w:val="24"/>
          <w:lang w:val="en-GB"/>
        </w:rPr>
        <w:t xml:space="preserve">studied whether managing discretionary accruals upward to report small profits is a reasonable explanation for why “too few firms report small losses, too many firms report small profits” </w:t>
      </w:r>
      <w:sdt>
        <w:sdtPr>
          <w:rPr>
            <w:rFonts w:cs="Times New Roman"/>
            <w:szCs w:val="24"/>
            <w:lang w:val="en-GB"/>
          </w:rPr>
          <w:id w:val="1816527684"/>
          <w:citation/>
        </w:sdtPr>
        <w:sdtContent>
          <w:r w:rsidR="000E4BAF" w:rsidRPr="003569BE">
            <w:rPr>
              <w:rFonts w:cs="Times New Roman"/>
              <w:szCs w:val="24"/>
              <w:lang w:val="en-GB"/>
            </w:rPr>
            <w:fldChar w:fldCharType="begin"/>
          </w:r>
          <w:r w:rsidR="007D6191" w:rsidRPr="003569BE">
            <w:rPr>
              <w:rFonts w:cs="Times New Roman"/>
              <w:szCs w:val="24"/>
              <w:lang w:val="en-GB"/>
            </w:rPr>
            <w:instrText xml:space="preserve">CITATION Dec03 \p 355 \t  \l 1033 </w:instrText>
          </w:r>
          <w:r w:rsidR="000E4BAF" w:rsidRPr="003569BE">
            <w:rPr>
              <w:rFonts w:cs="Times New Roman"/>
              <w:szCs w:val="24"/>
              <w:lang w:val="en-GB"/>
            </w:rPr>
            <w:fldChar w:fldCharType="separate"/>
          </w:r>
          <w:r w:rsidR="008F7EB3" w:rsidRPr="003569BE">
            <w:rPr>
              <w:rFonts w:cs="Times New Roman"/>
              <w:noProof/>
              <w:szCs w:val="24"/>
              <w:lang w:val="en-GB"/>
            </w:rPr>
            <w:t>(Dechow, Richardson, &amp; Tuna, 2003, p. 355)</w:t>
          </w:r>
          <w:r w:rsidR="000E4BAF" w:rsidRPr="003569BE">
            <w:rPr>
              <w:rFonts w:cs="Times New Roman"/>
              <w:szCs w:val="24"/>
              <w:lang w:val="en-GB"/>
            </w:rPr>
            <w:fldChar w:fldCharType="end"/>
          </w:r>
        </w:sdtContent>
      </w:sdt>
      <w:r w:rsidR="005B498E" w:rsidRPr="003569BE">
        <w:rPr>
          <w:rFonts w:cs="Times New Roman"/>
          <w:szCs w:val="24"/>
          <w:lang w:val="en-GB"/>
        </w:rPr>
        <w:t>.</w:t>
      </w:r>
      <w:r w:rsidR="00BC4241" w:rsidRPr="003569BE">
        <w:rPr>
          <w:rFonts w:cs="Times New Roman"/>
          <w:szCs w:val="24"/>
          <w:lang w:val="en-GB"/>
        </w:rPr>
        <w:t xml:space="preserve"> In order to </w:t>
      </w:r>
      <w:r w:rsidR="00DF374F" w:rsidRPr="003569BE">
        <w:rPr>
          <w:rFonts w:cs="Times New Roman"/>
          <w:szCs w:val="24"/>
          <w:lang w:val="en-GB"/>
        </w:rPr>
        <w:t xml:space="preserve">perform </w:t>
      </w:r>
      <w:r w:rsidR="00BC4241" w:rsidRPr="003569BE">
        <w:rPr>
          <w:rFonts w:cs="Times New Roman"/>
          <w:szCs w:val="24"/>
          <w:lang w:val="en-GB"/>
        </w:rPr>
        <w:t xml:space="preserve">the classification of </w:t>
      </w:r>
      <w:r w:rsidR="00DF374F" w:rsidRPr="003569BE">
        <w:rPr>
          <w:rFonts w:cs="Times New Roman"/>
          <w:szCs w:val="24"/>
          <w:lang w:val="en-GB"/>
        </w:rPr>
        <w:t xml:space="preserve">the </w:t>
      </w:r>
      <w:r w:rsidR="00BC4241" w:rsidRPr="003569BE">
        <w:rPr>
          <w:rFonts w:cs="Times New Roman"/>
          <w:szCs w:val="24"/>
          <w:lang w:val="en-GB"/>
        </w:rPr>
        <w:t>non</w:t>
      </w:r>
      <w:r w:rsidR="00DF374F" w:rsidRPr="003569BE">
        <w:rPr>
          <w:rFonts w:cs="Times New Roman"/>
          <w:szCs w:val="24"/>
          <w:lang w:val="en-GB"/>
        </w:rPr>
        <w:t>-</w:t>
      </w:r>
      <w:r w:rsidR="00BC4241" w:rsidRPr="003569BE">
        <w:rPr>
          <w:rFonts w:cs="Times New Roman"/>
          <w:szCs w:val="24"/>
          <w:lang w:val="en-GB"/>
        </w:rPr>
        <w:t xml:space="preserve">discretionary and </w:t>
      </w:r>
      <w:r w:rsidR="00DF374F" w:rsidRPr="003569BE">
        <w:rPr>
          <w:rFonts w:cs="Times New Roman"/>
          <w:szCs w:val="24"/>
          <w:lang w:val="en-GB"/>
        </w:rPr>
        <w:t xml:space="preserve">the </w:t>
      </w:r>
      <w:r w:rsidR="00BC4241" w:rsidRPr="003569BE">
        <w:rPr>
          <w:rFonts w:cs="Times New Roman"/>
          <w:szCs w:val="24"/>
          <w:lang w:val="en-GB"/>
        </w:rPr>
        <w:t xml:space="preserve">discretionary accruals more effective, they adjusted the modified Jones model, by </w:t>
      </w:r>
      <w:r w:rsidR="00600B9C" w:rsidRPr="003569BE">
        <w:rPr>
          <w:rFonts w:cs="Times New Roman"/>
          <w:szCs w:val="24"/>
          <w:lang w:val="en-GB"/>
        </w:rPr>
        <w:t>performing</w:t>
      </w:r>
      <w:r w:rsidR="00DF374F" w:rsidRPr="003569BE">
        <w:rPr>
          <w:rFonts w:cs="Times New Roman"/>
          <w:szCs w:val="24"/>
          <w:lang w:val="en-GB"/>
        </w:rPr>
        <w:t xml:space="preserve"> </w:t>
      </w:r>
      <w:r w:rsidR="00BC4241" w:rsidRPr="003569BE">
        <w:rPr>
          <w:rFonts w:cs="Times New Roman"/>
          <w:szCs w:val="24"/>
          <w:lang w:val="en-GB"/>
        </w:rPr>
        <w:t>three major modifications.</w:t>
      </w:r>
      <w:r w:rsidR="00BF5223" w:rsidRPr="003569BE">
        <w:rPr>
          <w:rFonts w:cs="Times New Roman"/>
          <w:szCs w:val="24"/>
          <w:lang w:val="en-GB"/>
        </w:rPr>
        <w:t xml:space="preserve"> First, the revenues variable is substituted by a variable that </w:t>
      </w:r>
      <w:r w:rsidR="00DF374F" w:rsidRPr="003569BE">
        <w:rPr>
          <w:rFonts w:cs="Times New Roman"/>
          <w:szCs w:val="24"/>
          <w:lang w:val="en-GB"/>
        </w:rPr>
        <w:t xml:space="preserve">in addition </w:t>
      </w:r>
      <w:r w:rsidR="00BF5223" w:rsidRPr="003569BE">
        <w:rPr>
          <w:rFonts w:cs="Times New Roman"/>
          <w:szCs w:val="24"/>
          <w:lang w:val="en-GB"/>
        </w:rPr>
        <w:t xml:space="preserve">includes receivables. In addition, </w:t>
      </w:r>
      <w:r w:rsidR="00DF374F" w:rsidRPr="003569BE">
        <w:rPr>
          <w:rFonts w:cs="Times New Roman"/>
          <w:szCs w:val="24"/>
          <w:lang w:val="en-GB"/>
        </w:rPr>
        <w:t xml:space="preserve">in the model </w:t>
      </w:r>
      <w:r w:rsidR="00BF5223" w:rsidRPr="003569BE">
        <w:rPr>
          <w:rFonts w:cs="Times New Roman"/>
          <w:szCs w:val="24"/>
          <w:lang w:val="en-GB"/>
        </w:rPr>
        <w:t xml:space="preserve">two variables are added to control for the changes in the economic environment. </w:t>
      </w:r>
      <w:r w:rsidR="00DF374F" w:rsidRPr="003569BE">
        <w:rPr>
          <w:rFonts w:cs="Times New Roman"/>
          <w:szCs w:val="24"/>
          <w:lang w:val="en-GB"/>
        </w:rPr>
        <w:t>Consequently</w:t>
      </w:r>
      <w:r w:rsidR="00BF5223" w:rsidRPr="003569BE">
        <w:rPr>
          <w:rFonts w:cs="Times New Roman"/>
          <w:szCs w:val="24"/>
          <w:lang w:val="en-GB"/>
        </w:rPr>
        <w:t>, the Forward Looking Model is:</w:t>
      </w:r>
    </w:p>
    <w:p w:rsidR="00BF5223" w:rsidRPr="003569BE" w:rsidRDefault="00BF5223" w:rsidP="00BF5223">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1</w:t>
      </w:r>
      <w:r w:rsidRPr="003569BE">
        <w:rPr>
          <w:rFonts w:cs="Times New Roman"/>
          <w:i/>
          <w:szCs w:val="24"/>
          <w:lang w:val="en-GB"/>
        </w:rPr>
        <w:t>(1/A</w:t>
      </w:r>
      <w:r w:rsidRPr="003569BE">
        <w:rPr>
          <w:rFonts w:cs="Times New Roman"/>
          <w:i/>
          <w:szCs w:val="24"/>
          <w:vertAlign w:val="subscript"/>
          <w:lang w:val="en-GB"/>
        </w:rPr>
        <w:t>t-1</w:t>
      </w:r>
      <w:r w:rsidRPr="003569BE">
        <w:rPr>
          <w:rFonts w:cs="Times New Roman"/>
          <w:i/>
          <w:szCs w:val="24"/>
          <w:lang w:val="en-GB"/>
        </w:rPr>
        <w:t>) + a</w:t>
      </w:r>
      <w:r w:rsidRPr="003569BE">
        <w:rPr>
          <w:rFonts w:cs="Times New Roman"/>
          <w:i/>
          <w:szCs w:val="24"/>
          <w:vertAlign w:val="subscript"/>
          <w:lang w:val="en-GB"/>
        </w:rPr>
        <w:t>2</w:t>
      </w:r>
      <w:r w:rsidRPr="003569BE">
        <w:rPr>
          <w:rFonts w:cs="Times New Roman"/>
          <w:i/>
          <w:szCs w:val="24"/>
          <w:lang w:val="en-GB"/>
        </w:rPr>
        <w:t>[(1+k)∆REV</w:t>
      </w:r>
      <w:r w:rsidRPr="003569BE">
        <w:rPr>
          <w:rFonts w:cs="Times New Roman"/>
          <w:i/>
          <w:szCs w:val="24"/>
          <w:vertAlign w:val="subscript"/>
          <w:lang w:val="en-GB"/>
        </w:rPr>
        <w:t xml:space="preserve">t </w:t>
      </w:r>
      <w:r w:rsidRPr="003569BE">
        <w:rPr>
          <w:rFonts w:cs="Times New Roman"/>
          <w:i/>
          <w:szCs w:val="24"/>
          <w:lang w:val="en-GB"/>
        </w:rPr>
        <w:t>- ∆REC</w:t>
      </w:r>
      <w:r w:rsidRPr="003569BE">
        <w:rPr>
          <w:rFonts w:cs="Times New Roman"/>
          <w:i/>
          <w:szCs w:val="24"/>
          <w:vertAlign w:val="subscript"/>
          <w:lang w:val="en-GB"/>
        </w:rPr>
        <w:t>t</w:t>
      </w:r>
      <w:r w:rsidRPr="003569BE">
        <w:rPr>
          <w:rFonts w:cs="Times New Roman"/>
          <w:i/>
          <w:szCs w:val="24"/>
          <w:lang w:val="en-GB"/>
        </w:rPr>
        <w:t>] + a</w:t>
      </w:r>
      <w:r w:rsidRPr="003569BE">
        <w:rPr>
          <w:rFonts w:cs="Times New Roman"/>
          <w:i/>
          <w:szCs w:val="24"/>
          <w:vertAlign w:val="subscript"/>
          <w:lang w:val="en-GB"/>
        </w:rPr>
        <w:t>3</w:t>
      </w:r>
      <w:r w:rsidRPr="003569BE">
        <w:rPr>
          <w:rFonts w:cs="Times New Roman"/>
          <w:i/>
          <w:szCs w:val="24"/>
          <w:lang w:val="en-GB"/>
        </w:rPr>
        <w:t>PPE</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4</w:t>
      </w:r>
      <w:r w:rsidRPr="003569BE">
        <w:rPr>
          <w:rFonts w:cs="Times New Roman"/>
          <w:i/>
          <w:szCs w:val="24"/>
          <w:lang w:val="en-GB"/>
        </w:rPr>
        <w:t>TA</w:t>
      </w:r>
      <w:r w:rsidRPr="003569BE">
        <w:rPr>
          <w:rFonts w:cs="Times New Roman"/>
          <w:i/>
          <w:szCs w:val="24"/>
          <w:vertAlign w:val="subscript"/>
          <w:lang w:val="en-GB"/>
        </w:rPr>
        <w:t>t-1</w:t>
      </w:r>
      <w:r w:rsidRPr="003569BE">
        <w:rPr>
          <w:rFonts w:cs="Times New Roman"/>
          <w:i/>
          <w:szCs w:val="24"/>
          <w:lang w:val="en-GB"/>
        </w:rPr>
        <w:t xml:space="preserve"> + a</w:t>
      </w:r>
      <w:r w:rsidRPr="003569BE">
        <w:rPr>
          <w:rFonts w:cs="Times New Roman"/>
          <w:i/>
          <w:szCs w:val="24"/>
          <w:vertAlign w:val="subscript"/>
          <w:lang w:val="en-GB"/>
        </w:rPr>
        <w:t>5</w:t>
      </w:r>
      <w:r w:rsidRPr="003569BE">
        <w:rPr>
          <w:rFonts w:cs="Times New Roman"/>
          <w:i/>
          <w:szCs w:val="24"/>
          <w:lang w:val="en-GB"/>
        </w:rPr>
        <w:t>Gr_Sales</w:t>
      </w:r>
      <w:r w:rsidRPr="003569BE">
        <w:rPr>
          <w:rFonts w:cs="Times New Roman"/>
          <w:i/>
          <w:szCs w:val="24"/>
          <w:vertAlign w:val="subscript"/>
          <w:lang w:val="en-GB"/>
        </w:rPr>
        <w:t xml:space="preserve">t        </w:t>
      </w:r>
      <w:r w:rsidR="009A0C36" w:rsidRPr="003569BE">
        <w:rPr>
          <w:rFonts w:cs="Times New Roman"/>
          <w:i/>
          <w:szCs w:val="24"/>
          <w:lang w:val="en-GB"/>
        </w:rPr>
        <w:t>(1</w:t>
      </w:r>
      <w:r w:rsidR="007202E6" w:rsidRPr="003569BE">
        <w:rPr>
          <w:rFonts w:cs="Times New Roman"/>
          <w:i/>
          <w:szCs w:val="24"/>
          <w:lang w:val="en-GB"/>
        </w:rPr>
        <w:t>1</w:t>
      </w:r>
      <w:r w:rsidRPr="003569BE">
        <w:rPr>
          <w:rFonts w:cs="Times New Roman"/>
          <w:i/>
          <w:szCs w:val="24"/>
          <w:lang w:val="en-GB"/>
        </w:rPr>
        <w:t>)</w:t>
      </w:r>
    </w:p>
    <w:p w:rsidR="00C606CC" w:rsidRPr="003569BE" w:rsidRDefault="00C606CC" w:rsidP="00C606CC">
      <w:pPr>
        <w:spacing w:line="360" w:lineRule="auto"/>
        <w:rPr>
          <w:rFonts w:cs="Times New Roman"/>
          <w:szCs w:val="24"/>
          <w:lang w:val="en-GB"/>
        </w:rPr>
      </w:pPr>
      <w:r w:rsidRPr="003569BE">
        <w:rPr>
          <w:rFonts w:cs="Times New Roman"/>
          <w:szCs w:val="24"/>
          <w:lang w:val="en-GB"/>
        </w:rPr>
        <w:t>Where:</w:t>
      </w:r>
    </w:p>
    <w:p w:rsidR="00C606CC" w:rsidRPr="003569BE" w:rsidRDefault="00C606CC" w:rsidP="00C56B4E">
      <w:pPr>
        <w:spacing w:after="0" w:line="360" w:lineRule="auto"/>
        <w:rPr>
          <w:rFonts w:cs="Times New Roman"/>
          <w:szCs w:val="24"/>
          <w:lang w:val="en-GB"/>
        </w:rPr>
      </w:pPr>
      <w:r w:rsidRPr="003569BE">
        <w:rPr>
          <w:rFonts w:cs="Times New Roman"/>
          <w:szCs w:val="24"/>
          <w:lang w:val="en-GB"/>
        </w:rPr>
        <w:t>TA</w:t>
      </w:r>
      <w:r w:rsidRPr="003569BE">
        <w:rPr>
          <w:rFonts w:cs="Times New Roman"/>
          <w:szCs w:val="24"/>
          <w:vertAlign w:val="subscript"/>
          <w:lang w:val="en-GB"/>
        </w:rPr>
        <w:t>t-1</w:t>
      </w:r>
      <w:r w:rsidRPr="003569BE">
        <w:rPr>
          <w:rFonts w:cs="Times New Roman"/>
          <w:szCs w:val="24"/>
          <w:vertAlign w:val="subscript"/>
          <w:lang w:val="en-GB"/>
        </w:rPr>
        <w:tab/>
      </w:r>
      <w:r w:rsidRPr="003569BE">
        <w:rPr>
          <w:rFonts w:cs="Times New Roman"/>
          <w:szCs w:val="24"/>
          <w:lang w:val="en-GB"/>
        </w:rPr>
        <w:tab/>
        <w:t>= total lagged accruals</w:t>
      </w:r>
      <w:r w:rsidR="00AD3EAD" w:rsidRPr="003569BE">
        <w:rPr>
          <w:rFonts w:cs="Times New Roman"/>
          <w:szCs w:val="24"/>
          <w:lang w:val="en-GB"/>
        </w:rPr>
        <w:t>;</w:t>
      </w:r>
    </w:p>
    <w:p w:rsidR="00C606CC" w:rsidRPr="003569BE" w:rsidRDefault="00C606CC" w:rsidP="00C56B4E">
      <w:pPr>
        <w:spacing w:after="0" w:line="360" w:lineRule="auto"/>
        <w:rPr>
          <w:rFonts w:cs="Times New Roman"/>
          <w:szCs w:val="24"/>
          <w:lang w:val="en-GB"/>
        </w:rPr>
      </w:pPr>
      <w:r w:rsidRPr="003569BE">
        <w:rPr>
          <w:rFonts w:cs="Times New Roman"/>
          <w:szCs w:val="24"/>
          <w:lang w:val="en-GB"/>
        </w:rPr>
        <w:t>Gr_Sales</w:t>
      </w:r>
      <w:r w:rsidRPr="003569BE">
        <w:rPr>
          <w:rFonts w:cs="Times New Roman"/>
          <w:szCs w:val="24"/>
          <w:vertAlign w:val="subscript"/>
          <w:lang w:val="en-GB"/>
        </w:rPr>
        <w:t>t</w:t>
      </w:r>
      <w:r w:rsidRPr="003569BE">
        <w:rPr>
          <w:rFonts w:cs="Times New Roman"/>
          <w:szCs w:val="24"/>
          <w:lang w:val="en-GB"/>
        </w:rPr>
        <w:t xml:space="preserve"> </w:t>
      </w:r>
      <w:r w:rsidRPr="003569BE">
        <w:rPr>
          <w:rFonts w:cs="Times New Roman"/>
          <w:szCs w:val="24"/>
          <w:lang w:val="en-GB"/>
        </w:rPr>
        <w:tab/>
        <w:t>= change in sales from current to next year scaled by current sales</w:t>
      </w:r>
      <w:r w:rsidR="00AD3EAD" w:rsidRPr="003569BE">
        <w:rPr>
          <w:rFonts w:cs="Times New Roman"/>
          <w:szCs w:val="24"/>
          <w:lang w:val="en-GB"/>
        </w:rPr>
        <w:t>;</w:t>
      </w:r>
    </w:p>
    <w:p w:rsidR="00B22932" w:rsidRPr="003569BE" w:rsidRDefault="00B22932" w:rsidP="00646F7C">
      <w:pPr>
        <w:spacing w:line="360" w:lineRule="auto"/>
        <w:ind w:left="1418" w:hanging="1418"/>
        <w:rPr>
          <w:rFonts w:cs="Times New Roman"/>
          <w:szCs w:val="24"/>
          <w:lang w:val="en-GB"/>
        </w:rPr>
      </w:pPr>
      <w:r w:rsidRPr="003569BE">
        <w:rPr>
          <w:rFonts w:cs="Times New Roman"/>
          <w:szCs w:val="24"/>
          <w:lang w:val="en-GB"/>
        </w:rPr>
        <w:t xml:space="preserve">k </w:t>
      </w:r>
      <w:r w:rsidRPr="003569BE">
        <w:rPr>
          <w:rFonts w:cs="Times New Roman"/>
          <w:szCs w:val="24"/>
          <w:lang w:val="en-GB"/>
        </w:rPr>
        <w:tab/>
        <w:t>= expected change in accounts receivable for a given change in sales, estimated from the following equation:</w:t>
      </w:r>
    </w:p>
    <w:p w:rsidR="00B22932" w:rsidRPr="003569BE" w:rsidRDefault="00B22932" w:rsidP="00B22932">
      <w:pPr>
        <w:spacing w:line="240" w:lineRule="auto"/>
        <w:jc w:val="center"/>
        <w:rPr>
          <w:rFonts w:cs="Times New Roman"/>
          <w:i/>
          <w:szCs w:val="24"/>
          <w:lang w:val="en-GB"/>
        </w:rPr>
      </w:pPr>
      <w:r w:rsidRPr="003569BE">
        <w:rPr>
          <w:rFonts w:cs="Times New Roman"/>
          <w:i/>
          <w:szCs w:val="24"/>
          <w:lang w:val="en-GB"/>
        </w:rPr>
        <w:t>∆REC</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1</w:t>
      </w:r>
      <w:r w:rsidRPr="003569BE">
        <w:rPr>
          <w:rFonts w:cs="Times New Roman"/>
          <w:i/>
          <w:szCs w:val="24"/>
          <w:lang w:val="en-GB"/>
        </w:rPr>
        <w:t xml:space="preserve"> + k ∆REV</w:t>
      </w:r>
      <w:r w:rsidRPr="003569BE">
        <w:rPr>
          <w:rFonts w:cs="Times New Roman"/>
          <w:i/>
          <w:szCs w:val="24"/>
          <w:vertAlign w:val="subscript"/>
          <w:lang w:val="en-GB"/>
        </w:rPr>
        <w:t>t</w:t>
      </w:r>
      <w:r w:rsidRPr="003569BE">
        <w:rPr>
          <w:rFonts w:cs="Times New Roman"/>
          <w:i/>
          <w:szCs w:val="24"/>
          <w:lang w:val="en-GB"/>
        </w:rPr>
        <w:t xml:space="preserve"> + ε</w:t>
      </w:r>
      <w:r w:rsidRPr="003569BE">
        <w:rPr>
          <w:rFonts w:cs="Times New Roman"/>
          <w:i/>
          <w:szCs w:val="24"/>
          <w:vertAlign w:val="subscript"/>
          <w:lang w:val="en-GB"/>
        </w:rPr>
        <w:t xml:space="preserve">t                           </w:t>
      </w:r>
      <w:r w:rsidRPr="003569BE">
        <w:rPr>
          <w:rFonts w:cs="Times New Roman"/>
          <w:i/>
          <w:szCs w:val="24"/>
          <w:lang w:val="en-GB"/>
        </w:rPr>
        <w:t>(</w:t>
      </w:r>
      <w:r w:rsidR="009A0C36" w:rsidRPr="003569BE">
        <w:rPr>
          <w:rFonts w:cs="Times New Roman"/>
          <w:i/>
          <w:szCs w:val="24"/>
          <w:lang w:val="en-GB"/>
        </w:rPr>
        <w:t>1</w:t>
      </w:r>
      <w:r w:rsidR="007202E6" w:rsidRPr="003569BE">
        <w:rPr>
          <w:rFonts w:cs="Times New Roman"/>
          <w:i/>
          <w:szCs w:val="24"/>
          <w:lang w:val="en-GB"/>
        </w:rPr>
        <w:t>2</w:t>
      </w:r>
      <w:r w:rsidRPr="003569BE">
        <w:rPr>
          <w:rFonts w:cs="Times New Roman"/>
          <w:i/>
          <w:szCs w:val="24"/>
          <w:lang w:val="en-GB"/>
        </w:rPr>
        <w:t>)</w:t>
      </w:r>
    </w:p>
    <w:p w:rsidR="00877ECB" w:rsidRPr="003569BE" w:rsidRDefault="00877ECB" w:rsidP="00D449C4">
      <w:pPr>
        <w:pStyle w:val="Heading2"/>
        <w:numPr>
          <w:ilvl w:val="1"/>
          <w:numId w:val="6"/>
        </w:numPr>
        <w:spacing w:line="360" w:lineRule="auto"/>
        <w:rPr>
          <w:lang w:val="en-GB"/>
        </w:rPr>
      </w:pPr>
      <w:bookmarkStart w:id="30" w:name="_Toc396633562"/>
      <w:r w:rsidRPr="003569BE">
        <w:rPr>
          <w:lang w:val="en-GB"/>
        </w:rPr>
        <w:t>Performance Matched Model</w:t>
      </w:r>
      <w:bookmarkEnd w:id="30"/>
    </w:p>
    <w:p w:rsidR="00540DA7" w:rsidRPr="003569BE" w:rsidRDefault="003D12F3" w:rsidP="00540DA7">
      <w:pPr>
        <w:spacing w:line="360" w:lineRule="auto"/>
        <w:rPr>
          <w:rFonts w:cs="Times New Roman"/>
          <w:szCs w:val="24"/>
          <w:lang w:val="en-GB"/>
        </w:rPr>
      </w:pPr>
      <w:r w:rsidRPr="003569BE">
        <w:rPr>
          <w:rFonts w:cs="Times New Roman"/>
          <w:szCs w:val="24"/>
          <w:lang w:val="en-GB"/>
        </w:rPr>
        <w:t xml:space="preserve">The Performance Matched Model </w:t>
      </w:r>
      <w:r w:rsidR="00DF374F" w:rsidRPr="003569BE">
        <w:rPr>
          <w:rFonts w:cs="Times New Roman"/>
          <w:szCs w:val="24"/>
          <w:lang w:val="en-GB"/>
        </w:rPr>
        <w:t>by Kothari et Al. (2005)</w:t>
      </w:r>
      <w:r w:rsidR="00600B9C" w:rsidRPr="003569BE">
        <w:rPr>
          <w:rFonts w:cs="Times New Roman"/>
          <w:szCs w:val="24"/>
          <w:lang w:val="en-GB"/>
        </w:rPr>
        <w:t xml:space="preserve"> </w:t>
      </w:r>
      <w:r w:rsidRPr="003569BE">
        <w:rPr>
          <w:rFonts w:cs="Times New Roman"/>
          <w:szCs w:val="24"/>
          <w:lang w:val="en-GB"/>
        </w:rPr>
        <w:t xml:space="preserve">was developed, by addressing the </w:t>
      </w:r>
      <w:r w:rsidR="00DF374F" w:rsidRPr="003569BE">
        <w:rPr>
          <w:rFonts w:cs="Times New Roman"/>
          <w:szCs w:val="24"/>
          <w:lang w:val="en-GB"/>
        </w:rPr>
        <w:t xml:space="preserve">next </w:t>
      </w:r>
      <w:r w:rsidRPr="003569BE">
        <w:rPr>
          <w:rFonts w:cs="Times New Roman"/>
          <w:szCs w:val="24"/>
          <w:lang w:val="en-GB"/>
        </w:rPr>
        <w:t xml:space="preserve">problem of prior models </w:t>
      </w:r>
      <w:r w:rsidR="00DF374F" w:rsidRPr="003569BE">
        <w:rPr>
          <w:rFonts w:cs="Times New Roman"/>
          <w:szCs w:val="24"/>
          <w:lang w:val="en-GB"/>
        </w:rPr>
        <w:t xml:space="preserve">concerning </w:t>
      </w:r>
      <w:r w:rsidRPr="003569BE">
        <w:rPr>
          <w:rFonts w:cs="Times New Roman"/>
          <w:szCs w:val="24"/>
          <w:lang w:val="en-GB"/>
        </w:rPr>
        <w:t xml:space="preserve">detecting and measuring the use of earnings management: the inability to recognize the correlation between </w:t>
      </w:r>
      <w:r w:rsidR="00DF374F" w:rsidRPr="003569BE">
        <w:rPr>
          <w:rFonts w:cs="Times New Roman"/>
          <w:szCs w:val="24"/>
          <w:lang w:val="en-GB"/>
        </w:rPr>
        <w:t xml:space="preserve">the </w:t>
      </w:r>
      <w:r w:rsidRPr="003569BE">
        <w:rPr>
          <w:rFonts w:cs="Times New Roman"/>
          <w:szCs w:val="24"/>
          <w:lang w:val="en-GB"/>
        </w:rPr>
        <w:t xml:space="preserve">firm’s performance and </w:t>
      </w:r>
      <w:r w:rsidR="00DF374F" w:rsidRPr="003569BE">
        <w:rPr>
          <w:rFonts w:cs="Times New Roman"/>
          <w:szCs w:val="24"/>
          <w:lang w:val="en-GB"/>
        </w:rPr>
        <w:lastRenderedPageBreak/>
        <w:t xml:space="preserve">the </w:t>
      </w:r>
      <w:r w:rsidRPr="003569BE">
        <w:rPr>
          <w:rFonts w:cs="Times New Roman"/>
          <w:szCs w:val="24"/>
          <w:lang w:val="en-GB"/>
        </w:rPr>
        <w:t>accruals.</w:t>
      </w:r>
      <w:r w:rsidR="00CA222C" w:rsidRPr="003569BE">
        <w:rPr>
          <w:rFonts w:cs="Times New Roman"/>
          <w:szCs w:val="24"/>
          <w:lang w:val="en-GB"/>
        </w:rPr>
        <w:t xml:space="preserve"> Consequently, these models have measuring errors when they test for </w:t>
      </w:r>
      <w:r w:rsidR="00DF374F" w:rsidRPr="003569BE">
        <w:rPr>
          <w:rFonts w:cs="Times New Roman"/>
          <w:szCs w:val="24"/>
          <w:lang w:val="en-GB"/>
        </w:rPr>
        <w:t xml:space="preserve">the use of </w:t>
      </w:r>
      <w:r w:rsidR="00CA222C" w:rsidRPr="003569BE">
        <w:rPr>
          <w:rFonts w:cs="Times New Roman"/>
          <w:szCs w:val="24"/>
          <w:lang w:val="en-GB"/>
        </w:rPr>
        <w:t>earnings management on samples with firms which have high performances.</w:t>
      </w:r>
      <w:r w:rsidR="00C8159D" w:rsidRPr="003569BE">
        <w:rPr>
          <w:rFonts w:cs="Times New Roman"/>
          <w:szCs w:val="24"/>
          <w:lang w:val="en-GB"/>
        </w:rPr>
        <w:t xml:space="preserve"> It improves </w:t>
      </w:r>
      <w:r w:rsidR="00DF374F" w:rsidRPr="003569BE">
        <w:rPr>
          <w:rFonts w:cs="Times New Roman"/>
          <w:szCs w:val="24"/>
          <w:lang w:val="en-GB"/>
        </w:rPr>
        <w:t xml:space="preserve">the </w:t>
      </w:r>
      <w:r w:rsidR="00C8159D" w:rsidRPr="003569BE">
        <w:rPr>
          <w:rFonts w:cs="Times New Roman"/>
          <w:szCs w:val="24"/>
          <w:lang w:val="en-GB"/>
        </w:rPr>
        <w:t xml:space="preserve">earnings management detection and </w:t>
      </w:r>
      <w:r w:rsidR="00DF374F" w:rsidRPr="003569BE">
        <w:rPr>
          <w:rFonts w:cs="Times New Roman"/>
          <w:szCs w:val="24"/>
          <w:lang w:val="en-GB"/>
        </w:rPr>
        <w:t xml:space="preserve">the </w:t>
      </w:r>
      <w:r w:rsidR="00C8159D" w:rsidRPr="003569BE">
        <w:rPr>
          <w:rFonts w:cs="Times New Roman"/>
          <w:szCs w:val="24"/>
          <w:lang w:val="en-GB"/>
        </w:rPr>
        <w:t>measurement of the</w:t>
      </w:r>
      <w:r w:rsidR="009C3223" w:rsidRPr="003569BE">
        <w:rPr>
          <w:rFonts w:cs="Times New Roman"/>
          <w:szCs w:val="24"/>
          <w:lang w:val="en-GB"/>
        </w:rPr>
        <w:t xml:space="preserve"> modified</w:t>
      </w:r>
      <w:r w:rsidR="00C8159D" w:rsidRPr="003569BE">
        <w:rPr>
          <w:rFonts w:cs="Times New Roman"/>
          <w:szCs w:val="24"/>
          <w:lang w:val="en-GB"/>
        </w:rPr>
        <w:t xml:space="preserve"> Jones model by including a performance component to control for extreme performance</w:t>
      </w:r>
      <w:r w:rsidR="00430CC3" w:rsidRPr="003569BE">
        <w:rPr>
          <w:rFonts w:cs="Times New Roman"/>
          <w:szCs w:val="24"/>
          <w:lang w:val="en-GB"/>
        </w:rPr>
        <w:t>.</w:t>
      </w:r>
      <w:r w:rsidR="00C44784" w:rsidRPr="003569BE">
        <w:rPr>
          <w:rFonts w:cs="Times New Roman"/>
          <w:szCs w:val="24"/>
          <w:lang w:val="en-GB"/>
        </w:rPr>
        <w:t xml:space="preserve"> </w:t>
      </w:r>
      <w:r w:rsidR="00DF374F" w:rsidRPr="003569BE">
        <w:rPr>
          <w:rFonts w:cs="Times New Roman"/>
          <w:szCs w:val="24"/>
          <w:lang w:val="en-GB"/>
        </w:rPr>
        <w:t>Consequently</w:t>
      </w:r>
      <w:r w:rsidR="00C44784" w:rsidRPr="003569BE">
        <w:rPr>
          <w:rFonts w:cs="Times New Roman"/>
          <w:szCs w:val="24"/>
          <w:lang w:val="en-GB"/>
        </w:rPr>
        <w:t>, the Performance Matched Model</w:t>
      </w:r>
      <w:r w:rsidR="009C3223" w:rsidRPr="003569BE">
        <w:rPr>
          <w:rFonts w:cs="Times New Roman"/>
          <w:szCs w:val="24"/>
          <w:lang w:val="en-GB"/>
        </w:rPr>
        <w:t xml:space="preserve"> related to the modified Jones model</w:t>
      </w:r>
      <w:r w:rsidR="00C44784" w:rsidRPr="003569BE">
        <w:rPr>
          <w:rFonts w:cs="Times New Roman"/>
          <w:szCs w:val="24"/>
          <w:lang w:val="en-GB"/>
        </w:rPr>
        <w:t xml:space="preserve"> is:</w:t>
      </w:r>
    </w:p>
    <w:p w:rsidR="00C44784" w:rsidRPr="003569BE" w:rsidRDefault="009C3223" w:rsidP="009C3223">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 xml:space="preserve">t = </w:t>
      </w:r>
      <w:r w:rsidRPr="003569BE">
        <w:rPr>
          <w:rFonts w:cs="Times New Roman"/>
          <w:i/>
          <w:szCs w:val="24"/>
          <w:lang w:val="en-GB"/>
        </w:rPr>
        <w:t>α</w:t>
      </w:r>
      <w:r w:rsidRPr="003569BE">
        <w:rPr>
          <w:rFonts w:cs="Times New Roman"/>
          <w:i/>
          <w:szCs w:val="24"/>
          <w:vertAlign w:val="subscript"/>
          <w:lang w:val="en-GB"/>
        </w:rPr>
        <w:t>1</w:t>
      </w:r>
      <w:r w:rsidRPr="003569BE">
        <w:rPr>
          <w:rFonts w:cs="Times New Roman"/>
          <w:i/>
          <w:szCs w:val="24"/>
          <w:lang w:val="en-GB"/>
        </w:rPr>
        <w:t xml:space="preserve"> + α</w:t>
      </w:r>
      <w:r w:rsidRPr="003569BE">
        <w:rPr>
          <w:rFonts w:cs="Times New Roman"/>
          <w:i/>
          <w:szCs w:val="24"/>
          <w:vertAlign w:val="subscript"/>
          <w:lang w:val="en-GB"/>
        </w:rPr>
        <w:t>2</w:t>
      </w:r>
      <w:r w:rsidRPr="003569BE">
        <w:rPr>
          <w:rFonts w:cs="Times New Roman"/>
          <w:i/>
          <w:szCs w:val="24"/>
          <w:lang w:val="en-GB"/>
        </w:rPr>
        <w:t>(∆REV</w:t>
      </w:r>
      <w:r w:rsidRPr="003569BE">
        <w:rPr>
          <w:rFonts w:cs="Times New Roman"/>
          <w:i/>
          <w:szCs w:val="24"/>
          <w:vertAlign w:val="subscript"/>
          <w:lang w:val="en-GB"/>
        </w:rPr>
        <w:t>t</w:t>
      </w:r>
      <w:r w:rsidRPr="003569BE">
        <w:rPr>
          <w:rFonts w:cs="Times New Roman"/>
          <w:i/>
          <w:szCs w:val="24"/>
          <w:lang w:val="en-GB"/>
        </w:rPr>
        <w:t xml:space="preserve"> - ∆REC</w:t>
      </w:r>
      <w:r w:rsidRPr="003569BE">
        <w:rPr>
          <w:rFonts w:cs="Times New Roman"/>
          <w:i/>
          <w:szCs w:val="24"/>
          <w:vertAlign w:val="subscript"/>
          <w:lang w:val="en-GB"/>
        </w:rPr>
        <w:t>t</w:t>
      </w:r>
      <w:r w:rsidRPr="003569BE">
        <w:rPr>
          <w:rFonts w:cs="Times New Roman"/>
          <w:i/>
          <w:szCs w:val="24"/>
          <w:lang w:val="en-GB"/>
        </w:rPr>
        <w:t>) + α</w:t>
      </w:r>
      <w:r w:rsidRPr="003569BE">
        <w:rPr>
          <w:rFonts w:cs="Times New Roman"/>
          <w:i/>
          <w:szCs w:val="24"/>
          <w:vertAlign w:val="subscript"/>
          <w:lang w:val="en-GB"/>
        </w:rPr>
        <w:t>3</w:t>
      </w:r>
      <w:r w:rsidRPr="003569BE">
        <w:rPr>
          <w:rFonts w:cs="Times New Roman"/>
          <w:i/>
          <w:szCs w:val="24"/>
          <w:lang w:val="en-GB"/>
        </w:rPr>
        <w:t>PPE</w:t>
      </w:r>
      <w:r w:rsidRPr="003569BE">
        <w:rPr>
          <w:rFonts w:cs="Times New Roman"/>
          <w:i/>
          <w:szCs w:val="24"/>
          <w:vertAlign w:val="subscript"/>
          <w:lang w:val="en-GB"/>
        </w:rPr>
        <w:t>t</w:t>
      </w:r>
      <w:r w:rsidRPr="003569BE">
        <w:rPr>
          <w:rFonts w:cs="Times New Roman"/>
          <w:i/>
          <w:szCs w:val="24"/>
          <w:lang w:val="en-GB"/>
        </w:rPr>
        <w:t xml:space="preserve"> + a</w:t>
      </w:r>
      <w:r w:rsidRPr="003569BE">
        <w:rPr>
          <w:rFonts w:cs="Times New Roman"/>
          <w:i/>
          <w:szCs w:val="24"/>
          <w:vertAlign w:val="subscript"/>
          <w:lang w:val="en-GB"/>
        </w:rPr>
        <w:t>4</w:t>
      </w:r>
      <w:r w:rsidRPr="003569BE">
        <w:rPr>
          <w:rFonts w:cs="Times New Roman"/>
          <w:i/>
          <w:szCs w:val="24"/>
          <w:lang w:val="en-GB"/>
        </w:rPr>
        <w:t>ROA</w:t>
      </w:r>
      <w:r w:rsidRPr="003569BE">
        <w:rPr>
          <w:rFonts w:cs="Times New Roman"/>
          <w:i/>
          <w:szCs w:val="24"/>
          <w:vertAlign w:val="subscript"/>
          <w:lang w:val="en-GB"/>
        </w:rPr>
        <w:t>t or (t-1)</w:t>
      </w:r>
      <w:r w:rsidR="00FE5F83" w:rsidRPr="003569BE">
        <w:rPr>
          <w:rFonts w:cs="Times New Roman"/>
          <w:i/>
          <w:szCs w:val="24"/>
          <w:vertAlign w:val="subscript"/>
          <w:lang w:val="en-GB"/>
        </w:rPr>
        <w:t xml:space="preserve">               </w:t>
      </w:r>
      <w:r w:rsidR="009A0C36" w:rsidRPr="003569BE">
        <w:rPr>
          <w:rFonts w:cs="Times New Roman"/>
          <w:i/>
          <w:szCs w:val="24"/>
          <w:lang w:val="en-GB"/>
        </w:rPr>
        <w:t>(1</w:t>
      </w:r>
      <w:r w:rsidR="007202E6" w:rsidRPr="003569BE">
        <w:rPr>
          <w:rFonts w:cs="Times New Roman"/>
          <w:i/>
          <w:szCs w:val="24"/>
          <w:lang w:val="en-GB"/>
        </w:rPr>
        <w:t>3</w:t>
      </w:r>
      <w:r w:rsidR="009A0C36" w:rsidRPr="003569BE">
        <w:rPr>
          <w:rFonts w:cs="Times New Roman"/>
          <w:i/>
          <w:szCs w:val="24"/>
          <w:lang w:val="en-GB"/>
        </w:rPr>
        <w:t>)</w:t>
      </w:r>
    </w:p>
    <w:p w:rsidR="00EC3FD7" w:rsidRPr="003569BE" w:rsidRDefault="00EF4826" w:rsidP="00EF4826">
      <w:pPr>
        <w:spacing w:line="360" w:lineRule="auto"/>
        <w:rPr>
          <w:rFonts w:cs="Times New Roman"/>
          <w:szCs w:val="24"/>
          <w:lang w:val="en-GB"/>
        </w:rPr>
      </w:pPr>
      <w:r w:rsidRPr="003569BE">
        <w:rPr>
          <w:rFonts w:cs="Times New Roman"/>
          <w:szCs w:val="24"/>
          <w:lang w:val="en-GB"/>
        </w:rPr>
        <w:t>Where:</w:t>
      </w:r>
      <w:r w:rsidR="00E32AF2" w:rsidRPr="003569BE">
        <w:rPr>
          <w:rFonts w:cs="Times New Roman"/>
          <w:szCs w:val="24"/>
          <w:lang w:val="en-GB"/>
        </w:rPr>
        <w:t xml:space="preserve"> </w:t>
      </w:r>
    </w:p>
    <w:p w:rsidR="00E32AF2" w:rsidRPr="003569BE" w:rsidRDefault="00E32AF2" w:rsidP="00E32AF2">
      <w:pPr>
        <w:spacing w:line="240" w:lineRule="auto"/>
        <w:rPr>
          <w:rFonts w:cs="Times New Roman"/>
          <w:i/>
          <w:szCs w:val="24"/>
          <w:lang w:val="en-GB"/>
        </w:rPr>
      </w:pPr>
      <w:r w:rsidRPr="003569BE">
        <w:rPr>
          <w:rFonts w:cs="Times New Roman"/>
          <w:szCs w:val="24"/>
          <w:lang w:val="en-GB"/>
        </w:rPr>
        <w:t>ROA</w:t>
      </w:r>
      <w:r w:rsidRPr="003569BE">
        <w:rPr>
          <w:rFonts w:cs="Times New Roman"/>
          <w:szCs w:val="24"/>
          <w:vertAlign w:val="subscript"/>
          <w:lang w:val="en-GB"/>
        </w:rPr>
        <w:t>t or (t-1)</w:t>
      </w:r>
      <w:r w:rsidRPr="003569BE">
        <w:rPr>
          <w:rFonts w:cs="Times New Roman"/>
          <w:szCs w:val="24"/>
          <w:lang w:val="en-GB"/>
        </w:rPr>
        <w:t xml:space="preserve"> </w:t>
      </w:r>
      <w:r w:rsidR="00C14E19" w:rsidRPr="003569BE">
        <w:rPr>
          <w:rFonts w:cs="Times New Roman"/>
          <w:szCs w:val="24"/>
          <w:lang w:val="en-GB"/>
        </w:rPr>
        <w:tab/>
      </w:r>
      <w:r w:rsidRPr="003569BE">
        <w:rPr>
          <w:rFonts w:cs="Times New Roman"/>
          <w:szCs w:val="24"/>
          <w:lang w:val="en-GB"/>
        </w:rPr>
        <w:t xml:space="preserve">= return on assets at </w:t>
      </w:r>
      <w:r w:rsidRPr="003569BE">
        <w:rPr>
          <w:rFonts w:cs="Times New Roman"/>
          <w:i/>
          <w:szCs w:val="24"/>
          <w:lang w:val="en-GB"/>
        </w:rPr>
        <w:t>t</w:t>
      </w:r>
      <w:r w:rsidRPr="003569BE">
        <w:rPr>
          <w:rFonts w:cs="Times New Roman"/>
          <w:szCs w:val="24"/>
          <w:lang w:val="en-GB"/>
        </w:rPr>
        <w:t xml:space="preserve"> or </w:t>
      </w:r>
      <w:r w:rsidR="00F52909" w:rsidRPr="003569BE">
        <w:rPr>
          <w:rFonts w:cs="Times New Roman"/>
          <w:i/>
          <w:szCs w:val="24"/>
          <w:lang w:val="en-GB"/>
        </w:rPr>
        <w:t>t-1;</w:t>
      </w:r>
    </w:p>
    <w:p w:rsidR="00877ECB" w:rsidRPr="003569BE" w:rsidRDefault="00877ECB" w:rsidP="00D449C4">
      <w:pPr>
        <w:pStyle w:val="Heading2"/>
        <w:numPr>
          <w:ilvl w:val="1"/>
          <w:numId w:val="6"/>
        </w:numPr>
        <w:spacing w:line="360" w:lineRule="auto"/>
        <w:rPr>
          <w:lang w:val="en-GB"/>
        </w:rPr>
      </w:pPr>
      <w:bookmarkStart w:id="31" w:name="_Toc396633563"/>
      <w:r w:rsidRPr="003569BE">
        <w:rPr>
          <w:lang w:val="en-GB"/>
        </w:rPr>
        <w:t>Which earnings management measurement models to test the hypotheses in this thesis</w:t>
      </w:r>
      <w:r w:rsidR="00DF374F" w:rsidRPr="003569BE">
        <w:rPr>
          <w:lang w:val="en-GB"/>
        </w:rPr>
        <w:t xml:space="preserve"> will be used</w:t>
      </w:r>
      <w:r w:rsidRPr="003569BE">
        <w:rPr>
          <w:lang w:val="en-GB"/>
        </w:rPr>
        <w:t>?</w:t>
      </w:r>
      <w:bookmarkEnd w:id="31"/>
    </w:p>
    <w:p w:rsidR="00540DA7" w:rsidRPr="003569BE" w:rsidRDefault="00B4434B" w:rsidP="00540DA7">
      <w:pPr>
        <w:spacing w:line="360" w:lineRule="auto"/>
        <w:rPr>
          <w:rFonts w:cs="Times New Roman"/>
          <w:szCs w:val="24"/>
          <w:lang w:val="en-GB"/>
        </w:rPr>
      </w:pPr>
      <w:r w:rsidRPr="003569BE">
        <w:rPr>
          <w:rFonts w:cs="Times New Roman"/>
          <w:szCs w:val="24"/>
          <w:lang w:val="en-GB"/>
        </w:rPr>
        <w:t xml:space="preserve">At this point, </w:t>
      </w:r>
      <w:r w:rsidR="0059408A" w:rsidRPr="003569BE">
        <w:rPr>
          <w:rFonts w:cs="Times New Roman"/>
          <w:szCs w:val="24"/>
          <w:lang w:val="en-GB"/>
        </w:rPr>
        <w:t>eight</w:t>
      </w:r>
      <w:r w:rsidR="00E577A1" w:rsidRPr="003569BE">
        <w:rPr>
          <w:rFonts w:cs="Times New Roman"/>
          <w:szCs w:val="24"/>
          <w:lang w:val="en-GB"/>
        </w:rPr>
        <w:t xml:space="preserve"> relevant models </w:t>
      </w:r>
      <w:r w:rsidR="00DF374F" w:rsidRPr="003569BE">
        <w:rPr>
          <w:rFonts w:cs="Times New Roman"/>
          <w:szCs w:val="24"/>
          <w:lang w:val="en-GB"/>
        </w:rPr>
        <w:t xml:space="preserve">concerning </w:t>
      </w:r>
      <w:r w:rsidR="00E577A1" w:rsidRPr="003569BE">
        <w:rPr>
          <w:rFonts w:cs="Times New Roman"/>
          <w:szCs w:val="24"/>
          <w:lang w:val="en-GB"/>
        </w:rPr>
        <w:t xml:space="preserve">detecting and measuring the use of earnings management have been </w:t>
      </w:r>
      <w:r w:rsidR="00DF374F" w:rsidRPr="003569BE">
        <w:rPr>
          <w:rFonts w:cs="Times New Roman"/>
          <w:szCs w:val="24"/>
          <w:lang w:val="en-GB"/>
        </w:rPr>
        <w:t>presented</w:t>
      </w:r>
      <w:r w:rsidR="00E577A1" w:rsidRPr="003569BE">
        <w:rPr>
          <w:rFonts w:cs="Times New Roman"/>
          <w:szCs w:val="24"/>
          <w:lang w:val="en-GB"/>
        </w:rPr>
        <w:t>.</w:t>
      </w:r>
      <w:r w:rsidR="006F6F46" w:rsidRPr="003569BE">
        <w:rPr>
          <w:rFonts w:cs="Times New Roman"/>
          <w:szCs w:val="24"/>
          <w:lang w:val="en-GB"/>
        </w:rPr>
        <w:t xml:space="preserve"> </w:t>
      </w:r>
      <w:r w:rsidR="007D0974" w:rsidRPr="003569BE">
        <w:rPr>
          <w:rFonts w:cs="Times New Roman"/>
          <w:szCs w:val="24"/>
          <w:lang w:val="en-GB"/>
        </w:rPr>
        <w:t xml:space="preserve">An assessment on these models and on their ability to produce the best results </w:t>
      </w:r>
      <w:r w:rsidR="00DF374F" w:rsidRPr="003569BE">
        <w:rPr>
          <w:rFonts w:cs="Times New Roman"/>
          <w:szCs w:val="24"/>
          <w:lang w:val="en-GB"/>
        </w:rPr>
        <w:t xml:space="preserve">concerning </w:t>
      </w:r>
      <w:r w:rsidR="007D0974" w:rsidRPr="003569BE">
        <w:rPr>
          <w:rFonts w:cs="Times New Roman"/>
          <w:szCs w:val="24"/>
          <w:lang w:val="en-GB"/>
        </w:rPr>
        <w:t xml:space="preserve">this thesis </w:t>
      </w:r>
      <w:r w:rsidR="00B07909" w:rsidRPr="003569BE">
        <w:rPr>
          <w:rFonts w:cs="Times New Roman"/>
          <w:szCs w:val="24"/>
          <w:lang w:val="en-GB"/>
        </w:rPr>
        <w:t>needs</w:t>
      </w:r>
      <w:r w:rsidR="007D0974" w:rsidRPr="003569BE">
        <w:rPr>
          <w:rFonts w:cs="Times New Roman"/>
          <w:szCs w:val="24"/>
          <w:lang w:val="en-GB"/>
        </w:rPr>
        <w:t xml:space="preserve"> to be </w:t>
      </w:r>
      <w:r w:rsidR="00600B9C" w:rsidRPr="003569BE">
        <w:rPr>
          <w:rFonts w:cs="Times New Roman"/>
          <w:szCs w:val="24"/>
          <w:lang w:val="en-GB"/>
        </w:rPr>
        <w:t>perform</w:t>
      </w:r>
      <w:r w:rsidR="00952C9C" w:rsidRPr="003569BE">
        <w:rPr>
          <w:rFonts w:cs="Times New Roman"/>
          <w:szCs w:val="24"/>
          <w:lang w:val="en-GB"/>
        </w:rPr>
        <w:t>ed</w:t>
      </w:r>
      <w:r w:rsidR="007D0974" w:rsidRPr="003569BE">
        <w:rPr>
          <w:rFonts w:cs="Times New Roman"/>
          <w:szCs w:val="24"/>
          <w:lang w:val="en-GB"/>
        </w:rPr>
        <w:t>.</w:t>
      </w:r>
      <w:r w:rsidR="00BD1634" w:rsidRPr="003569BE">
        <w:rPr>
          <w:rFonts w:cs="Times New Roman"/>
          <w:szCs w:val="24"/>
          <w:lang w:val="en-GB"/>
        </w:rPr>
        <w:t xml:space="preserve"> First, according to Dechow et al</w:t>
      </w:r>
      <w:r w:rsidR="002D3E10" w:rsidRPr="003569BE">
        <w:rPr>
          <w:rFonts w:cs="Times New Roman"/>
          <w:szCs w:val="24"/>
          <w:lang w:val="en-GB"/>
        </w:rPr>
        <w:t xml:space="preserve">. (1995), the Jones (1991) and </w:t>
      </w:r>
      <w:r w:rsidR="00607B23" w:rsidRPr="003569BE">
        <w:rPr>
          <w:rFonts w:cs="Times New Roman"/>
          <w:szCs w:val="24"/>
          <w:lang w:val="en-GB"/>
        </w:rPr>
        <w:t>the</w:t>
      </w:r>
      <w:r w:rsidR="00BD1634" w:rsidRPr="003569BE">
        <w:rPr>
          <w:rFonts w:cs="Times New Roman"/>
          <w:szCs w:val="24"/>
          <w:lang w:val="en-GB"/>
        </w:rPr>
        <w:t xml:space="preserve"> modified version of the Jones (1991) model are the best models for measuring the discretionary accruals and detecting </w:t>
      </w:r>
      <w:r w:rsidR="00DF374F" w:rsidRPr="003569BE">
        <w:rPr>
          <w:rFonts w:cs="Times New Roman"/>
          <w:szCs w:val="24"/>
          <w:lang w:val="en-GB"/>
        </w:rPr>
        <w:t xml:space="preserve">the use of </w:t>
      </w:r>
      <w:r w:rsidR="00BD1634" w:rsidRPr="003569BE">
        <w:rPr>
          <w:rFonts w:cs="Times New Roman"/>
          <w:szCs w:val="24"/>
          <w:lang w:val="en-GB"/>
        </w:rPr>
        <w:t>earnings management</w:t>
      </w:r>
      <w:r w:rsidR="001E291E" w:rsidRPr="003569BE">
        <w:rPr>
          <w:rFonts w:cs="Times New Roman"/>
          <w:szCs w:val="24"/>
          <w:lang w:val="en-GB"/>
        </w:rPr>
        <w:t xml:space="preserve">, by comparing the ability to detect and </w:t>
      </w:r>
      <w:r w:rsidR="00DF374F" w:rsidRPr="003569BE">
        <w:rPr>
          <w:rFonts w:cs="Times New Roman"/>
          <w:szCs w:val="24"/>
          <w:lang w:val="en-GB"/>
        </w:rPr>
        <w:t xml:space="preserve">to </w:t>
      </w:r>
      <w:r w:rsidR="001E291E" w:rsidRPr="003569BE">
        <w:rPr>
          <w:rFonts w:cs="Times New Roman"/>
          <w:szCs w:val="24"/>
          <w:lang w:val="en-GB"/>
        </w:rPr>
        <w:t xml:space="preserve">measure </w:t>
      </w:r>
      <w:r w:rsidR="00DF374F" w:rsidRPr="003569BE">
        <w:rPr>
          <w:rFonts w:cs="Times New Roman"/>
          <w:szCs w:val="24"/>
          <w:lang w:val="en-GB"/>
        </w:rPr>
        <w:t xml:space="preserve">the use of </w:t>
      </w:r>
      <w:r w:rsidR="001E291E" w:rsidRPr="003569BE">
        <w:rPr>
          <w:rFonts w:cs="Times New Roman"/>
          <w:szCs w:val="24"/>
          <w:lang w:val="en-GB"/>
        </w:rPr>
        <w:t xml:space="preserve">earnings management of </w:t>
      </w:r>
      <w:r w:rsidR="00D449C4" w:rsidRPr="003569BE">
        <w:rPr>
          <w:rFonts w:cs="Times New Roman"/>
          <w:szCs w:val="24"/>
          <w:lang w:val="en-GB"/>
        </w:rPr>
        <w:t xml:space="preserve">the </w:t>
      </w:r>
      <w:r w:rsidR="00DF374F" w:rsidRPr="003569BE">
        <w:rPr>
          <w:rFonts w:cs="Times New Roman"/>
          <w:szCs w:val="24"/>
          <w:lang w:val="en-GB"/>
        </w:rPr>
        <w:t xml:space="preserve">next </w:t>
      </w:r>
      <w:r w:rsidR="00D449C4" w:rsidRPr="003569BE">
        <w:rPr>
          <w:rFonts w:cs="Times New Roman"/>
          <w:szCs w:val="24"/>
          <w:lang w:val="en-GB"/>
        </w:rPr>
        <w:t xml:space="preserve">models: The Healy (1985) Model, The DeAngelo </w:t>
      </w:r>
      <w:r w:rsidR="00A878B5" w:rsidRPr="003569BE">
        <w:rPr>
          <w:rFonts w:cs="Times New Roman"/>
          <w:szCs w:val="24"/>
          <w:lang w:val="en-GB"/>
        </w:rPr>
        <w:t xml:space="preserve">(1986) </w:t>
      </w:r>
      <w:r w:rsidR="00D449C4" w:rsidRPr="003569BE">
        <w:rPr>
          <w:rFonts w:cs="Times New Roman"/>
          <w:szCs w:val="24"/>
          <w:lang w:val="en-GB"/>
        </w:rPr>
        <w:t>model</w:t>
      </w:r>
      <w:r w:rsidR="00A878B5" w:rsidRPr="003569BE">
        <w:rPr>
          <w:rFonts w:cs="Times New Roman"/>
          <w:szCs w:val="24"/>
          <w:lang w:val="en-GB"/>
        </w:rPr>
        <w:t>, The Jones (1991) model, The Modified Jones Model and The Industry Model</w:t>
      </w:r>
      <w:r w:rsidR="00BD1634" w:rsidRPr="003569BE">
        <w:rPr>
          <w:rFonts w:cs="Times New Roman"/>
          <w:szCs w:val="24"/>
          <w:lang w:val="en-GB"/>
        </w:rPr>
        <w:t>.</w:t>
      </w:r>
      <w:r w:rsidR="00A11F7F" w:rsidRPr="003569BE">
        <w:rPr>
          <w:rFonts w:cs="Times New Roman"/>
          <w:szCs w:val="24"/>
          <w:lang w:val="en-GB"/>
        </w:rPr>
        <w:t xml:space="preserve"> </w:t>
      </w:r>
      <w:r w:rsidR="00F47BC8" w:rsidRPr="003569BE">
        <w:rPr>
          <w:rFonts w:cs="Times New Roman"/>
          <w:szCs w:val="24"/>
          <w:lang w:val="en-GB"/>
        </w:rPr>
        <w:t>Consequently,</w:t>
      </w:r>
      <w:r w:rsidR="00600B9C" w:rsidRPr="003569BE">
        <w:rPr>
          <w:rFonts w:cs="Times New Roman"/>
          <w:szCs w:val="24"/>
          <w:lang w:val="en-GB"/>
        </w:rPr>
        <w:t xml:space="preserve"> since it is a more recent model,</w:t>
      </w:r>
      <w:r w:rsidR="00F47BC8" w:rsidRPr="003569BE">
        <w:rPr>
          <w:rFonts w:cs="Times New Roman"/>
          <w:szCs w:val="24"/>
          <w:lang w:val="en-GB"/>
        </w:rPr>
        <w:t xml:space="preserve"> the Performance Matched Model</w:t>
      </w:r>
      <w:r w:rsidR="00BD2267" w:rsidRPr="003569BE">
        <w:rPr>
          <w:rFonts w:cs="Times New Roman"/>
          <w:szCs w:val="24"/>
          <w:lang w:val="en-GB"/>
        </w:rPr>
        <w:t xml:space="preserve"> by Kothari et Al. (2005),</w:t>
      </w:r>
      <w:r w:rsidR="00F47BC8" w:rsidRPr="003569BE">
        <w:rPr>
          <w:rFonts w:cs="Times New Roman"/>
          <w:szCs w:val="24"/>
          <w:lang w:val="en-GB"/>
        </w:rPr>
        <w:t>based on the Modified Jones Model will be used to test the hypotheses in this thesis</w:t>
      </w:r>
      <w:r w:rsidR="005E6D16" w:rsidRPr="003569BE">
        <w:rPr>
          <w:rFonts w:cs="Times New Roman"/>
          <w:szCs w:val="24"/>
          <w:lang w:val="en-GB"/>
        </w:rPr>
        <w:t>;</w:t>
      </w:r>
      <w:r w:rsidR="00EA15A0" w:rsidRPr="003569BE">
        <w:rPr>
          <w:rFonts w:cs="Times New Roman"/>
          <w:szCs w:val="24"/>
          <w:lang w:val="en-GB"/>
        </w:rPr>
        <w:t xml:space="preserve"> </w:t>
      </w:r>
      <w:r w:rsidR="00600B9C" w:rsidRPr="003569BE">
        <w:rPr>
          <w:rFonts w:cs="Times New Roman"/>
          <w:szCs w:val="24"/>
          <w:lang w:val="en-GB"/>
        </w:rPr>
        <w:t xml:space="preserve">this </w:t>
      </w:r>
      <w:r w:rsidR="00EA15A0" w:rsidRPr="003569BE">
        <w:rPr>
          <w:rFonts w:cs="Times New Roman"/>
          <w:szCs w:val="24"/>
          <w:lang w:val="en-GB"/>
        </w:rPr>
        <w:t xml:space="preserve">improves earnings management detection and </w:t>
      </w:r>
      <w:r w:rsidR="00600B9C" w:rsidRPr="003569BE">
        <w:rPr>
          <w:rFonts w:cs="Times New Roman"/>
          <w:szCs w:val="24"/>
          <w:lang w:val="en-GB"/>
        </w:rPr>
        <w:t xml:space="preserve">the </w:t>
      </w:r>
      <w:r w:rsidR="00EA15A0" w:rsidRPr="003569BE">
        <w:rPr>
          <w:rFonts w:cs="Times New Roman"/>
          <w:szCs w:val="24"/>
          <w:lang w:val="en-GB"/>
        </w:rPr>
        <w:t>measurement of the Jones model by including a performance component to control for extreme performance</w:t>
      </w:r>
      <w:r w:rsidR="008C5D13" w:rsidRPr="003569BE">
        <w:rPr>
          <w:rFonts w:cs="Times New Roman"/>
          <w:szCs w:val="24"/>
          <w:lang w:val="en-GB"/>
        </w:rPr>
        <w:t>.</w:t>
      </w:r>
      <w:r w:rsidR="002A64FF" w:rsidRPr="003569BE">
        <w:rPr>
          <w:rFonts w:cs="Times New Roman"/>
          <w:szCs w:val="24"/>
          <w:lang w:val="en-GB"/>
        </w:rPr>
        <w:t xml:space="preserve"> </w:t>
      </w:r>
      <w:r w:rsidR="00215443" w:rsidRPr="003569BE">
        <w:rPr>
          <w:rFonts w:cs="Times New Roman"/>
          <w:szCs w:val="24"/>
          <w:lang w:val="en-GB"/>
        </w:rPr>
        <w:t xml:space="preserve">An additional </w:t>
      </w:r>
      <w:r w:rsidR="009072E8" w:rsidRPr="003569BE">
        <w:rPr>
          <w:rFonts w:cs="Times New Roman"/>
          <w:szCs w:val="24"/>
          <w:lang w:val="en-GB"/>
        </w:rPr>
        <w:t xml:space="preserve">reason why this model in this thesis </w:t>
      </w:r>
      <w:r w:rsidR="008A546E" w:rsidRPr="003569BE">
        <w:rPr>
          <w:rFonts w:cs="Times New Roman"/>
          <w:szCs w:val="24"/>
          <w:lang w:val="en-GB"/>
        </w:rPr>
        <w:t xml:space="preserve">will be used </w:t>
      </w:r>
      <w:r w:rsidR="009072E8" w:rsidRPr="003569BE">
        <w:rPr>
          <w:rFonts w:cs="Times New Roman"/>
          <w:szCs w:val="24"/>
          <w:lang w:val="en-GB"/>
        </w:rPr>
        <w:t xml:space="preserve">relies on Beneish’s (1997) findings, </w:t>
      </w:r>
      <w:r w:rsidR="008A546E" w:rsidRPr="003569BE">
        <w:rPr>
          <w:rFonts w:cs="Times New Roman"/>
          <w:szCs w:val="24"/>
          <w:lang w:val="en-GB"/>
        </w:rPr>
        <w:t xml:space="preserve">in his paper he </w:t>
      </w:r>
      <w:r w:rsidR="009072E8" w:rsidRPr="003569BE">
        <w:rPr>
          <w:rFonts w:cs="Times New Roman"/>
          <w:szCs w:val="24"/>
          <w:lang w:val="en-GB"/>
        </w:rPr>
        <w:t xml:space="preserve">showed evidence in that “extreme performance limits the usefulness of accrual models” </w:t>
      </w:r>
      <w:sdt>
        <w:sdtPr>
          <w:rPr>
            <w:rFonts w:cs="Times New Roman"/>
            <w:szCs w:val="24"/>
            <w:lang w:val="en-GB"/>
          </w:rPr>
          <w:id w:val="1772808985"/>
          <w:citation/>
        </w:sdtPr>
        <w:sdtContent>
          <w:r w:rsidR="000E4BAF" w:rsidRPr="003569BE">
            <w:rPr>
              <w:rFonts w:cs="Times New Roman"/>
              <w:szCs w:val="24"/>
              <w:lang w:val="en-GB"/>
            </w:rPr>
            <w:fldChar w:fldCharType="begin"/>
          </w:r>
          <w:r w:rsidR="009072E8" w:rsidRPr="003569BE">
            <w:rPr>
              <w:rFonts w:cs="Times New Roman"/>
              <w:szCs w:val="24"/>
              <w:lang w:val="en-GB"/>
            </w:rPr>
            <w:instrText xml:space="preserve">CITATION Ben97 \p 271 \l 1033 </w:instrText>
          </w:r>
          <w:r w:rsidR="000E4BAF" w:rsidRPr="003569BE">
            <w:rPr>
              <w:rFonts w:cs="Times New Roman"/>
              <w:szCs w:val="24"/>
              <w:lang w:val="en-GB"/>
            </w:rPr>
            <w:fldChar w:fldCharType="separate"/>
          </w:r>
          <w:r w:rsidR="008F7EB3" w:rsidRPr="003569BE">
            <w:rPr>
              <w:rFonts w:cs="Times New Roman"/>
              <w:noProof/>
              <w:szCs w:val="24"/>
              <w:lang w:val="en-GB"/>
            </w:rPr>
            <w:t>(Beneish, 1997, p. 271)</w:t>
          </w:r>
          <w:r w:rsidR="000E4BAF" w:rsidRPr="003569BE">
            <w:rPr>
              <w:rFonts w:cs="Times New Roman"/>
              <w:szCs w:val="24"/>
              <w:lang w:val="en-GB"/>
            </w:rPr>
            <w:fldChar w:fldCharType="end"/>
          </w:r>
        </w:sdtContent>
      </w:sdt>
      <w:r w:rsidR="00D80C22" w:rsidRPr="003569BE">
        <w:rPr>
          <w:rFonts w:cs="Times New Roman"/>
          <w:szCs w:val="24"/>
          <w:lang w:val="en-GB"/>
        </w:rPr>
        <w:t>.</w:t>
      </w:r>
    </w:p>
    <w:p w:rsidR="00251624" w:rsidRPr="003569BE" w:rsidRDefault="00251624" w:rsidP="00251624">
      <w:pPr>
        <w:pStyle w:val="Heading2"/>
        <w:numPr>
          <w:ilvl w:val="1"/>
          <w:numId w:val="6"/>
        </w:numPr>
        <w:spacing w:line="360" w:lineRule="auto"/>
        <w:rPr>
          <w:lang w:val="en-GB"/>
        </w:rPr>
      </w:pPr>
      <w:bookmarkStart w:id="32" w:name="_Toc396633564"/>
      <w:r w:rsidRPr="003569BE">
        <w:rPr>
          <w:lang w:val="en-GB"/>
        </w:rPr>
        <w:t>Summary</w:t>
      </w:r>
      <w:bookmarkEnd w:id="32"/>
    </w:p>
    <w:p w:rsidR="00074054" w:rsidRPr="003569BE" w:rsidRDefault="00234AA6" w:rsidP="00074054">
      <w:pPr>
        <w:spacing w:line="360" w:lineRule="auto"/>
        <w:rPr>
          <w:rFonts w:cs="Times New Roman"/>
          <w:szCs w:val="24"/>
          <w:lang w:val="en-GB"/>
        </w:rPr>
      </w:pPr>
      <w:r w:rsidRPr="003569BE">
        <w:rPr>
          <w:rFonts w:cs="Times New Roman"/>
          <w:szCs w:val="24"/>
          <w:lang w:val="en-GB"/>
        </w:rPr>
        <w:t>In this chapter, eight models for detecting and measuring</w:t>
      </w:r>
      <w:r w:rsidR="00A010B4" w:rsidRPr="003569BE">
        <w:rPr>
          <w:rFonts w:cs="Times New Roman"/>
          <w:szCs w:val="24"/>
          <w:lang w:val="en-GB"/>
        </w:rPr>
        <w:t xml:space="preserve"> </w:t>
      </w:r>
      <w:r w:rsidR="00790A46" w:rsidRPr="003569BE">
        <w:rPr>
          <w:rFonts w:cs="Times New Roman"/>
          <w:szCs w:val="24"/>
          <w:lang w:val="en-GB"/>
        </w:rPr>
        <w:t>the use of earnings management</w:t>
      </w:r>
      <w:r w:rsidR="00A010B4" w:rsidRPr="003569BE">
        <w:rPr>
          <w:rFonts w:cs="Times New Roman"/>
          <w:szCs w:val="24"/>
          <w:lang w:val="en-GB"/>
        </w:rPr>
        <w:t xml:space="preserve"> </w:t>
      </w:r>
      <w:r w:rsidRPr="003569BE">
        <w:rPr>
          <w:rFonts w:cs="Times New Roman"/>
          <w:szCs w:val="24"/>
          <w:lang w:val="en-GB"/>
        </w:rPr>
        <w:t>have been discussed.</w:t>
      </w:r>
      <w:r w:rsidR="00790A46" w:rsidRPr="003569BE">
        <w:rPr>
          <w:rFonts w:cs="Times New Roman"/>
          <w:szCs w:val="24"/>
          <w:lang w:val="en-GB"/>
        </w:rPr>
        <w:t xml:space="preserve"> For the purpose of this thesis, it is essential to have a good understanding of the relevant models used in prior research concerning the use of earnings management, as well as the evolution and development of these models. </w:t>
      </w:r>
      <w:r w:rsidRPr="003569BE">
        <w:rPr>
          <w:rFonts w:cs="Times New Roman"/>
          <w:szCs w:val="24"/>
          <w:lang w:val="en-GB"/>
        </w:rPr>
        <w:t>First,</w:t>
      </w:r>
      <w:r w:rsidR="00D07D63" w:rsidRPr="003569BE">
        <w:rPr>
          <w:rFonts w:cs="Times New Roman"/>
          <w:szCs w:val="24"/>
          <w:lang w:val="en-GB"/>
        </w:rPr>
        <w:t xml:space="preserve"> since it has provided essential insights in prior scientific studies,</w:t>
      </w:r>
      <w:r w:rsidRPr="003569BE">
        <w:rPr>
          <w:rFonts w:cs="Times New Roman"/>
          <w:szCs w:val="24"/>
          <w:lang w:val="en-GB"/>
        </w:rPr>
        <w:t xml:space="preserve"> the original Jones (1991) model was </w:t>
      </w:r>
      <w:r w:rsidR="00D07D63" w:rsidRPr="003569BE">
        <w:rPr>
          <w:rFonts w:cs="Times New Roman"/>
          <w:szCs w:val="24"/>
          <w:lang w:val="en-GB"/>
        </w:rPr>
        <w:lastRenderedPageBreak/>
        <w:t>presented. Next, modified versions of the Jones model have been presented, as well as the models that were used before the Jones model: the Healy model and the DeAngelo model.</w:t>
      </w:r>
      <w:r w:rsidR="00AE32F7" w:rsidRPr="003569BE">
        <w:rPr>
          <w:rFonts w:cs="Times New Roman"/>
          <w:szCs w:val="24"/>
          <w:lang w:val="en-GB"/>
        </w:rPr>
        <w:t xml:space="preserve"> The modified versions of the Jones model signalled in this chapter were developed by researchers based on the original model, trying to improve its ability to differentiate between discretionary and non-discretionary accruals. Finally, the Performance Matched Model</w:t>
      </w:r>
      <w:r w:rsidR="00BD2267" w:rsidRPr="003569BE">
        <w:rPr>
          <w:rFonts w:cs="Times New Roman"/>
          <w:szCs w:val="24"/>
          <w:lang w:val="en-GB"/>
        </w:rPr>
        <w:t xml:space="preserve"> by Kothari et Al. (2005)</w:t>
      </w:r>
      <w:r w:rsidR="00AE32F7" w:rsidRPr="003569BE">
        <w:rPr>
          <w:rFonts w:cs="Times New Roman"/>
          <w:szCs w:val="24"/>
          <w:lang w:val="en-GB"/>
        </w:rPr>
        <w:t xml:space="preserve"> related to the modified Jones model has been selected as the primary tool that will be used in this thesis to test the hypotheses.</w:t>
      </w:r>
      <w:r w:rsidR="000E0387" w:rsidRPr="003569BE">
        <w:rPr>
          <w:rFonts w:cs="Times New Roman"/>
          <w:szCs w:val="24"/>
          <w:lang w:val="en-GB"/>
        </w:rPr>
        <w:t xml:space="preserve"> </w:t>
      </w:r>
    </w:p>
    <w:p w:rsidR="00600B9C" w:rsidRPr="003569BE" w:rsidRDefault="000E0387" w:rsidP="005E6D16">
      <w:pPr>
        <w:spacing w:line="360" w:lineRule="auto"/>
        <w:rPr>
          <w:rFonts w:cs="Times New Roman"/>
          <w:szCs w:val="24"/>
          <w:lang w:val="en-GB"/>
        </w:rPr>
      </w:pPr>
      <w:r w:rsidRPr="003569BE">
        <w:rPr>
          <w:rFonts w:cs="Times New Roman"/>
          <w:szCs w:val="24"/>
          <w:lang w:val="en-GB"/>
        </w:rPr>
        <w:t xml:space="preserve">In the next chapter, the existing evidence from prior empirical studies that </w:t>
      </w:r>
      <w:r w:rsidR="00D506B5" w:rsidRPr="003569BE">
        <w:rPr>
          <w:rFonts w:cs="Times New Roman"/>
          <w:szCs w:val="24"/>
          <w:lang w:val="en-GB"/>
        </w:rPr>
        <w:t>is</w:t>
      </w:r>
      <w:r w:rsidRPr="003569BE">
        <w:rPr>
          <w:rFonts w:cs="Times New Roman"/>
          <w:szCs w:val="24"/>
          <w:lang w:val="en-GB"/>
        </w:rPr>
        <w:t xml:space="preserve"> relevant t</w:t>
      </w:r>
      <w:r w:rsidR="0083129F" w:rsidRPr="003569BE">
        <w:rPr>
          <w:rFonts w:cs="Times New Roman"/>
          <w:szCs w:val="24"/>
          <w:lang w:val="en-GB"/>
        </w:rPr>
        <w:t>o this thesis will be analysed.</w:t>
      </w:r>
    </w:p>
    <w:p w:rsidR="008A61DE" w:rsidRPr="003569BE" w:rsidRDefault="008A61DE">
      <w:pPr>
        <w:rPr>
          <w:rFonts w:eastAsiaTheme="majorEastAsia" w:cstheme="majorBidi"/>
          <w:color w:val="2E74B5" w:themeColor="accent1" w:themeShade="BF"/>
          <w:sz w:val="32"/>
          <w:szCs w:val="32"/>
          <w:lang w:val="en-GB"/>
        </w:rPr>
      </w:pPr>
      <w:r w:rsidRPr="003569BE">
        <w:rPr>
          <w:lang w:val="en-GB"/>
        </w:rPr>
        <w:br w:type="page"/>
      </w:r>
    </w:p>
    <w:p w:rsidR="00B94666" w:rsidRPr="003569BE" w:rsidRDefault="00B94666" w:rsidP="009C2834">
      <w:pPr>
        <w:pStyle w:val="Heading1"/>
        <w:numPr>
          <w:ilvl w:val="0"/>
          <w:numId w:val="6"/>
        </w:numPr>
        <w:spacing w:line="360" w:lineRule="auto"/>
        <w:rPr>
          <w:lang w:val="en-GB"/>
        </w:rPr>
      </w:pPr>
      <w:bookmarkStart w:id="33" w:name="_Toc396633565"/>
      <w:r w:rsidRPr="003569BE">
        <w:rPr>
          <w:lang w:val="en-GB"/>
        </w:rPr>
        <w:lastRenderedPageBreak/>
        <w:t>Evidence from Prior Research</w:t>
      </w:r>
      <w:bookmarkEnd w:id="33"/>
    </w:p>
    <w:p w:rsidR="00135150" w:rsidRPr="003569BE" w:rsidRDefault="00135150" w:rsidP="0046446B">
      <w:pPr>
        <w:spacing w:line="360" w:lineRule="auto"/>
        <w:rPr>
          <w:rFonts w:cs="Times New Roman"/>
          <w:i/>
          <w:szCs w:val="24"/>
          <w:lang w:val="en-GB"/>
        </w:rPr>
      </w:pPr>
      <w:r w:rsidRPr="003569BE">
        <w:rPr>
          <w:rFonts w:cs="Times New Roman"/>
          <w:szCs w:val="24"/>
          <w:lang w:val="en-GB"/>
        </w:rPr>
        <w:t>This chapter answers the fourth</w:t>
      </w:r>
      <w:r w:rsidR="00695FBC" w:rsidRPr="003569BE">
        <w:rPr>
          <w:rFonts w:cs="Times New Roman"/>
          <w:szCs w:val="24"/>
          <w:lang w:val="en-GB"/>
        </w:rPr>
        <w:t xml:space="preserve"> sub-question of the thesis: </w:t>
      </w:r>
      <w:r w:rsidR="00695FBC" w:rsidRPr="003569BE">
        <w:rPr>
          <w:rFonts w:cs="Times New Roman"/>
          <w:i/>
          <w:szCs w:val="24"/>
          <w:lang w:val="en-GB"/>
        </w:rPr>
        <w:t>“What does evidence from prior research communicate so far about the effect MAFR has on the management’s behaviour in terms of the use of earnings management?”</w:t>
      </w:r>
    </w:p>
    <w:p w:rsidR="00AA3FA1" w:rsidRPr="003569BE" w:rsidRDefault="00D3771E" w:rsidP="0046446B">
      <w:pPr>
        <w:spacing w:line="360" w:lineRule="auto"/>
        <w:rPr>
          <w:rFonts w:cs="Times New Roman"/>
          <w:szCs w:val="24"/>
          <w:lang w:val="en-GB"/>
        </w:rPr>
      </w:pPr>
      <w:r w:rsidRPr="003569BE">
        <w:rPr>
          <w:rFonts w:cs="Times New Roman"/>
          <w:szCs w:val="24"/>
          <w:lang w:val="en-GB"/>
        </w:rPr>
        <w:t xml:space="preserve">In order to answer this question, a literature review of the </w:t>
      </w:r>
      <w:r w:rsidR="00DB1CBE" w:rsidRPr="003569BE">
        <w:rPr>
          <w:rFonts w:cs="Times New Roman"/>
          <w:szCs w:val="24"/>
          <w:lang w:val="en-GB"/>
        </w:rPr>
        <w:t>most relevant papers that contribute to the understanding of the effect mandatory audit firm rotation has on the management’s behaviour in terms of earnings management</w:t>
      </w:r>
      <w:r w:rsidR="00CA5848" w:rsidRPr="003569BE">
        <w:rPr>
          <w:rFonts w:cs="Times New Roman"/>
          <w:szCs w:val="24"/>
          <w:lang w:val="en-GB"/>
        </w:rPr>
        <w:t xml:space="preserve"> will be presented</w:t>
      </w:r>
      <w:r w:rsidR="00DB1CBE" w:rsidRPr="003569BE">
        <w:rPr>
          <w:rFonts w:cs="Times New Roman"/>
          <w:szCs w:val="24"/>
          <w:lang w:val="en-GB"/>
        </w:rPr>
        <w:t>.</w:t>
      </w:r>
      <w:r w:rsidR="00B66A14" w:rsidRPr="003569BE">
        <w:rPr>
          <w:rFonts w:cs="Times New Roman"/>
          <w:szCs w:val="24"/>
          <w:lang w:val="en-GB"/>
        </w:rPr>
        <w:t xml:space="preserve"> </w:t>
      </w:r>
    </w:p>
    <w:p w:rsidR="00AA3FA1" w:rsidRPr="003569BE" w:rsidRDefault="005278CA" w:rsidP="0046446B">
      <w:pPr>
        <w:spacing w:line="360" w:lineRule="auto"/>
        <w:rPr>
          <w:rFonts w:cs="Times New Roman"/>
          <w:szCs w:val="24"/>
          <w:lang w:val="en-GB"/>
        </w:rPr>
      </w:pPr>
      <w:r w:rsidRPr="003569BE">
        <w:rPr>
          <w:rFonts w:cs="Times New Roman"/>
          <w:szCs w:val="24"/>
          <w:lang w:val="en-GB"/>
        </w:rPr>
        <w:t xml:space="preserve">Because the only European country that has an active mandatory audit firm rotation rule active is Italy, and in the US mandatory rotation is not mandated, the literature regarding mandatory rotation is limited. </w:t>
      </w:r>
      <w:r w:rsidR="00E92E44" w:rsidRPr="003569BE">
        <w:rPr>
          <w:rFonts w:cs="Times New Roman"/>
          <w:szCs w:val="24"/>
          <w:lang w:val="en-GB"/>
        </w:rPr>
        <w:t xml:space="preserve">Existing papers mostly focus on the auditor tenure, without testing in an actual MAFR setting. </w:t>
      </w:r>
      <w:r w:rsidR="006D3AC7" w:rsidRPr="003569BE">
        <w:rPr>
          <w:rFonts w:cs="Times New Roman"/>
          <w:szCs w:val="24"/>
          <w:lang w:val="en-GB"/>
        </w:rPr>
        <w:t xml:space="preserve">However, </w:t>
      </w:r>
      <w:r w:rsidR="00C426A2" w:rsidRPr="003569BE">
        <w:rPr>
          <w:rFonts w:cs="Times New Roman"/>
          <w:szCs w:val="24"/>
          <w:lang w:val="en-GB"/>
        </w:rPr>
        <w:t xml:space="preserve">some </w:t>
      </w:r>
      <w:r w:rsidR="006D3AC7" w:rsidRPr="003569BE">
        <w:rPr>
          <w:rFonts w:cs="Times New Roman"/>
          <w:szCs w:val="24"/>
          <w:lang w:val="en-GB"/>
        </w:rPr>
        <w:t>p</w:t>
      </w:r>
      <w:r w:rsidR="00AA3FA1" w:rsidRPr="003569BE">
        <w:rPr>
          <w:rFonts w:cs="Times New Roman"/>
          <w:szCs w:val="24"/>
          <w:lang w:val="en-GB"/>
        </w:rPr>
        <w:t xml:space="preserve">rior empirical papers have studied the relationship between </w:t>
      </w:r>
      <w:r w:rsidR="008A61DE" w:rsidRPr="003569BE">
        <w:rPr>
          <w:rFonts w:cs="Times New Roman"/>
          <w:szCs w:val="24"/>
          <w:lang w:val="en-GB"/>
        </w:rPr>
        <w:t xml:space="preserve">the use of </w:t>
      </w:r>
      <w:r w:rsidR="00AA3FA1" w:rsidRPr="003569BE">
        <w:rPr>
          <w:rFonts w:cs="Times New Roman"/>
          <w:szCs w:val="24"/>
          <w:lang w:val="en-GB"/>
        </w:rPr>
        <w:t>MAFR and t</w:t>
      </w:r>
      <w:r w:rsidR="00705814" w:rsidRPr="003569BE">
        <w:rPr>
          <w:rFonts w:cs="Times New Roman"/>
          <w:szCs w:val="24"/>
          <w:lang w:val="en-GB"/>
        </w:rPr>
        <w:t>opics like auditor independence and</w:t>
      </w:r>
      <w:r w:rsidR="00AA3FA1" w:rsidRPr="003569BE">
        <w:rPr>
          <w:rFonts w:cs="Times New Roman"/>
          <w:szCs w:val="24"/>
          <w:lang w:val="en-GB"/>
        </w:rPr>
        <w:t xml:space="preserve"> audit quality. </w:t>
      </w:r>
      <w:r w:rsidR="00B3396F" w:rsidRPr="003569BE">
        <w:rPr>
          <w:rFonts w:cs="Times New Roman"/>
          <w:szCs w:val="24"/>
          <w:lang w:val="en-GB"/>
        </w:rPr>
        <w:t>A review</w:t>
      </w:r>
      <w:r w:rsidR="00522A38" w:rsidRPr="003569BE">
        <w:rPr>
          <w:rFonts w:cs="Times New Roman"/>
          <w:szCs w:val="24"/>
          <w:lang w:val="en-GB"/>
        </w:rPr>
        <w:t xml:space="preserve"> of the papers that study these </w:t>
      </w:r>
      <w:r w:rsidR="00B3396F" w:rsidRPr="003569BE">
        <w:rPr>
          <w:rFonts w:cs="Times New Roman"/>
          <w:szCs w:val="24"/>
          <w:lang w:val="en-GB"/>
        </w:rPr>
        <w:t>relationship</w:t>
      </w:r>
      <w:r w:rsidR="00522A38" w:rsidRPr="003569BE">
        <w:rPr>
          <w:rFonts w:cs="Times New Roman"/>
          <w:szCs w:val="24"/>
          <w:lang w:val="en-GB"/>
        </w:rPr>
        <w:t>s</w:t>
      </w:r>
      <w:r w:rsidR="00B3396F" w:rsidRPr="003569BE">
        <w:rPr>
          <w:rFonts w:cs="Times New Roman"/>
          <w:szCs w:val="24"/>
          <w:lang w:val="en-GB"/>
        </w:rPr>
        <w:t xml:space="preserve"> is highly relevant to this thesis and contributes to answering the main research question. </w:t>
      </w:r>
      <w:r w:rsidR="008A61DE" w:rsidRPr="003569BE">
        <w:rPr>
          <w:rFonts w:cs="Times New Roman"/>
          <w:szCs w:val="24"/>
          <w:lang w:val="en-GB"/>
        </w:rPr>
        <w:t>Consequently</w:t>
      </w:r>
      <w:r w:rsidR="00595CC4" w:rsidRPr="003569BE">
        <w:rPr>
          <w:rFonts w:cs="Times New Roman"/>
          <w:szCs w:val="24"/>
          <w:lang w:val="en-GB"/>
        </w:rPr>
        <w:t xml:space="preserve">, the background, </w:t>
      </w:r>
      <w:r w:rsidR="00C6353F" w:rsidRPr="003569BE">
        <w:rPr>
          <w:rFonts w:cs="Times New Roman"/>
          <w:szCs w:val="24"/>
          <w:lang w:val="en-GB"/>
        </w:rPr>
        <w:t xml:space="preserve">the </w:t>
      </w:r>
      <w:r w:rsidR="00595CC4" w:rsidRPr="003569BE">
        <w:rPr>
          <w:rFonts w:cs="Times New Roman"/>
          <w:szCs w:val="24"/>
          <w:lang w:val="en-GB"/>
        </w:rPr>
        <w:t xml:space="preserve">methods </w:t>
      </w:r>
      <w:r w:rsidR="00C6353F" w:rsidRPr="003569BE">
        <w:rPr>
          <w:rFonts w:cs="Times New Roman"/>
          <w:szCs w:val="24"/>
          <w:lang w:val="en-GB"/>
        </w:rPr>
        <w:t xml:space="preserve">they used </w:t>
      </w:r>
      <w:r w:rsidR="00595CC4" w:rsidRPr="003569BE">
        <w:rPr>
          <w:rFonts w:cs="Times New Roman"/>
          <w:szCs w:val="24"/>
          <w:lang w:val="en-GB"/>
        </w:rPr>
        <w:t xml:space="preserve">and </w:t>
      </w:r>
      <w:r w:rsidR="00C6353F" w:rsidRPr="003569BE">
        <w:rPr>
          <w:rFonts w:cs="Times New Roman"/>
          <w:szCs w:val="24"/>
          <w:lang w:val="en-GB"/>
        </w:rPr>
        <w:t xml:space="preserve">the </w:t>
      </w:r>
      <w:r w:rsidR="00595CC4" w:rsidRPr="003569BE">
        <w:rPr>
          <w:rFonts w:cs="Times New Roman"/>
          <w:szCs w:val="24"/>
          <w:lang w:val="en-GB"/>
        </w:rPr>
        <w:t xml:space="preserve">findings of these papers will be </w:t>
      </w:r>
      <w:r w:rsidR="00BA1CD1" w:rsidRPr="003569BE">
        <w:rPr>
          <w:rFonts w:cs="Times New Roman"/>
          <w:szCs w:val="24"/>
          <w:lang w:val="en-GB"/>
        </w:rPr>
        <w:t>commented</w:t>
      </w:r>
      <w:r w:rsidR="00595CC4" w:rsidRPr="003569BE">
        <w:rPr>
          <w:rFonts w:cs="Times New Roman"/>
          <w:szCs w:val="24"/>
          <w:lang w:val="en-GB"/>
        </w:rPr>
        <w:t>.</w:t>
      </w:r>
    </w:p>
    <w:p w:rsidR="00A81A8B" w:rsidRPr="003569BE" w:rsidRDefault="00B246DF" w:rsidP="00A81A8B">
      <w:pPr>
        <w:spacing w:line="360" w:lineRule="auto"/>
        <w:rPr>
          <w:rFonts w:cs="Times New Roman"/>
          <w:szCs w:val="24"/>
          <w:lang w:val="en-GB"/>
        </w:rPr>
      </w:pPr>
      <w:r w:rsidRPr="003569BE">
        <w:rPr>
          <w:rFonts w:cs="Times New Roman"/>
          <w:szCs w:val="24"/>
          <w:lang w:val="en-GB"/>
        </w:rPr>
        <w:t xml:space="preserve">Accordingly, this chapter is structured as follows: first, the </w:t>
      </w:r>
      <w:r w:rsidR="002205FE" w:rsidRPr="003569BE">
        <w:rPr>
          <w:rFonts w:cs="Times New Roman"/>
          <w:szCs w:val="24"/>
          <w:lang w:val="en-GB"/>
        </w:rPr>
        <w:t xml:space="preserve">study </w:t>
      </w:r>
      <w:r w:rsidR="00F6093D" w:rsidRPr="003569BE">
        <w:rPr>
          <w:rFonts w:cs="Times New Roman"/>
          <w:szCs w:val="24"/>
          <w:lang w:val="en-GB"/>
        </w:rPr>
        <w:t>“Does Mandatory Audit Firm Rotation Enhance Auditor Independence? Evidence from Spain” by</w:t>
      </w:r>
      <w:r w:rsidR="002205FE" w:rsidRPr="003569BE">
        <w:rPr>
          <w:rFonts w:cs="Times New Roman"/>
          <w:szCs w:val="24"/>
          <w:lang w:val="en-GB"/>
        </w:rPr>
        <w:t xml:space="preserve"> Ruiz-Barbadillo</w:t>
      </w:r>
      <w:r w:rsidR="00B15FDA" w:rsidRPr="003569BE">
        <w:rPr>
          <w:rFonts w:cs="Times New Roman"/>
          <w:szCs w:val="24"/>
          <w:lang w:val="en-GB"/>
        </w:rPr>
        <w:t xml:space="preserve"> et Al.</w:t>
      </w:r>
      <w:r w:rsidR="002205FE" w:rsidRPr="003569BE">
        <w:rPr>
          <w:rFonts w:cs="Times New Roman"/>
          <w:szCs w:val="24"/>
          <w:lang w:val="en-GB"/>
        </w:rPr>
        <w:t xml:space="preserve"> (2009)</w:t>
      </w:r>
      <w:r w:rsidR="00F6093D" w:rsidRPr="003569BE">
        <w:rPr>
          <w:rFonts w:cs="Times New Roman"/>
          <w:szCs w:val="24"/>
          <w:lang w:val="en-GB"/>
        </w:rPr>
        <w:t xml:space="preserve">, </w:t>
      </w:r>
      <w:r w:rsidR="00B34C48" w:rsidRPr="003569BE">
        <w:rPr>
          <w:rFonts w:cs="Times New Roman"/>
          <w:szCs w:val="24"/>
          <w:lang w:val="en-GB"/>
        </w:rPr>
        <w:t xml:space="preserve">will be presented. Next, two research papers </w:t>
      </w:r>
      <w:r w:rsidR="008A61DE" w:rsidRPr="003569BE">
        <w:rPr>
          <w:rFonts w:cs="Times New Roman"/>
          <w:szCs w:val="24"/>
          <w:lang w:val="en-GB"/>
        </w:rPr>
        <w:t xml:space="preserve">concerning </w:t>
      </w:r>
      <w:r w:rsidR="00B34C48" w:rsidRPr="003569BE">
        <w:rPr>
          <w:rFonts w:cs="Times New Roman"/>
          <w:szCs w:val="24"/>
          <w:lang w:val="en-GB"/>
        </w:rPr>
        <w:t>the effect mandatory audit firm rotation has on audit quality will be commented.</w:t>
      </w:r>
      <w:r w:rsidR="009B0D9B" w:rsidRPr="003569BE">
        <w:rPr>
          <w:rFonts w:cs="Times New Roman"/>
          <w:szCs w:val="24"/>
          <w:lang w:val="en-GB"/>
        </w:rPr>
        <w:t xml:space="preserve"> </w:t>
      </w:r>
      <w:r w:rsidR="001D2C22" w:rsidRPr="003569BE">
        <w:rPr>
          <w:rFonts w:cs="Times New Roman"/>
          <w:szCs w:val="24"/>
          <w:lang w:val="en-GB"/>
        </w:rPr>
        <w:t xml:space="preserve">Although this relationship, i.e. between MAFR and audit quality, is not the subject of this thesis, these papers can provide essential insights, especially in </w:t>
      </w:r>
      <w:r w:rsidR="000B578C" w:rsidRPr="003569BE">
        <w:rPr>
          <w:rFonts w:cs="Times New Roman"/>
          <w:szCs w:val="24"/>
          <w:lang w:val="en-GB"/>
        </w:rPr>
        <w:t>integration with another relevant paper: “The Effect of Audit Quality on Earnings Management”</w:t>
      </w:r>
      <w:r w:rsidR="00B15FDA" w:rsidRPr="003569BE">
        <w:rPr>
          <w:rFonts w:cs="Times New Roman"/>
          <w:szCs w:val="24"/>
          <w:lang w:val="en-GB"/>
        </w:rPr>
        <w:t xml:space="preserve"> by Becker et Al. (1998)</w:t>
      </w:r>
      <w:r w:rsidR="00896C72" w:rsidRPr="003569BE">
        <w:rPr>
          <w:rFonts w:cs="Times New Roman"/>
          <w:szCs w:val="24"/>
          <w:lang w:val="en-GB"/>
        </w:rPr>
        <w:t xml:space="preserve">. Finally, papers that studied the relationship between </w:t>
      </w:r>
      <w:r w:rsidR="008A61DE" w:rsidRPr="003569BE">
        <w:rPr>
          <w:rFonts w:cs="Times New Roman"/>
          <w:szCs w:val="24"/>
          <w:lang w:val="en-GB"/>
        </w:rPr>
        <w:t xml:space="preserve">the </w:t>
      </w:r>
      <w:r w:rsidR="00896C72" w:rsidRPr="003569BE">
        <w:rPr>
          <w:rFonts w:cs="Times New Roman"/>
          <w:szCs w:val="24"/>
          <w:lang w:val="en-GB"/>
        </w:rPr>
        <w:t>audit tenure and the use of earnings management will be presented.</w:t>
      </w:r>
    </w:p>
    <w:p w:rsidR="00A81A8B" w:rsidRPr="003569BE" w:rsidRDefault="00674E9E" w:rsidP="007A71A4">
      <w:pPr>
        <w:pStyle w:val="Heading2"/>
        <w:numPr>
          <w:ilvl w:val="1"/>
          <w:numId w:val="6"/>
        </w:numPr>
        <w:spacing w:line="360" w:lineRule="auto"/>
        <w:rPr>
          <w:rFonts w:cs="Times New Roman"/>
          <w:sz w:val="24"/>
          <w:szCs w:val="24"/>
          <w:lang w:val="en-GB"/>
        </w:rPr>
      </w:pPr>
      <w:bookmarkStart w:id="34" w:name="_Toc396633566"/>
      <w:r w:rsidRPr="003569BE">
        <w:rPr>
          <w:rFonts w:cs="Times New Roman"/>
          <w:sz w:val="24"/>
          <w:szCs w:val="24"/>
          <w:lang w:val="en-GB"/>
        </w:rPr>
        <w:t xml:space="preserve">The relationship between MAFR and </w:t>
      </w:r>
      <w:r w:rsidR="008A61DE" w:rsidRPr="003569BE">
        <w:rPr>
          <w:rFonts w:cs="Times New Roman"/>
          <w:sz w:val="24"/>
          <w:szCs w:val="24"/>
          <w:lang w:val="en-GB"/>
        </w:rPr>
        <w:t xml:space="preserve">the </w:t>
      </w:r>
      <w:r w:rsidRPr="003569BE">
        <w:rPr>
          <w:rFonts w:cs="Times New Roman"/>
          <w:sz w:val="24"/>
          <w:szCs w:val="24"/>
          <w:lang w:val="en-GB"/>
        </w:rPr>
        <w:t>auditor independence</w:t>
      </w:r>
      <w:bookmarkEnd w:id="34"/>
    </w:p>
    <w:p w:rsidR="001E7CB3" w:rsidRPr="003569BE" w:rsidRDefault="001E7CB3" w:rsidP="001E7CB3">
      <w:pPr>
        <w:spacing w:line="360" w:lineRule="auto"/>
        <w:rPr>
          <w:rFonts w:cs="Times New Roman"/>
          <w:b/>
          <w:szCs w:val="24"/>
          <w:u w:val="single"/>
          <w:lang w:val="en-GB"/>
        </w:rPr>
      </w:pPr>
      <w:r w:rsidRPr="003569BE">
        <w:rPr>
          <w:rFonts w:cs="Times New Roman"/>
          <w:b/>
          <w:i/>
          <w:szCs w:val="24"/>
          <w:u w:val="single"/>
          <w:lang w:val="en-GB"/>
        </w:rPr>
        <w:t xml:space="preserve">“Does </w:t>
      </w:r>
      <w:r w:rsidRPr="003569BE">
        <w:rPr>
          <w:rFonts w:cstheme="majorBidi"/>
          <w:b/>
          <w:i/>
          <w:szCs w:val="24"/>
          <w:u w:val="single"/>
          <w:lang w:val="en-GB"/>
        </w:rPr>
        <w:t>Mandatory</w:t>
      </w:r>
      <w:r w:rsidRPr="003569BE">
        <w:rPr>
          <w:rFonts w:cs="Times New Roman"/>
          <w:b/>
          <w:i/>
          <w:szCs w:val="24"/>
          <w:u w:val="single"/>
          <w:lang w:val="en-GB"/>
        </w:rPr>
        <w:t xml:space="preserve"> Audit Firm Rotation Enhance Auditor Independence? Evidence from Spain”</w:t>
      </w:r>
      <w:r w:rsidRPr="003569BE">
        <w:rPr>
          <w:rFonts w:cs="Times New Roman"/>
          <w:b/>
          <w:szCs w:val="24"/>
          <w:u w:val="single"/>
          <w:lang w:val="en-GB"/>
        </w:rPr>
        <w:t xml:space="preserve"> by Ruiz-Barbadillo et Al. (2009)</w:t>
      </w:r>
    </w:p>
    <w:p w:rsidR="00DD6661" w:rsidRPr="003569BE" w:rsidRDefault="002E4AC5" w:rsidP="001E7CB3">
      <w:pPr>
        <w:spacing w:line="360" w:lineRule="auto"/>
        <w:rPr>
          <w:rFonts w:cs="Times New Roman"/>
          <w:szCs w:val="24"/>
          <w:lang w:val="en-GB"/>
        </w:rPr>
      </w:pPr>
      <w:r w:rsidRPr="003569BE">
        <w:rPr>
          <w:rFonts w:cs="Times New Roman"/>
          <w:szCs w:val="24"/>
          <w:lang w:val="en-GB"/>
        </w:rPr>
        <w:t xml:space="preserve">This paper investigates the economic dependence effect in a mandatory audit firm rotation setting. They test whether the </w:t>
      </w:r>
      <w:r w:rsidR="00986A43" w:rsidRPr="003569BE">
        <w:rPr>
          <w:rFonts w:cs="Times New Roman"/>
          <w:szCs w:val="24"/>
          <w:lang w:val="en-GB"/>
        </w:rPr>
        <w:t>propensity of issuing going-concern audit opinions would be higher in the mandatory rotation period, i.e. before 1995 in Spain, than in the post-mandatory rotation period, i.e. after 1995</w:t>
      </w:r>
      <w:r w:rsidR="007F06E2" w:rsidRPr="003569BE">
        <w:rPr>
          <w:rFonts w:cs="Times New Roman"/>
          <w:szCs w:val="24"/>
          <w:lang w:val="en-GB"/>
        </w:rPr>
        <w:t xml:space="preserve"> </w:t>
      </w:r>
      <w:sdt>
        <w:sdtPr>
          <w:rPr>
            <w:rFonts w:cs="Times New Roman"/>
            <w:szCs w:val="24"/>
            <w:lang w:val="en-GB"/>
          </w:rPr>
          <w:id w:val="1996069982"/>
          <w:citation/>
        </w:sdtPr>
        <w:sdtContent>
          <w:r w:rsidR="000E4BAF" w:rsidRPr="003569BE">
            <w:rPr>
              <w:rFonts w:cs="Times New Roman"/>
              <w:szCs w:val="24"/>
              <w:lang w:val="en-GB"/>
            </w:rPr>
            <w:fldChar w:fldCharType="begin"/>
          </w:r>
          <w:r w:rsidR="00E81A75" w:rsidRPr="003569BE">
            <w:rPr>
              <w:rFonts w:cs="Times New Roman"/>
              <w:szCs w:val="24"/>
              <w:lang w:val="en-GB"/>
            </w:rPr>
            <w:instrText xml:space="preserve"> CITATION Rui09 \l 1033 </w:instrText>
          </w:r>
          <w:r w:rsidR="000E4BAF" w:rsidRPr="003569BE">
            <w:rPr>
              <w:rFonts w:cs="Times New Roman"/>
              <w:szCs w:val="24"/>
              <w:lang w:val="en-GB"/>
            </w:rPr>
            <w:fldChar w:fldCharType="separate"/>
          </w:r>
          <w:r w:rsidR="008F7EB3" w:rsidRPr="003569BE">
            <w:rPr>
              <w:rFonts w:cs="Times New Roman"/>
              <w:noProof/>
              <w:szCs w:val="24"/>
              <w:lang w:val="en-GB"/>
            </w:rPr>
            <w:t>(Ruiz-Barbadillo, Gomez-Aguilar, &amp; Carrera, 2009)</w:t>
          </w:r>
          <w:r w:rsidR="000E4BAF" w:rsidRPr="003569BE">
            <w:rPr>
              <w:rFonts w:cs="Times New Roman"/>
              <w:szCs w:val="24"/>
              <w:lang w:val="en-GB"/>
            </w:rPr>
            <w:fldChar w:fldCharType="end"/>
          </w:r>
        </w:sdtContent>
      </w:sdt>
      <w:r w:rsidR="00986A43" w:rsidRPr="003569BE">
        <w:rPr>
          <w:rFonts w:cs="Times New Roman"/>
          <w:szCs w:val="24"/>
          <w:lang w:val="en-GB"/>
        </w:rPr>
        <w:t>.</w:t>
      </w:r>
    </w:p>
    <w:p w:rsidR="00A054AF" w:rsidRPr="003569BE" w:rsidRDefault="00FF6276" w:rsidP="001E7CB3">
      <w:pPr>
        <w:spacing w:line="360" w:lineRule="auto"/>
        <w:rPr>
          <w:rFonts w:cs="Times New Roman"/>
          <w:szCs w:val="24"/>
          <w:lang w:val="en-GB"/>
        </w:rPr>
      </w:pPr>
      <w:r w:rsidRPr="003569BE">
        <w:rPr>
          <w:rFonts w:cs="Times New Roman"/>
          <w:szCs w:val="24"/>
          <w:lang w:val="en-GB"/>
        </w:rPr>
        <w:lastRenderedPageBreak/>
        <w:t>Using</w:t>
      </w:r>
      <w:r w:rsidR="008F50DA" w:rsidRPr="003569BE">
        <w:rPr>
          <w:rFonts w:cs="Times New Roman"/>
          <w:szCs w:val="24"/>
          <w:lang w:val="en-GB"/>
        </w:rPr>
        <w:t xml:space="preserve"> the likelihood of issuing </w:t>
      </w:r>
      <w:r w:rsidR="00A9411A" w:rsidRPr="003569BE">
        <w:rPr>
          <w:rFonts w:cs="Times New Roman"/>
          <w:szCs w:val="24"/>
          <w:lang w:val="en-GB"/>
        </w:rPr>
        <w:t xml:space="preserve">going-concern </w:t>
      </w:r>
      <w:r w:rsidR="007A2756" w:rsidRPr="003569BE">
        <w:rPr>
          <w:rFonts w:cs="Times New Roman"/>
          <w:szCs w:val="24"/>
          <w:lang w:val="en-GB"/>
        </w:rPr>
        <w:t xml:space="preserve">opinions in the audit report as a </w:t>
      </w:r>
      <w:r w:rsidR="000E542B" w:rsidRPr="003569BE">
        <w:rPr>
          <w:rFonts w:cs="Times New Roman"/>
          <w:szCs w:val="24"/>
          <w:lang w:val="en-GB"/>
        </w:rPr>
        <w:t xml:space="preserve">proxy for auditor independence, Ruiz-Barbadillo et Al. (2009) </w:t>
      </w:r>
      <w:r w:rsidR="005C75D2" w:rsidRPr="003569BE">
        <w:rPr>
          <w:rFonts w:cs="Times New Roman"/>
          <w:szCs w:val="24"/>
          <w:lang w:val="en-GB"/>
        </w:rPr>
        <w:t>tested their hypotheses in a sample of 1.326 Spanish companies which were in</w:t>
      </w:r>
      <w:r w:rsidR="00EB4657" w:rsidRPr="003569BE">
        <w:rPr>
          <w:rFonts w:cs="Times New Roman"/>
          <w:szCs w:val="24"/>
          <w:lang w:val="en-GB"/>
        </w:rPr>
        <w:t xml:space="preserve"> a financial distress situation during the period of 1991 </w:t>
      </w:r>
      <w:r w:rsidR="00B75BDD" w:rsidRPr="003569BE">
        <w:rPr>
          <w:rFonts w:cs="Times New Roman"/>
          <w:szCs w:val="24"/>
          <w:lang w:val="en-GB"/>
        </w:rPr>
        <w:t>–</w:t>
      </w:r>
      <w:r w:rsidR="00EB4657" w:rsidRPr="003569BE">
        <w:rPr>
          <w:rFonts w:cs="Times New Roman"/>
          <w:szCs w:val="24"/>
          <w:lang w:val="en-GB"/>
        </w:rPr>
        <w:t xml:space="preserve"> 2000</w:t>
      </w:r>
      <w:r w:rsidR="00B75BDD" w:rsidRPr="003569BE">
        <w:rPr>
          <w:rFonts w:cs="Times New Roman"/>
          <w:szCs w:val="24"/>
          <w:lang w:val="en-GB"/>
        </w:rPr>
        <w:t>.</w:t>
      </w:r>
      <w:r w:rsidR="00772556" w:rsidRPr="003569BE">
        <w:rPr>
          <w:rFonts w:cs="Times New Roman"/>
          <w:szCs w:val="24"/>
          <w:lang w:val="en-GB"/>
        </w:rPr>
        <w:t xml:space="preserve"> </w:t>
      </w:r>
      <w:r w:rsidR="00A15E30" w:rsidRPr="003569BE">
        <w:rPr>
          <w:rFonts w:cs="Times New Roman"/>
          <w:szCs w:val="24"/>
          <w:lang w:val="en-GB"/>
        </w:rPr>
        <w:t xml:space="preserve">The relevance of </w:t>
      </w:r>
      <w:r w:rsidR="00772556" w:rsidRPr="003569BE">
        <w:rPr>
          <w:rFonts w:cs="Times New Roman"/>
          <w:szCs w:val="24"/>
          <w:lang w:val="en-GB"/>
        </w:rPr>
        <w:t xml:space="preserve">this paper </w:t>
      </w:r>
      <w:r w:rsidR="00A15E30" w:rsidRPr="003569BE">
        <w:rPr>
          <w:rFonts w:cs="Times New Roman"/>
          <w:szCs w:val="24"/>
          <w:lang w:val="en-GB"/>
        </w:rPr>
        <w:t xml:space="preserve">concerning this </w:t>
      </w:r>
      <w:r w:rsidR="00772556" w:rsidRPr="003569BE">
        <w:rPr>
          <w:rFonts w:cs="Times New Roman"/>
          <w:szCs w:val="24"/>
          <w:lang w:val="en-GB"/>
        </w:rPr>
        <w:t>thesis is that Spain had an active mandatory audit firm rotation rule from 1988</w:t>
      </w:r>
      <w:r w:rsidR="00E3792A" w:rsidRPr="003569BE">
        <w:rPr>
          <w:rFonts w:cs="Times New Roman"/>
          <w:szCs w:val="24"/>
          <w:lang w:val="en-GB"/>
        </w:rPr>
        <w:t xml:space="preserve"> until 1995, when companies were required to rotate their auditors every nine years.</w:t>
      </w:r>
      <w:r w:rsidR="00E47298" w:rsidRPr="003569BE">
        <w:rPr>
          <w:rFonts w:cs="Times New Roman"/>
          <w:szCs w:val="24"/>
          <w:lang w:val="en-GB"/>
        </w:rPr>
        <w:t xml:space="preserve"> </w:t>
      </w:r>
      <w:r w:rsidR="00A15E30" w:rsidRPr="003569BE">
        <w:rPr>
          <w:rFonts w:cs="Times New Roman"/>
          <w:szCs w:val="24"/>
          <w:lang w:val="en-GB"/>
        </w:rPr>
        <w:t xml:space="preserve">Based on the </w:t>
      </w:r>
      <w:r w:rsidR="00E47298" w:rsidRPr="003569BE">
        <w:rPr>
          <w:rFonts w:cs="Times New Roman"/>
          <w:szCs w:val="24"/>
          <w:lang w:val="en-GB"/>
        </w:rPr>
        <w:t xml:space="preserve">fact that the rule was cancelled after seven years, </w:t>
      </w:r>
      <w:r w:rsidR="0050057A" w:rsidRPr="003569BE">
        <w:rPr>
          <w:rFonts w:cs="Times New Roman"/>
          <w:szCs w:val="24"/>
          <w:lang w:val="en-GB"/>
        </w:rPr>
        <w:t>the rotation was never enforced</w:t>
      </w:r>
      <w:r w:rsidR="00D343DF" w:rsidRPr="003569BE">
        <w:rPr>
          <w:rFonts w:cs="Times New Roman"/>
          <w:szCs w:val="24"/>
          <w:lang w:val="en-GB"/>
        </w:rPr>
        <w:t xml:space="preserve">. However, during this period </w:t>
      </w:r>
      <w:r w:rsidR="00A15E30" w:rsidRPr="003569BE">
        <w:rPr>
          <w:rFonts w:cs="Times New Roman"/>
          <w:szCs w:val="24"/>
          <w:lang w:val="en-GB"/>
        </w:rPr>
        <w:t xml:space="preserve">in Spain </w:t>
      </w:r>
      <w:r w:rsidR="00D343DF" w:rsidRPr="003569BE">
        <w:rPr>
          <w:rFonts w:cs="Times New Roman"/>
          <w:szCs w:val="24"/>
          <w:lang w:val="en-GB"/>
        </w:rPr>
        <w:t xml:space="preserve">a real MAFR setting </w:t>
      </w:r>
      <w:r w:rsidR="00A15E30" w:rsidRPr="003569BE">
        <w:rPr>
          <w:rFonts w:cs="Times New Roman"/>
          <w:szCs w:val="24"/>
          <w:lang w:val="en-GB"/>
        </w:rPr>
        <w:t>exists</w:t>
      </w:r>
      <w:r w:rsidR="00D343DF" w:rsidRPr="003569BE">
        <w:rPr>
          <w:rFonts w:cs="Times New Roman"/>
          <w:szCs w:val="24"/>
          <w:lang w:val="en-GB"/>
        </w:rPr>
        <w:t>, which should reflect in the auditors’ behaviour</w:t>
      </w:r>
      <w:r w:rsidR="005F4920" w:rsidRPr="003569BE">
        <w:rPr>
          <w:rFonts w:cs="Times New Roman"/>
          <w:szCs w:val="24"/>
          <w:lang w:val="en-GB"/>
        </w:rPr>
        <w:t xml:space="preserve">. </w:t>
      </w:r>
      <w:r w:rsidR="00C30899" w:rsidRPr="003569BE">
        <w:rPr>
          <w:rFonts w:cs="Times New Roman"/>
          <w:szCs w:val="24"/>
          <w:lang w:val="en-GB"/>
        </w:rPr>
        <w:t>In order to assess the effect of the mandatory rotation on the auditors’ behaviour, Ruiz-Barbadillo et Al. (2009) have divided the sample in two periods: a mandatory rotation period, i.e. 1991-1994, and a post-mandatory rotation period, i.e. 1995-2000.</w:t>
      </w:r>
      <w:r w:rsidR="00C35317" w:rsidRPr="003569BE">
        <w:rPr>
          <w:rFonts w:cs="Times New Roman"/>
          <w:szCs w:val="24"/>
          <w:lang w:val="en-GB"/>
        </w:rPr>
        <w:t xml:space="preserve"> </w:t>
      </w:r>
    </w:p>
    <w:p w:rsidR="00E43686" w:rsidRPr="003569BE" w:rsidRDefault="00C35317" w:rsidP="001E7CB3">
      <w:pPr>
        <w:spacing w:line="360" w:lineRule="auto"/>
        <w:rPr>
          <w:rFonts w:cs="Times New Roman"/>
          <w:szCs w:val="24"/>
          <w:lang w:val="en-GB"/>
        </w:rPr>
      </w:pPr>
      <w:r w:rsidRPr="003569BE">
        <w:rPr>
          <w:rFonts w:cs="Times New Roman"/>
          <w:szCs w:val="24"/>
          <w:lang w:val="en-GB"/>
        </w:rPr>
        <w:t xml:space="preserve">Their findings suggest that no significant evidence </w:t>
      </w:r>
      <w:r w:rsidR="00A15E30" w:rsidRPr="003569BE">
        <w:rPr>
          <w:rFonts w:cs="Times New Roman"/>
          <w:szCs w:val="24"/>
          <w:lang w:val="en-GB"/>
        </w:rPr>
        <w:t xml:space="preserve">exists </w:t>
      </w:r>
      <w:r w:rsidR="00EA6513" w:rsidRPr="003569BE">
        <w:rPr>
          <w:rFonts w:cs="Times New Roman"/>
          <w:szCs w:val="24"/>
          <w:lang w:val="en-GB"/>
        </w:rPr>
        <w:t>to support their hypotheses. That is, no eloquent evidence for the association between the economic dependence and the probability of issuing a going-concern audit report in either the settings used in the testing: mandatory or non-mandatory rotation periods</w:t>
      </w:r>
      <w:r w:rsidR="009D3583" w:rsidRPr="003569BE">
        <w:rPr>
          <w:rFonts w:cs="Times New Roman"/>
          <w:szCs w:val="24"/>
          <w:lang w:val="en-GB"/>
        </w:rPr>
        <w:t xml:space="preserve"> </w:t>
      </w:r>
      <w:sdt>
        <w:sdtPr>
          <w:rPr>
            <w:rFonts w:cs="Times New Roman"/>
            <w:szCs w:val="24"/>
            <w:lang w:val="en-GB"/>
          </w:rPr>
          <w:id w:val="1324313020"/>
          <w:citation/>
        </w:sdtPr>
        <w:sdtContent>
          <w:r w:rsidR="000E4BAF" w:rsidRPr="003569BE">
            <w:rPr>
              <w:rFonts w:cs="Times New Roman"/>
              <w:szCs w:val="24"/>
              <w:lang w:val="en-GB"/>
            </w:rPr>
            <w:fldChar w:fldCharType="begin"/>
          </w:r>
          <w:r w:rsidR="009D3583" w:rsidRPr="003569BE">
            <w:rPr>
              <w:rFonts w:cs="Times New Roman"/>
              <w:szCs w:val="24"/>
              <w:lang w:val="en-GB"/>
            </w:rPr>
            <w:instrText xml:space="preserve"> CITATION Rui09 \l 1033 </w:instrText>
          </w:r>
          <w:r w:rsidR="000E4BAF" w:rsidRPr="003569BE">
            <w:rPr>
              <w:rFonts w:cs="Times New Roman"/>
              <w:szCs w:val="24"/>
              <w:lang w:val="en-GB"/>
            </w:rPr>
            <w:fldChar w:fldCharType="separate"/>
          </w:r>
          <w:r w:rsidR="008F7EB3" w:rsidRPr="003569BE">
            <w:rPr>
              <w:rFonts w:cs="Times New Roman"/>
              <w:noProof/>
              <w:szCs w:val="24"/>
              <w:lang w:val="en-GB"/>
            </w:rPr>
            <w:t>(Ruiz-Barbadillo, Gomez-Aguilar, &amp; Carrera, 2009)</w:t>
          </w:r>
          <w:r w:rsidR="000E4BAF" w:rsidRPr="003569BE">
            <w:rPr>
              <w:rFonts w:cs="Times New Roman"/>
              <w:szCs w:val="24"/>
              <w:lang w:val="en-GB"/>
            </w:rPr>
            <w:fldChar w:fldCharType="end"/>
          </w:r>
        </w:sdtContent>
      </w:sdt>
      <w:r w:rsidR="00EA6513" w:rsidRPr="003569BE">
        <w:rPr>
          <w:rFonts w:cs="Times New Roman"/>
          <w:szCs w:val="24"/>
          <w:lang w:val="en-GB"/>
        </w:rPr>
        <w:t>.</w:t>
      </w:r>
      <w:r w:rsidR="0060000D" w:rsidRPr="003569BE">
        <w:rPr>
          <w:rFonts w:cs="Times New Roman"/>
          <w:szCs w:val="24"/>
          <w:lang w:val="en-GB"/>
        </w:rPr>
        <w:t xml:space="preserve"> </w:t>
      </w:r>
      <w:r w:rsidR="00037B64" w:rsidRPr="003569BE">
        <w:rPr>
          <w:rFonts w:cs="Times New Roman"/>
          <w:szCs w:val="24"/>
          <w:lang w:val="en-GB"/>
        </w:rPr>
        <w:t>On the other hand, they found evidence for a strong positive effect that auditors’ incentives to maintain their reputation have on the probability of issuing going-concern opinions in the post-mandatory rotation period</w:t>
      </w:r>
      <w:r w:rsidR="009F679F" w:rsidRPr="003569BE">
        <w:rPr>
          <w:rFonts w:cs="Times New Roman"/>
          <w:szCs w:val="24"/>
          <w:lang w:val="en-GB"/>
        </w:rPr>
        <w:t xml:space="preserve"> </w:t>
      </w:r>
      <w:sdt>
        <w:sdtPr>
          <w:rPr>
            <w:rFonts w:cs="Times New Roman"/>
            <w:szCs w:val="24"/>
            <w:lang w:val="en-GB"/>
          </w:rPr>
          <w:id w:val="-1336449778"/>
          <w:citation/>
        </w:sdtPr>
        <w:sdtContent>
          <w:r w:rsidR="000E4BAF" w:rsidRPr="003569BE">
            <w:rPr>
              <w:rFonts w:cs="Times New Roman"/>
              <w:szCs w:val="24"/>
              <w:lang w:val="en-GB"/>
            </w:rPr>
            <w:fldChar w:fldCharType="begin"/>
          </w:r>
          <w:r w:rsidR="009F679F" w:rsidRPr="003569BE">
            <w:rPr>
              <w:rFonts w:cs="Times New Roman"/>
              <w:szCs w:val="24"/>
              <w:lang w:val="en-GB"/>
            </w:rPr>
            <w:instrText xml:space="preserve"> CITATION Rui09 \l 1033 </w:instrText>
          </w:r>
          <w:r w:rsidR="000E4BAF" w:rsidRPr="003569BE">
            <w:rPr>
              <w:rFonts w:cs="Times New Roman"/>
              <w:szCs w:val="24"/>
              <w:lang w:val="en-GB"/>
            </w:rPr>
            <w:fldChar w:fldCharType="separate"/>
          </w:r>
          <w:r w:rsidR="008F7EB3" w:rsidRPr="003569BE">
            <w:rPr>
              <w:rFonts w:cs="Times New Roman"/>
              <w:noProof/>
              <w:szCs w:val="24"/>
              <w:lang w:val="en-GB"/>
            </w:rPr>
            <w:t>(Ruiz-Barbadillo, Gomez-Aguilar, &amp; Carrera, 2009)</w:t>
          </w:r>
          <w:r w:rsidR="000E4BAF" w:rsidRPr="003569BE">
            <w:rPr>
              <w:rFonts w:cs="Times New Roman"/>
              <w:szCs w:val="24"/>
              <w:lang w:val="en-GB"/>
            </w:rPr>
            <w:fldChar w:fldCharType="end"/>
          </w:r>
        </w:sdtContent>
      </w:sdt>
      <w:r w:rsidR="00037B64" w:rsidRPr="003569BE">
        <w:rPr>
          <w:rFonts w:cs="Times New Roman"/>
          <w:szCs w:val="24"/>
          <w:lang w:val="en-GB"/>
        </w:rPr>
        <w:t>.</w:t>
      </w:r>
      <w:r w:rsidR="00E43686" w:rsidRPr="003569BE">
        <w:rPr>
          <w:rFonts w:cs="Times New Roman"/>
          <w:szCs w:val="24"/>
          <w:lang w:val="en-GB"/>
        </w:rPr>
        <w:t xml:space="preserve"> </w:t>
      </w:r>
      <w:r w:rsidR="00A15E30" w:rsidRPr="003569BE">
        <w:rPr>
          <w:rFonts w:cs="Times New Roman"/>
          <w:szCs w:val="24"/>
          <w:lang w:val="en-GB"/>
        </w:rPr>
        <w:t>H</w:t>
      </w:r>
      <w:r w:rsidR="00E43686" w:rsidRPr="003569BE">
        <w:rPr>
          <w:rFonts w:cs="Times New Roman"/>
          <w:szCs w:val="24"/>
          <w:lang w:val="en-GB"/>
        </w:rPr>
        <w:t>owever,</w:t>
      </w:r>
      <w:r w:rsidR="00781E4C" w:rsidRPr="003569BE">
        <w:rPr>
          <w:rFonts w:cs="Times New Roman"/>
          <w:szCs w:val="24"/>
          <w:lang w:val="en-GB"/>
        </w:rPr>
        <w:t xml:space="preserve"> some limitations </w:t>
      </w:r>
      <w:r w:rsidR="00A15E30" w:rsidRPr="003569BE">
        <w:rPr>
          <w:rFonts w:cs="Times New Roman"/>
          <w:szCs w:val="24"/>
          <w:lang w:val="en-GB"/>
        </w:rPr>
        <w:t xml:space="preserve">in </w:t>
      </w:r>
      <w:r w:rsidR="00781E4C" w:rsidRPr="003569BE">
        <w:rPr>
          <w:rFonts w:cs="Times New Roman"/>
          <w:szCs w:val="24"/>
          <w:lang w:val="en-GB"/>
        </w:rPr>
        <w:t>this study</w:t>
      </w:r>
      <w:r w:rsidR="00A15E30" w:rsidRPr="003569BE">
        <w:rPr>
          <w:rFonts w:cs="Times New Roman"/>
          <w:szCs w:val="24"/>
          <w:lang w:val="en-GB"/>
        </w:rPr>
        <w:t xml:space="preserve"> exist</w:t>
      </w:r>
      <w:r w:rsidR="00781E4C" w:rsidRPr="003569BE">
        <w:rPr>
          <w:rFonts w:cs="Times New Roman"/>
          <w:szCs w:val="24"/>
          <w:lang w:val="en-GB"/>
        </w:rPr>
        <w:t>, concerning the measures used to test the hypothesis and the Spanish particular setting.</w:t>
      </w:r>
    </w:p>
    <w:p w:rsidR="00C25983" w:rsidRPr="003569BE" w:rsidRDefault="009C56DE" w:rsidP="001E7CB3">
      <w:pPr>
        <w:spacing w:line="360" w:lineRule="auto"/>
        <w:rPr>
          <w:rFonts w:cs="Times New Roman"/>
          <w:szCs w:val="24"/>
          <w:lang w:val="en-GB"/>
        </w:rPr>
      </w:pPr>
      <w:r w:rsidRPr="003569BE">
        <w:rPr>
          <w:rFonts w:cs="Times New Roman"/>
          <w:szCs w:val="24"/>
          <w:lang w:val="en-GB"/>
        </w:rPr>
        <w:t>To conclude</w:t>
      </w:r>
      <w:r w:rsidR="00CF56A7" w:rsidRPr="003569BE">
        <w:rPr>
          <w:rFonts w:cs="Times New Roman"/>
          <w:szCs w:val="24"/>
          <w:lang w:val="en-GB"/>
        </w:rPr>
        <w:t xml:space="preserve">, the findings of Ruiz-Barbadillo et Al. (2009) </w:t>
      </w:r>
      <w:r w:rsidR="004372F7" w:rsidRPr="003569BE">
        <w:rPr>
          <w:rFonts w:cs="Times New Roman"/>
          <w:szCs w:val="24"/>
          <w:lang w:val="en-GB"/>
        </w:rPr>
        <w:t xml:space="preserve">support, to a certain extent, the claims of the opponents of the mandatory audit firm rotation as a measure for improving </w:t>
      </w:r>
      <w:r w:rsidR="00A15E30" w:rsidRPr="003569BE">
        <w:rPr>
          <w:rFonts w:cs="Times New Roman"/>
          <w:szCs w:val="24"/>
          <w:lang w:val="en-GB"/>
        </w:rPr>
        <w:t xml:space="preserve">the </w:t>
      </w:r>
      <w:r w:rsidR="004372F7" w:rsidRPr="003569BE">
        <w:rPr>
          <w:rFonts w:cs="Times New Roman"/>
          <w:szCs w:val="24"/>
          <w:lang w:val="en-GB"/>
        </w:rPr>
        <w:t>auditors’ independence.</w:t>
      </w:r>
    </w:p>
    <w:p w:rsidR="00735363" w:rsidRPr="003569BE" w:rsidRDefault="00735363" w:rsidP="00C43A42">
      <w:pPr>
        <w:pStyle w:val="Heading2"/>
        <w:numPr>
          <w:ilvl w:val="1"/>
          <w:numId w:val="6"/>
        </w:numPr>
        <w:spacing w:line="360" w:lineRule="auto"/>
        <w:rPr>
          <w:rFonts w:cs="Times New Roman"/>
          <w:sz w:val="24"/>
          <w:szCs w:val="24"/>
          <w:lang w:val="en-GB"/>
        </w:rPr>
      </w:pPr>
      <w:bookmarkStart w:id="35" w:name="_Toc396633567"/>
      <w:r w:rsidRPr="003569BE">
        <w:rPr>
          <w:rFonts w:cs="Times New Roman"/>
          <w:sz w:val="24"/>
          <w:szCs w:val="24"/>
          <w:lang w:val="en-GB"/>
        </w:rPr>
        <w:t xml:space="preserve">The relationship </w:t>
      </w:r>
      <w:r w:rsidRPr="003569BE">
        <w:rPr>
          <w:lang w:val="en-GB"/>
        </w:rPr>
        <w:t>between</w:t>
      </w:r>
      <w:r w:rsidRPr="003569BE">
        <w:rPr>
          <w:rFonts w:cs="Times New Roman"/>
          <w:sz w:val="24"/>
          <w:szCs w:val="24"/>
          <w:lang w:val="en-GB"/>
        </w:rPr>
        <w:t xml:space="preserve"> </w:t>
      </w:r>
      <w:r w:rsidR="00FE1D58" w:rsidRPr="003569BE">
        <w:rPr>
          <w:rFonts w:cs="Times New Roman"/>
          <w:sz w:val="24"/>
          <w:szCs w:val="24"/>
          <w:lang w:val="en-GB"/>
        </w:rPr>
        <w:t>MAFR</w:t>
      </w:r>
      <w:r w:rsidRPr="003569BE">
        <w:rPr>
          <w:rFonts w:cs="Times New Roman"/>
          <w:sz w:val="24"/>
          <w:szCs w:val="24"/>
          <w:lang w:val="en-GB"/>
        </w:rPr>
        <w:t xml:space="preserve"> and the use of</w:t>
      </w:r>
      <w:r w:rsidR="00F23FD7" w:rsidRPr="003569BE">
        <w:rPr>
          <w:rFonts w:cs="Times New Roman"/>
          <w:sz w:val="24"/>
          <w:szCs w:val="24"/>
          <w:lang w:val="en-GB"/>
        </w:rPr>
        <w:t xml:space="preserve"> earnings management analysed in two steps:</w:t>
      </w:r>
      <w:r w:rsidR="00124707" w:rsidRPr="003569BE">
        <w:rPr>
          <w:rFonts w:cs="Times New Roman"/>
          <w:sz w:val="24"/>
          <w:szCs w:val="24"/>
          <w:lang w:val="en-GB"/>
        </w:rPr>
        <w:t xml:space="preserve"> (1)</w:t>
      </w:r>
      <w:r w:rsidR="00F23FD7" w:rsidRPr="003569BE">
        <w:rPr>
          <w:rFonts w:cs="Times New Roman"/>
          <w:sz w:val="24"/>
          <w:szCs w:val="24"/>
          <w:lang w:val="en-GB"/>
        </w:rPr>
        <w:t xml:space="preserve"> </w:t>
      </w:r>
      <w:r w:rsidR="00124707" w:rsidRPr="003569BE">
        <w:rPr>
          <w:rFonts w:cs="Times New Roman"/>
          <w:sz w:val="24"/>
          <w:szCs w:val="24"/>
          <w:lang w:val="en-GB"/>
        </w:rPr>
        <w:t xml:space="preserve">the effect of MAFR on </w:t>
      </w:r>
      <w:r w:rsidR="00A15E30" w:rsidRPr="003569BE">
        <w:rPr>
          <w:rFonts w:cs="Times New Roman"/>
          <w:sz w:val="24"/>
          <w:szCs w:val="24"/>
          <w:lang w:val="en-GB"/>
        </w:rPr>
        <w:t xml:space="preserve">the </w:t>
      </w:r>
      <w:r w:rsidR="00124707" w:rsidRPr="003569BE">
        <w:rPr>
          <w:rFonts w:cs="Times New Roman"/>
          <w:sz w:val="24"/>
          <w:szCs w:val="24"/>
          <w:lang w:val="en-GB"/>
        </w:rPr>
        <w:t xml:space="preserve">audit quality and (2) the effect of </w:t>
      </w:r>
      <w:r w:rsidR="00A15E30" w:rsidRPr="003569BE">
        <w:rPr>
          <w:rFonts w:cs="Times New Roman"/>
          <w:sz w:val="24"/>
          <w:szCs w:val="24"/>
          <w:lang w:val="en-GB"/>
        </w:rPr>
        <w:t xml:space="preserve">the </w:t>
      </w:r>
      <w:r w:rsidR="00124707" w:rsidRPr="003569BE">
        <w:rPr>
          <w:rFonts w:cs="Times New Roman"/>
          <w:sz w:val="24"/>
          <w:szCs w:val="24"/>
          <w:lang w:val="en-GB"/>
        </w:rPr>
        <w:t xml:space="preserve">audit quality on </w:t>
      </w:r>
      <w:r w:rsidR="00A15E30" w:rsidRPr="003569BE">
        <w:rPr>
          <w:rFonts w:cs="Times New Roman"/>
          <w:sz w:val="24"/>
          <w:szCs w:val="24"/>
          <w:lang w:val="en-GB"/>
        </w:rPr>
        <w:t xml:space="preserve">the use of </w:t>
      </w:r>
      <w:r w:rsidR="00124707" w:rsidRPr="003569BE">
        <w:rPr>
          <w:rFonts w:cs="Times New Roman"/>
          <w:sz w:val="24"/>
          <w:szCs w:val="24"/>
          <w:lang w:val="en-GB"/>
        </w:rPr>
        <w:t>earnings management</w:t>
      </w:r>
      <w:bookmarkEnd w:id="35"/>
    </w:p>
    <w:p w:rsidR="003C5CCA" w:rsidRPr="003569BE" w:rsidRDefault="003C5CCA" w:rsidP="003C5CCA">
      <w:pPr>
        <w:spacing w:line="360" w:lineRule="auto"/>
        <w:rPr>
          <w:rFonts w:cs="Times New Roman"/>
          <w:szCs w:val="24"/>
          <w:lang w:val="en-GB"/>
        </w:rPr>
      </w:pPr>
      <w:r w:rsidRPr="003569BE">
        <w:rPr>
          <w:rFonts w:cs="Times New Roman"/>
          <w:szCs w:val="24"/>
          <w:lang w:val="en-GB"/>
        </w:rPr>
        <w:t xml:space="preserve">In this section, three papers will be used to </w:t>
      </w:r>
      <w:r w:rsidR="004B628F" w:rsidRPr="003569BE">
        <w:rPr>
          <w:rFonts w:cs="Times New Roman"/>
          <w:szCs w:val="24"/>
          <w:lang w:val="en-GB"/>
        </w:rPr>
        <w:t xml:space="preserve">reach a preliminary conclusion regarding some aspects of the relationship between MAFR and the use of earnings management. In the first step, two papers which studied the effect of MAFR on </w:t>
      </w:r>
      <w:r w:rsidR="00A15E30" w:rsidRPr="003569BE">
        <w:rPr>
          <w:rFonts w:cs="Times New Roman"/>
          <w:szCs w:val="24"/>
          <w:lang w:val="en-GB"/>
        </w:rPr>
        <w:t xml:space="preserve">the </w:t>
      </w:r>
      <w:r w:rsidR="004B628F" w:rsidRPr="003569BE">
        <w:rPr>
          <w:rFonts w:cs="Times New Roman"/>
          <w:szCs w:val="24"/>
          <w:lang w:val="en-GB"/>
        </w:rPr>
        <w:t>audit quality will be presented:</w:t>
      </w:r>
      <w:r w:rsidR="005C2130" w:rsidRPr="003569BE">
        <w:rPr>
          <w:rFonts w:cs="Times New Roman"/>
          <w:szCs w:val="24"/>
          <w:lang w:val="en-GB"/>
        </w:rPr>
        <w:t xml:space="preserve"> </w:t>
      </w:r>
      <w:r w:rsidR="004B628F" w:rsidRPr="003569BE">
        <w:rPr>
          <w:rFonts w:cs="Times New Roman"/>
          <w:szCs w:val="24"/>
          <w:lang w:val="en-GB"/>
        </w:rPr>
        <w:t>one testing a sample from</w:t>
      </w:r>
      <w:r w:rsidR="00D20300" w:rsidRPr="003569BE">
        <w:rPr>
          <w:rFonts w:cs="Times New Roman"/>
          <w:szCs w:val="24"/>
          <w:lang w:val="en-GB"/>
        </w:rPr>
        <w:t xml:space="preserve"> Australia, a non-MAFR setting</w:t>
      </w:r>
      <w:r w:rsidR="004B628F" w:rsidRPr="003569BE">
        <w:rPr>
          <w:rFonts w:cs="Times New Roman"/>
          <w:szCs w:val="24"/>
          <w:lang w:val="en-GB"/>
        </w:rPr>
        <w:t>, and one testing a sample from</w:t>
      </w:r>
      <w:r w:rsidR="00D20300" w:rsidRPr="003569BE">
        <w:rPr>
          <w:rFonts w:cs="Times New Roman"/>
          <w:szCs w:val="24"/>
          <w:lang w:val="en-GB"/>
        </w:rPr>
        <w:t xml:space="preserve"> Italy, a real MAFR setting.</w:t>
      </w:r>
      <w:r w:rsidR="002E11B8" w:rsidRPr="003569BE">
        <w:rPr>
          <w:rFonts w:cs="Times New Roman"/>
          <w:szCs w:val="24"/>
          <w:lang w:val="en-GB"/>
        </w:rPr>
        <w:t xml:space="preserve"> In the second step</w:t>
      </w:r>
      <w:r w:rsidR="007E23EB" w:rsidRPr="003569BE">
        <w:rPr>
          <w:rFonts w:cs="Times New Roman"/>
          <w:szCs w:val="24"/>
          <w:lang w:val="en-GB"/>
        </w:rPr>
        <w:t>,</w:t>
      </w:r>
      <w:r w:rsidR="002E11B8" w:rsidRPr="003569BE">
        <w:rPr>
          <w:rFonts w:cs="Times New Roman"/>
          <w:szCs w:val="24"/>
          <w:lang w:val="en-GB"/>
        </w:rPr>
        <w:t xml:space="preserve"> the paper of Becker et Al. (1998), who studied the relationship between </w:t>
      </w:r>
      <w:r w:rsidR="00A15E30" w:rsidRPr="003569BE">
        <w:rPr>
          <w:rFonts w:cs="Times New Roman"/>
          <w:szCs w:val="24"/>
          <w:lang w:val="en-GB"/>
        </w:rPr>
        <w:t xml:space="preserve">the </w:t>
      </w:r>
      <w:r w:rsidR="002E11B8" w:rsidRPr="003569BE">
        <w:rPr>
          <w:rFonts w:cs="Times New Roman"/>
          <w:szCs w:val="24"/>
          <w:lang w:val="en-GB"/>
        </w:rPr>
        <w:t xml:space="preserve">audit quality and </w:t>
      </w:r>
      <w:r w:rsidR="00A15E30" w:rsidRPr="003569BE">
        <w:rPr>
          <w:rFonts w:cs="Times New Roman"/>
          <w:szCs w:val="24"/>
          <w:lang w:val="en-GB"/>
        </w:rPr>
        <w:t xml:space="preserve">the use of </w:t>
      </w:r>
      <w:r w:rsidR="002E11B8" w:rsidRPr="003569BE">
        <w:rPr>
          <w:rFonts w:cs="Times New Roman"/>
          <w:szCs w:val="24"/>
          <w:lang w:val="en-GB"/>
        </w:rPr>
        <w:t>earnings management</w:t>
      </w:r>
      <w:r w:rsidR="007E23EB" w:rsidRPr="003569BE">
        <w:rPr>
          <w:rFonts w:cs="Times New Roman"/>
          <w:szCs w:val="24"/>
          <w:lang w:val="en-GB"/>
        </w:rPr>
        <w:t>,</w:t>
      </w:r>
      <w:r w:rsidR="006B7B80" w:rsidRPr="003569BE">
        <w:rPr>
          <w:rFonts w:cs="Times New Roman"/>
          <w:szCs w:val="24"/>
          <w:lang w:val="en-GB"/>
        </w:rPr>
        <w:t xml:space="preserve"> will be presented</w:t>
      </w:r>
      <w:r w:rsidR="002E11B8" w:rsidRPr="003569BE">
        <w:rPr>
          <w:rFonts w:cs="Times New Roman"/>
          <w:szCs w:val="24"/>
          <w:lang w:val="en-GB"/>
        </w:rPr>
        <w:t>.</w:t>
      </w:r>
    </w:p>
    <w:p w:rsidR="00771392" w:rsidRPr="003569BE" w:rsidRDefault="00CB09B7" w:rsidP="0046173B">
      <w:pPr>
        <w:pStyle w:val="Heading2"/>
        <w:numPr>
          <w:ilvl w:val="2"/>
          <w:numId w:val="6"/>
        </w:numPr>
        <w:spacing w:line="360" w:lineRule="auto"/>
        <w:rPr>
          <w:rFonts w:cs="Times New Roman"/>
          <w:sz w:val="24"/>
          <w:szCs w:val="24"/>
          <w:lang w:val="en-GB"/>
        </w:rPr>
      </w:pPr>
      <w:bookmarkStart w:id="36" w:name="_Toc396633568"/>
      <w:r w:rsidRPr="003569BE">
        <w:rPr>
          <w:rFonts w:cs="Times New Roman"/>
          <w:sz w:val="24"/>
          <w:szCs w:val="24"/>
          <w:lang w:val="en-GB"/>
        </w:rPr>
        <w:lastRenderedPageBreak/>
        <w:t xml:space="preserve">The effect of MAFR on </w:t>
      </w:r>
      <w:r w:rsidR="00A15E30" w:rsidRPr="003569BE">
        <w:rPr>
          <w:rFonts w:cs="Times New Roman"/>
          <w:sz w:val="24"/>
          <w:szCs w:val="24"/>
          <w:lang w:val="en-GB"/>
        </w:rPr>
        <w:t xml:space="preserve">the </w:t>
      </w:r>
      <w:r w:rsidRPr="003569BE">
        <w:rPr>
          <w:rFonts w:cs="Times New Roman"/>
          <w:sz w:val="24"/>
          <w:szCs w:val="24"/>
          <w:lang w:val="en-GB"/>
        </w:rPr>
        <w:t>audit quality</w:t>
      </w:r>
      <w:bookmarkEnd w:id="36"/>
    </w:p>
    <w:p w:rsidR="00B02420" w:rsidRPr="003569BE" w:rsidRDefault="00676687" w:rsidP="00B02420">
      <w:pPr>
        <w:spacing w:line="360" w:lineRule="auto"/>
        <w:rPr>
          <w:rFonts w:cs="Times New Roman"/>
          <w:b/>
          <w:szCs w:val="24"/>
          <w:u w:val="single"/>
          <w:lang w:val="en-GB"/>
        </w:rPr>
      </w:pPr>
      <w:r w:rsidRPr="003569BE">
        <w:rPr>
          <w:rFonts w:cs="Times New Roman"/>
          <w:b/>
          <w:i/>
          <w:szCs w:val="24"/>
          <w:u w:val="single"/>
          <w:lang w:val="en-GB"/>
        </w:rPr>
        <w:t>“</w:t>
      </w:r>
      <w:r w:rsidR="00B02420" w:rsidRPr="003569BE">
        <w:rPr>
          <w:rFonts w:cs="Times New Roman"/>
          <w:b/>
          <w:i/>
          <w:szCs w:val="24"/>
          <w:u w:val="single"/>
          <w:lang w:val="en-GB"/>
        </w:rPr>
        <w:t xml:space="preserve">Mandatory </w:t>
      </w:r>
      <w:r w:rsidRPr="003569BE">
        <w:rPr>
          <w:rFonts w:cs="Times New Roman"/>
          <w:b/>
          <w:i/>
          <w:szCs w:val="24"/>
          <w:u w:val="single"/>
          <w:lang w:val="en-GB"/>
        </w:rPr>
        <w:t>A</w:t>
      </w:r>
      <w:r w:rsidR="00B02420" w:rsidRPr="003569BE">
        <w:rPr>
          <w:rFonts w:cs="Times New Roman"/>
          <w:b/>
          <w:i/>
          <w:szCs w:val="24"/>
          <w:u w:val="single"/>
          <w:lang w:val="en-GB"/>
        </w:rPr>
        <w:t xml:space="preserve">udit </w:t>
      </w:r>
      <w:r w:rsidRPr="003569BE">
        <w:rPr>
          <w:rFonts w:cs="Times New Roman"/>
          <w:b/>
          <w:i/>
          <w:szCs w:val="24"/>
          <w:u w:val="single"/>
          <w:lang w:val="en-GB"/>
        </w:rPr>
        <w:t>F</w:t>
      </w:r>
      <w:r w:rsidR="00B02420" w:rsidRPr="003569BE">
        <w:rPr>
          <w:rFonts w:cs="Times New Roman"/>
          <w:b/>
          <w:i/>
          <w:szCs w:val="24"/>
          <w:u w:val="single"/>
          <w:lang w:val="en-GB"/>
        </w:rPr>
        <w:t xml:space="preserve">irm </w:t>
      </w:r>
      <w:r w:rsidRPr="003569BE">
        <w:rPr>
          <w:rFonts w:cs="Times New Roman"/>
          <w:b/>
          <w:i/>
          <w:szCs w:val="24"/>
          <w:u w:val="single"/>
          <w:lang w:val="en-GB"/>
        </w:rPr>
        <w:t>R</w:t>
      </w:r>
      <w:r w:rsidR="00B02420" w:rsidRPr="003569BE">
        <w:rPr>
          <w:rFonts w:cs="Times New Roman"/>
          <w:b/>
          <w:i/>
          <w:szCs w:val="24"/>
          <w:u w:val="single"/>
          <w:lang w:val="en-GB"/>
        </w:rPr>
        <w:t xml:space="preserve">otation and </w:t>
      </w:r>
      <w:r w:rsidRPr="003569BE">
        <w:rPr>
          <w:rFonts w:cs="Times New Roman"/>
          <w:b/>
          <w:i/>
          <w:szCs w:val="24"/>
          <w:u w:val="single"/>
          <w:lang w:val="en-GB"/>
        </w:rPr>
        <w:t>A</w:t>
      </w:r>
      <w:r w:rsidR="00B02420" w:rsidRPr="003569BE">
        <w:rPr>
          <w:rFonts w:cs="Times New Roman"/>
          <w:b/>
          <w:i/>
          <w:szCs w:val="24"/>
          <w:u w:val="single"/>
          <w:lang w:val="en-GB"/>
        </w:rPr>
        <w:t xml:space="preserve">udit </w:t>
      </w:r>
      <w:r w:rsidRPr="003569BE">
        <w:rPr>
          <w:rFonts w:cs="Times New Roman"/>
          <w:b/>
          <w:i/>
          <w:szCs w:val="24"/>
          <w:u w:val="single"/>
          <w:lang w:val="en-GB"/>
        </w:rPr>
        <w:t>Q</w:t>
      </w:r>
      <w:r w:rsidR="00B02420" w:rsidRPr="003569BE">
        <w:rPr>
          <w:rFonts w:cs="Times New Roman"/>
          <w:b/>
          <w:i/>
          <w:szCs w:val="24"/>
          <w:u w:val="single"/>
          <w:lang w:val="en-GB"/>
        </w:rPr>
        <w:t>uality</w:t>
      </w:r>
      <w:r w:rsidRPr="003569BE">
        <w:rPr>
          <w:rFonts w:cs="Times New Roman"/>
          <w:b/>
          <w:i/>
          <w:szCs w:val="24"/>
          <w:u w:val="single"/>
          <w:lang w:val="en-GB"/>
        </w:rPr>
        <w:t>”</w:t>
      </w:r>
      <w:r w:rsidRPr="003569BE">
        <w:rPr>
          <w:rFonts w:cs="Times New Roman"/>
          <w:b/>
          <w:szCs w:val="24"/>
          <w:u w:val="single"/>
          <w:lang w:val="en-GB"/>
        </w:rPr>
        <w:t xml:space="preserve"> by Jackson et Al. (2008)</w:t>
      </w:r>
    </w:p>
    <w:p w:rsidR="00C24409" w:rsidRPr="003569BE" w:rsidRDefault="00704A26" w:rsidP="00B02420">
      <w:pPr>
        <w:spacing w:line="360" w:lineRule="auto"/>
        <w:rPr>
          <w:rFonts w:cs="Times New Roman"/>
          <w:szCs w:val="24"/>
          <w:lang w:val="en-GB"/>
        </w:rPr>
      </w:pPr>
      <w:r w:rsidRPr="003569BE">
        <w:rPr>
          <w:rFonts w:cs="Times New Roman"/>
          <w:szCs w:val="24"/>
          <w:lang w:val="en-GB"/>
        </w:rPr>
        <w:t>Jackson et Al. (2008) in their paper tested whether the rotation of audit firms has an effect on audit quality.</w:t>
      </w:r>
      <w:r w:rsidR="00C24409" w:rsidRPr="003569BE">
        <w:rPr>
          <w:rFonts w:cs="Times New Roman"/>
          <w:szCs w:val="24"/>
          <w:lang w:val="en-GB"/>
        </w:rPr>
        <w:t xml:space="preserve"> </w:t>
      </w:r>
      <w:sdt>
        <w:sdtPr>
          <w:rPr>
            <w:rFonts w:cs="Times New Roman"/>
            <w:szCs w:val="24"/>
            <w:lang w:val="en-GB"/>
          </w:rPr>
          <w:id w:val="-1844303024"/>
          <w:citation/>
        </w:sdtPr>
        <w:sdtContent>
          <w:r w:rsidR="000E4BAF" w:rsidRPr="003569BE">
            <w:rPr>
              <w:rFonts w:cs="Times New Roman"/>
              <w:szCs w:val="24"/>
              <w:lang w:val="en-GB"/>
            </w:rPr>
            <w:fldChar w:fldCharType="begin"/>
          </w:r>
          <w:r w:rsidRPr="003569BE">
            <w:rPr>
              <w:rFonts w:cs="Times New Roman"/>
              <w:szCs w:val="24"/>
              <w:lang w:val="en-GB"/>
            </w:rPr>
            <w:instrText xml:space="preserve">CITATION Jac08 \l 1033 </w:instrText>
          </w:r>
          <w:r w:rsidR="000E4BAF" w:rsidRPr="003569BE">
            <w:rPr>
              <w:rFonts w:cs="Times New Roman"/>
              <w:szCs w:val="24"/>
              <w:lang w:val="en-GB"/>
            </w:rPr>
            <w:fldChar w:fldCharType="separate"/>
          </w:r>
          <w:r w:rsidR="008F7EB3" w:rsidRPr="003569BE">
            <w:rPr>
              <w:rFonts w:cs="Times New Roman"/>
              <w:noProof/>
              <w:szCs w:val="24"/>
              <w:lang w:val="en-GB"/>
            </w:rPr>
            <w:t>(Jackson, Moldrich, &amp; Roebuck, 2008)</w:t>
          </w:r>
          <w:r w:rsidR="000E4BAF" w:rsidRPr="003569BE">
            <w:rPr>
              <w:rFonts w:cs="Times New Roman"/>
              <w:szCs w:val="24"/>
              <w:lang w:val="en-GB"/>
            </w:rPr>
            <w:fldChar w:fldCharType="end"/>
          </w:r>
        </w:sdtContent>
      </w:sdt>
    </w:p>
    <w:p w:rsidR="002E005A" w:rsidRPr="003569BE" w:rsidRDefault="004C5CD6" w:rsidP="00B02420">
      <w:pPr>
        <w:spacing w:line="360" w:lineRule="auto"/>
        <w:rPr>
          <w:rFonts w:cs="Times New Roman"/>
          <w:szCs w:val="24"/>
          <w:lang w:val="en-GB"/>
        </w:rPr>
      </w:pPr>
      <w:r w:rsidRPr="003569BE">
        <w:rPr>
          <w:rFonts w:cs="Times New Roman"/>
          <w:szCs w:val="24"/>
          <w:lang w:val="en-GB"/>
        </w:rPr>
        <w:t xml:space="preserve">This research tests the hypothesis </w:t>
      </w:r>
      <w:r w:rsidR="00A15E30" w:rsidRPr="003569BE">
        <w:rPr>
          <w:rFonts w:cs="Times New Roman"/>
          <w:szCs w:val="24"/>
          <w:lang w:val="en-GB"/>
        </w:rPr>
        <w:t xml:space="preserve">concerning </w:t>
      </w:r>
      <w:r w:rsidRPr="003569BE">
        <w:rPr>
          <w:rFonts w:cs="Times New Roman"/>
          <w:szCs w:val="24"/>
          <w:lang w:val="en-GB"/>
        </w:rPr>
        <w:t xml:space="preserve">a sample of Australian </w:t>
      </w:r>
      <w:r w:rsidR="00AE332A" w:rsidRPr="003569BE">
        <w:rPr>
          <w:rFonts w:cs="Times New Roman"/>
          <w:szCs w:val="24"/>
          <w:lang w:val="en-GB"/>
        </w:rPr>
        <w:t xml:space="preserve">listed companies. Considering the fact that no mandatory audit firm rotation rule has ever been enforced in Australia, Jackson et Al. (2008) </w:t>
      </w:r>
      <w:r w:rsidR="00F46342" w:rsidRPr="003569BE">
        <w:rPr>
          <w:rFonts w:cs="Times New Roman"/>
          <w:szCs w:val="24"/>
          <w:lang w:val="en-GB"/>
        </w:rPr>
        <w:t>investigate</w:t>
      </w:r>
      <w:r w:rsidR="00E16BA4" w:rsidRPr="003569BE">
        <w:rPr>
          <w:rFonts w:cs="Times New Roman"/>
          <w:szCs w:val="24"/>
          <w:lang w:val="en-GB"/>
        </w:rPr>
        <w:t xml:space="preserve"> the financial elements of the companies in the years before, and after the change of the auditor. </w:t>
      </w:r>
      <w:r w:rsidR="00A15E30" w:rsidRPr="003569BE">
        <w:rPr>
          <w:rFonts w:cs="Times New Roman"/>
          <w:szCs w:val="24"/>
          <w:lang w:val="en-GB"/>
        </w:rPr>
        <w:t xml:space="preserve">Concerning </w:t>
      </w:r>
      <w:r w:rsidR="00960BC3" w:rsidRPr="003569BE">
        <w:rPr>
          <w:rFonts w:cs="Times New Roman"/>
          <w:szCs w:val="24"/>
          <w:lang w:val="en-GB"/>
        </w:rPr>
        <w:t>this purpose, they</w:t>
      </w:r>
      <w:r w:rsidR="00F46342" w:rsidRPr="003569BE">
        <w:rPr>
          <w:rFonts w:cs="Times New Roman"/>
          <w:szCs w:val="24"/>
          <w:lang w:val="en-GB"/>
        </w:rPr>
        <w:t xml:space="preserve"> </w:t>
      </w:r>
      <w:r w:rsidR="00960BC3" w:rsidRPr="003569BE">
        <w:rPr>
          <w:rFonts w:cs="Times New Roman"/>
          <w:szCs w:val="24"/>
          <w:lang w:val="en-GB"/>
        </w:rPr>
        <w:t xml:space="preserve">analyse </w:t>
      </w:r>
      <w:r w:rsidR="00F46342" w:rsidRPr="003569BE">
        <w:rPr>
          <w:rFonts w:cs="Times New Roman"/>
          <w:szCs w:val="24"/>
          <w:lang w:val="en-GB"/>
        </w:rPr>
        <w:t>switches of audit firms in the period of 1995-2003.</w:t>
      </w:r>
      <w:r w:rsidR="00D4448F" w:rsidRPr="003569BE">
        <w:rPr>
          <w:rFonts w:cs="Times New Roman"/>
          <w:szCs w:val="24"/>
          <w:lang w:val="en-GB"/>
        </w:rPr>
        <w:t xml:space="preserve"> </w:t>
      </w:r>
      <w:r w:rsidR="00A15E30" w:rsidRPr="003569BE">
        <w:rPr>
          <w:rFonts w:cs="Times New Roman"/>
          <w:szCs w:val="24"/>
          <w:lang w:val="en-GB"/>
        </w:rPr>
        <w:t>By the researchers b</w:t>
      </w:r>
      <w:r w:rsidR="00D4448F" w:rsidRPr="003569BE">
        <w:rPr>
          <w:rFonts w:cs="Times New Roman"/>
          <w:szCs w:val="24"/>
          <w:lang w:val="en-GB"/>
        </w:rPr>
        <w:t>oth types of auditor switches are taken into consideration: voluntary audit switches</w:t>
      </w:r>
      <w:r w:rsidR="00E16BA4" w:rsidRPr="003569BE">
        <w:rPr>
          <w:rFonts w:cs="Times New Roman"/>
          <w:szCs w:val="24"/>
          <w:lang w:val="en-GB"/>
        </w:rPr>
        <w:t>,</w:t>
      </w:r>
      <w:r w:rsidR="00D4448F" w:rsidRPr="003569BE">
        <w:rPr>
          <w:rFonts w:cs="Times New Roman"/>
          <w:szCs w:val="24"/>
          <w:lang w:val="en-GB"/>
        </w:rPr>
        <w:t xml:space="preserve"> and </w:t>
      </w:r>
      <w:r w:rsidR="00E16BA4" w:rsidRPr="003569BE">
        <w:rPr>
          <w:rFonts w:cs="Times New Roman"/>
          <w:szCs w:val="24"/>
          <w:lang w:val="en-GB"/>
        </w:rPr>
        <w:t>audit firms switched by the client.</w:t>
      </w:r>
      <w:r w:rsidR="00160A8F" w:rsidRPr="003569BE">
        <w:rPr>
          <w:rFonts w:cs="Times New Roman"/>
          <w:szCs w:val="24"/>
          <w:lang w:val="en-GB"/>
        </w:rPr>
        <w:t xml:space="preserve"> </w:t>
      </w:r>
    </w:p>
    <w:p w:rsidR="00EF235D" w:rsidRPr="003569BE" w:rsidRDefault="00EF235D" w:rsidP="00B02420">
      <w:pPr>
        <w:spacing w:line="360" w:lineRule="auto"/>
        <w:rPr>
          <w:rFonts w:cs="Times New Roman"/>
          <w:szCs w:val="24"/>
          <w:lang w:val="en-GB"/>
        </w:rPr>
      </w:pPr>
      <w:r w:rsidRPr="003569BE">
        <w:rPr>
          <w:rFonts w:cs="Times New Roman"/>
          <w:szCs w:val="24"/>
          <w:lang w:val="en-GB"/>
        </w:rPr>
        <w:t>In addition, Jackson et Al. (2008) provide reasons why companies choose to switch their auditors in a non-mandatory rotation setting.</w:t>
      </w:r>
      <w:r w:rsidR="00E4474A" w:rsidRPr="003569BE">
        <w:rPr>
          <w:rFonts w:cs="Times New Roman"/>
          <w:szCs w:val="24"/>
          <w:lang w:val="en-GB"/>
        </w:rPr>
        <w:t xml:space="preserve"> One reason is to keep the auditors</w:t>
      </w:r>
      <w:r w:rsidR="00A333A4" w:rsidRPr="003569BE">
        <w:rPr>
          <w:rFonts w:cs="Times New Roman"/>
          <w:szCs w:val="24"/>
          <w:lang w:val="en-GB"/>
        </w:rPr>
        <w:t xml:space="preserve"> away</w:t>
      </w:r>
      <w:r w:rsidR="00E4474A" w:rsidRPr="003569BE">
        <w:rPr>
          <w:rFonts w:cs="Times New Roman"/>
          <w:szCs w:val="24"/>
          <w:lang w:val="en-GB"/>
        </w:rPr>
        <w:t xml:space="preserve"> from issuing qualified audit reports.</w:t>
      </w:r>
      <w:r w:rsidR="00057E3C" w:rsidRPr="003569BE">
        <w:rPr>
          <w:rFonts w:cs="Times New Roman"/>
          <w:szCs w:val="24"/>
          <w:lang w:val="en-GB"/>
        </w:rPr>
        <w:t xml:space="preserve"> They argue that managers </w:t>
      </w:r>
      <w:r w:rsidR="006A1DC6" w:rsidRPr="003569BE">
        <w:rPr>
          <w:rFonts w:cs="Times New Roman"/>
          <w:szCs w:val="24"/>
          <w:lang w:val="en-GB"/>
        </w:rPr>
        <w:t xml:space="preserve">do not </w:t>
      </w:r>
      <w:r w:rsidR="00057E3C" w:rsidRPr="003569BE">
        <w:rPr>
          <w:rFonts w:cs="Times New Roman"/>
          <w:szCs w:val="24"/>
          <w:lang w:val="en-GB"/>
        </w:rPr>
        <w:t xml:space="preserve">tolerate qualified audit reports because </w:t>
      </w:r>
      <w:r w:rsidR="00E856E8" w:rsidRPr="003569BE">
        <w:rPr>
          <w:rFonts w:cs="Times New Roman"/>
          <w:szCs w:val="24"/>
          <w:lang w:val="en-GB"/>
        </w:rPr>
        <w:t>such a report could</w:t>
      </w:r>
      <w:r w:rsidR="00057E3C" w:rsidRPr="003569BE">
        <w:rPr>
          <w:rFonts w:cs="Times New Roman"/>
          <w:szCs w:val="24"/>
          <w:lang w:val="en-GB"/>
        </w:rPr>
        <w:t xml:space="preserve"> convey to the shareholders that managers</w:t>
      </w:r>
      <w:r w:rsidR="00E856E8" w:rsidRPr="003569BE">
        <w:rPr>
          <w:rFonts w:cs="Times New Roman"/>
          <w:szCs w:val="24"/>
          <w:lang w:val="en-GB"/>
        </w:rPr>
        <w:t>’</w:t>
      </w:r>
      <w:r w:rsidR="00057E3C" w:rsidRPr="003569BE">
        <w:rPr>
          <w:rFonts w:cs="Times New Roman"/>
          <w:szCs w:val="24"/>
          <w:lang w:val="en-GB"/>
        </w:rPr>
        <w:t xml:space="preserve"> actions </w:t>
      </w:r>
      <w:r w:rsidR="00FD72F5" w:rsidRPr="003569BE">
        <w:rPr>
          <w:rFonts w:cs="Times New Roman"/>
          <w:szCs w:val="24"/>
          <w:lang w:val="en-GB"/>
        </w:rPr>
        <w:t>may</w:t>
      </w:r>
      <w:r w:rsidR="00057E3C" w:rsidRPr="003569BE">
        <w:rPr>
          <w:rFonts w:cs="Times New Roman"/>
          <w:szCs w:val="24"/>
          <w:lang w:val="en-GB"/>
        </w:rPr>
        <w:t xml:space="preserve"> not </w:t>
      </w:r>
      <w:r w:rsidR="00E856E8" w:rsidRPr="003569BE">
        <w:rPr>
          <w:rFonts w:cs="Times New Roman"/>
          <w:szCs w:val="24"/>
          <w:lang w:val="en-GB"/>
        </w:rPr>
        <w:t xml:space="preserve">be </w:t>
      </w:r>
      <w:r w:rsidR="00057E3C" w:rsidRPr="003569BE">
        <w:rPr>
          <w:rFonts w:cs="Times New Roman"/>
          <w:szCs w:val="24"/>
          <w:lang w:val="en-GB"/>
        </w:rPr>
        <w:t>in accordance with the shareholders’</w:t>
      </w:r>
      <w:r w:rsidR="00226961" w:rsidRPr="003569BE">
        <w:rPr>
          <w:rFonts w:cs="Times New Roman"/>
          <w:szCs w:val="24"/>
          <w:lang w:val="en-GB"/>
        </w:rPr>
        <w:t xml:space="preserve"> goals and interests; moreover, </w:t>
      </w:r>
      <w:r w:rsidR="006A1DC6" w:rsidRPr="003569BE">
        <w:rPr>
          <w:rFonts w:cs="Times New Roman"/>
          <w:szCs w:val="24"/>
          <w:lang w:val="en-GB"/>
        </w:rPr>
        <w:t>since their compensation is dependent on the company’s share price on the market and the share price drops with a qualified audit repor</w:t>
      </w:r>
      <w:r w:rsidR="00C75567" w:rsidRPr="003569BE">
        <w:rPr>
          <w:rFonts w:cs="Times New Roman"/>
          <w:szCs w:val="24"/>
          <w:lang w:val="en-GB"/>
        </w:rPr>
        <w:t>t</w:t>
      </w:r>
      <w:r w:rsidR="006A1DC6" w:rsidRPr="003569BE">
        <w:rPr>
          <w:rFonts w:cs="Times New Roman"/>
          <w:szCs w:val="24"/>
          <w:lang w:val="en-GB"/>
        </w:rPr>
        <w:t xml:space="preserve"> </w:t>
      </w:r>
      <w:r w:rsidR="00226961" w:rsidRPr="003569BE">
        <w:rPr>
          <w:rFonts w:cs="Times New Roman"/>
          <w:szCs w:val="24"/>
          <w:lang w:val="en-GB"/>
        </w:rPr>
        <w:t>the managers’ income would be indirectly</w:t>
      </w:r>
      <w:r w:rsidR="008256E3" w:rsidRPr="003569BE">
        <w:rPr>
          <w:rFonts w:cs="Times New Roman"/>
          <w:szCs w:val="24"/>
          <w:lang w:val="en-GB"/>
        </w:rPr>
        <w:t xml:space="preserve"> affected by a </w:t>
      </w:r>
      <w:r w:rsidR="00226961" w:rsidRPr="003569BE">
        <w:rPr>
          <w:rFonts w:cs="Times New Roman"/>
          <w:szCs w:val="24"/>
          <w:lang w:val="en-GB"/>
        </w:rPr>
        <w:t xml:space="preserve">qualified audit report </w:t>
      </w:r>
      <w:r w:rsidR="008256E3" w:rsidRPr="003569BE">
        <w:rPr>
          <w:rFonts w:cs="Times New Roman"/>
          <w:szCs w:val="24"/>
          <w:lang w:val="en-GB"/>
        </w:rPr>
        <w:t>t</w:t>
      </w:r>
      <w:r w:rsidR="00D84DF5" w:rsidRPr="003569BE">
        <w:rPr>
          <w:rFonts w:cs="Times New Roman"/>
          <w:szCs w:val="24"/>
          <w:lang w:val="en-GB"/>
        </w:rPr>
        <w:t xml:space="preserve"> </w:t>
      </w:r>
      <w:sdt>
        <w:sdtPr>
          <w:rPr>
            <w:rFonts w:cs="Times New Roman"/>
            <w:szCs w:val="24"/>
            <w:lang w:val="en-GB"/>
          </w:rPr>
          <w:id w:val="-910701935"/>
          <w:citation/>
        </w:sdtPr>
        <w:sdtContent>
          <w:r w:rsidR="000E4BAF" w:rsidRPr="003569BE">
            <w:rPr>
              <w:rFonts w:cs="Times New Roman"/>
              <w:szCs w:val="24"/>
              <w:lang w:val="en-GB"/>
            </w:rPr>
            <w:fldChar w:fldCharType="begin"/>
          </w:r>
          <w:r w:rsidR="00D84DF5" w:rsidRPr="003569BE">
            <w:rPr>
              <w:rFonts w:cs="Times New Roman"/>
              <w:szCs w:val="24"/>
              <w:lang w:val="en-GB"/>
            </w:rPr>
            <w:instrText xml:space="preserve">CITATION Jac08 \l 1033 </w:instrText>
          </w:r>
          <w:r w:rsidR="000E4BAF" w:rsidRPr="003569BE">
            <w:rPr>
              <w:rFonts w:cs="Times New Roman"/>
              <w:szCs w:val="24"/>
              <w:lang w:val="en-GB"/>
            </w:rPr>
            <w:fldChar w:fldCharType="separate"/>
          </w:r>
          <w:r w:rsidR="008F7EB3" w:rsidRPr="003569BE">
            <w:rPr>
              <w:rFonts w:cs="Times New Roman"/>
              <w:noProof/>
              <w:szCs w:val="24"/>
              <w:lang w:val="en-GB"/>
            </w:rPr>
            <w:t>(Jackson, Moldrich, &amp; Roebuck, 2008)</w:t>
          </w:r>
          <w:r w:rsidR="000E4BAF" w:rsidRPr="003569BE">
            <w:rPr>
              <w:rFonts w:cs="Times New Roman"/>
              <w:szCs w:val="24"/>
              <w:lang w:val="en-GB"/>
            </w:rPr>
            <w:fldChar w:fldCharType="end"/>
          </w:r>
        </w:sdtContent>
      </w:sdt>
      <w:r w:rsidR="00226961" w:rsidRPr="003569BE">
        <w:rPr>
          <w:rFonts w:cs="Times New Roman"/>
          <w:szCs w:val="24"/>
          <w:lang w:val="en-GB"/>
        </w:rPr>
        <w:t>.</w:t>
      </w:r>
    </w:p>
    <w:p w:rsidR="00C344AF" w:rsidRPr="003569BE" w:rsidRDefault="00E35B08" w:rsidP="00B02420">
      <w:pPr>
        <w:spacing w:line="360" w:lineRule="auto"/>
        <w:rPr>
          <w:rFonts w:cs="Times New Roman"/>
          <w:szCs w:val="24"/>
          <w:lang w:val="en-GB"/>
        </w:rPr>
      </w:pPr>
      <w:r w:rsidRPr="003569BE">
        <w:rPr>
          <w:rFonts w:cs="Times New Roman"/>
          <w:szCs w:val="24"/>
          <w:lang w:val="en-GB"/>
        </w:rPr>
        <w:t>The findings of Jackson et Al. (2008) suggest that</w:t>
      </w:r>
      <w:r w:rsidR="00FF3C0C" w:rsidRPr="003569BE">
        <w:rPr>
          <w:rFonts w:cs="Times New Roman"/>
          <w:szCs w:val="24"/>
          <w:lang w:val="en-GB"/>
        </w:rPr>
        <w:t>, if implemented,</w:t>
      </w:r>
      <w:r w:rsidRPr="003569BE">
        <w:rPr>
          <w:rFonts w:cs="Times New Roman"/>
          <w:szCs w:val="24"/>
          <w:lang w:val="en-GB"/>
        </w:rPr>
        <w:t xml:space="preserve"> the usefulness of </w:t>
      </w:r>
      <w:r w:rsidR="006A1DC6" w:rsidRPr="003569BE">
        <w:rPr>
          <w:rFonts w:cs="Times New Roman"/>
          <w:szCs w:val="24"/>
          <w:lang w:val="en-GB"/>
        </w:rPr>
        <w:t xml:space="preserve">the </w:t>
      </w:r>
      <w:r w:rsidRPr="003569BE">
        <w:rPr>
          <w:rFonts w:cs="Times New Roman"/>
          <w:szCs w:val="24"/>
          <w:lang w:val="en-GB"/>
        </w:rPr>
        <w:t xml:space="preserve">mandatory audit firm rotation for improving </w:t>
      </w:r>
      <w:r w:rsidR="006A1DC6" w:rsidRPr="003569BE">
        <w:rPr>
          <w:rFonts w:cs="Times New Roman"/>
          <w:szCs w:val="24"/>
          <w:lang w:val="en-GB"/>
        </w:rPr>
        <w:t xml:space="preserve">the </w:t>
      </w:r>
      <w:r w:rsidRPr="003569BE">
        <w:rPr>
          <w:rFonts w:cs="Times New Roman"/>
          <w:szCs w:val="24"/>
          <w:lang w:val="en-GB"/>
        </w:rPr>
        <w:t xml:space="preserve">audit quality </w:t>
      </w:r>
      <w:r w:rsidR="00591643" w:rsidRPr="003569BE">
        <w:rPr>
          <w:rFonts w:cs="Times New Roman"/>
          <w:szCs w:val="24"/>
          <w:lang w:val="en-GB"/>
        </w:rPr>
        <w:t xml:space="preserve">would be </w:t>
      </w:r>
      <w:r w:rsidRPr="003569BE">
        <w:rPr>
          <w:rFonts w:cs="Times New Roman"/>
          <w:szCs w:val="24"/>
          <w:lang w:val="en-GB"/>
        </w:rPr>
        <w:t>minimal</w:t>
      </w:r>
      <w:r w:rsidR="00BB75A7" w:rsidRPr="003569BE">
        <w:rPr>
          <w:rFonts w:cs="Times New Roman"/>
          <w:szCs w:val="24"/>
          <w:lang w:val="en-GB"/>
        </w:rPr>
        <w:t>.</w:t>
      </w:r>
      <w:r w:rsidR="007E5625" w:rsidRPr="003569BE">
        <w:rPr>
          <w:rFonts w:cs="Times New Roman"/>
          <w:szCs w:val="24"/>
          <w:lang w:val="en-GB"/>
        </w:rPr>
        <w:t xml:space="preserve"> In fact, they indicate a positive association between </w:t>
      </w:r>
      <w:r w:rsidR="006A1DC6" w:rsidRPr="003569BE">
        <w:rPr>
          <w:rFonts w:cs="Times New Roman"/>
          <w:szCs w:val="24"/>
          <w:lang w:val="en-GB"/>
        </w:rPr>
        <w:t xml:space="preserve">the </w:t>
      </w:r>
      <w:r w:rsidR="007E5625" w:rsidRPr="003569BE">
        <w:rPr>
          <w:rFonts w:cs="Times New Roman"/>
          <w:szCs w:val="24"/>
          <w:lang w:val="en-GB"/>
        </w:rPr>
        <w:t xml:space="preserve">audit tenure and </w:t>
      </w:r>
      <w:r w:rsidR="006A1DC6" w:rsidRPr="003569BE">
        <w:rPr>
          <w:rFonts w:cs="Times New Roman"/>
          <w:szCs w:val="24"/>
          <w:lang w:val="en-GB"/>
        </w:rPr>
        <w:t xml:space="preserve">the </w:t>
      </w:r>
      <w:r w:rsidR="007E5625" w:rsidRPr="003569BE">
        <w:rPr>
          <w:rFonts w:cs="Times New Roman"/>
          <w:szCs w:val="24"/>
          <w:lang w:val="en-GB"/>
        </w:rPr>
        <w:t xml:space="preserve">audit quality, when the propensity of issuing going-concern opinions in the audit reports is used as a proxy for </w:t>
      </w:r>
      <w:r w:rsidR="006A1DC6" w:rsidRPr="003569BE">
        <w:rPr>
          <w:rFonts w:cs="Times New Roman"/>
          <w:szCs w:val="24"/>
          <w:lang w:val="en-GB"/>
        </w:rPr>
        <w:t xml:space="preserve">the </w:t>
      </w:r>
      <w:r w:rsidR="007E5625" w:rsidRPr="003569BE">
        <w:rPr>
          <w:rFonts w:cs="Times New Roman"/>
          <w:szCs w:val="24"/>
          <w:lang w:val="en-GB"/>
        </w:rPr>
        <w:t>audit quality.</w:t>
      </w:r>
      <w:r w:rsidR="00567B55" w:rsidRPr="003569BE">
        <w:rPr>
          <w:rFonts w:cs="Times New Roman"/>
          <w:szCs w:val="24"/>
          <w:lang w:val="en-GB"/>
        </w:rPr>
        <w:t xml:space="preserve"> </w:t>
      </w:r>
      <w:r w:rsidR="00F52F26" w:rsidRPr="003569BE">
        <w:rPr>
          <w:rFonts w:cs="Times New Roman"/>
          <w:szCs w:val="24"/>
          <w:lang w:val="en-GB"/>
        </w:rPr>
        <w:t xml:space="preserve">Consequently, this paper supports the opponents of </w:t>
      </w:r>
      <w:r w:rsidR="006A1DC6" w:rsidRPr="003569BE">
        <w:rPr>
          <w:rFonts w:cs="Times New Roman"/>
          <w:szCs w:val="24"/>
          <w:lang w:val="en-GB"/>
        </w:rPr>
        <w:t xml:space="preserve">the </w:t>
      </w:r>
      <w:r w:rsidR="00F52F26" w:rsidRPr="003569BE">
        <w:rPr>
          <w:rFonts w:cs="Times New Roman"/>
          <w:szCs w:val="24"/>
          <w:lang w:val="en-GB"/>
        </w:rPr>
        <w:t>mandatory audit firm rotation</w:t>
      </w:r>
      <w:r w:rsidR="00BE5ECB" w:rsidRPr="003569BE">
        <w:rPr>
          <w:rFonts w:cs="Times New Roman"/>
          <w:szCs w:val="24"/>
          <w:lang w:val="en-GB"/>
        </w:rPr>
        <w:t xml:space="preserve">. However, </w:t>
      </w:r>
      <w:r w:rsidR="006A1DC6" w:rsidRPr="003569BE">
        <w:rPr>
          <w:rFonts w:cs="Times New Roman"/>
          <w:szCs w:val="24"/>
          <w:lang w:val="en-GB"/>
        </w:rPr>
        <w:t xml:space="preserve">in this study </w:t>
      </w:r>
      <w:r w:rsidR="000D4394" w:rsidRPr="003569BE">
        <w:rPr>
          <w:rFonts w:cs="Times New Roman"/>
          <w:szCs w:val="24"/>
          <w:lang w:val="en-GB"/>
        </w:rPr>
        <w:t xml:space="preserve">certain limitations arise. First, this paper </w:t>
      </w:r>
      <w:r w:rsidR="006A1DC6" w:rsidRPr="003569BE">
        <w:rPr>
          <w:rFonts w:cs="Times New Roman"/>
          <w:szCs w:val="24"/>
          <w:lang w:val="en-GB"/>
        </w:rPr>
        <w:t xml:space="preserve">only </w:t>
      </w:r>
      <w:r w:rsidR="000D4394" w:rsidRPr="003569BE">
        <w:rPr>
          <w:rFonts w:cs="Times New Roman"/>
          <w:szCs w:val="24"/>
          <w:lang w:val="en-GB"/>
        </w:rPr>
        <w:t xml:space="preserve">addresses </w:t>
      </w:r>
      <w:r w:rsidR="006A1DC6" w:rsidRPr="003569BE">
        <w:rPr>
          <w:rFonts w:cs="Times New Roman"/>
          <w:szCs w:val="24"/>
          <w:lang w:val="en-GB"/>
        </w:rPr>
        <w:t xml:space="preserve">the </w:t>
      </w:r>
      <w:r w:rsidR="000D4394" w:rsidRPr="003569BE">
        <w:rPr>
          <w:rFonts w:cs="Times New Roman"/>
          <w:szCs w:val="24"/>
          <w:lang w:val="en-GB"/>
        </w:rPr>
        <w:t>actual audit quality</w:t>
      </w:r>
      <w:r w:rsidR="00CA4274" w:rsidRPr="003569BE">
        <w:rPr>
          <w:rFonts w:cs="Times New Roman"/>
          <w:szCs w:val="24"/>
          <w:lang w:val="en-GB"/>
        </w:rPr>
        <w:t xml:space="preserve">, without considering </w:t>
      </w:r>
      <w:r w:rsidR="00141C88" w:rsidRPr="003569BE">
        <w:rPr>
          <w:rFonts w:cs="Times New Roman"/>
          <w:szCs w:val="24"/>
          <w:lang w:val="en-GB"/>
        </w:rPr>
        <w:t>the perceived audit quality, which could be improved by a mandatory rotation rule.</w:t>
      </w:r>
      <w:r w:rsidR="004F062E" w:rsidRPr="003569BE">
        <w:rPr>
          <w:rFonts w:cs="Times New Roman"/>
          <w:szCs w:val="24"/>
          <w:lang w:val="en-GB"/>
        </w:rPr>
        <w:t xml:space="preserve"> Jackson et Al. consider the perceived audit quality as “an important component to the efficient operations of financial markets” </w:t>
      </w:r>
      <w:sdt>
        <w:sdtPr>
          <w:rPr>
            <w:rFonts w:cs="Times New Roman"/>
            <w:szCs w:val="24"/>
            <w:lang w:val="en-GB"/>
          </w:rPr>
          <w:id w:val="1986811780"/>
          <w:citation/>
        </w:sdtPr>
        <w:sdtContent>
          <w:r w:rsidR="000E4BAF" w:rsidRPr="003569BE">
            <w:rPr>
              <w:rFonts w:cs="Times New Roman"/>
              <w:szCs w:val="24"/>
              <w:lang w:val="en-GB"/>
            </w:rPr>
            <w:fldChar w:fldCharType="begin"/>
          </w:r>
          <w:r w:rsidR="004F062E" w:rsidRPr="003569BE">
            <w:rPr>
              <w:rFonts w:cs="Times New Roman"/>
              <w:szCs w:val="24"/>
              <w:lang w:val="en-GB"/>
            </w:rPr>
            <w:instrText xml:space="preserve">CITATION Jac08 \p 434 \l 1033 </w:instrText>
          </w:r>
          <w:r w:rsidR="000E4BAF" w:rsidRPr="003569BE">
            <w:rPr>
              <w:rFonts w:cs="Times New Roman"/>
              <w:szCs w:val="24"/>
              <w:lang w:val="en-GB"/>
            </w:rPr>
            <w:fldChar w:fldCharType="separate"/>
          </w:r>
          <w:r w:rsidR="008F7EB3" w:rsidRPr="003569BE">
            <w:rPr>
              <w:rFonts w:cs="Times New Roman"/>
              <w:noProof/>
              <w:szCs w:val="24"/>
              <w:lang w:val="en-GB"/>
            </w:rPr>
            <w:t>(Jackson, Moldrich, &amp; Roebuck, 2008, p. 434)</w:t>
          </w:r>
          <w:r w:rsidR="000E4BAF" w:rsidRPr="003569BE">
            <w:rPr>
              <w:rFonts w:cs="Times New Roman"/>
              <w:szCs w:val="24"/>
              <w:lang w:val="en-GB"/>
            </w:rPr>
            <w:fldChar w:fldCharType="end"/>
          </w:r>
        </w:sdtContent>
      </w:sdt>
      <w:r w:rsidR="004F062E" w:rsidRPr="003569BE">
        <w:rPr>
          <w:rFonts w:cs="Times New Roman"/>
          <w:szCs w:val="24"/>
          <w:lang w:val="en-GB"/>
        </w:rPr>
        <w:t>.</w:t>
      </w:r>
    </w:p>
    <w:p w:rsidR="00DA3D42" w:rsidRPr="003569BE" w:rsidRDefault="00DA3D42">
      <w:pPr>
        <w:jc w:val="left"/>
        <w:rPr>
          <w:rFonts w:cs="Times New Roman"/>
          <w:b/>
          <w:i/>
          <w:szCs w:val="24"/>
          <w:u w:val="single"/>
          <w:lang w:val="en-GB"/>
        </w:rPr>
      </w:pPr>
      <w:r w:rsidRPr="003569BE">
        <w:rPr>
          <w:rFonts w:cs="Times New Roman"/>
          <w:b/>
          <w:i/>
          <w:szCs w:val="24"/>
          <w:u w:val="single"/>
          <w:lang w:val="en-GB"/>
        </w:rPr>
        <w:br w:type="page"/>
      </w:r>
    </w:p>
    <w:p w:rsidR="00C8094E" w:rsidRPr="003569BE" w:rsidRDefault="00C8094E" w:rsidP="00C8094E">
      <w:pPr>
        <w:spacing w:line="360" w:lineRule="auto"/>
        <w:rPr>
          <w:rFonts w:cs="Times New Roman"/>
          <w:b/>
          <w:szCs w:val="24"/>
          <w:u w:val="single"/>
          <w:lang w:val="en-GB"/>
        </w:rPr>
      </w:pPr>
      <w:r w:rsidRPr="003569BE">
        <w:rPr>
          <w:rFonts w:cs="Times New Roman"/>
          <w:b/>
          <w:i/>
          <w:szCs w:val="24"/>
          <w:u w:val="single"/>
          <w:lang w:val="en-GB"/>
        </w:rPr>
        <w:lastRenderedPageBreak/>
        <w:t>“Mandatory Audit Firm Rotation and Audit Quality: Evidence from the Italian Setting”</w:t>
      </w:r>
      <w:r w:rsidRPr="003569BE">
        <w:rPr>
          <w:rFonts w:cs="Times New Roman"/>
          <w:b/>
          <w:szCs w:val="24"/>
          <w:u w:val="single"/>
          <w:lang w:val="en-GB"/>
        </w:rPr>
        <w:t xml:space="preserve"> by Cameran et Al. (2012)</w:t>
      </w:r>
    </w:p>
    <w:p w:rsidR="00C8094E" w:rsidRPr="003569BE" w:rsidRDefault="006A1DC6" w:rsidP="00B02420">
      <w:pPr>
        <w:spacing w:line="360" w:lineRule="auto"/>
        <w:rPr>
          <w:rFonts w:cs="Times New Roman"/>
          <w:szCs w:val="24"/>
          <w:lang w:val="en-GB"/>
        </w:rPr>
      </w:pPr>
      <w:r w:rsidRPr="003569BE">
        <w:rPr>
          <w:rFonts w:cs="Times New Roman"/>
          <w:szCs w:val="24"/>
          <w:lang w:val="en-GB"/>
        </w:rPr>
        <w:t>Since it investigates the change in the audit quality during the allowed audit engagement period in the Italian MAFR setting</w:t>
      </w:r>
      <w:r w:rsidR="00590084" w:rsidRPr="003569BE">
        <w:rPr>
          <w:rFonts w:cs="Times New Roman"/>
          <w:szCs w:val="24"/>
          <w:lang w:val="en-GB"/>
        </w:rPr>
        <w:t>,</w:t>
      </w:r>
      <w:r w:rsidRPr="003569BE">
        <w:rPr>
          <w:rFonts w:cs="Times New Roman"/>
          <w:szCs w:val="24"/>
          <w:lang w:val="en-GB"/>
        </w:rPr>
        <w:t xml:space="preserve"> t</w:t>
      </w:r>
      <w:r w:rsidR="000707D0" w:rsidRPr="003569BE">
        <w:rPr>
          <w:rFonts w:cs="Times New Roman"/>
          <w:szCs w:val="24"/>
          <w:lang w:val="en-GB"/>
        </w:rPr>
        <w:t xml:space="preserve">his paper is of high importance </w:t>
      </w:r>
      <w:r w:rsidRPr="003569BE">
        <w:rPr>
          <w:rFonts w:cs="Times New Roman"/>
          <w:szCs w:val="24"/>
          <w:lang w:val="en-GB"/>
        </w:rPr>
        <w:t xml:space="preserve">concerning </w:t>
      </w:r>
      <w:r w:rsidR="000707D0" w:rsidRPr="003569BE">
        <w:rPr>
          <w:rFonts w:cs="Times New Roman"/>
          <w:szCs w:val="24"/>
          <w:lang w:val="en-GB"/>
        </w:rPr>
        <w:t>thi</w:t>
      </w:r>
      <w:r w:rsidR="0036685F" w:rsidRPr="003569BE">
        <w:rPr>
          <w:rFonts w:cs="Times New Roman"/>
          <w:szCs w:val="24"/>
          <w:lang w:val="en-GB"/>
        </w:rPr>
        <w:t>s thesis</w:t>
      </w:r>
      <w:r w:rsidR="00FB68F9" w:rsidRPr="003569BE">
        <w:rPr>
          <w:rFonts w:cs="Times New Roman"/>
          <w:szCs w:val="24"/>
          <w:lang w:val="en-GB"/>
        </w:rPr>
        <w:t>.</w:t>
      </w:r>
      <w:r w:rsidR="001533C8" w:rsidRPr="003569BE">
        <w:rPr>
          <w:rFonts w:cs="Times New Roman"/>
          <w:szCs w:val="24"/>
          <w:lang w:val="en-GB"/>
        </w:rPr>
        <w:t xml:space="preserve"> Concerning the behaviour of auditors, a real mandatory rotation setting is more relevant than a non-mandatory rotation setting, in which a switch of the auditor is voluntary.</w:t>
      </w:r>
    </w:p>
    <w:p w:rsidR="001037C5" w:rsidRPr="003569BE" w:rsidRDefault="001037C5" w:rsidP="00B02420">
      <w:pPr>
        <w:spacing w:line="360" w:lineRule="auto"/>
        <w:rPr>
          <w:rFonts w:cs="Times New Roman"/>
          <w:szCs w:val="24"/>
          <w:lang w:val="en-GB"/>
        </w:rPr>
      </w:pPr>
      <w:r w:rsidRPr="003569BE">
        <w:rPr>
          <w:rFonts w:cs="Times New Roman"/>
          <w:szCs w:val="24"/>
          <w:lang w:val="en-GB"/>
        </w:rPr>
        <w:t xml:space="preserve">Cameran et Al. (2012) </w:t>
      </w:r>
      <w:r w:rsidR="00894EE4" w:rsidRPr="003569BE">
        <w:rPr>
          <w:rFonts w:cs="Times New Roman"/>
          <w:szCs w:val="24"/>
          <w:lang w:val="en-GB"/>
        </w:rPr>
        <w:t>test</w:t>
      </w:r>
      <w:r w:rsidR="00C04291" w:rsidRPr="003569BE">
        <w:rPr>
          <w:rFonts w:cs="Times New Roman"/>
          <w:szCs w:val="24"/>
          <w:lang w:val="en-GB"/>
        </w:rPr>
        <w:t xml:space="preserve"> whether</w:t>
      </w:r>
      <w:r w:rsidRPr="003569BE">
        <w:rPr>
          <w:rFonts w:cs="Times New Roman"/>
          <w:szCs w:val="24"/>
          <w:lang w:val="en-GB"/>
        </w:rPr>
        <w:t xml:space="preserve"> audit quality is higher in the last engagement period prior to the rotation.</w:t>
      </w:r>
      <w:r w:rsidR="00156B55" w:rsidRPr="003569BE">
        <w:rPr>
          <w:rFonts w:cs="Times New Roman"/>
          <w:szCs w:val="24"/>
          <w:lang w:val="en-GB"/>
        </w:rPr>
        <w:t xml:space="preserve"> They test the</w:t>
      </w:r>
      <w:r w:rsidR="00FB68F9" w:rsidRPr="003569BE">
        <w:rPr>
          <w:rFonts w:cs="Times New Roman"/>
          <w:szCs w:val="24"/>
          <w:lang w:val="en-GB"/>
        </w:rPr>
        <w:t xml:space="preserve"> hypothesis on a sample of </w:t>
      </w:r>
      <w:r w:rsidR="00D2057A" w:rsidRPr="003569BE">
        <w:rPr>
          <w:rFonts w:cs="Times New Roman"/>
          <w:szCs w:val="24"/>
          <w:lang w:val="en-GB"/>
        </w:rPr>
        <w:t xml:space="preserve">171 Italian companies listed on the Milan Stock exchange in the period 1985-2004. </w:t>
      </w:r>
    </w:p>
    <w:p w:rsidR="00A22AC3" w:rsidRPr="003569BE" w:rsidRDefault="00A22AC3" w:rsidP="00B02420">
      <w:pPr>
        <w:spacing w:line="360" w:lineRule="auto"/>
        <w:rPr>
          <w:rFonts w:cs="Times New Roman"/>
          <w:szCs w:val="24"/>
          <w:lang w:val="en-GB"/>
        </w:rPr>
      </w:pPr>
      <w:r w:rsidRPr="003569BE">
        <w:rPr>
          <w:rFonts w:cs="Times New Roman"/>
          <w:szCs w:val="24"/>
          <w:lang w:val="en-GB"/>
        </w:rPr>
        <w:t xml:space="preserve">In order to test the hypothesis, they used an accrual-based approach for measuring audit quality. The proxy for </w:t>
      </w:r>
      <w:r w:rsidR="006A1DC6" w:rsidRPr="003569BE">
        <w:rPr>
          <w:rFonts w:cs="Times New Roman"/>
          <w:szCs w:val="24"/>
          <w:lang w:val="en-GB"/>
        </w:rPr>
        <w:t xml:space="preserve">the </w:t>
      </w:r>
      <w:r w:rsidRPr="003569BE">
        <w:rPr>
          <w:rFonts w:cs="Times New Roman"/>
          <w:szCs w:val="24"/>
          <w:lang w:val="en-GB"/>
        </w:rPr>
        <w:t>audit quality used in this study is represented by the abnormal working capital accruals</w:t>
      </w:r>
      <w:r w:rsidR="00735D5F" w:rsidRPr="003569BE">
        <w:rPr>
          <w:rFonts w:cs="Times New Roman"/>
          <w:szCs w:val="24"/>
          <w:lang w:val="en-GB"/>
        </w:rPr>
        <w:t>.</w:t>
      </w:r>
    </w:p>
    <w:p w:rsidR="00AE6154" w:rsidRPr="003569BE" w:rsidRDefault="00F51485" w:rsidP="00981ED2">
      <w:pPr>
        <w:spacing w:line="360" w:lineRule="auto"/>
        <w:rPr>
          <w:rFonts w:cs="Times New Roman"/>
          <w:szCs w:val="24"/>
          <w:lang w:val="en-GB"/>
        </w:rPr>
      </w:pPr>
      <w:r w:rsidRPr="003569BE">
        <w:rPr>
          <w:rFonts w:cs="Times New Roman"/>
          <w:szCs w:val="24"/>
          <w:lang w:val="en-GB"/>
        </w:rPr>
        <w:t xml:space="preserve">Their findings </w:t>
      </w:r>
      <w:r w:rsidR="009A4FFA" w:rsidRPr="003569BE">
        <w:rPr>
          <w:rFonts w:cs="Times New Roman"/>
          <w:szCs w:val="24"/>
          <w:lang w:val="en-GB"/>
        </w:rPr>
        <w:t xml:space="preserve">confirm the results of the previously signalled </w:t>
      </w:r>
      <w:r w:rsidR="00310187" w:rsidRPr="003569BE">
        <w:rPr>
          <w:rFonts w:cs="Times New Roman"/>
          <w:szCs w:val="24"/>
          <w:lang w:val="en-GB"/>
        </w:rPr>
        <w:t>research paper</w:t>
      </w:r>
      <w:r w:rsidR="00735D5F" w:rsidRPr="003569BE">
        <w:rPr>
          <w:rFonts w:cs="Times New Roman"/>
          <w:szCs w:val="24"/>
          <w:lang w:val="en-GB"/>
        </w:rPr>
        <w:t>, i.e. Jackson et Al. (2008)</w:t>
      </w:r>
      <w:r w:rsidR="009A4FFA" w:rsidRPr="003569BE">
        <w:rPr>
          <w:rFonts w:cs="Times New Roman"/>
          <w:szCs w:val="24"/>
          <w:lang w:val="en-GB"/>
        </w:rPr>
        <w:t xml:space="preserve">, </w:t>
      </w:r>
      <w:r w:rsidR="00310187" w:rsidRPr="003569BE">
        <w:rPr>
          <w:rFonts w:cs="Times New Roman"/>
          <w:szCs w:val="24"/>
          <w:lang w:val="en-GB"/>
        </w:rPr>
        <w:t>by showing evidence that audit quality has the tendency to increase in the final period of the engagement, i.e. before the mandatory rotation.</w:t>
      </w:r>
      <w:r w:rsidR="009E2FC6" w:rsidRPr="003569BE">
        <w:rPr>
          <w:rFonts w:cs="Times New Roman"/>
          <w:szCs w:val="24"/>
          <w:lang w:val="en-GB"/>
        </w:rPr>
        <w:t xml:space="preserve"> </w:t>
      </w:r>
      <w:r w:rsidR="00115562" w:rsidRPr="003569BE">
        <w:rPr>
          <w:rFonts w:cs="Times New Roman"/>
          <w:szCs w:val="24"/>
          <w:lang w:val="en-GB"/>
        </w:rPr>
        <w:t xml:space="preserve">In addition, they investigated the effect of </w:t>
      </w:r>
      <w:r w:rsidR="006A1DC6" w:rsidRPr="003569BE">
        <w:rPr>
          <w:rFonts w:cs="Times New Roman"/>
          <w:szCs w:val="24"/>
          <w:lang w:val="en-GB"/>
        </w:rPr>
        <w:t xml:space="preserve">the </w:t>
      </w:r>
      <w:r w:rsidR="00115562" w:rsidRPr="003569BE">
        <w:rPr>
          <w:rFonts w:cs="Times New Roman"/>
          <w:szCs w:val="24"/>
          <w:lang w:val="en-GB"/>
        </w:rPr>
        <w:t xml:space="preserve">mandatory </w:t>
      </w:r>
      <w:r w:rsidR="006A1DC6" w:rsidRPr="003569BE">
        <w:rPr>
          <w:rFonts w:cs="Times New Roman"/>
          <w:szCs w:val="24"/>
          <w:lang w:val="en-GB"/>
        </w:rPr>
        <w:t xml:space="preserve">audit firm </w:t>
      </w:r>
      <w:r w:rsidR="00115562" w:rsidRPr="003569BE">
        <w:rPr>
          <w:rFonts w:cs="Times New Roman"/>
          <w:szCs w:val="24"/>
          <w:lang w:val="en-GB"/>
        </w:rPr>
        <w:t xml:space="preserve">rotation on the perceived audit quality. They found significant evidence that </w:t>
      </w:r>
      <w:r w:rsidR="006A1DC6" w:rsidRPr="003569BE">
        <w:rPr>
          <w:rFonts w:cs="Times New Roman"/>
          <w:szCs w:val="24"/>
          <w:lang w:val="en-GB"/>
        </w:rPr>
        <w:t xml:space="preserve">the </w:t>
      </w:r>
      <w:r w:rsidR="00115562" w:rsidRPr="003569BE">
        <w:rPr>
          <w:rFonts w:cs="Times New Roman"/>
          <w:szCs w:val="24"/>
          <w:lang w:val="en-GB"/>
        </w:rPr>
        <w:t>perceived audit quality follows the trend of the actual audit quality and has the tendency to increase in the final period of the engagement, i.e. before the mandatory rotation</w:t>
      </w:r>
      <w:r w:rsidR="00484BF3" w:rsidRPr="003569BE">
        <w:rPr>
          <w:rFonts w:cs="Times New Roman"/>
          <w:szCs w:val="24"/>
          <w:lang w:val="en-GB"/>
        </w:rPr>
        <w:t xml:space="preserve"> </w:t>
      </w:r>
      <w:sdt>
        <w:sdtPr>
          <w:rPr>
            <w:rFonts w:cs="Times New Roman"/>
            <w:szCs w:val="24"/>
            <w:lang w:val="en-GB"/>
          </w:rPr>
          <w:id w:val="-999961138"/>
          <w:citation/>
        </w:sdtPr>
        <w:sdtContent>
          <w:r w:rsidR="000E4BAF" w:rsidRPr="003569BE">
            <w:rPr>
              <w:rFonts w:cs="Times New Roman"/>
              <w:szCs w:val="24"/>
              <w:lang w:val="en-GB"/>
            </w:rPr>
            <w:fldChar w:fldCharType="begin"/>
          </w:r>
          <w:r w:rsidR="00484BF3" w:rsidRPr="003569BE">
            <w:rPr>
              <w:rFonts w:cs="Times New Roman"/>
              <w:szCs w:val="24"/>
              <w:lang w:val="en-GB"/>
            </w:rPr>
            <w:instrText xml:space="preserve">CITATION Cam12 \t  \l 1033 </w:instrText>
          </w:r>
          <w:r w:rsidR="000E4BAF" w:rsidRPr="003569BE">
            <w:rPr>
              <w:rFonts w:cs="Times New Roman"/>
              <w:szCs w:val="24"/>
              <w:lang w:val="en-GB"/>
            </w:rPr>
            <w:fldChar w:fldCharType="separate"/>
          </w:r>
          <w:r w:rsidR="008F7EB3" w:rsidRPr="003569BE">
            <w:rPr>
              <w:rFonts w:cs="Times New Roman"/>
              <w:noProof/>
              <w:szCs w:val="24"/>
              <w:lang w:val="en-GB"/>
            </w:rPr>
            <w:t>(Cameran, Prencipe, &amp; Trombetta, 2012)</w:t>
          </w:r>
          <w:r w:rsidR="000E4BAF" w:rsidRPr="003569BE">
            <w:rPr>
              <w:rFonts w:cs="Times New Roman"/>
              <w:szCs w:val="24"/>
              <w:lang w:val="en-GB"/>
            </w:rPr>
            <w:fldChar w:fldCharType="end"/>
          </w:r>
        </w:sdtContent>
      </w:sdt>
      <w:r w:rsidR="00115562" w:rsidRPr="003569BE">
        <w:rPr>
          <w:rFonts w:cs="Times New Roman"/>
          <w:szCs w:val="24"/>
          <w:lang w:val="en-GB"/>
        </w:rPr>
        <w:t xml:space="preserve">. </w:t>
      </w:r>
      <w:r w:rsidR="006A1DC6" w:rsidRPr="003569BE">
        <w:rPr>
          <w:rFonts w:cs="Times New Roman"/>
          <w:szCs w:val="24"/>
          <w:lang w:val="en-GB"/>
        </w:rPr>
        <w:t xml:space="preserve">Concerning </w:t>
      </w:r>
      <w:r w:rsidR="009F57F1" w:rsidRPr="003569BE">
        <w:rPr>
          <w:rFonts w:cs="Times New Roman"/>
          <w:szCs w:val="24"/>
          <w:lang w:val="en-GB"/>
        </w:rPr>
        <w:t xml:space="preserve">his test, Cameran et Al. (2012) used </w:t>
      </w:r>
      <w:r w:rsidR="006638AA" w:rsidRPr="003569BE">
        <w:rPr>
          <w:rFonts w:cs="Times New Roman"/>
          <w:szCs w:val="24"/>
          <w:lang w:val="en-GB"/>
        </w:rPr>
        <w:t xml:space="preserve">the </w:t>
      </w:r>
      <w:r w:rsidR="00BD0207" w:rsidRPr="003569BE">
        <w:rPr>
          <w:rFonts w:cs="Times New Roman"/>
          <w:szCs w:val="24"/>
          <w:lang w:val="en-GB"/>
        </w:rPr>
        <w:t>earnings response coefficient (</w:t>
      </w:r>
      <w:r w:rsidR="009F57F1" w:rsidRPr="003569BE">
        <w:rPr>
          <w:rFonts w:cs="Times New Roman"/>
          <w:szCs w:val="24"/>
          <w:lang w:val="en-GB"/>
        </w:rPr>
        <w:t>ERC</w:t>
      </w:r>
      <w:r w:rsidR="00BD0207" w:rsidRPr="003569BE">
        <w:rPr>
          <w:rFonts w:cs="Times New Roman"/>
          <w:szCs w:val="24"/>
          <w:lang w:val="en-GB"/>
        </w:rPr>
        <w:t xml:space="preserve">) </w:t>
      </w:r>
      <w:r w:rsidR="009F57F1" w:rsidRPr="003569BE">
        <w:rPr>
          <w:rFonts w:cs="Times New Roman"/>
          <w:szCs w:val="24"/>
          <w:lang w:val="en-GB"/>
        </w:rPr>
        <w:t xml:space="preserve">as a proxy for the </w:t>
      </w:r>
      <w:r w:rsidR="000A43F5" w:rsidRPr="003569BE">
        <w:rPr>
          <w:rFonts w:cs="Times New Roman"/>
          <w:szCs w:val="24"/>
          <w:lang w:val="en-GB"/>
        </w:rPr>
        <w:t>perceived</w:t>
      </w:r>
      <w:r w:rsidR="009F57F1" w:rsidRPr="003569BE">
        <w:rPr>
          <w:rFonts w:cs="Times New Roman"/>
          <w:szCs w:val="24"/>
          <w:lang w:val="en-GB"/>
        </w:rPr>
        <w:t xml:space="preserve"> audit quality.</w:t>
      </w:r>
    </w:p>
    <w:p w:rsidR="00007DCC" w:rsidRPr="003569BE" w:rsidRDefault="00007DCC" w:rsidP="00B02420">
      <w:pPr>
        <w:spacing w:line="360" w:lineRule="auto"/>
        <w:rPr>
          <w:rFonts w:cs="Times New Roman"/>
          <w:szCs w:val="24"/>
          <w:lang w:val="en-GB"/>
        </w:rPr>
      </w:pPr>
      <w:r w:rsidRPr="003569BE">
        <w:rPr>
          <w:rFonts w:cs="Times New Roman"/>
          <w:szCs w:val="24"/>
          <w:lang w:val="en-GB"/>
        </w:rPr>
        <w:t>Based on the two articles presented before</w:t>
      </w:r>
      <w:r w:rsidR="00466F02" w:rsidRPr="003569BE">
        <w:rPr>
          <w:rFonts w:cs="Times New Roman"/>
          <w:szCs w:val="24"/>
          <w:lang w:val="en-GB"/>
        </w:rPr>
        <w:t>, i.e. Jackson et Al. (2008) and Cameran et Al. (2012)</w:t>
      </w:r>
      <w:r w:rsidRPr="003569BE">
        <w:rPr>
          <w:rFonts w:cs="Times New Roman"/>
          <w:szCs w:val="24"/>
          <w:lang w:val="en-GB"/>
        </w:rPr>
        <w:t xml:space="preserve">, the </w:t>
      </w:r>
      <w:r w:rsidR="00BD0207" w:rsidRPr="003569BE">
        <w:rPr>
          <w:rFonts w:cs="Times New Roman"/>
          <w:szCs w:val="24"/>
          <w:lang w:val="en-GB"/>
        </w:rPr>
        <w:t>finding is</w:t>
      </w:r>
      <w:r w:rsidRPr="003569BE">
        <w:rPr>
          <w:rFonts w:cs="Times New Roman"/>
          <w:szCs w:val="24"/>
          <w:lang w:val="en-GB"/>
        </w:rPr>
        <w:t xml:space="preserve">: no evidence </w:t>
      </w:r>
      <w:r w:rsidR="00BD0207" w:rsidRPr="003569BE">
        <w:rPr>
          <w:rFonts w:cs="Times New Roman"/>
          <w:szCs w:val="24"/>
          <w:lang w:val="en-GB"/>
        </w:rPr>
        <w:t xml:space="preserve">exists </w:t>
      </w:r>
      <w:r w:rsidRPr="003569BE">
        <w:rPr>
          <w:rFonts w:cs="Times New Roman"/>
          <w:szCs w:val="24"/>
          <w:lang w:val="en-GB"/>
        </w:rPr>
        <w:t xml:space="preserve">to support the claim that </w:t>
      </w:r>
      <w:r w:rsidR="00BD0207" w:rsidRPr="003569BE">
        <w:rPr>
          <w:rFonts w:cs="Times New Roman"/>
          <w:szCs w:val="24"/>
          <w:lang w:val="en-GB"/>
        </w:rPr>
        <w:t xml:space="preserve">the </w:t>
      </w:r>
      <w:r w:rsidRPr="003569BE">
        <w:rPr>
          <w:rFonts w:cs="Times New Roman"/>
          <w:szCs w:val="24"/>
          <w:lang w:val="en-GB"/>
        </w:rPr>
        <w:t xml:space="preserve">audit quality will increase when the auditor is required to be rotated. </w:t>
      </w:r>
      <w:r w:rsidR="00BD0207" w:rsidRPr="003569BE">
        <w:rPr>
          <w:rFonts w:cs="Times New Roman"/>
          <w:szCs w:val="24"/>
          <w:lang w:val="en-GB"/>
        </w:rPr>
        <w:t xml:space="preserve">Consequently </w:t>
      </w:r>
      <w:r w:rsidRPr="003569BE">
        <w:rPr>
          <w:rFonts w:cs="Times New Roman"/>
          <w:szCs w:val="24"/>
          <w:lang w:val="en-GB"/>
        </w:rPr>
        <w:t xml:space="preserve">the argument of the advocates of the mandatory audit firm rotation regarding </w:t>
      </w:r>
      <w:r w:rsidR="00BD0207" w:rsidRPr="003569BE">
        <w:rPr>
          <w:rFonts w:cs="Times New Roman"/>
          <w:szCs w:val="24"/>
          <w:lang w:val="en-GB"/>
        </w:rPr>
        <w:t xml:space="preserve">the </w:t>
      </w:r>
      <w:r w:rsidRPr="003569BE">
        <w:rPr>
          <w:rFonts w:cs="Times New Roman"/>
          <w:szCs w:val="24"/>
          <w:lang w:val="en-GB"/>
        </w:rPr>
        <w:t>audit quality is contradicted</w:t>
      </w:r>
      <w:r w:rsidR="00520C6B" w:rsidRPr="003569BE">
        <w:rPr>
          <w:rFonts w:cs="Times New Roman"/>
          <w:szCs w:val="24"/>
          <w:lang w:val="en-GB"/>
        </w:rPr>
        <w:t>.</w:t>
      </w:r>
    </w:p>
    <w:p w:rsidR="00CB09B7" w:rsidRPr="003569BE" w:rsidRDefault="00CB09B7" w:rsidP="0046173B">
      <w:pPr>
        <w:pStyle w:val="Heading2"/>
        <w:numPr>
          <w:ilvl w:val="2"/>
          <w:numId w:val="6"/>
        </w:numPr>
        <w:spacing w:line="360" w:lineRule="auto"/>
        <w:rPr>
          <w:rFonts w:cs="Times New Roman"/>
          <w:sz w:val="24"/>
          <w:szCs w:val="24"/>
          <w:lang w:val="en-GB"/>
        </w:rPr>
      </w:pPr>
      <w:bookmarkStart w:id="37" w:name="_Toc396633569"/>
      <w:r w:rsidRPr="003569BE">
        <w:rPr>
          <w:rFonts w:cs="Times New Roman"/>
          <w:sz w:val="24"/>
          <w:szCs w:val="24"/>
          <w:lang w:val="en-GB"/>
        </w:rPr>
        <w:t xml:space="preserve">The effect of </w:t>
      </w:r>
      <w:r w:rsidR="00E70F7B" w:rsidRPr="003569BE">
        <w:rPr>
          <w:rFonts w:cs="Times New Roman"/>
          <w:sz w:val="24"/>
          <w:szCs w:val="24"/>
          <w:lang w:val="en-GB"/>
        </w:rPr>
        <w:t>auditors’ behaviour</w:t>
      </w:r>
      <w:r w:rsidRPr="003569BE">
        <w:rPr>
          <w:rFonts w:cs="Times New Roman"/>
          <w:sz w:val="24"/>
          <w:szCs w:val="24"/>
          <w:lang w:val="en-GB"/>
        </w:rPr>
        <w:t xml:space="preserve"> on </w:t>
      </w:r>
      <w:r w:rsidR="00BD0207" w:rsidRPr="003569BE">
        <w:rPr>
          <w:rFonts w:cs="Times New Roman"/>
          <w:sz w:val="24"/>
          <w:szCs w:val="24"/>
          <w:lang w:val="en-GB"/>
        </w:rPr>
        <w:t xml:space="preserve">the use of </w:t>
      </w:r>
      <w:r w:rsidRPr="003569BE">
        <w:rPr>
          <w:rFonts w:cs="Times New Roman"/>
          <w:sz w:val="24"/>
          <w:szCs w:val="24"/>
          <w:lang w:val="en-GB"/>
        </w:rPr>
        <w:t>earnings management</w:t>
      </w:r>
      <w:bookmarkEnd w:id="37"/>
    </w:p>
    <w:p w:rsidR="006810D7" w:rsidRPr="003569BE" w:rsidRDefault="006810D7" w:rsidP="006810D7">
      <w:pPr>
        <w:spacing w:line="360" w:lineRule="auto"/>
        <w:rPr>
          <w:rFonts w:cs="Times New Roman"/>
          <w:b/>
          <w:szCs w:val="24"/>
          <w:u w:val="single"/>
          <w:lang w:val="en-GB"/>
        </w:rPr>
      </w:pPr>
      <w:r w:rsidRPr="003569BE">
        <w:rPr>
          <w:rFonts w:cs="Times New Roman"/>
          <w:b/>
          <w:i/>
          <w:szCs w:val="24"/>
          <w:u w:val="single"/>
          <w:lang w:val="en-GB"/>
        </w:rPr>
        <w:t>“The Effect of Audit Quality on Earnings Management”</w:t>
      </w:r>
      <w:r w:rsidRPr="003569BE">
        <w:rPr>
          <w:rFonts w:cs="Times New Roman"/>
          <w:b/>
          <w:szCs w:val="24"/>
          <w:u w:val="single"/>
          <w:lang w:val="en-GB"/>
        </w:rPr>
        <w:t xml:space="preserve"> by Becker et Al. (1998)</w:t>
      </w:r>
    </w:p>
    <w:p w:rsidR="00905C61" w:rsidRPr="003569BE" w:rsidRDefault="00AE5ECE" w:rsidP="006810D7">
      <w:pPr>
        <w:spacing w:line="360" w:lineRule="auto"/>
        <w:rPr>
          <w:rFonts w:cs="Times New Roman"/>
          <w:szCs w:val="24"/>
          <w:lang w:val="en-GB"/>
        </w:rPr>
      </w:pPr>
      <w:r w:rsidRPr="003569BE">
        <w:rPr>
          <w:rFonts w:cs="Times New Roman"/>
          <w:szCs w:val="24"/>
          <w:lang w:val="en-GB"/>
        </w:rPr>
        <w:t xml:space="preserve">This research paper investigates the relationship between </w:t>
      </w:r>
      <w:r w:rsidR="00BD0207" w:rsidRPr="003569BE">
        <w:rPr>
          <w:rFonts w:cs="Times New Roman"/>
          <w:szCs w:val="24"/>
          <w:lang w:val="en-GB"/>
        </w:rPr>
        <w:t xml:space="preserve">the </w:t>
      </w:r>
      <w:r w:rsidRPr="003569BE">
        <w:rPr>
          <w:rFonts w:cs="Times New Roman"/>
          <w:szCs w:val="24"/>
          <w:lang w:val="en-GB"/>
        </w:rPr>
        <w:t xml:space="preserve">audit quality and the use of earnings management. </w:t>
      </w:r>
      <w:r w:rsidR="00BD0207" w:rsidRPr="003569BE">
        <w:rPr>
          <w:rFonts w:cs="Times New Roman"/>
          <w:szCs w:val="24"/>
          <w:lang w:val="en-GB"/>
        </w:rPr>
        <w:t xml:space="preserve">Since it measures the use of earnings management through the use of discretionary accruals, which are determined from a cross-sectional version of the Jones </w:t>
      </w:r>
      <w:r w:rsidR="00BD0207" w:rsidRPr="003569BE">
        <w:rPr>
          <w:rFonts w:cs="Times New Roman"/>
          <w:szCs w:val="24"/>
          <w:lang w:val="en-GB"/>
        </w:rPr>
        <w:lastRenderedPageBreak/>
        <w:t xml:space="preserve">(1991) model, this </w:t>
      </w:r>
      <w:r w:rsidR="0010661E" w:rsidRPr="003569BE">
        <w:rPr>
          <w:rFonts w:cs="Times New Roman"/>
          <w:szCs w:val="24"/>
          <w:lang w:val="en-GB"/>
        </w:rPr>
        <w:t>study has an important relevance towards this thesis</w:t>
      </w:r>
      <w:r w:rsidR="00BD0207" w:rsidRPr="003569BE">
        <w:rPr>
          <w:rFonts w:cs="Times New Roman"/>
          <w:szCs w:val="24"/>
          <w:lang w:val="en-GB"/>
        </w:rPr>
        <w:t xml:space="preserve">. </w:t>
      </w:r>
      <w:r w:rsidR="0010661E" w:rsidRPr="003569BE">
        <w:rPr>
          <w:rFonts w:cs="Times New Roman"/>
          <w:szCs w:val="24"/>
          <w:lang w:val="en-GB"/>
        </w:rPr>
        <w:t xml:space="preserve">. Moreover, </w:t>
      </w:r>
      <w:r w:rsidR="00AF58EF" w:rsidRPr="003569BE">
        <w:rPr>
          <w:rFonts w:cs="Times New Roman"/>
          <w:szCs w:val="24"/>
          <w:lang w:val="en-GB"/>
        </w:rPr>
        <w:t xml:space="preserve">together with the previous papers on </w:t>
      </w:r>
      <w:r w:rsidR="00BD0207" w:rsidRPr="003569BE">
        <w:rPr>
          <w:rFonts w:cs="Times New Roman"/>
          <w:szCs w:val="24"/>
          <w:lang w:val="en-GB"/>
        </w:rPr>
        <w:t xml:space="preserve">the </w:t>
      </w:r>
      <w:r w:rsidR="00AF58EF" w:rsidRPr="003569BE">
        <w:rPr>
          <w:rFonts w:cs="Times New Roman"/>
          <w:szCs w:val="24"/>
          <w:lang w:val="en-GB"/>
        </w:rPr>
        <w:t>audit quality</w:t>
      </w:r>
      <w:r w:rsidR="00214C1B" w:rsidRPr="003569BE">
        <w:rPr>
          <w:rFonts w:cs="Times New Roman"/>
          <w:szCs w:val="24"/>
          <w:lang w:val="en-GB"/>
        </w:rPr>
        <w:t xml:space="preserve">, it provides essential insights regarding the answer to the </w:t>
      </w:r>
      <w:r w:rsidR="00861529" w:rsidRPr="003569BE">
        <w:rPr>
          <w:rFonts w:cs="Times New Roman"/>
          <w:szCs w:val="24"/>
          <w:lang w:val="en-GB"/>
        </w:rPr>
        <w:t xml:space="preserve">main </w:t>
      </w:r>
      <w:r w:rsidR="00214C1B" w:rsidRPr="003569BE">
        <w:rPr>
          <w:rFonts w:cs="Times New Roman"/>
          <w:szCs w:val="24"/>
          <w:lang w:val="en-GB"/>
        </w:rPr>
        <w:t>research question of this thesis.</w:t>
      </w:r>
      <w:r w:rsidR="001253DB" w:rsidRPr="003569BE">
        <w:rPr>
          <w:rFonts w:cs="Times New Roman"/>
          <w:szCs w:val="24"/>
          <w:lang w:val="en-GB"/>
        </w:rPr>
        <w:t xml:space="preserve"> </w:t>
      </w:r>
    </w:p>
    <w:p w:rsidR="007F72A7" w:rsidRPr="003569BE" w:rsidRDefault="001253DB" w:rsidP="006810D7">
      <w:pPr>
        <w:spacing w:line="360" w:lineRule="auto"/>
        <w:rPr>
          <w:rFonts w:cs="Times New Roman"/>
          <w:szCs w:val="24"/>
          <w:lang w:val="en-GB"/>
        </w:rPr>
      </w:pPr>
      <w:r w:rsidRPr="003569BE">
        <w:rPr>
          <w:rFonts w:cs="Times New Roman"/>
          <w:szCs w:val="24"/>
          <w:lang w:val="en-GB"/>
        </w:rPr>
        <w:t>In addition, this paper analys</w:t>
      </w:r>
      <w:r w:rsidR="00C04CCE" w:rsidRPr="003569BE">
        <w:rPr>
          <w:rFonts w:cs="Times New Roman"/>
          <w:szCs w:val="24"/>
          <w:lang w:val="en-GB"/>
        </w:rPr>
        <w:t>es</w:t>
      </w:r>
      <w:r w:rsidRPr="003569BE">
        <w:rPr>
          <w:rFonts w:cs="Times New Roman"/>
          <w:szCs w:val="24"/>
          <w:lang w:val="en-GB"/>
        </w:rPr>
        <w:t xml:space="preserve"> one external factor, i.e. the quality of the auditor, </w:t>
      </w:r>
      <w:r w:rsidR="00E81D37" w:rsidRPr="003569BE">
        <w:rPr>
          <w:rFonts w:cs="Times New Roman"/>
          <w:szCs w:val="24"/>
          <w:lang w:val="en-GB"/>
        </w:rPr>
        <w:t>which</w:t>
      </w:r>
      <w:r w:rsidRPr="003569BE">
        <w:rPr>
          <w:rFonts w:cs="Times New Roman"/>
          <w:szCs w:val="24"/>
          <w:lang w:val="en-GB"/>
        </w:rPr>
        <w:t xml:space="preserve"> restricts the use of earnings management, unlike </w:t>
      </w:r>
      <w:r w:rsidR="00BD0207" w:rsidRPr="003569BE">
        <w:rPr>
          <w:rFonts w:cs="Times New Roman"/>
          <w:szCs w:val="24"/>
          <w:lang w:val="en-GB"/>
        </w:rPr>
        <w:t xml:space="preserve">many </w:t>
      </w:r>
      <w:r w:rsidRPr="003569BE">
        <w:rPr>
          <w:rFonts w:cs="Times New Roman"/>
          <w:szCs w:val="24"/>
          <w:lang w:val="en-GB"/>
        </w:rPr>
        <w:t>other research papers</w:t>
      </w:r>
      <w:r w:rsidR="00BD0207" w:rsidRPr="003569BE">
        <w:rPr>
          <w:rFonts w:cs="Times New Roman"/>
          <w:szCs w:val="24"/>
          <w:lang w:val="en-GB"/>
        </w:rPr>
        <w:t xml:space="preserve"> that </w:t>
      </w:r>
      <w:r w:rsidRPr="003569BE">
        <w:rPr>
          <w:rFonts w:cs="Times New Roman"/>
          <w:szCs w:val="24"/>
          <w:lang w:val="en-GB"/>
        </w:rPr>
        <w:t xml:space="preserve">focus more on the incentives of the managers to engage in earnings management. </w:t>
      </w:r>
    </w:p>
    <w:p w:rsidR="00FA0B23" w:rsidRPr="003569BE" w:rsidRDefault="00FA0B23" w:rsidP="006810D7">
      <w:pPr>
        <w:spacing w:line="360" w:lineRule="auto"/>
        <w:rPr>
          <w:rFonts w:cs="Times New Roman"/>
          <w:szCs w:val="24"/>
          <w:lang w:val="en-GB"/>
        </w:rPr>
      </w:pPr>
      <w:r w:rsidRPr="003569BE">
        <w:rPr>
          <w:rFonts w:cs="Times New Roman"/>
          <w:szCs w:val="24"/>
          <w:lang w:val="en-GB"/>
        </w:rPr>
        <w:t>They use a dummy variable as a proxy for audit quality, considering Big Six auditors as higher quality auditors than non-Big Six auditors.</w:t>
      </w:r>
      <w:r w:rsidR="0069416F" w:rsidRPr="003569BE">
        <w:rPr>
          <w:rFonts w:cs="Times New Roman"/>
          <w:szCs w:val="24"/>
          <w:lang w:val="en-GB"/>
        </w:rPr>
        <w:t xml:space="preserve"> </w:t>
      </w:r>
      <w:r w:rsidR="00E66165" w:rsidRPr="003569BE">
        <w:rPr>
          <w:rFonts w:cs="Times New Roman"/>
          <w:szCs w:val="24"/>
          <w:lang w:val="en-GB"/>
        </w:rPr>
        <w:t>As for detecting and measuring the use of earnings management, Becker et Al. (1998) use a modified version of the Jones model.</w:t>
      </w:r>
    </w:p>
    <w:p w:rsidR="001C7571" w:rsidRPr="003569BE" w:rsidRDefault="00F271DB" w:rsidP="006810D7">
      <w:pPr>
        <w:spacing w:line="360" w:lineRule="auto"/>
        <w:rPr>
          <w:rFonts w:cs="Times New Roman"/>
          <w:szCs w:val="24"/>
          <w:lang w:val="en-GB"/>
        </w:rPr>
      </w:pPr>
      <w:r w:rsidRPr="003569BE">
        <w:rPr>
          <w:rFonts w:cs="Times New Roman"/>
          <w:szCs w:val="24"/>
          <w:lang w:val="en-GB"/>
        </w:rPr>
        <w:t xml:space="preserve">In order to test the hypothesis, Becker et Al. (1998) use a sample of more than 10.000 </w:t>
      </w:r>
      <w:r w:rsidR="008E25ED" w:rsidRPr="003569BE">
        <w:rPr>
          <w:rFonts w:cs="Times New Roman"/>
          <w:szCs w:val="24"/>
          <w:lang w:val="en-GB"/>
        </w:rPr>
        <w:t xml:space="preserve">non-financial </w:t>
      </w:r>
      <w:r w:rsidRPr="003569BE">
        <w:rPr>
          <w:rFonts w:cs="Times New Roman"/>
          <w:szCs w:val="24"/>
          <w:lang w:val="en-GB"/>
        </w:rPr>
        <w:t>firm year observations</w:t>
      </w:r>
      <w:r w:rsidR="00170D88" w:rsidRPr="003569BE">
        <w:rPr>
          <w:rFonts w:cs="Times New Roman"/>
          <w:szCs w:val="24"/>
          <w:lang w:val="en-GB"/>
        </w:rPr>
        <w:t>, collecting the data from</w:t>
      </w:r>
      <w:r w:rsidR="00524B80" w:rsidRPr="003569BE">
        <w:rPr>
          <w:rFonts w:cs="Times New Roman"/>
          <w:szCs w:val="24"/>
          <w:lang w:val="en-GB"/>
        </w:rPr>
        <w:t xml:space="preserve"> the Compustat database for a period of four years: 1989-1992.</w:t>
      </w:r>
    </w:p>
    <w:p w:rsidR="005808AC" w:rsidRPr="003569BE" w:rsidRDefault="005808AC" w:rsidP="006810D7">
      <w:pPr>
        <w:spacing w:line="360" w:lineRule="auto"/>
        <w:rPr>
          <w:rFonts w:cs="Times New Roman"/>
          <w:szCs w:val="24"/>
          <w:lang w:val="en-GB"/>
        </w:rPr>
      </w:pPr>
      <w:r w:rsidRPr="003569BE">
        <w:rPr>
          <w:rFonts w:cs="Times New Roman"/>
          <w:szCs w:val="24"/>
          <w:lang w:val="en-GB"/>
        </w:rPr>
        <w:t xml:space="preserve">The findings of Becker et Al. (1998) suggest a significant negative association between </w:t>
      </w:r>
      <w:r w:rsidR="00BD0207" w:rsidRPr="003569BE">
        <w:rPr>
          <w:rFonts w:cs="Times New Roman"/>
          <w:szCs w:val="24"/>
          <w:lang w:val="en-GB"/>
        </w:rPr>
        <w:t xml:space="preserve">the </w:t>
      </w:r>
      <w:r w:rsidRPr="003569BE">
        <w:rPr>
          <w:rFonts w:cs="Times New Roman"/>
          <w:szCs w:val="24"/>
          <w:lang w:val="en-GB"/>
        </w:rPr>
        <w:t>audit quality and the use of earnings management. In other words, they found evidence to support the claim that non-Big Six auditors’ clients report a significantly higher amount of discretionary accruals, compared with Big Six auditors’ clients</w:t>
      </w:r>
      <w:r w:rsidR="006F1B16" w:rsidRPr="003569BE">
        <w:rPr>
          <w:rFonts w:cs="Times New Roman"/>
          <w:szCs w:val="24"/>
          <w:lang w:val="en-GB"/>
        </w:rPr>
        <w:t xml:space="preserve"> </w:t>
      </w:r>
      <w:sdt>
        <w:sdtPr>
          <w:rPr>
            <w:rFonts w:cs="Times New Roman"/>
            <w:szCs w:val="24"/>
            <w:lang w:val="en-GB"/>
          </w:rPr>
          <w:id w:val="-1438283832"/>
          <w:citation/>
        </w:sdtPr>
        <w:sdtContent>
          <w:r w:rsidR="000E4BAF" w:rsidRPr="003569BE">
            <w:rPr>
              <w:rFonts w:cs="Times New Roman"/>
              <w:szCs w:val="24"/>
              <w:lang w:val="en-GB"/>
            </w:rPr>
            <w:fldChar w:fldCharType="begin"/>
          </w:r>
          <w:r w:rsidR="006F1B16" w:rsidRPr="003569BE">
            <w:rPr>
              <w:rFonts w:cs="Times New Roman"/>
              <w:szCs w:val="24"/>
              <w:lang w:val="en-GB"/>
            </w:rPr>
            <w:instrText xml:space="preserve"> CITATION Bec98 \l 1033 </w:instrText>
          </w:r>
          <w:r w:rsidR="000E4BAF" w:rsidRPr="003569BE">
            <w:rPr>
              <w:rFonts w:cs="Times New Roman"/>
              <w:szCs w:val="24"/>
              <w:lang w:val="en-GB"/>
            </w:rPr>
            <w:fldChar w:fldCharType="separate"/>
          </w:r>
          <w:r w:rsidR="008F7EB3" w:rsidRPr="003569BE">
            <w:rPr>
              <w:rFonts w:cs="Times New Roman"/>
              <w:noProof/>
              <w:szCs w:val="24"/>
              <w:lang w:val="en-GB"/>
            </w:rPr>
            <w:t>(Becker, Defond, Jiambalvo, &amp; Subramanyam, 1998)</w:t>
          </w:r>
          <w:r w:rsidR="000E4BAF" w:rsidRPr="003569BE">
            <w:rPr>
              <w:rFonts w:cs="Times New Roman"/>
              <w:szCs w:val="24"/>
              <w:lang w:val="en-GB"/>
            </w:rPr>
            <w:fldChar w:fldCharType="end"/>
          </w:r>
        </w:sdtContent>
      </w:sdt>
      <w:r w:rsidRPr="003569BE">
        <w:rPr>
          <w:rFonts w:cs="Times New Roman"/>
          <w:szCs w:val="24"/>
          <w:lang w:val="en-GB"/>
        </w:rPr>
        <w:t>.</w:t>
      </w:r>
      <w:r w:rsidR="00A55C14" w:rsidRPr="003569BE">
        <w:rPr>
          <w:rFonts w:cs="Times New Roman"/>
          <w:szCs w:val="24"/>
          <w:lang w:val="en-GB"/>
        </w:rPr>
        <w:t xml:space="preserve"> </w:t>
      </w:r>
      <w:r w:rsidR="002F6DD8" w:rsidRPr="003569BE">
        <w:rPr>
          <w:rFonts w:cs="Times New Roman"/>
          <w:szCs w:val="24"/>
          <w:lang w:val="en-GB"/>
        </w:rPr>
        <w:t xml:space="preserve">Assuming that </w:t>
      </w:r>
      <w:r w:rsidR="00782ECD" w:rsidRPr="003569BE">
        <w:rPr>
          <w:rFonts w:cs="Times New Roman"/>
          <w:szCs w:val="24"/>
          <w:lang w:val="en-GB"/>
        </w:rPr>
        <w:t>audit quality improves when a mandatory audit firm rotation rule is in place, this paper supports the claims of the advocates of the mandatory audit firm rotation.</w:t>
      </w:r>
    </w:p>
    <w:p w:rsidR="00C41398" w:rsidRPr="003569BE" w:rsidRDefault="00BD0207" w:rsidP="00C41398">
      <w:pPr>
        <w:spacing w:line="360" w:lineRule="auto"/>
        <w:rPr>
          <w:rFonts w:cs="Times New Roman"/>
          <w:szCs w:val="24"/>
          <w:lang w:val="en-GB"/>
        </w:rPr>
      </w:pPr>
      <w:r w:rsidRPr="003569BE">
        <w:rPr>
          <w:rFonts w:cs="Times New Roman"/>
          <w:szCs w:val="24"/>
          <w:lang w:val="en-GB"/>
        </w:rPr>
        <w:t xml:space="preserve">Based on the evidence before </w:t>
      </w:r>
      <w:r w:rsidR="00CF484D" w:rsidRPr="003569BE">
        <w:rPr>
          <w:rFonts w:cs="Times New Roman"/>
          <w:szCs w:val="24"/>
          <w:lang w:val="en-GB"/>
        </w:rPr>
        <w:t>it is essential to have a proper understanding of the insights provided by the three papers signalled in subchapter 4.2</w:t>
      </w:r>
      <w:r w:rsidR="00815A91" w:rsidRPr="003569BE">
        <w:rPr>
          <w:rFonts w:cs="Times New Roman"/>
          <w:szCs w:val="24"/>
          <w:lang w:val="en-GB"/>
        </w:rPr>
        <w:t>.</w:t>
      </w:r>
      <w:r w:rsidR="002D36A7" w:rsidRPr="003569BE">
        <w:rPr>
          <w:rFonts w:cs="Times New Roman"/>
          <w:szCs w:val="24"/>
          <w:lang w:val="en-GB"/>
        </w:rPr>
        <w:t xml:space="preserve"> </w:t>
      </w:r>
      <w:r w:rsidR="005908C4" w:rsidRPr="003569BE">
        <w:rPr>
          <w:rFonts w:cs="Times New Roman"/>
          <w:szCs w:val="24"/>
          <w:lang w:val="en-GB"/>
        </w:rPr>
        <w:t xml:space="preserve">To summarize, </w:t>
      </w:r>
      <w:r w:rsidR="00895001" w:rsidRPr="003569BE">
        <w:rPr>
          <w:rFonts w:cs="Times New Roman"/>
          <w:szCs w:val="24"/>
          <w:lang w:val="en-GB"/>
        </w:rPr>
        <w:t>the first two papers, i.e. Jackson et Al. (2008) and Cameran et Al. (2012</w:t>
      </w:r>
      <w:r w:rsidR="00BB4CB4" w:rsidRPr="003569BE">
        <w:rPr>
          <w:rFonts w:cs="Times New Roman"/>
          <w:szCs w:val="24"/>
          <w:lang w:val="en-GB"/>
        </w:rPr>
        <w:t xml:space="preserve">), </w:t>
      </w:r>
      <w:r w:rsidR="003D4E01" w:rsidRPr="003569BE">
        <w:rPr>
          <w:rFonts w:cs="Times New Roman"/>
          <w:szCs w:val="24"/>
          <w:lang w:val="en-GB"/>
        </w:rPr>
        <w:t xml:space="preserve">found no evidence </w:t>
      </w:r>
      <w:r w:rsidRPr="003569BE">
        <w:rPr>
          <w:rFonts w:cs="Times New Roman"/>
          <w:szCs w:val="24"/>
          <w:lang w:val="en-GB"/>
        </w:rPr>
        <w:t xml:space="preserve">concerning </w:t>
      </w:r>
      <w:r w:rsidR="003D4E01" w:rsidRPr="003569BE">
        <w:rPr>
          <w:rFonts w:cs="Times New Roman"/>
          <w:szCs w:val="24"/>
          <w:lang w:val="en-GB"/>
        </w:rPr>
        <w:t xml:space="preserve">a positive association between </w:t>
      </w:r>
      <w:r w:rsidRPr="003569BE">
        <w:rPr>
          <w:rFonts w:cs="Times New Roman"/>
          <w:szCs w:val="24"/>
          <w:lang w:val="en-GB"/>
        </w:rPr>
        <w:t xml:space="preserve">the </w:t>
      </w:r>
      <w:r w:rsidR="003D4E01" w:rsidRPr="003569BE">
        <w:rPr>
          <w:rFonts w:cs="Times New Roman"/>
          <w:szCs w:val="24"/>
          <w:lang w:val="en-GB"/>
        </w:rPr>
        <w:t xml:space="preserve">mandatory audit firm rotation and the quality of </w:t>
      </w:r>
      <w:r w:rsidRPr="003569BE">
        <w:rPr>
          <w:rFonts w:cs="Times New Roman"/>
          <w:szCs w:val="24"/>
          <w:lang w:val="en-GB"/>
        </w:rPr>
        <w:t xml:space="preserve">the </w:t>
      </w:r>
      <w:r w:rsidR="003D4E01" w:rsidRPr="003569BE">
        <w:rPr>
          <w:rFonts w:cs="Times New Roman"/>
          <w:szCs w:val="24"/>
          <w:lang w:val="en-GB"/>
        </w:rPr>
        <w:t>audit.</w:t>
      </w:r>
      <w:r w:rsidR="00821A3A" w:rsidRPr="003569BE">
        <w:rPr>
          <w:rFonts w:cs="Times New Roman"/>
          <w:szCs w:val="24"/>
          <w:lang w:val="en-GB"/>
        </w:rPr>
        <w:t xml:space="preserve"> </w:t>
      </w:r>
      <w:r w:rsidR="00140AD2" w:rsidRPr="003569BE">
        <w:rPr>
          <w:rFonts w:cs="Times New Roman"/>
          <w:szCs w:val="24"/>
          <w:lang w:val="en-GB"/>
        </w:rPr>
        <w:t xml:space="preserve">However, the results of the paper </w:t>
      </w:r>
      <w:r w:rsidRPr="003569BE">
        <w:rPr>
          <w:rFonts w:cs="Times New Roman"/>
          <w:szCs w:val="24"/>
          <w:lang w:val="en-GB"/>
        </w:rPr>
        <w:t xml:space="preserve">by </w:t>
      </w:r>
      <w:r w:rsidR="00140AD2" w:rsidRPr="003569BE">
        <w:rPr>
          <w:rFonts w:cs="Times New Roman"/>
          <w:szCs w:val="24"/>
          <w:lang w:val="en-GB"/>
        </w:rPr>
        <w:t xml:space="preserve">Jackson et Al. (1998) suggest </w:t>
      </w:r>
      <w:r w:rsidR="00406CC5" w:rsidRPr="003569BE">
        <w:rPr>
          <w:rFonts w:cs="Times New Roman"/>
          <w:szCs w:val="24"/>
          <w:lang w:val="en-GB"/>
        </w:rPr>
        <w:t>that the higher the audit quality, the lower the magnitude of the use of earnings management.</w:t>
      </w:r>
      <w:r w:rsidR="005E7C6B" w:rsidRPr="003569BE">
        <w:rPr>
          <w:rFonts w:cs="Times New Roman"/>
          <w:szCs w:val="24"/>
          <w:lang w:val="en-GB"/>
        </w:rPr>
        <w:t xml:space="preserve"> </w:t>
      </w:r>
      <w:r w:rsidR="00EA32E9" w:rsidRPr="003569BE">
        <w:rPr>
          <w:rFonts w:cs="Times New Roman"/>
          <w:szCs w:val="24"/>
          <w:lang w:val="en-GB"/>
        </w:rPr>
        <w:t xml:space="preserve">It is </w:t>
      </w:r>
      <w:r w:rsidR="00657A7E" w:rsidRPr="003569BE">
        <w:rPr>
          <w:rFonts w:cs="Times New Roman"/>
          <w:szCs w:val="24"/>
          <w:lang w:val="en-GB"/>
        </w:rPr>
        <w:t xml:space="preserve">rather </w:t>
      </w:r>
      <w:r w:rsidR="00EA32E9" w:rsidRPr="003569BE">
        <w:rPr>
          <w:rFonts w:cs="Times New Roman"/>
          <w:szCs w:val="24"/>
          <w:lang w:val="en-GB"/>
        </w:rPr>
        <w:t>difficult</w:t>
      </w:r>
      <w:r w:rsidR="00A855C9" w:rsidRPr="003569BE">
        <w:rPr>
          <w:rFonts w:cs="Times New Roman"/>
          <w:szCs w:val="24"/>
          <w:lang w:val="en-GB"/>
        </w:rPr>
        <w:t xml:space="preserve"> only based on these papers </w:t>
      </w:r>
      <w:r w:rsidR="00EA32E9" w:rsidRPr="003569BE">
        <w:rPr>
          <w:rFonts w:cs="Times New Roman"/>
          <w:szCs w:val="24"/>
          <w:lang w:val="en-GB"/>
        </w:rPr>
        <w:t xml:space="preserve">to assess the relationship between </w:t>
      </w:r>
      <w:r w:rsidRPr="003569BE">
        <w:rPr>
          <w:rFonts w:cs="Times New Roman"/>
          <w:szCs w:val="24"/>
          <w:lang w:val="en-GB"/>
        </w:rPr>
        <w:t xml:space="preserve">the </w:t>
      </w:r>
      <w:r w:rsidR="00EA32E9" w:rsidRPr="003569BE">
        <w:rPr>
          <w:rFonts w:cs="Times New Roman"/>
          <w:szCs w:val="24"/>
          <w:lang w:val="en-GB"/>
        </w:rPr>
        <w:t>mandatory audit firm rotation and the management’s behaviour in terms of the use of earnings management</w:t>
      </w:r>
      <w:r w:rsidR="000F42D0" w:rsidRPr="003569BE">
        <w:rPr>
          <w:rFonts w:cs="Times New Roman"/>
          <w:szCs w:val="24"/>
          <w:lang w:val="en-GB"/>
        </w:rPr>
        <w:t xml:space="preserve">. </w:t>
      </w:r>
      <w:r w:rsidR="00A855C9" w:rsidRPr="003569BE">
        <w:rPr>
          <w:rFonts w:cs="Times New Roman"/>
          <w:szCs w:val="24"/>
          <w:lang w:val="en-GB"/>
        </w:rPr>
        <w:t>Consequently</w:t>
      </w:r>
      <w:r w:rsidR="0020714F" w:rsidRPr="003569BE">
        <w:rPr>
          <w:rFonts w:cs="Times New Roman"/>
          <w:szCs w:val="24"/>
          <w:lang w:val="en-GB"/>
        </w:rPr>
        <w:t xml:space="preserve">, the </w:t>
      </w:r>
      <w:r w:rsidR="00A855C9" w:rsidRPr="003569BE">
        <w:rPr>
          <w:rFonts w:cs="Times New Roman"/>
          <w:szCs w:val="24"/>
          <w:lang w:val="en-GB"/>
        </w:rPr>
        <w:t xml:space="preserve">next </w:t>
      </w:r>
      <w:r w:rsidR="0020714F" w:rsidRPr="003569BE">
        <w:rPr>
          <w:rFonts w:cs="Times New Roman"/>
          <w:szCs w:val="24"/>
          <w:lang w:val="en-GB"/>
        </w:rPr>
        <w:t xml:space="preserve">section will provide insights from additional papers related to </w:t>
      </w:r>
      <w:r w:rsidR="00A855C9" w:rsidRPr="003569BE">
        <w:rPr>
          <w:rFonts w:cs="Times New Roman"/>
          <w:szCs w:val="24"/>
          <w:lang w:val="en-GB"/>
        </w:rPr>
        <w:t xml:space="preserve">the </w:t>
      </w:r>
      <w:r w:rsidR="0020714F" w:rsidRPr="003569BE">
        <w:rPr>
          <w:rFonts w:cs="Times New Roman"/>
          <w:szCs w:val="24"/>
          <w:lang w:val="en-GB"/>
        </w:rPr>
        <w:t xml:space="preserve">audit tenure, which </w:t>
      </w:r>
      <w:r w:rsidR="00A855C9" w:rsidRPr="003569BE">
        <w:rPr>
          <w:rFonts w:cs="Times New Roman"/>
          <w:szCs w:val="24"/>
          <w:lang w:val="en-GB"/>
        </w:rPr>
        <w:t xml:space="preserve">is </w:t>
      </w:r>
      <w:r w:rsidR="0020714F" w:rsidRPr="003569BE">
        <w:rPr>
          <w:rFonts w:cs="Times New Roman"/>
          <w:szCs w:val="24"/>
          <w:lang w:val="en-GB"/>
        </w:rPr>
        <w:t xml:space="preserve">considered of high relevance </w:t>
      </w:r>
      <w:r w:rsidR="00A855C9" w:rsidRPr="003569BE">
        <w:rPr>
          <w:rFonts w:cs="Times New Roman"/>
          <w:szCs w:val="24"/>
          <w:lang w:val="en-GB"/>
        </w:rPr>
        <w:t xml:space="preserve">concerning </w:t>
      </w:r>
      <w:r w:rsidR="0020714F" w:rsidRPr="003569BE">
        <w:rPr>
          <w:rFonts w:cs="Times New Roman"/>
          <w:szCs w:val="24"/>
          <w:lang w:val="en-GB"/>
        </w:rPr>
        <w:t>this thesis.</w:t>
      </w:r>
    </w:p>
    <w:p w:rsidR="000701B6" w:rsidRPr="003569BE" w:rsidRDefault="000701B6" w:rsidP="00C41398">
      <w:pPr>
        <w:spacing w:line="360" w:lineRule="auto"/>
        <w:rPr>
          <w:rFonts w:cs="Times New Roman"/>
          <w:szCs w:val="24"/>
          <w:lang w:val="en-GB"/>
        </w:rPr>
      </w:pPr>
    </w:p>
    <w:p w:rsidR="006B2172" w:rsidRPr="003569BE" w:rsidRDefault="006B2172" w:rsidP="0046173B">
      <w:pPr>
        <w:pStyle w:val="Heading2"/>
        <w:numPr>
          <w:ilvl w:val="1"/>
          <w:numId w:val="6"/>
        </w:numPr>
        <w:spacing w:line="360" w:lineRule="auto"/>
        <w:rPr>
          <w:rFonts w:cs="Times New Roman"/>
          <w:sz w:val="24"/>
          <w:szCs w:val="24"/>
          <w:lang w:val="en-GB"/>
        </w:rPr>
      </w:pPr>
      <w:bookmarkStart w:id="38" w:name="_Toc396633570"/>
      <w:r w:rsidRPr="003569BE">
        <w:rPr>
          <w:rFonts w:cs="Times New Roman"/>
          <w:sz w:val="24"/>
          <w:szCs w:val="24"/>
          <w:lang w:val="en-GB"/>
        </w:rPr>
        <w:lastRenderedPageBreak/>
        <w:t xml:space="preserve">The relationship between </w:t>
      </w:r>
      <w:r w:rsidR="00A855C9" w:rsidRPr="003569BE">
        <w:rPr>
          <w:rFonts w:cs="Times New Roman"/>
          <w:sz w:val="24"/>
          <w:szCs w:val="24"/>
          <w:lang w:val="en-GB"/>
        </w:rPr>
        <w:t xml:space="preserve">the </w:t>
      </w:r>
      <w:r w:rsidRPr="003569BE">
        <w:rPr>
          <w:rFonts w:cs="Times New Roman"/>
          <w:sz w:val="24"/>
          <w:szCs w:val="24"/>
          <w:lang w:val="en-GB"/>
        </w:rPr>
        <w:t>audit tenure and the use of earnings management</w:t>
      </w:r>
      <w:bookmarkEnd w:id="38"/>
    </w:p>
    <w:p w:rsidR="001F1834" w:rsidRPr="003569BE" w:rsidRDefault="001F1834" w:rsidP="001F1834">
      <w:pPr>
        <w:spacing w:line="360" w:lineRule="auto"/>
        <w:rPr>
          <w:rFonts w:cs="Times New Roman"/>
          <w:b/>
          <w:szCs w:val="24"/>
          <w:u w:val="single"/>
          <w:lang w:val="en-GB"/>
        </w:rPr>
      </w:pPr>
      <w:r w:rsidRPr="003569BE">
        <w:rPr>
          <w:rFonts w:cs="Times New Roman"/>
          <w:b/>
          <w:i/>
          <w:szCs w:val="24"/>
          <w:u w:val="single"/>
          <w:lang w:val="en-GB"/>
        </w:rPr>
        <w:t>“Auditor Tenure, Auditor Independence and Earnings Management”</w:t>
      </w:r>
      <w:r w:rsidRPr="003569BE">
        <w:rPr>
          <w:rFonts w:cs="Times New Roman"/>
          <w:b/>
          <w:szCs w:val="24"/>
          <w:u w:val="single"/>
          <w:lang w:val="en-GB"/>
        </w:rPr>
        <w:t xml:space="preserve"> by Davis et Al. (2000)</w:t>
      </w:r>
    </w:p>
    <w:p w:rsidR="001F1834" w:rsidRPr="003569BE" w:rsidRDefault="001F1834" w:rsidP="001F1834">
      <w:pPr>
        <w:spacing w:line="360" w:lineRule="auto"/>
        <w:rPr>
          <w:rFonts w:cs="Times New Roman"/>
          <w:szCs w:val="24"/>
          <w:lang w:val="en-GB"/>
        </w:rPr>
      </w:pPr>
      <w:r w:rsidRPr="003569BE">
        <w:rPr>
          <w:rFonts w:cs="Times New Roman"/>
          <w:szCs w:val="24"/>
          <w:lang w:val="en-GB"/>
        </w:rPr>
        <w:t>Since it investigates the relationship between the auditor tenure and the magnitude of the use of earnings management, and provides essential insights for this thesis,</w:t>
      </w:r>
      <w:r w:rsidRPr="003569BE" w:rsidDel="007A07E7">
        <w:rPr>
          <w:rFonts w:cs="Times New Roman"/>
          <w:szCs w:val="24"/>
          <w:lang w:val="en-GB"/>
        </w:rPr>
        <w:t xml:space="preserve"> </w:t>
      </w:r>
      <w:r w:rsidRPr="003569BE">
        <w:rPr>
          <w:rFonts w:cs="Times New Roman"/>
          <w:szCs w:val="24"/>
          <w:lang w:val="en-GB"/>
        </w:rPr>
        <w:t xml:space="preserve">the paper by Davis et Al. (2000) is one of the most relevant prior </w:t>
      </w:r>
      <w:r w:rsidR="00A044A8" w:rsidRPr="003569BE">
        <w:rPr>
          <w:rFonts w:cs="Times New Roman"/>
          <w:szCs w:val="24"/>
          <w:lang w:val="en-GB"/>
        </w:rPr>
        <w:t>researches</w:t>
      </w:r>
      <w:r w:rsidR="00B44658" w:rsidRPr="003569BE">
        <w:rPr>
          <w:rFonts w:cs="Times New Roman"/>
          <w:szCs w:val="24"/>
          <w:lang w:val="en-GB"/>
        </w:rPr>
        <w:t xml:space="preserve"> concerning this thesis.</w:t>
      </w:r>
      <w:r w:rsidR="007B6C72" w:rsidRPr="003569BE">
        <w:rPr>
          <w:rFonts w:cs="Times New Roman"/>
          <w:szCs w:val="24"/>
          <w:lang w:val="en-GB"/>
        </w:rPr>
        <w:t xml:space="preserve"> </w:t>
      </w:r>
    </w:p>
    <w:p w:rsidR="001F1834" w:rsidRPr="003569BE" w:rsidRDefault="007B6C72" w:rsidP="001F1834">
      <w:pPr>
        <w:spacing w:line="360" w:lineRule="auto"/>
        <w:rPr>
          <w:rFonts w:cs="Times New Roman"/>
          <w:szCs w:val="24"/>
          <w:lang w:val="en-GB"/>
        </w:rPr>
      </w:pPr>
      <w:r w:rsidRPr="003569BE">
        <w:rPr>
          <w:rFonts w:cs="Times New Roman"/>
          <w:szCs w:val="24"/>
          <w:lang w:val="en-GB"/>
        </w:rPr>
        <w:t>In this paper, this relationship is tested using two approaches: towards absolute values, and towards signed values.</w:t>
      </w:r>
      <w:r w:rsidR="00F6062A" w:rsidRPr="003569BE">
        <w:rPr>
          <w:rFonts w:cs="Times New Roman"/>
          <w:szCs w:val="24"/>
          <w:lang w:val="en-GB"/>
        </w:rPr>
        <w:t xml:space="preserve"> In addition, they measure earnings management in two ways: discretionary accruals and the forecast error.</w:t>
      </w:r>
      <w:r w:rsidR="001F1834" w:rsidRPr="003569BE">
        <w:rPr>
          <w:rFonts w:cs="Times New Roman"/>
          <w:szCs w:val="24"/>
          <w:lang w:val="en-GB"/>
        </w:rPr>
        <w:t xml:space="preserve"> </w:t>
      </w:r>
      <w:sdt>
        <w:sdtPr>
          <w:rPr>
            <w:lang w:val="en-GB"/>
          </w:rPr>
          <w:id w:val="477430418"/>
          <w:citation/>
        </w:sdtPr>
        <w:sdtContent>
          <w:r w:rsidR="000E4BAF" w:rsidRPr="003569BE">
            <w:rPr>
              <w:rFonts w:cs="Times New Roman"/>
              <w:szCs w:val="24"/>
              <w:lang w:val="en-GB"/>
            </w:rPr>
            <w:fldChar w:fldCharType="begin"/>
          </w:r>
          <w:r w:rsidR="00F6062A" w:rsidRPr="003569BE">
            <w:rPr>
              <w:rFonts w:cs="Times New Roman"/>
              <w:szCs w:val="24"/>
              <w:lang w:val="en-GB"/>
            </w:rPr>
            <w:instrText xml:space="preserve">CITATION Dav001 \t  \l 1033 </w:instrText>
          </w:r>
          <w:r w:rsidR="000E4BAF" w:rsidRPr="003569BE">
            <w:rPr>
              <w:rFonts w:cs="Times New Roman"/>
              <w:szCs w:val="24"/>
              <w:lang w:val="en-GB"/>
            </w:rPr>
            <w:fldChar w:fldCharType="separate"/>
          </w:r>
          <w:r w:rsidR="008F7EB3" w:rsidRPr="003569BE">
            <w:rPr>
              <w:rFonts w:cs="Times New Roman"/>
              <w:noProof/>
              <w:szCs w:val="24"/>
              <w:lang w:val="en-GB"/>
            </w:rPr>
            <w:t>(Davis, Soo, &amp; Trompeter, 2000)</w:t>
          </w:r>
          <w:r w:rsidR="000E4BAF" w:rsidRPr="003569BE">
            <w:rPr>
              <w:rFonts w:cs="Times New Roman"/>
              <w:szCs w:val="24"/>
              <w:lang w:val="en-GB"/>
            </w:rPr>
            <w:fldChar w:fldCharType="end"/>
          </w:r>
        </w:sdtContent>
      </w:sdt>
    </w:p>
    <w:p w:rsidR="001F1834" w:rsidRPr="003569BE" w:rsidRDefault="001F1834" w:rsidP="001F1834">
      <w:pPr>
        <w:spacing w:line="360" w:lineRule="auto"/>
        <w:rPr>
          <w:rFonts w:cs="Times New Roman"/>
          <w:szCs w:val="24"/>
          <w:lang w:val="en-GB"/>
        </w:rPr>
      </w:pPr>
      <w:r w:rsidRPr="003569BE">
        <w:rPr>
          <w:rFonts w:cs="Times New Roman"/>
          <w:szCs w:val="24"/>
          <w:lang w:val="en-GB"/>
        </w:rPr>
        <w:t>The hypotheses related to the discretionary accruals are tested with a sample of 855 non-financial firms in the period of 1981-1998 selected in Compustat. In order to properly measure the tenure of the auditors, this sample is divided in two sub-samples: one sub-sample with 589 firms that did not change their auditors over the observed period and another one with 266 firms that changed their auditors at least once during the period. Concerning the hypotheses related to the forecast error, data was collected from I/B/E/S. However, data regarding the analysts’ forecasts only for 637 firms were available: 476 from the first sub-sample, and 161 in the second sub-sample.</w:t>
      </w:r>
    </w:p>
    <w:p w:rsidR="001F1834" w:rsidRPr="003569BE" w:rsidRDefault="001F1834" w:rsidP="001F1834">
      <w:pPr>
        <w:spacing w:line="360" w:lineRule="auto"/>
        <w:rPr>
          <w:rFonts w:cs="Times New Roman"/>
          <w:szCs w:val="24"/>
          <w:lang w:val="en-GB"/>
        </w:rPr>
      </w:pPr>
      <w:r w:rsidRPr="003569BE">
        <w:rPr>
          <w:rFonts w:cs="Times New Roman"/>
          <w:szCs w:val="24"/>
          <w:lang w:val="en-GB"/>
        </w:rPr>
        <w:t xml:space="preserve">As a proxy for the use of earnings management, estimated with a modified version of the Jones model, discretionary accruals were used. Concerning the analysts’ forecasts, a model is used to estimate the forecast error, by considering the forecast horizon, i.e. the number of months between fiscal year-end and the most recent forecast, the number of analysts making the earnings forecasts, and the forecast dispersion. </w:t>
      </w:r>
    </w:p>
    <w:p w:rsidR="001F1834" w:rsidRPr="003569BE" w:rsidRDefault="001F1834" w:rsidP="001F1834">
      <w:pPr>
        <w:spacing w:line="360" w:lineRule="auto"/>
        <w:rPr>
          <w:rFonts w:cs="Times New Roman"/>
          <w:szCs w:val="24"/>
          <w:lang w:val="en-GB"/>
        </w:rPr>
      </w:pPr>
      <w:r w:rsidRPr="003569BE">
        <w:rPr>
          <w:rFonts w:cs="Times New Roman"/>
          <w:szCs w:val="24"/>
          <w:lang w:val="en-GB"/>
        </w:rPr>
        <w:t>Th</w:t>
      </w:r>
      <w:r w:rsidR="002263AA" w:rsidRPr="003569BE">
        <w:rPr>
          <w:rFonts w:cs="Times New Roman"/>
          <w:szCs w:val="24"/>
          <w:lang w:val="en-GB"/>
        </w:rPr>
        <w:t>e findings of Davis et Al. (2000</w:t>
      </w:r>
      <w:r w:rsidRPr="003569BE">
        <w:rPr>
          <w:rFonts w:cs="Times New Roman"/>
          <w:szCs w:val="24"/>
          <w:lang w:val="en-GB"/>
        </w:rPr>
        <w:t>) indicate a significant positive correlation between the audit tenure and the amount of absolute discretionary accruals, as well as a significant negative correlation between the audit tenure and the absolute forecast errors. On the other hand, concerning the signed discretionary accruals and the signed forecast errors, a significant negative association is found regarding the accruals and a significant positive association is found regarding the forecast errors. In other words, these findings support the claim that managers take advantage of the flexibility to decrease the published earnings. In addition, these results vary throughout the sub-samples. Concerning the sub-sample with at least one change of the auditor, evidence is less significant.</w:t>
      </w:r>
      <w:r w:rsidR="00162936" w:rsidRPr="003569BE">
        <w:rPr>
          <w:rFonts w:cs="Times New Roman"/>
          <w:szCs w:val="24"/>
          <w:lang w:val="en-GB"/>
        </w:rPr>
        <w:t xml:space="preserve"> </w:t>
      </w:r>
    </w:p>
    <w:p w:rsidR="00162936" w:rsidRPr="003569BE" w:rsidRDefault="00162936" w:rsidP="001F1834">
      <w:pPr>
        <w:spacing w:line="360" w:lineRule="auto"/>
        <w:rPr>
          <w:rFonts w:cs="Times New Roman"/>
          <w:szCs w:val="24"/>
          <w:lang w:val="en-GB"/>
        </w:rPr>
      </w:pPr>
      <w:r w:rsidRPr="003569BE">
        <w:rPr>
          <w:rFonts w:cs="Times New Roman"/>
          <w:szCs w:val="24"/>
          <w:lang w:val="en-GB"/>
        </w:rPr>
        <w:lastRenderedPageBreak/>
        <w:t>In conclusion, the findings of Davis et Al. (2000) support, to a certain extent, the claims of the advocates of the mandatory audit firm rotation as a measure for improving the auditors’ independence.</w:t>
      </w:r>
    </w:p>
    <w:p w:rsidR="001F1834" w:rsidRPr="003569BE" w:rsidRDefault="001F1834" w:rsidP="00307BD0">
      <w:pPr>
        <w:spacing w:line="360" w:lineRule="auto"/>
        <w:rPr>
          <w:rFonts w:cs="Times New Roman"/>
          <w:b/>
          <w:i/>
          <w:szCs w:val="24"/>
          <w:u w:val="single"/>
          <w:lang w:val="en-GB"/>
        </w:rPr>
      </w:pPr>
    </w:p>
    <w:p w:rsidR="000F56FC" w:rsidRPr="003569BE" w:rsidRDefault="00307BD0" w:rsidP="00307BD0">
      <w:pPr>
        <w:spacing w:line="360" w:lineRule="auto"/>
        <w:rPr>
          <w:rFonts w:cs="Times New Roman"/>
          <w:b/>
          <w:szCs w:val="24"/>
          <w:u w:val="single"/>
          <w:lang w:val="en-GB"/>
        </w:rPr>
      </w:pPr>
      <w:r w:rsidRPr="003569BE">
        <w:rPr>
          <w:rFonts w:cs="Times New Roman"/>
          <w:b/>
          <w:i/>
          <w:szCs w:val="24"/>
          <w:u w:val="single"/>
          <w:lang w:val="en-GB"/>
        </w:rPr>
        <w:t xml:space="preserve">“Exploring the Term of the Auditor-Client Relationship and the Quality of Earnings: A Case for Mandatory Auditor Rotation?” </w:t>
      </w:r>
      <w:r w:rsidRPr="003569BE">
        <w:rPr>
          <w:rFonts w:cs="Times New Roman"/>
          <w:b/>
          <w:szCs w:val="24"/>
          <w:u w:val="single"/>
          <w:lang w:val="en-GB"/>
        </w:rPr>
        <w:t>by Myers et Al. (2003)</w:t>
      </w:r>
    </w:p>
    <w:p w:rsidR="004920A7" w:rsidRPr="003569BE" w:rsidRDefault="002602E5" w:rsidP="00481E79">
      <w:pPr>
        <w:spacing w:line="360" w:lineRule="auto"/>
        <w:rPr>
          <w:rFonts w:cs="Times New Roman"/>
          <w:szCs w:val="24"/>
          <w:lang w:val="en-GB"/>
        </w:rPr>
      </w:pPr>
      <w:r w:rsidRPr="003569BE">
        <w:rPr>
          <w:rFonts w:cs="Times New Roman"/>
          <w:szCs w:val="24"/>
          <w:lang w:val="en-GB"/>
        </w:rPr>
        <w:t xml:space="preserve">Being motivated by the debate that surrounded the case for </w:t>
      </w:r>
      <w:r w:rsidR="00C75567" w:rsidRPr="003569BE">
        <w:rPr>
          <w:rFonts w:cs="Times New Roman"/>
          <w:szCs w:val="24"/>
          <w:lang w:val="en-GB"/>
        </w:rPr>
        <w:t>t</w:t>
      </w:r>
      <w:r w:rsidR="00A855C9" w:rsidRPr="003569BE">
        <w:rPr>
          <w:rFonts w:cs="Times New Roman"/>
          <w:szCs w:val="24"/>
          <w:lang w:val="en-GB"/>
        </w:rPr>
        <w:t xml:space="preserve">he </w:t>
      </w:r>
      <w:r w:rsidRPr="003569BE">
        <w:rPr>
          <w:rFonts w:cs="Times New Roman"/>
          <w:szCs w:val="24"/>
          <w:lang w:val="en-GB"/>
        </w:rPr>
        <w:t xml:space="preserve">mandatory audit firm rotation, the study of Myers et Al. </w:t>
      </w:r>
      <w:r w:rsidR="00AE63D9" w:rsidRPr="003569BE">
        <w:rPr>
          <w:rFonts w:cs="Times New Roman"/>
          <w:szCs w:val="24"/>
          <w:lang w:val="en-GB"/>
        </w:rPr>
        <w:t xml:space="preserve">(2003) </w:t>
      </w:r>
      <w:r w:rsidRPr="003569BE">
        <w:rPr>
          <w:rFonts w:cs="Times New Roman"/>
          <w:szCs w:val="24"/>
          <w:lang w:val="en-GB"/>
        </w:rPr>
        <w:t xml:space="preserve">is highly relevant </w:t>
      </w:r>
      <w:r w:rsidR="00A855C9" w:rsidRPr="003569BE">
        <w:rPr>
          <w:rFonts w:cs="Times New Roman"/>
          <w:szCs w:val="24"/>
          <w:lang w:val="en-GB"/>
        </w:rPr>
        <w:t xml:space="preserve">concerning </w:t>
      </w:r>
      <w:r w:rsidRPr="003569BE">
        <w:rPr>
          <w:rFonts w:cs="Times New Roman"/>
          <w:szCs w:val="24"/>
          <w:lang w:val="en-GB"/>
        </w:rPr>
        <w:t>this thesis.</w:t>
      </w:r>
      <w:r w:rsidR="005B46A9" w:rsidRPr="003569BE">
        <w:rPr>
          <w:rFonts w:cs="Times New Roman"/>
          <w:szCs w:val="24"/>
          <w:lang w:val="en-GB"/>
        </w:rPr>
        <w:t xml:space="preserve"> </w:t>
      </w:r>
      <w:r w:rsidR="004920A7" w:rsidRPr="003569BE">
        <w:rPr>
          <w:rFonts w:cs="Times New Roman"/>
          <w:szCs w:val="24"/>
          <w:lang w:val="en-GB"/>
        </w:rPr>
        <w:t>Moreover, t</w:t>
      </w:r>
      <w:r w:rsidR="005B46A9" w:rsidRPr="003569BE">
        <w:rPr>
          <w:rFonts w:cs="Times New Roman"/>
          <w:szCs w:val="24"/>
          <w:lang w:val="en-GB"/>
        </w:rPr>
        <w:t xml:space="preserve">hey investigate the relationship between the tenure of </w:t>
      </w:r>
      <w:r w:rsidR="00A855C9" w:rsidRPr="003569BE">
        <w:rPr>
          <w:rFonts w:cs="Times New Roman"/>
          <w:szCs w:val="24"/>
          <w:lang w:val="en-GB"/>
        </w:rPr>
        <w:t xml:space="preserve">the </w:t>
      </w:r>
      <w:r w:rsidR="005B46A9" w:rsidRPr="003569BE">
        <w:rPr>
          <w:rFonts w:cs="Times New Roman"/>
          <w:szCs w:val="24"/>
          <w:lang w:val="en-GB"/>
        </w:rPr>
        <w:t xml:space="preserve">auditors and the quality of </w:t>
      </w:r>
      <w:r w:rsidR="00A855C9" w:rsidRPr="003569BE">
        <w:rPr>
          <w:rFonts w:cs="Times New Roman"/>
          <w:szCs w:val="24"/>
          <w:lang w:val="en-GB"/>
        </w:rPr>
        <w:t xml:space="preserve">published </w:t>
      </w:r>
      <w:r w:rsidR="005B46A9" w:rsidRPr="003569BE">
        <w:rPr>
          <w:rFonts w:cs="Times New Roman"/>
          <w:szCs w:val="24"/>
          <w:lang w:val="en-GB"/>
        </w:rPr>
        <w:t>earnings, based on the assumption that the higher the auditor tenure, the lower the quality of earnings</w:t>
      </w:r>
      <w:r w:rsidR="004920A7" w:rsidRPr="003569BE">
        <w:rPr>
          <w:rFonts w:cs="Times New Roman"/>
          <w:szCs w:val="24"/>
          <w:lang w:val="en-GB"/>
        </w:rPr>
        <w:t xml:space="preserve">, by using accruals as a proxy for </w:t>
      </w:r>
      <w:r w:rsidR="00A855C9" w:rsidRPr="003569BE">
        <w:rPr>
          <w:rFonts w:cs="Times New Roman"/>
          <w:szCs w:val="24"/>
          <w:lang w:val="en-GB"/>
        </w:rPr>
        <w:t xml:space="preserve">the </w:t>
      </w:r>
      <w:r w:rsidR="004920A7" w:rsidRPr="003569BE">
        <w:rPr>
          <w:rFonts w:cs="Times New Roman"/>
          <w:szCs w:val="24"/>
          <w:lang w:val="en-GB"/>
        </w:rPr>
        <w:t>earnings quality</w:t>
      </w:r>
      <w:r w:rsidR="005B46A9" w:rsidRPr="003569BE">
        <w:rPr>
          <w:rFonts w:cs="Times New Roman"/>
          <w:szCs w:val="24"/>
          <w:lang w:val="en-GB"/>
        </w:rPr>
        <w:t>.</w:t>
      </w:r>
      <w:r w:rsidR="00790F62" w:rsidRPr="003569BE">
        <w:rPr>
          <w:rFonts w:cs="Times New Roman"/>
          <w:szCs w:val="24"/>
          <w:lang w:val="en-GB"/>
        </w:rPr>
        <w:t xml:space="preserve"> </w:t>
      </w:r>
    </w:p>
    <w:p w:rsidR="004920A7" w:rsidRPr="003569BE" w:rsidRDefault="00E7001B" w:rsidP="00481E79">
      <w:pPr>
        <w:spacing w:line="360" w:lineRule="auto"/>
        <w:rPr>
          <w:rFonts w:cs="Times New Roman"/>
          <w:szCs w:val="24"/>
          <w:lang w:val="en-GB"/>
        </w:rPr>
      </w:pPr>
      <w:r w:rsidRPr="003569BE">
        <w:rPr>
          <w:rFonts w:cs="Times New Roman"/>
          <w:szCs w:val="24"/>
          <w:lang w:val="en-GB"/>
        </w:rPr>
        <w:t xml:space="preserve">The hypotheses are tested in a sample of 42.302 firm year observations from the period of 1988 to </w:t>
      </w:r>
      <w:r w:rsidR="00CF5DB3" w:rsidRPr="003569BE">
        <w:rPr>
          <w:rFonts w:cs="Times New Roman"/>
          <w:szCs w:val="24"/>
          <w:lang w:val="en-GB"/>
        </w:rPr>
        <w:t>2000,</w:t>
      </w:r>
      <w:r w:rsidR="00A855C9" w:rsidRPr="003569BE">
        <w:rPr>
          <w:rFonts w:cs="Times New Roman"/>
          <w:szCs w:val="24"/>
          <w:lang w:val="en-GB"/>
        </w:rPr>
        <w:t xml:space="preserve"> since estimating accruals for these firms can be rather complicated</w:t>
      </w:r>
      <w:r w:rsidR="00CF5DB3" w:rsidRPr="003569BE">
        <w:rPr>
          <w:rFonts w:cs="Times New Roman"/>
          <w:szCs w:val="24"/>
          <w:lang w:val="en-GB"/>
        </w:rPr>
        <w:t xml:space="preserve"> excluding the firms which were involved in mergers and </w:t>
      </w:r>
      <w:r w:rsidR="00A855C9" w:rsidRPr="003569BE">
        <w:rPr>
          <w:rFonts w:cs="Times New Roman"/>
          <w:szCs w:val="24"/>
          <w:lang w:val="en-GB"/>
        </w:rPr>
        <w:t xml:space="preserve">in </w:t>
      </w:r>
      <w:r w:rsidR="00CF5DB3" w:rsidRPr="003569BE">
        <w:rPr>
          <w:rFonts w:cs="Times New Roman"/>
          <w:szCs w:val="24"/>
          <w:lang w:val="en-GB"/>
        </w:rPr>
        <w:t xml:space="preserve">acquisitions </w:t>
      </w:r>
      <w:sdt>
        <w:sdtPr>
          <w:rPr>
            <w:rFonts w:cs="Times New Roman"/>
            <w:szCs w:val="24"/>
            <w:lang w:val="en-GB"/>
          </w:rPr>
          <w:id w:val="1064527847"/>
          <w:citation/>
        </w:sdtPr>
        <w:sdtContent>
          <w:r w:rsidR="000E4BAF" w:rsidRPr="003569BE">
            <w:rPr>
              <w:rFonts w:cs="Times New Roman"/>
              <w:szCs w:val="24"/>
              <w:lang w:val="en-GB"/>
            </w:rPr>
            <w:fldChar w:fldCharType="begin"/>
          </w:r>
          <w:r w:rsidR="008B2BB4" w:rsidRPr="003569BE">
            <w:rPr>
              <w:rFonts w:cs="Times New Roman"/>
              <w:szCs w:val="24"/>
              <w:lang w:val="en-GB"/>
            </w:rPr>
            <w:instrText xml:space="preserve"> CITATION Col02 \l 1033 </w:instrText>
          </w:r>
          <w:r w:rsidR="000E4BAF" w:rsidRPr="003569BE">
            <w:rPr>
              <w:rFonts w:cs="Times New Roman"/>
              <w:szCs w:val="24"/>
              <w:lang w:val="en-GB"/>
            </w:rPr>
            <w:fldChar w:fldCharType="separate"/>
          </w:r>
          <w:r w:rsidR="008F7EB3" w:rsidRPr="003569BE">
            <w:rPr>
              <w:rFonts w:cs="Times New Roman"/>
              <w:noProof/>
              <w:szCs w:val="24"/>
              <w:lang w:val="en-GB"/>
            </w:rPr>
            <w:t>(Collins &amp; Hribar, 2002)</w:t>
          </w:r>
          <w:r w:rsidR="000E4BAF" w:rsidRPr="003569BE">
            <w:rPr>
              <w:rFonts w:cs="Times New Roman"/>
              <w:szCs w:val="24"/>
              <w:lang w:val="en-GB"/>
            </w:rPr>
            <w:fldChar w:fldCharType="end"/>
          </w:r>
        </w:sdtContent>
      </w:sdt>
      <w:r w:rsidR="009B1F97" w:rsidRPr="003569BE">
        <w:rPr>
          <w:rFonts w:cs="Times New Roman"/>
          <w:szCs w:val="24"/>
          <w:lang w:val="en-GB"/>
        </w:rPr>
        <w:t>.</w:t>
      </w:r>
    </w:p>
    <w:p w:rsidR="00120579" w:rsidRPr="003569BE" w:rsidRDefault="00120579" w:rsidP="00481E79">
      <w:pPr>
        <w:spacing w:line="360" w:lineRule="auto"/>
        <w:rPr>
          <w:rFonts w:cs="Times New Roman"/>
          <w:szCs w:val="24"/>
          <w:lang w:val="en-GB"/>
        </w:rPr>
      </w:pPr>
      <w:r w:rsidRPr="003569BE">
        <w:rPr>
          <w:rFonts w:cs="Times New Roman"/>
          <w:szCs w:val="24"/>
          <w:lang w:val="en-GB"/>
        </w:rPr>
        <w:t xml:space="preserve">Concerning the proxy used for measuring </w:t>
      </w:r>
      <w:r w:rsidR="00A855C9" w:rsidRPr="003569BE">
        <w:rPr>
          <w:rFonts w:cs="Times New Roman"/>
          <w:szCs w:val="24"/>
          <w:lang w:val="en-GB"/>
        </w:rPr>
        <w:t xml:space="preserve">the </w:t>
      </w:r>
      <w:r w:rsidR="002C3FB7" w:rsidRPr="003569BE">
        <w:rPr>
          <w:rFonts w:cs="Times New Roman"/>
          <w:szCs w:val="24"/>
          <w:lang w:val="en-GB"/>
        </w:rPr>
        <w:t>earnings quality, i.e. accruals, two measures are used:</w:t>
      </w:r>
      <w:r w:rsidR="002E30B5" w:rsidRPr="003569BE">
        <w:rPr>
          <w:rFonts w:cs="Times New Roman"/>
          <w:szCs w:val="24"/>
          <w:lang w:val="en-GB"/>
        </w:rPr>
        <w:t xml:space="preserve"> current accruals and discretionary accruals.</w:t>
      </w:r>
    </w:p>
    <w:p w:rsidR="00592A39" w:rsidRPr="003569BE" w:rsidRDefault="00E1327D" w:rsidP="00F3510C">
      <w:pPr>
        <w:spacing w:line="360" w:lineRule="auto"/>
        <w:rPr>
          <w:rFonts w:cs="Times New Roman"/>
          <w:szCs w:val="24"/>
          <w:lang w:val="en-GB"/>
        </w:rPr>
      </w:pPr>
      <w:r w:rsidRPr="003569BE">
        <w:rPr>
          <w:rFonts w:cs="Times New Roman"/>
          <w:szCs w:val="24"/>
          <w:lang w:val="en-GB"/>
        </w:rPr>
        <w:t xml:space="preserve">The findings of this paper suggest a significant negative association between </w:t>
      </w:r>
      <w:r w:rsidR="00A855C9" w:rsidRPr="003569BE">
        <w:rPr>
          <w:rFonts w:cs="Times New Roman"/>
          <w:szCs w:val="24"/>
          <w:lang w:val="en-GB"/>
        </w:rPr>
        <w:t xml:space="preserve">the </w:t>
      </w:r>
      <w:r w:rsidRPr="003569BE">
        <w:rPr>
          <w:rFonts w:cs="Times New Roman"/>
          <w:szCs w:val="24"/>
          <w:lang w:val="en-GB"/>
        </w:rPr>
        <w:t xml:space="preserve">auditor tenure and the dispersion of </w:t>
      </w:r>
      <w:r w:rsidR="00A855C9" w:rsidRPr="003569BE">
        <w:rPr>
          <w:rFonts w:cs="Times New Roman"/>
          <w:szCs w:val="24"/>
          <w:lang w:val="en-GB"/>
        </w:rPr>
        <w:t xml:space="preserve">the </w:t>
      </w:r>
      <w:r w:rsidR="0063364C" w:rsidRPr="003569BE">
        <w:rPr>
          <w:rFonts w:cs="Times New Roman"/>
          <w:szCs w:val="24"/>
          <w:lang w:val="en-GB"/>
        </w:rPr>
        <w:t xml:space="preserve">current and </w:t>
      </w:r>
      <w:r w:rsidR="00A855C9" w:rsidRPr="003569BE">
        <w:rPr>
          <w:rFonts w:cs="Times New Roman"/>
          <w:szCs w:val="24"/>
          <w:lang w:val="en-GB"/>
        </w:rPr>
        <w:t xml:space="preserve">the </w:t>
      </w:r>
      <w:r w:rsidR="0063364C" w:rsidRPr="003569BE">
        <w:rPr>
          <w:rFonts w:cs="Times New Roman"/>
          <w:szCs w:val="24"/>
          <w:lang w:val="en-GB"/>
        </w:rPr>
        <w:t>discretionary accruals</w:t>
      </w:r>
      <w:r w:rsidR="00354808" w:rsidRPr="003569BE">
        <w:rPr>
          <w:rFonts w:cs="Times New Roman"/>
          <w:szCs w:val="24"/>
          <w:lang w:val="en-GB"/>
        </w:rPr>
        <w:t xml:space="preserve"> </w:t>
      </w:r>
      <w:sdt>
        <w:sdtPr>
          <w:rPr>
            <w:rFonts w:cs="Times New Roman"/>
            <w:szCs w:val="24"/>
            <w:lang w:val="en-GB"/>
          </w:rPr>
          <w:id w:val="866415414"/>
          <w:citation/>
        </w:sdtPr>
        <w:sdtContent>
          <w:r w:rsidR="000E4BAF" w:rsidRPr="003569BE">
            <w:rPr>
              <w:rFonts w:cs="Times New Roman"/>
              <w:szCs w:val="24"/>
              <w:lang w:val="en-GB"/>
            </w:rPr>
            <w:fldChar w:fldCharType="begin"/>
          </w:r>
          <w:r w:rsidR="00354808" w:rsidRPr="003569BE">
            <w:rPr>
              <w:rFonts w:cs="Times New Roman"/>
              <w:szCs w:val="24"/>
              <w:lang w:val="en-GB"/>
            </w:rPr>
            <w:instrText xml:space="preserve"> CITATION Mye03 \l 1033 </w:instrText>
          </w:r>
          <w:r w:rsidR="000E4BAF" w:rsidRPr="003569BE">
            <w:rPr>
              <w:rFonts w:cs="Times New Roman"/>
              <w:szCs w:val="24"/>
              <w:lang w:val="en-GB"/>
            </w:rPr>
            <w:fldChar w:fldCharType="separate"/>
          </w:r>
          <w:r w:rsidR="008F7EB3" w:rsidRPr="003569BE">
            <w:rPr>
              <w:rFonts w:cs="Times New Roman"/>
              <w:noProof/>
              <w:szCs w:val="24"/>
              <w:lang w:val="en-GB"/>
            </w:rPr>
            <w:t>(Myers, Myers, &amp; Omer, 2003)</w:t>
          </w:r>
          <w:r w:rsidR="000E4BAF" w:rsidRPr="003569BE">
            <w:rPr>
              <w:rFonts w:cs="Times New Roman"/>
              <w:szCs w:val="24"/>
              <w:lang w:val="en-GB"/>
            </w:rPr>
            <w:fldChar w:fldCharType="end"/>
          </w:r>
        </w:sdtContent>
      </w:sdt>
      <w:r w:rsidR="0063364C" w:rsidRPr="003569BE">
        <w:rPr>
          <w:rFonts w:cs="Times New Roman"/>
          <w:szCs w:val="24"/>
          <w:lang w:val="en-GB"/>
        </w:rPr>
        <w:t>. In other w</w:t>
      </w:r>
      <w:r w:rsidR="00D9219C" w:rsidRPr="003569BE">
        <w:rPr>
          <w:rFonts w:cs="Times New Roman"/>
          <w:szCs w:val="24"/>
          <w:lang w:val="en-GB"/>
        </w:rPr>
        <w:t xml:space="preserve">ords, they </w:t>
      </w:r>
      <w:r w:rsidR="00A855C9" w:rsidRPr="003569BE">
        <w:rPr>
          <w:rFonts w:cs="Times New Roman"/>
          <w:szCs w:val="24"/>
          <w:lang w:val="en-GB"/>
        </w:rPr>
        <w:t xml:space="preserve">found </w:t>
      </w:r>
      <w:r w:rsidR="00D9219C" w:rsidRPr="003569BE">
        <w:rPr>
          <w:rFonts w:cs="Times New Roman"/>
          <w:szCs w:val="24"/>
          <w:lang w:val="en-GB"/>
        </w:rPr>
        <w:t>that auditors tend to exercise a stronger constraint over the manipulation of accruals</w:t>
      </w:r>
      <w:r w:rsidR="0063364C" w:rsidRPr="003569BE">
        <w:rPr>
          <w:rFonts w:cs="Times New Roman"/>
          <w:szCs w:val="24"/>
          <w:lang w:val="en-GB"/>
        </w:rPr>
        <w:t xml:space="preserve"> </w:t>
      </w:r>
      <w:r w:rsidR="00A05670" w:rsidRPr="003569BE">
        <w:rPr>
          <w:rFonts w:cs="Times New Roman"/>
          <w:szCs w:val="24"/>
          <w:lang w:val="en-GB"/>
        </w:rPr>
        <w:t>by the management when the auditor tenure is longer.</w:t>
      </w:r>
    </w:p>
    <w:p w:rsidR="004920A7" w:rsidRPr="003569BE" w:rsidRDefault="004920A7" w:rsidP="00481E79">
      <w:pPr>
        <w:spacing w:line="360" w:lineRule="auto"/>
        <w:rPr>
          <w:rFonts w:cs="Times New Roman"/>
          <w:szCs w:val="24"/>
          <w:lang w:val="en-GB"/>
        </w:rPr>
      </w:pPr>
      <w:r w:rsidRPr="003569BE">
        <w:rPr>
          <w:rFonts w:cs="Times New Roman"/>
          <w:szCs w:val="24"/>
          <w:lang w:val="en-GB"/>
        </w:rPr>
        <w:t xml:space="preserve">Myers et Al. (2003) </w:t>
      </w:r>
      <w:r w:rsidR="00A855C9" w:rsidRPr="003569BE">
        <w:rPr>
          <w:rFonts w:cs="Times New Roman"/>
          <w:szCs w:val="24"/>
          <w:lang w:val="en-GB"/>
        </w:rPr>
        <w:t xml:space="preserve">based on their tests </w:t>
      </w:r>
      <w:r w:rsidRPr="003569BE">
        <w:rPr>
          <w:rFonts w:cs="Times New Roman"/>
          <w:szCs w:val="24"/>
          <w:lang w:val="en-GB"/>
        </w:rPr>
        <w:t>provide evidence</w:t>
      </w:r>
      <w:r w:rsidR="00654C38" w:rsidRPr="003569BE">
        <w:rPr>
          <w:rFonts w:cs="Times New Roman"/>
          <w:szCs w:val="24"/>
          <w:lang w:val="en-GB"/>
        </w:rPr>
        <w:t xml:space="preserve"> to support the claim of the opponents of mandatory audit firm rotation</w:t>
      </w:r>
      <w:r w:rsidR="00597955" w:rsidRPr="003569BE">
        <w:rPr>
          <w:rFonts w:cs="Times New Roman"/>
          <w:szCs w:val="24"/>
          <w:lang w:val="en-GB"/>
        </w:rPr>
        <w:t xml:space="preserve">, concluding that </w:t>
      </w:r>
      <w:r w:rsidR="00A855C9" w:rsidRPr="003569BE">
        <w:rPr>
          <w:rFonts w:cs="Times New Roman"/>
          <w:szCs w:val="24"/>
          <w:lang w:val="en-GB"/>
        </w:rPr>
        <w:t xml:space="preserve">the </w:t>
      </w:r>
      <w:r w:rsidR="00597955" w:rsidRPr="003569BE">
        <w:rPr>
          <w:rFonts w:cs="Times New Roman"/>
          <w:szCs w:val="24"/>
          <w:lang w:val="en-GB"/>
        </w:rPr>
        <w:t xml:space="preserve">mandatory audit firm rotation may not be the best option to address the audit quality and </w:t>
      </w:r>
      <w:r w:rsidR="00A855C9" w:rsidRPr="003569BE">
        <w:rPr>
          <w:rFonts w:cs="Times New Roman"/>
          <w:szCs w:val="24"/>
          <w:lang w:val="en-GB"/>
        </w:rPr>
        <w:t xml:space="preserve">the </w:t>
      </w:r>
      <w:r w:rsidR="00597955" w:rsidRPr="003569BE">
        <w:rPr>
          <w:rFonts w:cs="Times New Roman"/>
          <w:szCs w:val="24"/>
          <w:lang w:val="en-GB"/>
        </w:rPr>
        <w:t>earnings quality issues</w:t>
      </w:r>
      <w:r w:rsidR="00654C38" w:rsidRPr="003569BE">
        <w:rPr>
          <w:rFonts w:cs="Times New Roman"/>
          <w:szCs w:val="24"/>
          <w:lang w:val="en-GB"/>
        </w:rPr>
        <w:t xml:space="preserve">. </w:t>
      </w:r>
      <w:r w:rsidR="00A855C9" w:rsidRPr="003569BE">
        <w:rPr>
          <w:rFonts w:cs="Times New Roman"/>
          <w:szCs w:val="24"/>
          <w:lang w:val="en-GB"/>
        </w:rPr>
        <w:t>T</w:t>
      </w:r>
      <w:r w:rsidR="00654C38" w:rsidRPr="003569BE">
        <w:rPr>
          <w:rFonts w:cs="Times New Roman"/>
          <w:szCs w:val="24"/>
          <w:lang w:val="en-GB"/>
        </w:rPr>
        <w:t xml:space="preserve">heir results suggest that a longer auditor-client relationship does not reduce </w:t>
      </w:r>
      <w:r w:rsidR="00C75567" w:rsidRPr="003569BE">
        <w:rPr>
          <w:rFonts w:cs="Times New Roman"/>
          <w:szCs w:val="24"/>
          <w:lang w:val="en-GB"/>
        </w:rPr>
        <w:t xml:space="preserve">the </w:t>
      </w:r>
      <w:r w:rsidR="00654C38" w:rsidRPr="003569BE">
        <w:rPr>
          <w:rFonts w:cs="Times New Roman"/>
          <w:szCs w:val="24"/>
          <w:lang w:val="en-GB"/>
        </w:rPr>
        <w:t xml:space="preserve">audit quality, </w:t>
      </w:r>
      <w:r w:rsidR="00C75567" w:rsidRPr="003569BE">
        <w:rPr>
          <w:rFonts w:cs="Times New Roman"/>
          <w:szCs w:val="24"/>
          <w:lang w:val="en-GB"/>
        </w:rPr>
        <w:t>or</w:t>
      </w:r>
      <w:r w:rsidR="00654C38" w:rsidRPr="003569BE">
        <w:rPr>
          <w:rFonts w:cs="Times New Roman"/>
          <w:szCs w:val="24"/>
          <w:lang w:val="en-GB"/>
        </w:rPr>
        <w:t xml:space="preserve"> </w:t>
      </w:r>
      <w:r w:rsidR="00A855C9" w:rsidRPr="003569BE">
        <w:rPr>
          <w:rFonts w:cs="Times New Roman"/>
          <w:szCs w:val="24"/>
          <w:lang w:val="en-GB"/>
        </w:rPr>
        <w:t xml:space="preserve">the </w:t>
      </w:r>
      <w:r w:rsidR="00654C38" w:rsidRPr="003569BE">
        <w:rPr>
          <w:rFonts w:cs="Times New Roman"/>
          <w:szCs w:val="24"/>
          <w:lang w:val="en-GB"/>
        </w:rPr>
        <w:t xml:space="preserve">earnings quality. However, </w:t>
      </w:r>
      <w:r w:rsidR="00A855C9" w:rsidRPr="003569BE">
        <w:rPr>
          <w:rFonts w:cs="Times New Roman"/>
          <w:szCs w:val="24"/>
          <w:lang w:val="en-GB"/>
        </w:rPr>
        <w:t xml:space="preserve">concerning this study </w:t>
      </w:r>
      <w:r w:rsidR="00654C38" w:rsidRPr="003569BE">
        <w:rPr>
          <w:rFonts w:cs="Times New Roman"/>
          <w:szCs w:val="24"/>
          <w:lang w:val="en-GB"/>
        </w:rPr>
        <w:t xml:space="preserve">certain limitations exist. First, the researchers do not address all </w:t>
      </w:r>
      <w:r w:rsidR="00A855C9" w:rsidRPr="003569BE">
        <w:rPr>
          <w:rFonts w:cs="Times New Roman"/>
          <w:szCs w:val="24"/>
          <w:lang w:val="en-GB"/>
        </w:rPr>
        <w:t xml:space="preserve">the </w:t>
      </w:r>
      <w:r w:rsidR="00654C38" w:rsidRPr="003569BE">
        <w:rPr>
          <w:rFonts w:cs="Times New Roman"/>
          <w:szCs w:val="24"/>
          <w:lang w:val="en-GB"/>
        </w:rPr>
        <w:t xml:space="preserve">aspects of </w:t>
      </w:r>
      <w:r w:rsidR="00A855C9" w:rsidRPr="003569BE">
        <w:rPr>
          <w:rFonts w:cs="Times New Roman"/>
          <w:szCs w:val="24"/>
          <w:lang w:val="en-GB"/>
        </w:rPr>
        <w:t xml:space="preserve">the use of </w:t>
      </w:r>
      <w:r w:rsidR="00654C38" w:rsidRPr="003569BE">
        <w:rPr>
          <w:rFonts w:cs="Times New Roman"/>
          <w:szCs w:val="24"/>
          <w:lang w:val="en-GB"/>
        </w:rPr>
        <w:t xml:space="preserve">earnings management. In addition, the tests used in this paper do not consider the incentives of </w:t>
      </w:r>
      <w:r w:rsidR="00A7425E" w:rsidRPr="003569BE">
        <w:rPr>
          <w:rFonts w:cs="Times New Roman"/>
          <w:szCs w:val="24"/>
          <w:lang w:val="en-GB"/>
        </w:rPr>
        <w:t xml:space="preserve">the </w:t>
      </w:r>
      <w:r w:rsidR="00654C38" w:rsidRPr="003569BE">
        <w:rPr>
          <w:rFonts w:cs="Times New Roman"/>
          <w:szCs w:val="24"/>
          <w:lang w:val="en-GB"/>
        </w:rPr>
        <w:t>managers to engage in earnings management.</w:t>
      </w:r>
    </w:p>
    <w:p w:rsidR="00451731" w:rsidRPr="003569BE" w:rsidRDefault="00451731" w:rsidP="00481E79">
      <w:pPr>
        <w:spacing w:line="360" w:lineRule="auto"/>
        <w:rPr>
          <w:rFonts w:cs="Times New Roman"/>
          <w:szCs w:val="24"/>
          <w:lang w:val="en-GB"/>
        </w:rPr>
      </w:pPr>
    </w:p>
    <w:p w:rsidR="00594E11" w:rsidRPr="003569BE" w:rsidRDefault="004C006D" w:rsidP="004C006D">
      <w:pPr>
        <w:spacing w:line="360" w:lineRule="auto"/>
        <w:rPr>
          <w:rFonts w:cs="Times New Roman"/>
          <w:b/>
          <w:szCs w:val="24"/>
          <w:u w:val="single"/>
          <w:lang w:val="en-GB"/>
        </w:rPr>
      </w:pPr>
      <w:r w:rsidRPr="003569BE">
        <w:rPr>
          <w:rFonts w:cs="Times New Roman"/>
          <w:b/>
          <w:i/>
          <w:szCs w:val="24"/>
          <w:u w:val="single"/>
          <w:lang w:val="en-GB"/>
        </w:rPr>
        <w:lastRenderedPageBreak/>
        <w:t>“Audit Partner Tenure, Audit Firm Tenure, and Discretionary Accruals: Does Long Auditor Tenure Impair Earnings Quality?”</w:t>
      </w:r>
      <w:r w:rsidRPr="003569BE">
        <w:rPr>
          <w:rFonts w:cs="Times New Roman"/>
          <w:b/>
          <w:szCs w:val="24"/>
          <w:u w:val="single"/>
          <w:lang w:val="en-GB"/>
        </w:rPr>
        <w:t xml:space="preserve"> by Chen et Al. (2008)</w:t>
      </w:r>
    </w:p>
    <w:p w:rsidR="007F3DE3" w:rsidRPr="003569BE" w:rsidRDefault="00E652DF" w:rsidP="008D3486">
      <w:pPr>
        <w:spacing w:line="360" w:lineRule="auto"/>
        <w:rPr>
          <w:rFonts w:cs="Times New Roman"/>
          <w:szCs w:val="24"/>
          <w:lang w:val="en-GB"/>
        </w:rPr>
      </w:pPr>
      <w:r w:rsidRPr="003569BE">
        <w:rPr>
          <w:rFonts w:cs="Times New Roman"/>
          <w:szCs w:val="24"/>
          <w:lang w:val="en-GB"/>
        </w:rPr>
        <w:t>Chen et Al. (2008) in this paper investigated</w:t>
      </w:r>
      <w:r w:rsidR="00744318" w:rsidRPr="003569BE">
        <w:rPr>
          <w:rFonts w:cs="Times New Roman"/>
          <w:szCs w:val="24"/>
          <w:lang w:val="en-GB"/>
        </w:rPr>
        <w:t xml:space="preserve"> </w:t>
      </w:r>
      <w:r w:rsidRPr="003569BE">
        <w:rPr>
          <w:rFonts w:cs="Times New Roman"/>
          <w:szCs w:val="24"/>
          <w:lang w:val="en-GB"/>
        </w:rPr>
        <w:t xml:space="preserve">the relationship between </w:t>
      </w:r>
      <w:r w:rsidR="00A7425E" w:rsidRPr="003569BE">
        <w:rPr>
          <w:rFonts w:cs="Times New Roman"/>
          <w:szCs w:val="24"/>
          <w:lang w:val="en-GB"/>
        </w:rPr>
        <w:t xml:space="preserve">the </w:t>
      </w:r>
      <w:r w:rsidRPr="003569BE">
        <w:rPr>
          <w:rFonts w:cs="Times New Roman"/>
          <w:szCs w:val="24"/>
          <w:lang w:val="en-GB"/>
        </w:rPr>
        <w:t xml:space="preserve">audit firm tenure and the quality of </w:t>
      </w:r>
      <w:r w:rsidR="00A7425E" w:rsidRPr="003569BE">
        <w:rPr>
          <w:rFonts w:cs="Times New Roman"/>
          <w:szCs w:val="24"/>
          <w:lang w:val="en-GB"/>
        </w:rPr>
        <w:t xml:space="preserve">the published </w:t>
      </w:r>
      <w:r w:rsidRPr="003569BE">
        <w:rPr>
          <w:rFonts w:cs="Times New Roman"/>
          <w:szCs w:val="24"/>
          <w:lang w:val="en-GB"/>
        </w:rPr>
        <w:t xml:space="preserve">earnings, as well as the relationship between </w:t>
      </w:r>
      <w:r w:rsidR="00A7425E" w:rsidRPr="003569BE">
        <w:rPr>
          <w:rFonts w:cs="Times New Roman"/>
          <w:szCs w:val="24"/>
          <w:lang w:val="en-GB"/>
        </w:rPr>
        <w:t xml:space="preserve">the </w:t>
      </w:r>
      <w:r w:rsidRPr="003569BE">
        <w:rPr>
          <w:rFonts w:cs="Times New Roman"/>
          <w:szCs w:val="24"/>
          <w:lang w:val="en-GB"/>
        </w:rPr>
        <w:t xml:space="preserve">audit partner tenure and the quality of </w:t>
      </w:r>
      <w:r w:rsidR="00A7425E" w:rsidRPr="003569BE">
        <w:rPr>
          <w:rFonts w:cs="Times New Roman"/>
          <w:szCs w:val="24"/>
          <w:lang w:val="en-GB"/>
        </w:rPr>
        <w:t xml:space="preserve">the published </w:t>
      </w:r>
      <w:r w:rsidRPr="003569BE">
        <w:rPr>
          <w:rFonts w:cs="Times New Roman"/>
          <w:szCs w:val="24"/>
          <w:lang w:val="en-GB"/>
        </w:rPr>
        <w:t xml:space="preserve">earnings. Studies on the second relation have not been performed as extensively as </w:t>
      </w:r>
      <w:r w:rsidR="00A7425E" w:rsidRPr="003569BE">
        <w:rPr>
          <w:rFonts w:cs="Times New Roman"/>
          <w:szCs w:val="24"/>
          <w:lang w:val="en-GB"/>
        </w:rPr>
        <w:t xml:space="preserve">concerning </w:t>
      </w:r>
      <w:r w:rsidRPr="003569BE">
        <w:rPr>
          <w:rFonts w:cs="Times New Roman"/>
          <w:szCs w:val="24"/>
          <w:lang w:val="en-GB"/>
        </w:rPr>
        <w:t xml:space="preserve">the first one, </w:t>
      </w:r>
      <w:r w:rsidR="00A7425E" w:rsidRPr="003569BE">
        <w:rPr>
          <w:rFonts w:cs="Times New Roman"/>
          <w:szCs w:val="24"/>
          <w:lang w:val="en-GB"/>
        </w:rPr>
        <w:t xml:space="preserve">consequently </w:t>
      </w:r>
      <w:r w:rsidRPr="003569BE">
        <w:rPr>
          <w:rFonts w:cs="Times New Roman"/>
          <w:szCs w:val="24"/>
          <w:lang w:val="en-GB"/>
        </w:rPr>
        <w:t>this paper can provide valuable insights for the purpose of this thesis</w:t>
      </w:r>
      <w:r w:rsidR="00975460" w:rsidRPr="003569BE">
        <w:rPr>
          <w:rFonts w:cs="Times New Roman"/>
          <w:szCs w:val="24"/>
          <w:lang w:val="en-GB"/>
        </w:rPr>
        <w:t xml:space="preserve">, by </w:t>
      </w:r>
      <w:r w:rsidR="00D7368A" w:rsidRPr="003569BE">
        <w:rPr>
          <w:rFonts w:cs="Times New Roman"/>
          <w:szCs w:val="24"/>
          <w:lang w:val="en-GB"/>
        </w:rPr>
        <w:t>controlling for the partner tenure</w:t>
      </w:r>
      <w:r w:rsidR="00C3125A" w:rsidRPr="003569BE">
        <w:rPr>
          <w:rFonts w:cs="Times New Roman"/>
          <w:szCs w:val="24"/>
          <w:lang w:val="en-GB"/>
        </w:rPr>
        <w:t xml:space="preserve"> when testing for audit firm tenure</w:t>
      </w:r>
      <w:r w:rsidR="00D7368A" w:rsidRPr="003569BE">
        <w:rPr>
          <w:rFonts w:cs="Times New Roman"/>
          <w:szCs w:val="24"/>
          <w:lang w:val="en-GB"/>
        </w:rPr>
        <w:t>.</w:t>
      </w:r>
      <w:r w:rsidR="0062506B" w:rsidRPr="003569BE">
        <w:rPr>
          <w:rFonts w:cs="Times New Roman"/>
          <w:szCs w:val="24"/>
          <w:lang w:val="en-GB"/>
        </w:rPr>
        <w:t xml:space="preserve"> This adds value to the results of this study and make</w:t>
      </w:r>
      <w:r w:rsidR="00A044A8" w:rsidRPr="003569BE">
        <w:rPr>
          <w:rFonts w:cs="Times New Roman"/>
          <w:szCs w:val="24"/>
          <w:lang w:val="en-GB"/>
        </w:rPr>
        <w:t>s</w:t>
      </w:r>
      <w:r w:rsidR="0062506B" w:rsidRPr="003569BE">
        <w:rPr>
          <w:rFonts w:cs="Times New Roman"/>
          <w:szCs w:val="24"/>
          <w:lang w:val="en-GB"/>
        </w:rPr>
        <w:t xml:space="preserve"> them more relevant for this thesis.</w:t>
      </w:r>
      <w:r w:rsidR="00A82BAB" w:rsidRPr="003569BE">
        <w:rPr>
          <w:rFonts w:cs="Times New Roman"/>
          <w:szCs w:val="24"/>
          <w:lang w:val="en-GB"/>
        </w:rPr>
        <w:t xml:space="preserve"> </w:t>
      </w:r>
      <w:r w:rsidR="00975460" w:rsidRPr="003569BE" w:rsidDel="00975460">
        <w:rPr>
          <w:rFonts w:cs="Times New Roman"/>
          <w:szCs w:val="24"/>
          <w:lang w:val="en-GB"/>
        </w:rPr>
        <w:t xml:space="preserve"> </w:t>
      </w:r>
    </w:p>
    <w:p w:rsidR="000D0A7A" w:rsidRPr="003569BE" w:rsidRDefault="0037799A" w:rsidP="008D3486">
      <w:pPr>
        <w:spacing w:line="360" w:lineRule="auto"/>
        <w:rPr>
          <w:rFonts w:cs="Times New Roman"/>
          <w:szCs w:val="24"/>
          <w:lang w:val="en-GB"/>
        </w:rPr>
      </w:pPr>
      <w:r w:rsidRPr="003569BE">
        <w:rPr>
          <w:rFonts w:cs="Times New Roman"/>
          <w:szCs w:val="24"/>
          <w:lang w:val="en-GB"/>
        </w:rPr>
        <w:t xml:space="preserve">Chen et Al. (2008) test the hypotheses </w:t>
      </w:r>
      <w:r w:rsidR="00A7425E" w:rsidRPr="003569BE">
        <w:rPr>
          <w:rFonts w:cs="Times New Roman"/>
          <w:szCs w:val="24"/>
          <w:lang w:val="en-GB"/>
        </w:rPr>
        <w:t xml:space="preserve">with </w:t>
      </w:r>
      <w:r w:rsidRPr="003569BE">
        <w:rPr>
          <w:rFonts w:cs="Times New Roman"/>
          <w:szCs w:val="24"/>
          <w:lang w:val="en-GB"/>
        </w:rPr>
        <w:t>a sample of 888 non-financial companies from the Taiwan Economic Journal (TEJ) database, with a total of 5.213 observations</w:t>
      </w:r>
      <w:r w:rsidR="006B6E0F" w:rsidRPr="003569BE">
        <w:rPr>
          <w:rFonts w:cs="Times New Roman"/>
          <w:szCs w:val="24"/>
          <w:lang w:val="en-GB"/>
        </w:rPr>
        <w:t>, excluding the companies from small industries.</w:t>
      </w:r>
    </w:p>
    <w:p w:rsidR="000265A4" w:rsidRPr="003569BE" w:rsidRDefault="00A7425E" w:rsidP="008D3486">
      <w:pPr>
        <w:spacing w:line="360" w:lineRule="auto"/>
        <w:rPr>
          <w:rFonts w:cs="Times New Roman"/>
          <w:szCs w:val="24"/>
          <w:lang w:val="en-GB"/>
        </w:rPr>
      </w:pPr>
      <w:r w:rsidRPr="003569BE">
        <w:rPr>
          <w:rFonts w:cs="Times New Roman"/>
          <w:szCs w:val="24"/>
          <w:lang w:val="en-GB"/>
        </w:rPr>
        <w:t>To measure the earnings quality, estimating them with a modified version of the Jones model, d</w:t>
      </w:r>
      <w:r w:rsidR="000265A4" w:rsidRPr="003569BE">
        <w:rPr>
          <w:rFonts w:cs="Times New Roman"/>
          <w:szCs w:val="24"/>
          <w:lang w:val="en-GB"/>
        </w:rPr>
        <w:t>iscretionary accruals are used</w:t>
      </w:r>
      <w:r w:rsidR="0031202F" w:rsidRPr="003569BE">
        <w:rPr>
          <w:rFonts w:cs="Times New Roman"/>
          <w:szCs w:val="24"/>
          <w:lang w:val="en-GB"/>
        </w:rPr>
        <w:t>.</w:t>
      </w:r>
      <w:r w:rsidR="00AA63C8" w:rsidRPr="003569BE">
        <w:rPr>
          <w:rFonts w:cs="Times New Roman"/>
          <w:szCs w:val="24"/>
          <w:lang w:val="en-GB"/>
        </w:rPr>
        <w:t xml:space="preserve"> The cross-sectional modified Jones model used by Dechow et Al. (1995) by Chen et Al. (2008)</w:t>
      </w:r>
      <w:r w:rsidRPr="003569BE">
        <w:rPr>
          <w:rFonts w:cs="Times New Roman"/>
          <w:szCs w:val="24"/>
          <w:lang w:val="en-GB"/>
        </w:rPr>
        <w:t xml:space="preserve"> is adjusted</w:t>
      </w:r>
      <w:r w:rsidR="00AA63C8" w:rsidRPr="003569BE">
        <w:rPr>
          <w:rFonts w:cs="Times New Roman"/>
          <w:szCs w:val="24"/>
          <w:lang w:val="en-GB"/>
        </w:rPr>
        <w:t>, by adding a control variable for the prior performance of the company.</w:t>
      </w:r>
      <w:r w:rsidR="00D51040" w:rsidRPr="003569BE">
        <w:rPr>
          <w:rFonts w:cs="Times New Roman"/>
          <w:szCs w:val="24"/>
          <w:lang w:val="en-GB"/>
        </w:rPr>
        <w:t xml:space="preserve"> </w:t>
      </w:r>
    </w:p>
    <w:p w:rsidR="00D51040" w:rsidRPr="003569BE" w:rsidRDefault="00D51040" w:rsidP="008D3486">
      <w:pPr>
        <w:spacing w:line="360" w:lineRule="auto"/>
        <w:rPr>
          <w:rFonts w:cs="Times New Roman"/>
          <w:szCs w:val="24"/>
          <w:lang w:val="en-GB"/>
        </w:rPr>
      </w:pPr>
      <w:r w:rsidRPr="003569BE">
        <w:rPr>
          <w:rFonts w:cs="Times New Roman"/>
          <w:szCs w:val="24"/>
          <w:lang w:val="en-GB"/>
        </w:rPr>
        <w:t xml:space="preserve">The findings suggest a significant negative correlation between </w:t>
      </w:r>
      <w:r w:rsidR="00A7425E" w:rsidRPr="003569BE">
        <w:rPr>
          <w:rFonts w:cs="Times New Roman"/>
          <w:szCs w:val="24"/>
          <w:lang w:val="en-GB"/>
        </w:rPr>
        <w:t xml:space="preserve">the </w:t>
      </w:r>
      <w:r w:rsidRPr="003569BE">
        <w:rPr>
          <w:rFonts w:cs="Times New Roman"/>
          <w:szCs w:val="24"/>
          <w:lang w:val="en-GB"/>
        </w:rPr>
        <w:t xml:space="preserve">audit partner tenure and the level of </w:t>
      </w:r>
      <w:r w:rsidR="00A7425E" w:rsidRPr="003569BE">
        <w:rPr>
          <w:rFonts w:cs="Times New Roman"/>
          <w:szCs w:val="24"/>
          <w:lang w:val="en-GB"/>
        </w:rPr>
        <w:t xml:space="preserve">the </w:t>
      </w:r>
      <w:r w:rsidRPr="003569BE">
        <w:rPr>
          <w:rFonts w:cs="Times New Roman"/>
          <w:szCs w:val="24"/>
          <w:lang w:val="en-GB"/>
        </w:rPr>
        <w:t xml:space="preserve">discretionary accruals. </w:t>
      </w:r>
      <w:r w:rsidR="00A7425E" w:rsidRPr="003569BE">
        <w:rPr>
          <w:rFonts w:cs="Times New Roman"/>
          <w:szCs w:val="24"/>
          <w:lang w:val="en-GB"/>
        </w:rPr>
        <w:t xml:space="preserve">According to the results of Chen et Al. (2008) the </w:t>
      </w:r>
      <w:r w:rsidRPr="003569BE">
        <w:rPr>
          <w:rFonts w:cs="Times New Roman"/>
          <w:szCs w:val="24"/>
          <w:lang w:val="en-GB"/>
        </w:rPr>
        <w:t>longer the partner tenure, the higher the earnings quality</w:t>
      </w:r>
      <w:r w:rsidR="00A7425E" w:rsidRPr="003569BE">
        <w:rPr>
          <w:rFonts w:cs="Times New Roman"/>
          <w:szCs w:val="24"/>
          <w:lang w:val="en-GB"/>
        </w:rPr>
        <w:t xml:space="preserve"> is</w:t>
      </w:r>
      <w:r w:rsidR="00961577" w:rsidRPr="003569BE">
        <w:rPr>
          <w:rFonts w:cs="Times New Roman"/>
          <w:szCs w:val="24"/>
          <w:lang w:val="en-GB"/>
        </w:rPr>
        <w:t>.</w:t>
      </w:r>
      <w:r w:rsidR="0037085B" w:rsidRPr="003569BE">
        <w:rPr>
          <w:rFonts w:cs="Times New Roman"/>
          <w:szCs w:val="24"/>
          <w:lang w:val="en-GB"/>
        </w:rPr>
        <w:t xml:space="preserve"> This correlation is even stronger when considering </w:t>
      </w:r>
      <w:r w:rsidR="00A7425E" w:rsidRPr="003569BE">
        <w:rPr>
          <w:rFonts w:cs="Times New Roman"/>
          <w:szCs w:val="24"/>
          <w:lang w:val="en-GB"/>
        </w:rPr>
        <w:t xml:space="preserve">the use of </w:t>
      </w:r>
      <w:r w:rsidR="0037085B" w:rsidRPr="003569BE">
        <w:rPr>
          <w:rFonts w:cs="Times New Roman"/>
          <w:szCs w:val="24"/>
          <w:lang w:val="en-GB"/>
        </w:rPr>
        <w:t xml:space="preserve">earnings management with </w:t>
      </w:r>
      <w:r w:rsidR="00A7425E" w:rsidRPr="003569BE">
        <w:rPr>
          <w:rFonts w:cs="Times New Roman"/>
          <w:szCs w:val="24"/>
          <w:lang w:val="en-GB"/>
        </w:rPr>
        <w:t xml:space="preserve">the </w:t>
      </w:r>
      <w:r w:rsidR="0037085B" w:rsidRPr="003569BE">
        <w:rPr>
          <w:rFonts w:cs="Times New Roman"/>
          <w:szCs w:val="24"/>
          <w:lang w:val="en-GB"/>
        </w:rPr>
        <w:t>income increasing purposes.</w:t>
      </w:r>
      <w:r w:rsidR="00C24A3B" w:rsidRPr="003569BE">
        <w:rPr>
          <w:rFonts w:cs="Times New Roman"/>
          <w:szCs w:val="24"/>
          <w:lang w:val="en-GB"/>
        </w:rPr>
        <w:t xml:space="preserve"> </w:t>
      </w:r>
      <w:r w:rsidR="00A7425E" w:rsidRPr="003569BE">
        <w:rPr>
          <w:rFonts w:cs="Times New Roman"/>
          <w:szCs w:val="24"/>
          <w:lang w:val="en-GB"/>
        </w:rPr>
        <w:t xml:space="preserve">After controlling for audit partner tenure </w:t>
      </w:r>
      <w:r w:rsidR="00EA48CF" w:rsidRPr="003569BE">
        <w:rPr>
          <w:rFonts w:cs="Times New Roman"/>
          <w:szCs w:val="24"/>
          <w:lang w:val="en-GB"/>
        </w:rPr>
        <w:t xml:space="preserve">the relationship between the audit firm tenure and the quality of </w:t>
      </w:r>
      <w:r w:rsidR="00A7425E" w:rsidRPr="003569BE">
        <w:rPr>
          <w:rFonts w:cs="Times New Roman"/>
          <w:szCs w:val="24"/>
          <w:lang w:val="en-GB"/>
        </w:rPr>
        <w:t xml:space="preserve">the published </w:t>
      </w:r>
      <w:r w:rsidR="00EA48CF" w:rsidRPr="003569BE">
        <w:rPr>
          <w:rFonts w:cs="Times New Roman"/>
          <w:szCs w:val="24"/>
          <w:lang w:val="en-GB"/>
        </w:rPr>
        <w:t xml:space="preserve">earnings, the correlation is significantly negative as well </w:t>
      </w:r>
      <w:sdt>
        <w:sdtPr>
          <w:rPr>
            <w:rFonts w:cs="Times New Roman"/>
            <w:szCs w:val="24"/>
            <w:lang w:val="en-GB"/>
          </w:rPr>
          <w:id w:val="-998734843"/>
          <w:citation/>
        </w:sdtPr>
        <w:sdtContent>
          <w:r w:rsidR="000E4BAF" w:rsidRPr="003569BE">
            <w:rPr>
              <w:rFonts w:cs="Times New Roman"/>
              <w:szCs w:val="24"/>
              <w:lang w:val="en-GB"/>
            </w:rPr>
            <w:fldChar w:fldCharType="begin"/>
          </w:r>
          <w:r w:rsidR="008D2923" w:rsidRPr="003569BE">
            <w:rPr>
              <w:rFonts w:cs="Times New Roman"/>
              <w:szCs w:val="24"/>
              <w:lang w:val="en-GB"/>
            </w:rPr>
            <w:instrText xml:space="preserve"> CITATION Che08 \l 1033 </w:instrText>
          </w:r>
          <w:r w:rsidR="000E4BAF" w:rsidRPr="003569BE">
            <w:rPr>
              <w:rFonts w:cs="Times New Roman"/>
              <w:szCs w:val="24"/>
              <w:lang w:val="en-GB"/>
            </w:rPr>
            <w:fldChar w:fldCharType="separate"/>
          </w:r>
          <w:r w:rsidR="008F7EB3" w:rsidRPr="003569BE">
            <w:rPr>
              <w:rFonts w:cs="Times New Roman"/>
              <w:noProof/>
              <w:szCs w:val="24"/>
              <w:lang w:val="en-GB"/>
            </w:rPr>
            <w:t>(Chen, Lin, &amp; Lin, 2008)</w:t>
          </w:r>
          <w:r w:rsidR="000E4BAF" w:rsidRPr="003569BE">
            <w:rPr>
              <w:rFonts w:cs="Times New Roman"/>
              <w:szCs w:val="24"/>
              <w:lang w:val="en-GB"/>
            </w:rPr>
            <w:fldChar w:fldCharType="end"/>
          </w:r>
        </w:sdtContent>
      </w:sdt>
      <w:r w:rsidR="00EA48CF" w:rsidRPr="003569BE">
        <w:rPr>
          <w:rFonts w:cs="Times New Roman"/>
          <w:szCs w:val="24"/>
          <w:lang w:val="en-GB"/>
        </w:rPr>
        <w:t>.</w:t>
      </w:r>
    </w:p>
    <w:p w:rsidR="00CC5EFF" w:rsidRPr="003569BE" w:rsidRDefault="007A07E7" w:rsidP="008D3486">
      <w:pPr>
        <w:spacing w:line="360" w:lineRule="auto"/>
        <w:rPr>
          <w:rFonts w:cs="Times New Roman"/>
          <w:szCs w:val="24"/>
          <w:lang w:val="en-GB"/>
        </w:rPr>
      </w:pPr>
      <w:r w:rsidRPr="003569BE">
        <w:rPr>
          <w:rFonts w:cs="Times New Roman"/>
          <w:szCs w:val="24"/>
          <w:lang w:val="en-GB"/>
        </w:rPr>
        <w:t>T</w:t>
      </w:r>
      <w:r w:rsidR="00E93CD8" w:rsidRPr="003569BE">
        <w:rPr>
          <w:rFonts w:cs="Times New Roman"/>
          <w:szCs w:val="24"/>
          <w:lang w:val="en-GB"/>
        </w:rPr>
        <w:t xml:space="preserve">he results of this paper contradict the claim of the advocates of </w:t>
      </w:r>
      <w:r w:rsidRPr="003569BE">
        <w:rPr>
          <w:rFonts w:cs="Times New Roman"/>
          <w:szCs w:val="24"/>
          <w:lang w:val="en-GB"/>
        </w:rPr>
        <w:t xml:space="preserve">the </w:t>
      </w:r>
      <w:r w:rsidR="00E93CD8" w:rsidRPr="003569BE">
        <w:rPr>
          <w:rFonts w:cs="Times New Roman"/>
          <w:szCs w:val="24"/>
          <w:lang w:val="en-GB"/>
        </w:rPr>
        <w:t>mandatory rotation: both for partners and for audit firms.</w:t>
      </w:r>
      <w:r w:rsidR="00845EA1" w:rsidRPr="003569BE">
        <w:rPr>
          <w:rFonts w:cs="Times New Roman"/>
          <w:szCs w:val="24"/>
          <w:lang w:val="en-GB"/>
        </w:rPr>
        <w:t xml:space="preserve"> However, </w:t>
      </w:r>
      <w:r w:rsidRPr="003569BE">
        <w:rPr>
          <w:rFonts w:cs="Times New Roman"/>
          <w:szCs w:val="24"/>
          <w:lang w:val="en-GB"/>
        </w:rPr>
        <w:t xml:space="preserve">since the Taiwanese environment experiences specific characteristics, </w:t>
      </w:r>
      <w:r w:rsidR="00845EA1" w:rsidRPr="003569BE">
        <w:rPr>
          <w:rFonts w:cs="Times New Roman"/>
          <w:szCs w:val="24"/>
          <w:lang w:val="en-GB"/>
        </w:rPr>
        <w:t>the results of this study are difficult to generaliz</w:t>
      </w:r>
      <w:r w:rsidR="00E34399" w:rsidRPr="003569BE">
        <w:rPr>
          <w:rFonts w:cs="Times New Roman"/>
          <w:szCs w:val="24"/>
          <w:lang w:val="en-GB"/>
        </w:rPr>
        <w:t>e to the rest of the population, especially to companies in Europe.</w:t>
      </w:r>
    </w:p>
    <w:p w:rsidR="00434F7E" w:rsidRPr="003569BE" w:rsidRDefault="00434F7E" w:rsidP="008D3486">
      <w:pPr>
        <w:spacing w:line="360" w:lineRule="auto"/>
        <w:rPr>
          <w:rFonts w:cs="Times New Roman"/>
          <w:szCs w:val="24"/>
          <w:lang w:val="en-GB"/>
        </w:rPr>
      </w:pPr>
    </w:p>
    <w:p w:rsidR="00933D6B" w:rsidRPr="003569BE" w:rsidRDefault="00933D6B" w:rsidP="00933D6B">
      <w:pPr>
        <w:pStyle w:val="Heading2"/>
        <w:numPr>
          <w:ilvl w:val="1"/>
          <w:numId w:val="6"/>
        </w:numPr>
        <w:spacing w:line="360" w:lineRule="auto"/>
        <w:rPr>
          <w:rFonts w:cs="Times New Roman"/>
          <w:szCs w:val="24"/>
          <w:lang w:val="en-GB"/>
        </w:rPr>
      </w:pPr>
      <w:bookmarkStart w:id="39" w:name="_Toc396633571"/>
      <w:r w:rsidRPr="003569BE">
        <w:rPr>
          <w:rFonts w:cs="Times New Roman"/>
          <w:szCs w:val="24"/>
          <w:lang w:val="en-GB"/>
        </w:rPr>
        <w:lastRenderedPageBreak/>
        <w:t xml:space="preserve">Comparative </w:t>
      </w:r>
      <w:r w:rsidRPr="003569BE">
        <w:rPr>
          <w:rFonts w:cs="Times New Roman"/>
          <w:sz w:val="24"/>
          <w:szCs w:val="24"/>
          <w:lang w:val="en-GB"/>
        </w:rPr>
        <w:t>Assessment</w:t>
      </w:r>
      <w:r w:rsidRPr="003569BE">
        <w:rPr>
          <w:rFonts w:cs="Times New Roman"/>
          <w:szCs w:val="24"/>
          <w:lang w:val="en-GB"/>
        </w:rPr>
        <w:t xml:space="preserve"> of the </w:t>
      </w:r>
      <w:r w:rsidR="004F1FA0" w:rsidRPr="003569BE">
        <w:rPr>
          <w:rFonts w:cs="Times New Roman"/>
          <w:szCs w:val="24"/>
          <w:lang w:val="en-GB"/>
        </w:rPr>
        <w:t>Prior Literature</w:t>
      </w:r>
      <w:bookmarkEnd w:id="39"/>
    </w:p>
    <w:p w:rsidR="008A00AB" w:rsidRPr="003569BE" w:rsidRDefault="004B0C17" w:rsidP="000E5E92">
      <w:pPr>
        <w:spacing w:line="360" w:lineRule="auto"/>
        <w:rPr>
          <w:lang w:val="en-GB"/>
        </w:rPr>
      </w:pPr>
      <w:r w:rsidRPr="003569BE">
        <w:rPr>
          <w:lang w:val="en-GB"/>
        </w:rPr>
        <w:t>The</w:t>
      </w:r>
      <w:r w:rsidR="00080FC8" w:rsidRPr="003569BE">
        <w:rPr>
          <w:lang w:val="en-GB"/>
        </w:rPr>
        <w:t xml:space="preserve"> evidence </w:t>
      </w:r>
      <w:r w:rsidR="008E1856" w:rsidRPr="003569BE">
        <w:rPr>
          <w:lang w:val="en-GB"/>
        </w:rPr>
        <w:t>from the</w:t>
      </w:r>
      <w:r w:rsidRPr="003569BE">
        <w:rPr>
          <w:lang w:val="en-GB"/>
        </w:rPr>
        <w:t xml:space="preserve"> papers presented before in this chapter </w:t>
      </w:r>
      <w:r w:rsidR="008E1856" w:rsidRPr="003569BE">
        <w:rPr>
          <w:lang w:val="en-GB"/>
        </w:rPr>
        <w:t xml:space="preserve">is </w:t>
      </w:r>
      <w:r w:rsidR="00194F50" w:rsidRPr="003569BE">
        <w:rPr>
          <w:lang w:val="en-GB"/>
        </w:rPr>
        <w:t>comparatively presented</w:t>
      </w:r>
      <w:r w:rsidRPr="003569BE">
        <w:rPr>
          <w:lang w:val="en-GB"/>
        </w:rPr>
        <w:t xml:space="preserve"> in this section. </w:t>
      </w:r>
    </w:p>
    <w:p w:rsidR="00933D6B" w:rsidRPr="003569BE" w:rsidRDefault="0095781D" w:rsidP="000E5E92">
      <w:pPr>
        <w:spacing w:line="360" w:lineRule="auto"/>
        <w:rPr>
          <w:lang w:val="en-GB"/>
        </w:rPr>
      </w:pPr>
      <w:r w:rsidRPr="003569BE">
        <w:rPr>
          <w:lang w:val="en-GB"/>
        </w:rPr>
        <w:t>First, Ruiz-Barbadillo et Al. (2009)</w:t>
      </w:r>
      <w:r w:rsidR="00037E09" w:rsidRPr="003569BE">
        <w:rPr>
          <w:lang w:val="en-GB"/>
        </w:rPr>
        <w:t xml:space="preserve"> </w:t>
      </w:r>
      <w:r w:rsidR="004D2D98" w:rsidRPr="003569BE">
        <w:rPr>
          <w:lang w:val="en-GB"/>
        </w:rPr>
        <w:t xml:space="preserve">concluded that no significant evidence exist to support the statement that the </w:t>
      </w:r>
      <w:r w:rsidR="00C53597" w:rsidRPr="003569BE">
        <w:rPr>
          <w:lang w:val="en-GB"/>
        </w:rPr>
        <w:t>probability of issuing going-concern audit opinions would increase in either of the settings they used.</w:t>
      </w:r>
      <w:r w:rsidR="00B50DE8" w:rsidRPr="003569BE">
        <w:rPr>
          <w:lang w:val="en-GB"/>
        </w:rPr>
        <w:t xml:space="preserve"> These findings claim that mandatory audit firm rotation does not improve the independence of the auditor</w:t>
      </w:r>
      <w:r w:rsidR="003C25B5" w:rsidRPr="003569BE">
        <w:rPr>
          <w:lang w:val="en-GB"/>
        </w:rPr>
        <w:t>. On the other hand, Davis et Al. (2000) provide empirical evidence that audit tenure has a significant</w:t>
      </w:r>
      <w:r w:rsidR="00773C0D" w:rsidRPr="003569BE">
        <w:rPr>
          <w:lang w:val="en-GB"/>
        </w:rPr>
        <w:t xml:space="preserve"> negative</w:t>
      </w:r>
      <w:r w:rsidR="003C25B5" w:rsidRPr="003569BE">
        <w:rPr>
          <w:lang w:val="en-GB"/>
        </w:rPr>
        <w:t xml:space="preserve"> effect on the </w:t>
      </w:r>
      <w:r w:rsidR="00773C0D" w:rsidRPr="003569BE">
        <w:rPr>
          <w:lang w:val="en-GB"/>
        </w:rPr>
        <w:t xml:space="preserve">independence </w:t>
      </w:r>
      <w:r w:rsidR="00320C7C" w:rsidRPr="003569BE">
        <w:rPr>
          <w:lang w:val="en-GB"/>
        </w:rPr>
        <w:t xml:space="preserve">of the </w:t>
      </w:r>
      <w:r w:rsidR="00773C0D" w:rsidRPr="003569BE">
        <w:rPr>
          <w:lang w:val="en-GB"/>
        </w:rPr>
        <w:t>auditor</w:t>
      </w:r>
      <w:r w:rsidR="003C25B5" w:rsidRPr="003569BE">
        <w:rPr>
          <w:lang w:val="en-GB"/>
        </w:rPr>
        <w:t xml:space="preserve">. </w:t>
      </w:r>
      <w:r w:rsidR="00773C0D" w:rsidRPr="003569BE">
        <w:rPr>
          <w:lang w:val="en-GB"/>
        </w:rPr>
        <w:t xml:space="preserve">Davis’s et Al. (2000) findings are in line with the SEC regarding the impairment of the auditor independence when audit tenure is longer. They also </w:t>
      </w:r>
      <w:r w:rsidR="00E77518" w:rsidRPr="003569BE">
        <w:rPr>
          <w:lang w:val="en-GB"/>
        </w:rPr>
        <w:t>find evidence that this empowers the management with more flexibility to engage in earnings management at a higher degree</w:t>
      </w:r>
      <w:r w:rsidR="003058D1" w:rsidRPr="003569BE">
        <w:rPr>
          <w:lang w:val="en-GB"/>
        </w:rPr>
        <w:t>, supporting the claim of the advocates of mandatory audit firm rotation.</w:t>
      </w:r>
      <w:r w:rsidR="00D43AFA" w:rsidRPr="003569BE">
        <w:rPr>
          <w:lang w:val="en-GB"/>
        </w:rPr>
        <w:t xml:space="preserve"> T</w:t>
      </w:r>
      <w:r w:rsidR="00FF6B1D" w:rsidRPr="003569BE">
        <w:rPr>
          <w:lang w:val="en-GB"/>
        </w:rPr>
        <w:t>his difference in their results cr</w:t>
      </w:r>
      <w:r w:rsidR="005901C9" w:rsidRPr="003569BE">
        <w:rPr>
          <w:lang w:val="en-GB"/>
        </w:rPr>
        <w:t xml:space="preserve">eates tension in the literature. Possible explanations for the differences in the results of Ruiz-Barbadillo et Al. (2009) and Davis et Al. (2000) can rely on the </w:t>
      </w:r>
      <w:r w:rsidR="00F377E1" w:rsidRPr="003569BE">
        <w:rPr>
          <w:lang w:val="en-GB"/>
        </w:rPr>
        <w:t xml:space="preserve">difference of the settings of the tested sample, and the measures they use: </w:t>
      </w:r>
      <w:r w:rsidR="001B4AB5" w:rsidRPr="003569BE">
        <w:rPr>
          <w:lang w:val="en-GB"/>
        </w:rPr>
        <w:t>the propensity of issuing going-concern audit opinions vs. the amount of discretionary accruals.</w:t>
      </w:r>
      <w:r w:rsidR="00500830" w:rsidRPr="003569BE">
        <w:rPr>
          <w:lang w:val="en-GB"/>
        </w:rPr>
        <w:t xml:space="preserve"> </w:t>
      </w:r>
      <w:r w:rsidR="00D863F8" w:rsidRPr="003569BE">
        <w:rPr>
          <w:lang w:val="en-GB"/>
        </w:rPr>
        <w:t xml:space="preserve">In contradiction with the results of Davis et Al. (2000), </w:t>
      </w:r>
      <w:r w:rsidR="00AA28F8" w:rsidRPr="003569BE">
        <w:rPr>
          <w:lang w:val="en-GB"/>
        </w:rPr>
        <w:t xml:space="preserve">Myers et Al. (2003) found evidence that </w:t>
      </w:r>
      <w:r w:rsidR="009D0A42" w:rsidRPr="003569BE">
        <w:rPr>
          <w:lang w:val="en-GB"/>
        </w:rPr>
        <w:t xml:space="preserve">auditors tend to constrain </w:t>
      </w:r>
      <w:r w:rsidR="002D1519" w:rsidRPr="003569BE">
        <w:rPr>
          <w:lang w:val="en-GB"/>
        </w:rPr>
        <w:t>more for the manipulation of accruals by the management when auditor tenure is longer.</w:t>
      </w:r>
      <w:r w:rsidR="00D64941" w:rsidRPr="003569BE">
        <w:rPr>
          <w:lang w:val="en-GB"/>
        </w:rPr>
        <w:t xml:space="preserve"> </w:t>
      </w:r>
      <w:r w:rsidR="00A2581B" w:rsidRPr="003569BE">
        <w:rPr>
          <w:lang w:val="en-GB"/>
        </w:rPr>
        <w:t xml:space="preserve">That is, the longer the audit tenure, the lower the magnitude of the use of earnings management, according to Myers et Al. (2003). </w:t>
      </w:r>
      <w:r w:rsidR="00731679" w:rsidRPr="003569BE">
        <w:rPr>
          <w:lang w:val="en-GB"/>
        </w:rPr>
        <w:t xml:space="preserve">Both papers, Davis et Al. (2000) and Myers et Al. (2003), use </w:t>
      </w:r>
      <w:r w:rsidR="00F46836" w:rsidRPr="003569BE">
        <w:rPr>
          <w:lang w:val="en-GB"/>
        </w:rPr>
        <w:t xml:space="preserve">discretionary </w:t>
      </w:r>
      <w:r w:rsidR="00731679" w:rsidRPr="003569BE">
        <w:rPr>
          <w:lang w:val="en-GB"/>
        </w:rPr>
        <w:t>accruals as proxies</w:t>
      </w:r>
      <w:r w:rsidR="000A040F" w:rsidRPr="003569BE">
        <w:rPr>
          <w:lang w:val="en-GB"/>
        </w:rPr>
        <w:t>. This adds to the tension of this thesis’s subject.</w:t>
      </w:r>
      <w:r w:rsidR="00666E1D" w:rsidRPr="003569BE">
        <w:rPr>
          <w:lang w:val="en-GB"/>
        </w:rPr>
        <w:t xml:space="preserve"> </w:t>
      </w:r>
      <w:r w:rsidR="00764FA4" w:rsidRPr="003569BE">
        <w:rPr>
          <w:lang w:val="en-GB"/>
        </w:rPr>
        <w:t xml:space="preserve">In addition, the results of Myers et Al. (2003) are supported by the paper of Chen et Al. (2008), who found evidence for a significant negative effect that audit </w:t>
      </w:r>
      <w:r w:rsidR="00C3422D" w:rsidRPr="003569BE">
        <w:rPr>
          <w:lang w:val="en-GB"/>
        </w:rPr>
        <w:t>tenure has on the amount of discretionary accruals.</w:t>
      </w:r>
      <w:r w:rsidR="00351208" w:rsidRPr="003569BE">
        <w:rPr>
          <w:lang w:val="en-GB"/>
        </w:rPr>
        <w:t xml:space="preserve"> Chen et Al. (2008) also control for audit partner tenure in their tests.</w:t>
      </w:r>
      <w:r w:rsidR="00C75F0F" w:rsidRPr="003569BE">
        <w:rPr>
          <w:lang w:val="en-GB"/>
        </w:rPr>
        <w:t xml:space="preserve"> However, the findings of Chen et Al (2008) have limited relevance because of the particularities of the Taiwanese environment, which was used for the empirical tests.</w:t>
      </w:r>
      <w:r w:rsidR="00381ACA" w:rsidRPr="003569BE">
        <w:rPr>
          <w:lang w:val="en-GB"/>
        </w:rPr>
        <w:t xml:space="preserve"> Another relevant paper for this thesis is the research conducted by Becker et Al. (1998) on a sample of US firms.</w:t>
      </w:r>
      <w:r w:rsidR="00404087" w:rsidRPr="003569BE">
        <w:rPr>
          <w:lang w:val="en-GB"/>
        </w:rPr>
        <w:t xml:space="preserve"> Their findings are in line with the arguments of the advocates of the mandatory audit firm rotation, </w:t>
      </w:r>
      <w:r w:rsidR="00A32EAD" w:rsidRPr="003569BE">
        <w:rPr>
          <w:lang w:val="en-GB"/>
        </w:rPr>
        <w:t>by providing evidence that high audit quality constrains the management to manage earnings. That is, the higher the audit quality, measured through a dummy variable regarding BigSix and non-BigSix auditors, the lower the amount of discretionary accruals.</w:t>
      </w:r>
      <w:r w:rsidR="00240BD0" w:rsidRPr="003569BE">
        <w:rPr>
          <w:lang w:val="en-GB"/>
        </w:rPr>
        <w:t xml:space="preserve"> </w:t>
      </w:r>
      <w:r w:rsidR="00AD7FB8" w:rsidRPr="003569BE">
        <w:rPr>
          <w:lang w:val="en-GB"/>
        </w:rPr>
        <w:t>However,</w:t>
      </w:r>
      <w:r w:rsidR="00D04A93" w:rsidRPr="003569BE">
        <w:rPr>
          <w:lang w:val="en-GB"/>
        </w:rPr>
        <w:t xml:space="preserve"> the findings of</w:t>
      </w:r>
      <w:r w:rsidR="00AD7FB8" w:rsidRPr="003569BE">
        <w:rPr>
          <w:lang w:val="en-GB"/>
        </w:rPr>
        <w:t xml:space="preserve"> Jackson et Al. (2008) </w:t>
      </w:r>
      <w:r w:rsidR="00D04A93" w:rsidRPr="003569BE">
        <w:rPr>
          <w:lang w:val="en-GB"/>
        </w:rPr>
        <w:t>limits the relevance of Becker’s et Al. (1998) results regarding the mandatory audit firm rotation</w:t>
      </w:r>
      <w:r w:rsidR="00F50040" w:rsidRPr="003569BE">
        <w:rPr>
          <w:lang w:val="en-GB"/>
        </w:rPr>
        <w:t xml:space="preserve">, by providing </w:t>
      </w:r>
      <w:r w:rsidR="00F50040" w:rsidRPr="003569BE">
        <w:rPr>
          <w:lang w:val="en-GB"/>
        </w:rPr>
        <w:lastRenderedPageBreak/>
        <w:t xml:space="preserve">evidence that the rotation of auditors does not improve audit quality. </w:t>
      </w:r>
      <w:r w:rsidR="00E95E69" w:rsidRPr="003569BE">
        <w:rPr>
          <w:lang w:val="en-GB"/>
        </w:rPr>
        <w:t xml:space="preserve">They </w:t>
      </w:r>
      <w:r w:rsidR="008A5685" w:rsidRPr="003569BE">
        <w:rPr>
          <w:lang w:val="en-GB"/>
        </w:rPr>
        <w:t xml:space="preserve">reach this conclusion by </w:t>
      </w:r>
      <w:r w:rsidR="00E95E69" w:rsidRPr="003569BE">
        <w:rPr>
          <w:lang w:val="en-GB"/>
        </w:rPr>
        <w:t>investigat</w:t>
      </w:r>
      <w:r w:rsidR="008A5685" w:rsidRPr="003569BE">
        <w:rPr>
          <w:lang w:val="en-GB"/>
        </w:rPr>
        <w:t>ing</w:t>
      </w:r>
      <w:r w:rsidR="00E95E69" w:rsidRPr="003569BE">
        <w:rPr>
          <w:lang w:val="en-GB"/>
        </w:rPr>
        <w:t xml:space="preserve"> the financials of </w:t>
      </w:r>
      <w:r w:rsidR="007B644E" w:rsidRPr="003569BE">
        <w:rPr>
          <w:lang w:val="en-GB"/>
        </w:rPr>
        <w:t xml:space="preserve">Australian </w:t>
      </w:r>
      <w:r w:rsidR="00E95E69" w:rsidRPr="003569BE">
        <w:rPr>
          <w:lang w:val="en-GB"/>
        </w:rPr>
        <w:t>companies in the years before and after changes of auditors.</w:t>
      </w:r>
      <w:r w:rsidR="009967C4" w:rsidRPr="003569BE">
        <w:rPr>
          <w:lang w:val="en-GB"/>
        </w:rPr>
        <w:t xml:space="preserve"> </w:t>
      </w:r>
      <w:r w:rsidR="005E5587" w:rsidRPr="003569BE">
        <w:rPr>
          <w:lang w:val="en-GB"/>
        </w:rPr>
        <w:t xml:space="preserve">Considering the fact that the auditor switches in the Australian setting are voluntary and no mandatory audit firm rotation is in place in this country, </w:t>
      </w:r>
      <w:r w:rsidR="00724DD7" w:rsidRPr="003569BE">
        <w:rPr>
          <w:lang w:val="en-GB"/>
        </w:rPr>
        <w:t>issues arise when generalising these results to a MAFR setting.</w:t>
      </w:r>
      <w:r w:rsidR="006C35BA" w:rsidRPr="003569BE">
        <w:rPr>
          <w:lang w:val="en-GB"/>
        </w:rPr>
        <w:t xml:space="preserve"> </w:t>
      </w:r>
      <w:r w:rsidR="00A55766" w:rsidRPr="003569BE">
        <w:rPr>
          <w:lang w:val="en-GB"/>
        </w:rPr>
        <w:t xml:space="preserve">For this issue, the paper of Cameran et Al. (2012) </w:t>
      </w:r>
      <w:r w:rsidR="000B61DD" w:rsidRPr="003569BE">
        <w:rPr>
          <w:lang w:val="en-GB"/>
        </w:rPr>
        <w:t>answers the question by testing this relationship in a real mandatory audit firm rotation, i.e. Italy. Their results are consistent with the results of Jackson et Al. (2008), providing evidence that audit quality increases in the final period of the auditor’s engagement, before the mandatory rotation.</w:t>
      </w:r>
      <w:r w:rsidR="0087104F" w:rsidRPr="003569BE">
        <w:rPr>
          <w:lang w:val="en-GB"/>
        </w:rPr>
        <w:t xml:space="preserve"> They also provide valuable insights regarding the effect on the perceived audit quality, showing that it follows the same trend as the actual audit quality.</w:t>
      </w:r>
    </w:p>
    <w:p w:rsidR="00556329" w:rsidRPr="003569BE" w:rsidRDefault="00556329" w:rsidP="000E5E92">
      <w:pPr>
        <w:spacing w:line="360" w:lineRule="auto"/>
        <w:rPr>
          <w:lang w:val="en-GB"/>
        </w:rPr>
      </w:pPr>
      <w:r w:rsidRPr="003569BE">
        <w:rPr>
          <w:lang w:val="en-GB"/>
        </w:rPr>
        <w:t xml:space="preserve">In conclusion, two of the seven papers presented in this chapter support the claim of the advocates of mandatory audit firm rotation and five papers </w:t>
      </w:r>
      <w:r w:rsidR="00EB7982" w:rsidRPr="003569BE">
        <w:rPr>
          <w:lang w:val="en-GB"/>
        </w:rPr>
        <w:t>are in line with the MAFR opponents’ arguments.</w:t>
      </w:r>
    </w:p>
    <w:p w:rsidR="00481E79" w:rsidRPr="003569BE" w:rsidRDefault="00481E79" w:rsidP="00481E79">
      <w:pPr>
        <w:pStyle w:val="Heading2"/>
        <w:numPr>
          <w:ilvl w:val="1"/>
          <w:numId w:val="6"/>
        </w:numPr>
        <w:spacing w:line="360" w:lineRule="auto"/>
        <w:rPr>
          <w:rFonts w:cs="Times New Roman"/>
          <w:sz w:val="24"/>
          <w:szCs w:val="24"/>
          <w:lang w:val="en-GB"/>
        </w:rPr>
      </w:pPr>
      <w:bookmarkStart w:id="40" w:name="_Toc396633572"/>
      <w:r w:rsidRPr="003569BE">
        <w:rPr>
          <w:rFonts w:cs="Times New Roman"/>
          <w:sz w:val="24"/>
          <w:szCs w:val="24"/>
          <w:lang w:val="en-GB"/>
        </w:rPr>
        <w:t>Summary</w:t>
      </w:r>
      <w:bookmarkEnd w:id="40"/>
    </w:p>
    <w:p w:rsidR="007815A4" w:rsidRPr="003569BE" w:rsidRDefault="00C75567" w:rsidP="00481E79">
      <w:pPr>
        <w:spacing w:line="360" w:lineRule="auto"/>
        <w:rPr>
          <w:rFonts w:cs="Times New Roman"/>
          <w:szCs w:val="24"/>
          <w:lang w:val="en-GB"/>
        </w:rPr>
      </w:pPr>
      <w:r w:rsidRPr="003569BE">
        <w:rPr>
          <w:rFonts w:cs="Times New Roman"/>
          <w:szCs w:val="24"/>
          <w:lang w:val="en-GB"/>
        </w:rPr>
        <w:t>In this chapter several</w:t>
      </w:r>
      <w:r w:rsidR="007358F9" w:rsidRPr="003569BE">
        <w:rPr>
          <w:rFonts w:cs="Times New Roman"/>
          <w:szCs w:val="24"/>
          <w:lang w:val="en-GB"/>
        </w:rPr>
        <w:t xml:space="preserve"> </w:t>
      </w:r>
      <w:r w:rsidRPr="003569BE">
        <w:rPr>
          <w:rFonts w:cs="Times New Roman"/>
          <w:szCs w:val="24"/>
          <w:lang w:val="en-GB"/>
        </w:rPr>
        <w:t xml:space="preserve">scientific </w:t>
      </w:r>
      <w:r w:rsidR="007358F9" w:rsidRPr="003569BE">
        <w:rPr>
          <w:rFonts w:cs="Times New Roman"/>
          <w:szCs w:val="24"/>
          <w:lang w:val="en-GB"/>
        </w:rPr>
        <w:t xml:space="preserve">empirical studies have been presented. </w:t>
      </w:r>
    </w:p>
    <w:p w:rsidR="00481E79" w:rsidRPr="003569BE" w:rsidRDefault="00996A3F" w:rsidP="00481E79">
      <w:pPr>
        <w:spacing w:line="360" w:lineRule="auto"/>
        <w:rPr>
          <w:rFonts w:cs="Times New Roman"/>
          <w:szCs w:val="24"/>
          <w:lang w:val="en-GB"/>
        </w:rPr>
      </w:pPr>
      <w:r w:rsidRPr="003569BE">
        <w:rPr>
          <w:rFonts w:cs="Times New Roman"/>
          <w:szCs w:val="24"/>
          <w:lang w:val="en-GB"/>
        </w:rPr>
        <w:t>The article of Ruiz-Barbadillo et Al. (2009)</w:t>
      </w:r>
      <w:r w:rsidR="00555D5A" w:rsidRPr="003569BE">
        <w:rPr>
          <w:rFonts w:cs="Times New Roman"/>
          <w:szCs w:val="24"/>
          <w:lang w:val="en-GB"/>
        </w:rPr>
        <w:t xml:space="preserve"> studied the relationship between </w:t>
      </w:r>
      <w:r w:rsidR="00C75567" w:rsidRPr="003569BE">
        <w:rPr>
          <w:rFonts w:cs="Times New Roman"/>
          <w:szCs w:val="24"/>
          <w:lang w:val="en-GB"/>
        </w:rPr>
        <w:t xml:space="preserve">the </w:t>
      </w:r>
      <w:r w:rsidR="00555D5A" w:rsidRPr="003569BE">
        <w:rPr>
          <w:rFonts w:cs="Times New Roman"/>
          <w:szCs w:val="24"/>
          <w:lang w:val="en-GB"/>
        </w:rPr>
        <w:t>mandatory audit firm rotation and the independence of the auditor</w:t>
      </w:r>
      <w:r w:rsidR="00BC770C" w:rsidRPr="003569BE">
        <w:rPr>
          <w:rFonts w:cs="Times New Roman"/>
          <w:szCs w:val="24"/>
          <w:lang w:val="en-GB"/>
        </w:rPr>
        <w:t xml:space="preserve">. They found no evidence that MAFR improves </w:t>
      </w:r>
      <w:r w:rsidR="00C75567" w:rsidRPr="003569BE">
        <w:rPr>
          <w:rFonts w:cs="Times New Roman"/>
          <w:szCs w:val="24"/>
          <w:lang w:val="en-GB"/>
        </w:rPr>
        <w:t xml:space="preserve">the </w:t>
      </w:r>
      <w:r w:rsidR="00BC770C" w:rsidRPr="003569BE">
        <w:rPr>
          <w:rFonts w:cs="Times New Roman"/>
          <w:szCs w:val="24"/>
          <w:lang w:val="en-GB"/>
        </w:rPr>
        <w:t>auditors’ independence.</w:t>
      </w:r>
      <w:r w:rsidR="00465F14" w:rsidRPr="003569BE">
        <w:rPr>
          <w:rFonts w:cs="Times New Roman"/>
          <w:szCs w:val="24"/>
          <w:lang w:val="en-GB"/>
        </w:rPr>
        <w:t xml:space="preserve"> </w:t>
      </w:r>
      <w:r w:rsidR="002B3276" w:rsidRPr="003569BE">
        <w:rPr>
          <w:rFonts w:cs="Times New Roman"/>
          <w:szCs w:val="24"/>
          <w:lang w:val="en-GB"/>
        </w:rPr>
        <w:t>In addition, t</w:t>
      </w:r>
      <w:r w:rsidR="00465F14" w:rsidRPr="003569BE">
        <w:rPr>
          <w:rFonts w:cs="Times New Roman"/>
          <w:szCs w:val="24"/>
          <w:lang w:val="en-GB"/>
        </w:rPr>
        <w:t xml:space="preserve">he papers presented in section 4.2 suggest that the implementation of MAFR would most likely not improve </w:t>
      </w:r>
      <w:r w:rsidR="00C75567" w:rsidRPr="003569BE">
        <w:rPr>
          <w:rFonts w:cs="Times New Roman"/>
          <w:szCs w:val="24"/>
          <w:lang w:val="en-GB"/>
        </w:rPr>
        <w:t xml:space="preserve">the </w:t>
      </w:r>
      <w:r w:rsidR="00465F14" w:rsidRPr="003569BE">
        <w:rPr>
          <w:rFonts w:cs="Times New Roman"/>
          <w:szCs w:val="24"/>
          <w:lang w:val="en-GB"/>
        </w:rPr>
        <w:t>audit quality</w:t>
      </w:r>
      <w:r w:rsidR="003276ED" w:rsidRPr="003569BE">
        <w:rPr>
          <w:rFonts w:cs="Times New Roman"/>
          <w:szCs w:val="24"/>
          <w:lang w:val="en-GB"/>
        </w:rPr>
        <w:t>.</w:t>
      </w:r>
      <w:r w:rsidR="002B3276" w:rsidRPr="003569BE">
        <w:rPr>
          <w:rFonts w:cs="Times New Roman"/>
          <w:szCs w:val="24"/>
          <w:lang w:val="en-GB"/>
        </w:rPr>
        <w:t xml:space="preserve"> Finally, the papers regarding audit tenure in section 4.3 have provided insights concerning the auditor-client relationship and its effects</w:t>
      </w:r>
      <w:r w:rsidR="00B71A4E" w:rsidRPr="003569BE">
        <w:rPr>
          <w:rFonts w:cs="Times New Roman"/>
          <w:szCs w:val="24"/>
          <w:lang w:val="en-GB"/>
        </w:rPr>
        <w:t xml:space="preserve">. </w:t>
      </w:r>
    </w:p>
    <w:p w:rsidR="00824562" w:rsidRPr="003569BE" w:rsidRDefault="00C75567" w:rsidP="00481E79">
      <w:pPr>
        <w:spacing w:line="360" w:lineRule="auto"/>
        <w:rPr>
          <w:rFonts w:cs="Times New Roman"/>
          <w:szCs w:val="24"/>
          <w:lang w:val="en-GB"/>
        </w:rPr>
      </w:pPr>
      <w:r w:rsidRPr="003569BE">
        <w:rPr>
          <w:rFonts w:cs="Times New Roman"/>
          <w:szCs w:val="24"/>
          <w:lang w:val="en-GB"/>
        </w:rPr>
        <w:t xml:space="preserve">It is </w:t>
      </w:r>
      <w:r w:rsidR="00824562" w:rsidRPr="003569BE">
        <w:rPr>
          <w:rFonts w:cs="Times New Roman"/>
          <w:szCs w:val="24"/>
          <w:lang w:val="en-GB"/>
        </w:rPr>
        <w:t>essential to signal that most of the papers considered relevant for this thesis provide empirical support for the opponents of the implementation of mandatory audit firm rotation.</w:t>
      </w:r>
    </w:p>
    <w:p w:rsidR="00260C74" w:rsidRPr="003569BE" w:rsidRDefault="006F27A3" w:rsidP="00481E79">
      <w:pPr>
        <w:spacing w:line="360" w:lineRule="auto"/>
        <w:rPr>
          <w:rFonts w:cs="Times New Roman"/>
          <w:szCs w:val="24"/>
          <w:lang w:val="en-GB"/>
        </w:rPr>
      </w:pPr>
      <w:r w:rsidRPr="003569BE">
        <w:rPr>
          <w:rFonts w:cs="Times New Roman"/>
          <w:szCs w:val="24"/>
          <w:lang w:val="en-GB"/>
        </w:rPr>
        <w:t>Finally, a comparative assessment of the evidence from prior scientific research has bee</w:t>
      </w:r>
      <w:r w:rsidR="00AF03C0" w:rsidRPr="003569BE">
        <w:rPr>
          <w:rFonts w:cs="Times New Roman"/>
          <w:szCs w:val="24"/>
          <w:lang w:val="en-GB"/>
        </w:rPr>
        <w:t>n</w:t>
      </w:r>
      <w:r w:rsidRPr="003569BE">
        <w:rPr>
          <w:rFonts w:cs="Times New Roman"/>
          <w:szCs w:val="24"/>
          <w:lang w:val="en-GB"/>
        </w:rPr>
        <w:t xml:space="preserve"> presented in section 4.4 of this chapter.</w:t>
      </w:r>
      <w:r w:rsidR="009A3192" w:rsidRPr="003569BE">
        <w:rPr>
          <w:rFonts w:cs="Times New Roman"/>
          <w:szCs w:val="24"/>
          <w:lang w:val="en-GB"/>
        </w:rPr>
        <w:t xml:space="preserve"> </w:t>
      </w:r>
      <w:r w:rsidR="00E03F1D" w:rsidRPr="003569BE">
        <w:rPr>
          <w:rFonts w:cs="Times New Roman"/>
          <w:szCs w:val="24"/>
          <w:lang w:val="en-GB"/>
        </w:rPr>
        <w:t>Th</w:t>
      </w:r>
      <w:r w:rsidRPr="003569BE">
        <w:rPr>
          <w:rFonts w:cs="Times New Roman"/>
          <w:szCs w:val="24"/>
          <w:lang w:val="en-GB"/>
        </w:rPr>
        <w:t>is</w:t>
      </w:r>
      <w:r w:rsidR="00E03F1D" w:rsidRPr="003569BE">
        <w:rPr>
          <w:rFonts w:cs="Times New Roman"/>
          <w:szCs w:val="24"/>
          <w:lang w:val="en-GB"/>
        </w:rPr>
        <w:t xml:space="preserve"> assessment represents the basis for the development of the hypotheses</w:t>
      </w:r>
      <w:r w:rsidR="00C75567" w:rsidRPr="003569BE">
        <w:rPr>
          <w:rFonts w:cs="Times New Roman"/>
          <w:szCs w:val="24"/>
          <w:lang w:val="en-GB"/>
        </w:rPr>
        <w:t xml:space="preserve"> that will be </w:t>
      </w:r>
      <w:r w:rsidR="00E03F1D" w:rsidRPr="003569BE">
        <w:rPr>
          <w:rFonts w:cs="Times New Roman"/>
          <w:szCs w:val="24"/>
          <w:lang w:val="en-GB"/>
        </w:rPr>
        <w:t xml:space="preserve">presented in </w:t>
      </w:r>
      <w:r w:rsidR="00C75567" w:rsidRPr="003569BE">
        <w:rPr>
          <w:rFonts w:cs="Times New Roman"/>
          <w:szCs w:val="24"/>
          <w:lang w:val="en-GB"/>
        </w:rPr>
        <w:t xml:space="preserve">next </w:t>
      </w:r>
      <w:r w:rsidR="00E03F1D" w:rsidRPr="003569BE">
        <w:rPr>
          <w:rFonts w:cs="Times New Roman"/>
          <w:szCs w:val="24"/>
          <w:lang w:val="en-GB"/>
        </w:rPr>
        <w:t>chapter.</w:t>
      </w:r>
    </w:p>
    <w:p w:rsidR="00260C74" w:rsidRPr="003569BE" w:rsidRDefault="00260C74">
      <w:pPr>
        <w:rPr>
          <w:rFonts w:cs="Times New Roman"/>
          <w:szCs w:val="24"/>
          <w:lang w:val="en-GB"/>
        </w:rPr>
      </w:pPr>
      <w:r w:rsidRPr="003569BE">
        <w:rPr>
          <w:rFonts w:cs="Times New Roman"/>
          <w:szCs w:val="24"/>
          <w:lang w:val="en-GB"/>
        </w:rPr>
        <w:br w:type="page"/>
      </w:r>
    </w:p>
    <w:p w:rsidR="00A90B73" w:rsidRPr="003569BE" w:rsidRDefault="00A90B73" w:rsidP="00A90B73">
      <w:pPr>
        <w:pStyle w:val="Heading1"/>
        <w:numPr>
          <w:ilvl w:val="0"/>
          <w:numId w:val="6"/>
        </w:numPr>
        <w:spacing w:line="360" w:lineRule="auto"/>
        <w:rPr>
          <w:lang w:val="en-GB"/>
        </w:rPr>
      </w:pPr>
      <w:bookmarkStart w:id="41" w:name="_Toc396633573"/>
      <w:r w:rsidRPr="003569BE">
        <w:rPr>
          <w:lang w:val="en-GB"/>
        </w:rPr>
        <w:lastRenderedPageBreak/>
        <w:t>Hypotheses</w:t>
      </w:r>
      <w:bookmarkEnd w:id="41"/>
    </w:p>
    <w:p w:rsidR="00AB5701" w:rsidRPr="003569BE" w:rsidRDefault="00AB5701" w:rsidP="00AB5701">
      <w:pPr>
        <w:spacing w:line="360" w:lineRule="auto"/>
        <w:rPr>
          <w:rFonts w:cs="Times New Roman"/>
          <w:i/>
          <w:szCs w:val="24"/>
          <w:lang w:val="en-GB"/>
        </w:rPr>
      </w:pPr>
      <w:r w:rsidRPr="003569BE">
        <w:rPr>
          <w:rFonts w:cs="Times New Roman"/>
          <w:szCs w:val="24"/>
          <w:lang w:val="en-GB"/>
        </w:rPr>
        <w:t xml:space="preserve">This chapter provides the answer to the fifth sub-question of this thesis: </w:t>
      </w:r>
      <w:r w:rsidRPr="003569BE">
        <w:rPr>
          <w:rFonts w:cs="Times New Roman"/>
          <w:i/>
          <w:szCs w:val="24"/>
          <w:lang w:val="en-GB"/>
        </w:rPr>
        <w:t>“Based on the research question and prior literature, in order to answer the research question which hypotheses will be formulated?”</w:t>
      </w:r>
    </w:p>
    <w:p w:rsidR="00754D7D" w:rsidRPr="003569BE" w:rsidRDefault="00421BFD" w:rsidP="00A90B73">
      <w:pPr>
        <w:spacing w:line="360" w:lineRule="auto"/>
        <w:rPr>
          <w:rFonts w:cs="Times New Roman"/>
          <w:szCs w:val="24"/>
          <w:lang w:val="en-GB"/>
        </w:rPr>
      </w:pPr>
      <w:r w:rsidRPr="003569BE">
        <w:rPr>
          <w:rFonts w:cs="Times New Roman"/>
          <w:szCs w:val="24"/>
          <w:lang w:val="en-GB"/>
        </w:rPr>
        <w:t xml:space="preserve">In the fourth chapter, the empirical literature relevant to this thesis was presented. Considering this literature, it is essential to signal that some of the commented topics </w:t>
      </w:r>
      <w:r w:rsidR="00771BD3" w:rsidRPr="003569BE">
        <w:rPr>
          <w:rFonts w:cs="Times New Roman"/>
          <w:szCs w:val="24"/>
          <w:lang w:val="en-GB"/>
        </w:rPr>
        <w:t xml:space="preserve">to this thesis </w:t>
      </w:r>
      <w:r w:rsidRPr="003569BE">
        <w:rPr>
          <w:rFonts w:cs="Times New Roman"/>
          <w:szCs w:val="24"/>
          <w:lang w:val="en-GB"/>
        </w:rPr>
        <w:t>are relevant, but they will not be further investigated.</w:t>
      </w:r>
      <w:r w:rsidR="00810046" w:rsidRPr="003569BE">
        <w:rPr>
          <w:rFonts w:cs="Times New Roman"/>
          <w:szCs w:val="24"/>
          <w:lang w:val="en-GB"/>
        </w:rPr>
        <w:t xml:space="preserve"> The relationship between </w:t>
      </w:r>
      <w:r w:rsidR="00771BD3" w:rsidRPr="003569BE">
        <w:rPr>
          <w:rFonts w:cs="Times New Roman"/>
          <w:szCs w:val="24"/>
          <w:lang w:val="en-GB"/>
        </w:rPr>
        <w:t xml:space="preserve">the </w:t>
      </w:r>
      <w:r w:rsidR="00810046" w:rsidRPr="003569BE">
        <w:rPr>
          <w:rFonts w:cs="Times New Roman"/>
          <w:szCs w:val="24"/>
          <w:lang w:val="en-GB"/>
        </w:rPr>
        <w:t xml:space="preserve">auditor tenure and the quality of </w:t>
      </w:r>
      <w:r w:rsidR="00771BD3" w:rsidRPr="003569BE">
        <w:rPr>
          <w:rFonts w:cs="Times New Roman"/>
          <w:szCs w:val="24"/>
          <w:lang w:val="en-GB"/>
        </w:rPr>
        <w:t xml:space="preserve">the </w:t>
      </w:r>
      <w:r w:rsidR="00810046" w:rsidRPr="003569BE">
        <w:rPr>
          <w:rFonts w:cs="Times New Roman"/>
          <w:szCs w:val="24"/>
          <w:lang w:val="en-GB"/>
        </w:rPr>
        <w:t xml:space="preserve">audit, as well as the relationship between </w:t>
      </w:r>
      <w:r w:rsidR="00771BD3" w:rsidRPr="003569BE">
        <w:rPr>
          <w:rFonts w:cs="Times New Roman"/>
          <w:szCs w:val="24"/>
          <w:lang w:val="en-GB"/>
        </w:rPr>
        <w:t xml:space="preserve">the </w:t>
      </w:r>
      <w:r w:rsidR="00810046" w:rsidRPr="003569BE">
        <w:rPr>
          <w:rFonts w:cs="Times New Roman"/>
          <w:szCs w:val="24"/>
          <w:lang w:val="en-GB"/>
        </w:rPr>
        <w:t xml:space="preserve">mandatory audit firm rotation and the quality of audit, </w:t>
      </w:r>
      <w:r w:rsidR="00771BD3" w:rsidRPr="003569BE">
        <w:rPr>
          <w:rFonts w:cs="Times New Roman"/>
          <w:szCs w:val="24"/>
          <w:lang w:val="en-GB"/>
        </w:rPr>
        <w:t xml:space="preserve">in the scientific prior literature </w:t>
      </w:r>
      <w:r w:rsidR="00810046" w:rsidRPr="003569BE">
        <w:rPr>
          <w:rFonts w:cs="Times New Roman"/>
          <w:szCs w:val="24"/>
          <w:lang w:val="en-GB"/>
        </w:rPr>
        <w:t xml:space="preserve">are already </w:t>
      </w:r>
      <w:r w:rsidR="00DC766A" w:rsidRPr="003569BE">
        <w:rPr>
          <w:rFonts w:cs="Times New Roman"/>
          <w:szCs w:val="24"/>
          <w:lang w:val="en-GB"/>
        </w:rPr>
        <w:t>extensively investigated. However, even though they will not be further explored, they provide relevant insights, which facilitate the formulation of the hypotheses of this thesis.</w:t>
      </w:r>
      <w:r w:rsidR="00754D7D" w:rsidRPr="003569BE">
        <w:rPr>
          <w:rFonts w:cs="Times New Roman"/>
          <w:szCs w:val="24"/>
          <w:lang w:val="en-GB"/>
        </w:rPr>
        <w:t xml:space="preserve"> </w:t>
      </w:r>
    </w:p>
    <w:p w:rsidR="00754D7D" w:rsidRPr="003569BE" w:rsidRDefault="00754D7D" w:rsidP="00A90B73">
      <w:pPr>
        <w:spacing w:line="360" w:lineRule="auto"/>
        <w:rPr>
          <w:rFonts w:cs="Times New Roman"/>
          <w:szCs w:val="24"/>
          <w:lang w:val="en-GB"/>
        </w:rPr>
      </w:pPr>
      <w:r w:rsidRPr="003569BE">
        <w:rPr>
          <w:rFonts w:cs="Times New Roman"/>
          <w:szCs w:val="24"/>
          <w:lang w:val="en-GB"/>
        </w:rPr>
        <w:t>In this chapter, the correspondence between the scientific literature presented in chapter four and the predictions of this thesis is presented. Finally, the predictions are shaped into two hypotheses.</w:t>
      </w:r>
    </w:p>
    <w:p w:rsidR="00EC02A0" w:rsidRPr="003569BE" w:rsidRDefault="00EC02A0" w:rsidP="00EC02A0">
      <w:pPr>
        <w:pStyle w:val="Heading2"/>
        <w:numPr>
          <w:ilvl w:val="1"/>
          <w:numId w:val="6"/>
        </w:numPr>
        <w:spacing w:line="360" w:lineRule="auto"/>
        <w:rPr>
          <w:rFonts w:cs="Times New Roman"/>
          <w:sz w:val="24"/>
          <w:szCs w:val="24"/>
          <w:lang w:val="en-GB"/>
        </w:rPr>
      </w:pPr>
      <w:bookmarkStart w:id="42" w:name="_Toc396633574"/>
      <w:r w:rsidRPr="003569BE">
        <w:rPr>
          <w:rFonts w:cs="Times New Roman"/>
          <w:sz w:val="24"/>
          <w:szCs w:val="24"/>
          <w:lang w:val="en-GB"/>
        </w:rPr>
        <w:t>Hypotheses Development</w:t>
      </w:r>
      <w:bookmarkEnd w:id="42"/>
    </w:p>
    <w:p w:rsidR="0061352B" w:rsidRPr="003569BE" w:rsidRDefault="00260C74" w:rsidP="00A529FD">
      <w:pPr>
        <w:spacing w:line="360" w:lineRule="auto"/>
        <w:rPr>
          <w:rFonts w:cs="Times New Roman"/>
          <w:szCs w:val="24"/>
          <w:lang w:val="en-GB"/>
        </w:rPr>
      </w:pPr>
      <w:r w:rsidRPr="003569BE">
        <w:rPr>
          <w:rFonts w:cs="Times New Roman"/>
          <w:szCs w:val="24"/>
          <w:lang w:val="en-GB"/>
        </w:rPr>
        <w:t xml:space="preserve">This thesis investigates the behaviour of the management, in terms of </w:t>
      </w:r>
      <w:r w:rsidR="00771BD3" w:rsidRPr="003569BE">
        <w:rPr>
          <w:rFonts w:cs="Times New Roman"/>
          <w:szCs w:val="24"/>
          <w:lang w:val="en-GB"/>
        </w:rPr>
        <w:t xml:space="preserve">the use of </w:t>
      </w:r>
      <w:r w:rsidRPr="003569BE">
        <w:rPr>
          <w:rFonts w:cs="Times New Roman"/>
          <w:szCs w:val="24"/>
          <w:lang w:val="en-GB"/>
        </w:rPr>
        <w:t>earnings management, during the auditor-client relationship in a mandatory audit firm rotation setting.</w:t>
      </w:r>
      <w:r w:rsidR="00BA2D81" w:rsidRPr="003569BE">
        <w:rPr>
          <w:rFonts w:cs="Times New Roman"/>
          <w:szCs w:val="24"/>
          <w:lang w:val="en-GB"/>
        </w:rPr>
        <w:t xml:space="preserve"> One of the responsibilities of </w:t>
      </w:r>
      <w:r w:rsidR="00771BD3" w:rsidRPr="003569BE">
        <w:rPr>
          <w:rFonts w:cs="Times New Roman"/>
          <w:szCs w:val="24"/>
          <w:lang w:val="en-GB"/>
        </w:rPr>
        <w:t xml:space="preserve">the </w:t>
      </w:r>
      <w:r w:rsidR="00BA2D81" w:rsidRPr="003569BE">
        <w:rPr>
          <w:rFonts w:cs="Times New Roman"/>
          <w:szCs w:val="24"/>
          <w:lang w:val="en-GB"/>
        </w:rPr>
        <w:t xml:space="preserve">management is to prepare the financial statements of the company in accordance with the Generally Accepted Accounting Principles (GAAP) and other applicable accounting standards. This process of the financial reporting requires complex judgment and estimates, which provides managers with the opportunity to manipulate the </w:t>
      </w:r>
      <w:r w:rsidR="00771BD3" w:rsidRPr="003569BE">
        <w:rPr>
          <w:rFonts w:cs="Times New Roman"/>
          <w:szCs w:val="24"/>
          <w:lang w:val="en-GB"/>
        </w:rPr>
        <w:t>published figures</w:t>
      </w:r>
      <w:r w:rsidR="00605D48" w:rsidRPr="003569BE">
        <w:rPr>
          <w:rFonts w:cs="Times New Roman"/>
          <w:szCs w:val="24"/>
          <w:lang w:val="en-GB"/>
        </w:rPr>
        <w:t xml:space="preserve">. This situation is consistent with </w:t>
      </w:r>
      <w:r w:rsidR="00132CB9" w:rsidRPr="003569BE">
        <w:rPr>
          <w:rFonts w:cs="Times New Roman"/>
          <w:szCs w:val="24"/>
          <w:lang w:val="en-GB"/>
        </w:rPr>
        <w:t xml:space="preserve">the agency theory, especially considering the information asymmetry between what managers know about the insides of the organisation, compared to </w:t>
      </w:r>
      <w:r w:rsidR="00771BD3" w:rsidRPr="003569BE">
        <w:rPr>
          <w:rFonts w:cs="Times New Roman"/>
          <w:szCs w:val="24"/>
          <w:lang w:val="en-GB"/>
        </w:rPr>
        <w:t xml:space="preserve">the </w:t>
      </w:r>
      <w:r w:rsidR="00132CB9" w:rsidRPr="003569BE">
        <w:rPr>
          <w:rFonts w:cs="Times New Roman"/>
          <w:szCs w:val="24"/>
          <w:lang w:val="en-GB"/>
        </w:rPr>
        <w:t>external stakeholders.</w:t>
      </w:r>
      <w:r w:rsidR="00370FFF" w:rsidRPr="003569BE">
        <w:rPr>
          <w:rFonts w:cs="Times New Roman"/>
          <w:szCs w:val="24"/>
          <w:lang w:val="en-GB"/>
        </w:rPr>
        <w:t xml:space="preserve"> </w:t>
      </w:r>
      <w:r w:rsidR="007E08D8" w:rsidRPr="003569BE">
        <w:rPr>
          <w:rFonts w:cs="Times New Roman"/>
          <w:szCs w:val="24"/>
          <w:lang w:val="en-GB"/>
        </w:rPr>
        <w:t xml:space="preserve">This opportunity signalled before generates the likelihood of </w:t>
      </w:r>
      <w:r w:rsidR="00771BD3" w:rsidRPr="003569BE">
        <w:rPr>
          <w:rFonts w:cs="Times New Roman"/>
          <w:szCs w:val="24"/>
          <w:lang w:val="en-GB"/>
        </w:rPr>
        <w:t xml:space="preserve">the use of </w:t>
      </w:r>
      <w:r w:rsidR="007E08D8" w:rsidRPr="003569BE">
        <w:rPr>
          <w:rFonts w:cs="Times New Roman"/>
          <w:szCs w:val="24"/>
          <w:lang w:val="en-GB"/>
        </w:rPr>
        <w:t>earnings management.</w:t>
      </w:r>
      <w:r w:rsidR="00420DD6" w:rsidRPr="003569BE">
        <w:rPr>
          <w:rFonts w:cs="Times New Roman"/>
          <w:szCs w:val="24"/>
          <w:lang w:val="en-GB"/>
        </w:rPr>
        <w:t xml:space="preserve"> </w:t>
      </w:r>
      <w:r w:rsidR="00E812B8" w:rsidRPr="003569BE">
        <w:rPr>
          <w:rFonts w:cs="Times New Roman"/>
          <w:szCs w:val="24"/>
          <w:lang w:val="en-GB"/>
        </w:rPr>
        <w:t xml:space="preserve">In addition, Kothari (2001) </w:t>
      </w:r>
      <w:r w:rsidR="003F277F" w:rsidRPr="003569BE">
        <w:rPr>
          <w:rFonts w:cs="Times New Roman"/>
          <w:szCs w:val="24"/>
          <w:lang w:val="en-GB"/>
        </w:rPr>
        <w:t>shows</w:t>
      </w:r>
      <w:r w:rsidR="00E812B8" w:rsidRPr="003569BE">
        <w:rPr>
          <w:rFonts w:cs="Times New Roman"/>
          <w:szCs w:val="24"/>
          <w:lang w:val="en-GB"/>
        </w:rPr>
        <w:t xml:space="preserve"> that news concerning positive abnormal returns </w:t>
      </w:r>
      <w:r w:rsidR="00771BD3" w:rsidRPr="003569BE">
        <w:rPr>
          <w:rFonts w:cs="Times New Roman"/>
          <w:szCs w:val="24"/>
          <w:lang w:val="en-GB"/>
        </w:rPr>
        <w:t xml:space="preserve">creates </w:t>
      </w:r>
      <w:r w:rsidR="00E812B8" w:rsidRPr="003569BE">
        <w:rPr>
          <w:rFonts w:cs="Times New Roman"/>
          <w:szCs w:val="24"/>
          <w:lang w:val="en-GB"/>
        </w:rPr>
        <w:t xml:space="preserve">a positive reaction in the market </w:t>
      </w:r>
      <w:sdt>
        <w:sdtPr>
          <w:rPr>
            <w:rFonts w:cs="Times New Roman"/>
            <w:szCs w:val="24"/>
            <w:lang w:val="en-GB"/>
          </w:rPr>
          <w:id w:val="735137936"/>
          <w:citation/>
        </w:sdtPr>
        <w:sdtContent>
          <w:r w:rsidR="000E4BAF" w:rsidRPr="003569BE">
            <w:rPr>
              <w:rFonts w:cs="Times New Roman"/>
              <w:szCs w:val="24"/>
              <w:lang w:val="en-GB"/>
            </w:rPr>
            <w:fldChar w:fldCharType="begin"/>
          </w:r>
          <w:r w:rsidR="00E812B8" w:rsidRPr="003569BE">
            <w:rPr>
              <w:rFonts w:cs="Times New Roman"/>
              <w:szCs w:val="24"/>
              <w:lang w:val="en-GB"/>
            </w:rPr>
            <w:instrText xml:space="preserve"> CITATION Kot01 \l 1033 </w:instrText>
          </w:r>
          <w:r w:rsidR="000E4BAF" w:rsidRPr="003569BE">
            <w:rPr>
              <w:rFonts w:cs="Times New Roman"/>
              <w:szCs w:val="24"/>
              <w:lang w:val="en-GB"/>
            </w:rPr>
            <w:fldChar w:fldCharType="separate"/>
          </w:r>
          <w:r w:rsidR="008F7EB3" w:rsidRPr="003569BE">
            <w:rPr>
              <w:rFonts w:cs="Times New Roman"/>
              <w:noProof/>
              <w:szCs w:val="24"/>
              <w:lang w:val="en-GB"/>
            </w:rPr>
            <w:t>(Kothari, Capital Market Research in Accountin, 2001)</w:t>
          </w:r>
          <w:r w:rsidR="000E4BAF" w:rsidRPr="003569BE">
            <w:rPr>
              <w:rFonts w:cs="Times New Roman"/>
              <w:szCs w:val="24"/>
              <w:lang w:val="en-GB"/>
            </w:rPr>
            <w:fldChar w:fldCharType="end"/>
          </w:r>
        </w:sdtContent>
      </w:sdt>
      <w:r w:rsidR="00686003" w:rsidRPr="003569BE">
        <w:rPr>
          <w:rFonts w:cs="Times New Roman"/>
          <w:szCs w:val="24"/>
          <w:lang w:val="en-GB"/>
        </w:rPr>
        <w:t xml:space="preserve">, which in coexistence with </w:t>
      </w:r>
      <w:r w:rsidR="00771BD3" w:rsidRPr="003569BE">
        <w:rPr>
          <w:rFonts w:cs="Times New Roman"/>
          <w:szCs w:val="24"/>
          <w:lang w:val="en-GB"/>
        </w:rPr>
        <w:t xml:space="preserve">the </w:t>
      </w:r>
      <w:r w:rsidR="00686003" w:rsidRPr="003569BE">
        <w:rPr>
          <w:rFonts w:cs="Times New Roman"/>
          <w:szCs w:val="24"/>
          <w:lang w:val="en-GB"/>
        </w:rPr>
        <w:t xml:space="preserve">management contracts that assume compensation based on the stock price, represents a powerful motive for </w:t>
      </w:r>
      <w:r w:rsidR="00771BD3" w:rsidRPr="003569BE">
        <w:rPr>
          <w:rFonts w:cs="Times New Roman"/>
          <w:szCs w:val="24"/>
          <w:lang w:val="en-GB"/>
        </w:rPr>
        <w:t xml:space="preserve">the use of </w:t>
      </w:r>
      <w:r w:rsidR="00686003" w:rsidRPr="003569BE">
        <w:rPr>
          <w:rFonts w:cs="Times New Roman"/>
          <w:szCs w:val="24"/>
          <w:lang w:val="en-GB"/>
        </w:rPr>
        <w:t>earnings management.</w:t>
      </w:r>
      <w:r w:rsidR="00F221FE" w:rsidRPr="003569BE">
        <w:rPr>
          <w:rFonts w:cs="Times New Roman"/>
          <w:szCs w:val="24"/>
          <w:lang w:val="en-GB"/>
        </w:rPr>
        <w:t xml:space="preserve"> </w:t>
      </w:r>
    </w:p>
    <w:p w:rsidR="000B58A2" w:rsidRPr="003569BE" w:rsidRDefault="00F20E07" w:rsidP="00A529FD">
      <w:pPr>
        <w:spacing w:line="360" w:lineRule="auto"/>
        <w:rPr>
          <w:rFonts w:cs="Times New Roman"/>
          <w:szCs w:val="24"/>
          <w:lang w:val="en-GB"/>
        </w:rPr>
      </w:pPr>
      <w:r w:rsidRPr="003569BE">
        <w:rPr>
          <w:rFonts w:cs="Times New Roman"/>
          <w:szCs w:val="24"/>
          <w:lang w:val="en-GB"/>
        </w:rPr>
        <w:t xml:space="preserve">While managers seem to have incentives to report a better performance of the company than the reality, by managing earnings upwards, </w:t>
      </w:r>
      <w:r w:rsidR="008C2DD2" w:rsidRPr="003569BE">
        <w:rPr>
          <w:rFonts w:cs="Times New Roman"/>
          <w:szCs w:val="24"/>
          <w:lang w:val="en-GB"/>
        </w:rPr>
        <w:t xml:space="preserve">the external auditor is expected </w:t>
      </w:r>
      <w:r w:rsidR="006D7BA8" w:rsidRPr="003569BE">
        <w:rPr>
          <w:rFonts w:cs="Times New Roman"/>
          <w:szCs w:val="24"/>
          <w:lang w:val="en-GB"/>
        </w:rPr>
        <w:t xml:space="preserve">to </w:t>
      </w:r>
      <w:r w:rsidR="00027B32" w:rsidRPr="003569BE">
        <w:rPr>
          <w:rFonts w:cs="Times New Roman"/>
          <w:szCs w:val="24"/>
          <w:lang w:val="en-GB"/>
        </w:rPr>
        <w:t xml:space="preserve">be independent </w:t>
      </w:r>
      <w:r w:rsidR="00027B32" w:rsidRPr="003569BE">
        <w:rPr>
          <w:rFonts w:cs="Times New Roman"/>
          <w:szCs w:val="24"/>
          <w:lang w:val="en-GB"/>
        </w:rPr>
        <w:lastRenderedPageBreak/>
        <w:t xml:space="preserve">and reduce the information asymmetry through the audited financial statements. </w:t>
      </w:r>
      <w:r w:rsidR="009F2F31" w:rsidRPr="003569BE">
        <w:rPr>
          <w:rFonts w:cs="Times New Roman"/>
          <w:szCs w:val="24"/>
          <w:lang w:val="en-GB"/>
        </w:rPr>
        <w:t>Audited financial statements are considered a relevant source of information which adds to the decision-making process of the shareholders, investors and other stakeholders.</w:t>
      </w:r>
      <w:r w:rsidR="0059232F" w:rsidRPr="003569BE">
        <w:rPr>
          <w:rFonts w:cs="Times New Roman"/>
          <w:szCs w:val="24"/>
          <w:lang w:val="en-GB"/>
        </w:rPr>
        <w:t xml:space="preserve"> However, after the financial reporting scandals in the USA, </w:t>
      </w:r>
      <w:r w:rsidR="00771BD3" w:rsidRPr="003569BE">
        <w:rPr>
          <w:rFonts w:cs="Times New Roman"/>
          <w:szCs w:val="24"/>
          <w:lang w:val="en-GB"/>
        </w:rPr>
        <w:t xml:space="preserve">in </w:t>
      </w:r>
      <w:r w:rsidR="0059232F" w:rsidRPr="003569BE">
        <w:rPr>
          <w:rFonts w:cs="Times New Roman"/>
          <w:szCs w:val="24"/>
          <w:lang w:val="en-GB"/>
        </w:rPr>
        <w:t xml:space="preserve">Italy and </w:t>
      </w:r>
      <w:r w:rsidR="00771BD3" w:rsidRPr="003569BE">
        <w:rPr>
          <w:rFonts w:cs="Times New Roman"/>
          <w:szCs w:val="24"/>
          <w:lang w:val="en-GB"/>
        </w:rPr>
        <w:t xml:space="preserve">in </w:t>
      </w:r>
      <w:r w:rsidR="0059232F" w:rsidRPr="003569BE">
        <w:rPr>
          <w:rFonts w:cs="Times New Roman"/>
          <w:szCs w:val="24"/>
          <w:lang w:val="en-GB"/>
        </w:rPr>
        <w:t xml:space="preserve">the Netherlands, </w:t>
      </w:r>
      <w:r w:rsidR="00935B68" w:rsidRPr="003569BE">
        <w:rPr>
          <w:rFonts w:cs="Times New Roman"/>
          <w:szCs w:val="24"/>
          <w:lang w:val="en-GB"/>
        </w:rPr>
        <w:t>a significant decrease in the public’s confidence in the reporting and the auditing process has occurred.</w:t>
      </w:r>
      <w:r w:rsidR="009F2F31" w:rsidRPr="003569BE">
        <w:rPr>
          <w:rFonts w:cs="Times New Roman"/>
          <w:szCs w:val="24"/>
          <w:lang w:val="en-GB"/>
        </w:rPr>
        <w:t xml:space="preserve"> </w:t>
      </w:r>
      <w:r w:rsidR="00EC0F46" w:rsidRPr="003569BE">
        <w:rPr>
          <w:rFonts w:cs="Times New Roman"/>
          <w:szCs w:val="24"/>
          <w:lang w:val="en-GB"/>
        </w:rPr>
        <w:t>Mandatory audit firm rotation has been proposed as a measure for this situation, and consequently the Dutch Parliament decided to enforce a MAFR law starting from 1</w:t>
      </w:r>
      <w:r w:rsidR="00EC0F46" w:rsidRPr="003569BE">
        <w:rPr>
          <w:rFonts w:cs="Times New Roman"/>
          <w:szCs w:val="24"/>
          <w:vertAlign w:val="superscript"/>
          <w:lang w:val="en-GB"/>
        </w:rPr>
        <w:t>st</w:t>
      </w:r>
      <w:r w:rsidR="00EC0F46" w:rsidRPr="003569BE">
        <w:rPr>
          <w:rFonts w:cs="Times New Roman"/>
          <w:szCs w:val="24"/>
          <w:lang w:val="en-GB"/>
        </w:rPr>
        <w:t xml:space="preserve"> of January 2016. </w:t>
      </w:r>
      <w:r w:rsidR="00004B39" w:rsidRPr="003569BE">
        <w:rPr>
          <w:rFonts w:cs="Times New Roman"/>
          <w:szCs w:val="24"/>
          <w:lang w:val="en-GB"/>
        </w:rPr>
        <w:t xml:space="preserve">A significant amount of research has been conducted on the effect </w:t>
      </w:r>
      <w:r w:rsidR="00771BD3" w:rsidRPr="003569BE">
        <w:rPr>
          <w:rFonts w:cs="Times New Roman"/>
          <w:szCs w:val="24"/>
          <w:lang w:val="en-GB"/>
        </w:rPr>
        <w:t xml:space="preserve">of the </w:t>
      </w:r>
      <w:r w:rsidR="00004B39" w:rsidRPr="003569BE">
        <w:rPr>
          <w:rFonts w:cs="Times New Roman"/>
          <w:szCs w:val="24"/>
          <w:lang w:val="en-GB"/>
        </w:rPr>
        <w:t>mandatory</w:t>
      </w:r>
      <w:r w:rsidR="00E152C2" w:rsidRPr="003569BE">
        <w:rPr>
          <w:rFonts w:cs="Times New Roman"/>
          <w:szCs w:val="24"/>
          <w:lang w:val="en-GB"/>
        </w:rPr>
        <w:t xml:space="preserve"> audit firm rotation </w:t>
      </w:r>
      <w:r w:rsidR="00D529C5" w:rsidRPr="003569BE">
        <w:rPr>
          <w:rFonts w:cs="Times New Roman"/>
          <w:szCs w:val="24"/>
          <w:lang w:val="en-GB"/>
        </w:rPr>
        <w:t>on</w:t>
      </w:r>
      <w:r w:rsidR="00E152C2" w:rsidRPr="003569BE">
        <w:rPr>
          <w:rFonts w:cs="Times New Roman"/>
          <w:szCs w:val="24"/>
          <w:lang w:val="en-GB"/>
        </w:rPr>
        <w:t xml:space="preserve"> the behaviour of the a</w:t>
      </w:r>
      <w:r w:rsidR="00D529C5" w:rsidRPr="003569BE">
        <w:rPr>
          <w:rFonts w:cs="Times New Roman"/>
          <w:szCs w:val="24"/>
          <w:lang w:val="en-GB"/>
        </w:rPr>
        <w:t xml:space="preserve">uditor since then: </w:t>
      </w:r>
      <w:r w:rsidR="001B3A40" w:rsidRPr="003569BE">
        <w:rPr>
          <w:rFonts w:cs="Times New Roman"/>
          <w:szCs w:val="24"/>
          <w:lang w:val="en-GB"/>
        </w:rPr>
        <w:t>Ruiz-Barbadillo et Al. (2009), Jackson et Al. (2008), Cameran et Al. (2012)</w:t>
      </w:r>
      <w:r w:rsidR="006B4933" w:rsidRPr="003569BE">
        <w:rPr>
          <w:rFonts w:cs="Times New Roman"/>
          <w:szCs w:val="24"/>
          <w:lang w:val="en-GB"/>
        </w:rPr>
        <w:t>, etc.</w:t>
      </w:r>
      <w:r w:rsidR="00AB75C5" w:rsidRPr="003569BE">
        <w:rPr>
          <w:rFonts w:cs="Times New Roman"/>
          <w:szCs w:val="24"/>
          <w:lang w:val="en-GB"/>
        </w:rPr>
        <w:t xml:space="preserve"> </w:t>
      </w:r>
      <w:r w:rsidR="00283649" w:rsidRPr="003569BE">
        <w:rPr>
          <w:rFonts w:cs="Times New Roman"/>
          <w:szCs w:val="24"/>
          <w:lang w:val="en-GB"/>
        </w:rPr>
        <w:t>Most of the papers on this topic conclude against the advocates of mandatory audit f</w:t>
      </w:r>
      <w:r w:rsidR="0061352B" w:rsidRPr="003569BE">
        <w:rPr>
          <w:rFonts w:cs="Times New Roman"/>
          <w:szCs w:val="24"/>
          <w:lang w:val="en-GB"/>
        </w:rPr>
        <w:t xml:space="preserve">irm rotation and consider that only </w:t>
      </w:r>
      <w:r w:rsidR="00283649" w:rsidRPr="003569BE">
        <w:rPr>
          <w:rFonts w:cs="Times New Roman"/>
          <w:szCs w:val="24"/>
          <w:lang w:val="en-GB"/>
        </w:rPr>
        <w:t xml:space="preserve">minimal benefits </w:t>
      </w:r>
      <w:r w:rsidR="0061352B" w:rsidRPr="003569BE">
        <w:rPr>
          <w:rFonts w:cs="Times New Roman"/>
          <w:szCs w:val="24"/>
          <w:lang w:val="en-GB"/>
        </w:rPr>
        <w:t>arise from the implementation of</w:t>
      </w:r>
      <w:r w:rsidR="00283649" w:rsidRPr="003569BE">
        <w:rPr>
          <w:rFonts w:cs="Times New Roman"/>
          <w:szCs w:val="24"/>
          <w:lang w:val="en-GB"/>
        </w:rPr>
        <w:t xml:space="preserve"> a MAFR rule in addressing the issues of </w:t>
      </w:r>
      <w:r w:rsidR="00401FD1" w:rsidRPr="003569BE">
        <w:rPr>
          <w:rFonts w:cs="Times New Roman"/>
          <w:szCs w:val="24"/>
          <w:lang w:val="en-GB"/>
        </w:rPr>
        <w:t xml:space="preserve">the </w:t>
      </w:r>
      <w:r w:rsidR="00283649" w:rsidRPr="003569BE">
        <w:rPr>
          <w:rFonts w:cs="Times New Roman"/>
          <w:szCs w:val="24"/>
          <w:lang w:val="en-GB"/>
        </w:rPr>
        <w:t xml:space="preserve">auditors’ independence and </w:t>
      </w:r>
      <w:r w:rsidR="00401FD1" w:rsidRPr="003569BE">
        <w:rPr>
          <w:rFonts w:cs="Times New Roman"/>
          <w:szCs w:val="24"/>
          <w:lang w:val="en-GB"/>
        </w:rPr>
        <w:t xml:space="preserve">of the </w:t>
      </w:r>
      <w:r w:rsidR="00283649" w:rsidRPr="003569BE">
        <w:rPr>
          <w:rFonts w:cs="Times New Roman"/>
          <w:szCs w:val="24"/>
          <w:lang w:val="en-GB"/>
        </w:rPr>
        <w:t>audit quality.</w:t>
      </w:r>
      <w:r w:rsidR="0061352B" w:rsidRPr="003569BE">
        <w:rPr>
          <w:rFonts w:cs="Times New Roman"/>
          <w:szCs w:val="24"/>
          <w:lang w:val="en-GB"/>
        </w:rPr>
        <w:t xml:space="preserve"> </w:t>
      </w:r>
      <w:r w:rsidR="00F67591" w:rsidRPr="003569BE">
        <w:rPr>
          <w:rFonts w:cs="Times New Roman"/>
          <w:szCs w:val="24"/>
          <w:lang w:val="en-GB"/>
        </w:rPr>
        <w:t xml:space="preserve">In addition, Butler et Al. (2004) </w:t>
      </w:r>
      <w:r w:rsidR="00055366" w:rsidRPr="003569BE">
        <w:rPr>
          <w:rFonts w:cs="Times New Roman"/>
          <w:szCs w:val="24"/>
          <w:lang w:val="en-GB"/>
        </w:rPr>
        <w:t>investigate</w:t>
      </w:r>
      <w:r w:rsidR="001A26B5" w:rsidRPr="003569BE">
        <w:rPr>
          <w:rFonts w:cs="Times New Roman"/>
          <w:szCs w:val="24"/>
          <w:lang w:val="en-GB"/>
        </w:rPr>
        <w:t>d</w:t>
      </w:r>
      <w:r w:rsidR="00055366" w:rsidRPr="003569BE">
        <w:rPr>
          <w:rFonts w:cs="Times New Roman"/>
          <w:szCs w:val="24"/>
          <w:lang w:val="en-GB"/>
        </w:rPr>
        <w:t xml:space="preserve"> whether</w:t>
      </w:r>
      <w:r w:rsidR="00F67591" w:rsidRPr="003569BE">
        <w:rPr>
          <w:rFonts w:cs="Times New Roman"/>
          <w:szCs w:val="24"/>
          <w:lang w:val="en-GB"/>
        </w:rPr>
        <w:t xml:space="preserve"> managers engage less in earnings management activities</w:t>
      </w:r>
      <w:r w:rsidR="001A26B5" w:rsidRPr="003569BE">
        <w:rPr>
          <w:rFonts w:cs="Times New Roman"/>
          <w:szCs w:val="24"/>
          <w:lang w:val="en-GB"/>
        </w:rPr>
        <w:t xml:space="preserve"> when the financial statements are audited by a high-reputation auditor. </w:t>
      </w:r>
      <w:r w:rsidR="00401FD1" w:rsidRPr="003569BE">
        <w:rPr>
          <w:rFonts w:cs="Times New Roman"/>
          <w:szCs w:val="24"/>
          <w:lang w:val="en-GB"/>
        </w:rPr>
        <w:t xml:space="preserve">In addition </w:t>
      </w:r>
      <w:r w:rsidR="00F67591" w:rsidRPr="003569BE">
        <w:rPr>
          <w:rFonts w:cs="Times New Roman"/>
          <w:szCs w:val="24"/>
          <w:lang w:val="en-GB"/>
        </w:rPr>
        <w:t xml:space="preserve">they </w:t>
      </w:r>
      <w:r w:rsidR="001A26B5" w:rsidRPr="003569BE">
        <w:rPr>
          <w:rFonts w:cs="Times New Roman"/>
          <w:szCs w:val="24"/>
          <w:lang w:val="en-GB"/>
        </w:rPr>
        <w:t>examine whether</w:t>
      </w:r>
      <w:r w:rsidR="00F67591" w:rsidRPr="003569BE">
        <w:rPr>
          <w:rFonts w:cs="Times New Roman"/>
          <w:szCs w:val="24"/>
          <w:lang w:val="en-GB"/>
        </w:rPr>
        <w:t xml:space="preserve"> the level of discretionary accruals is lower</w:t>
      </w:r>
      <w:r w:rsidR="001A26B5" w:rsidRPr="003569BE">
        <w:rPr>
          <w:rFonts w:cs="Times New Roman"/>
          <w:szCs w:val="24"/>
          <w:lang w:val="en-GB"/>
        </w:rPr>
        <w:t xml:space="preserve"> when </w:t>
      </w:r>
      <w:r w:rsidR="00401FD1" w:rsidRPr="003569BE">
        <w:rPr>
          <w:rFonts w:cs="Times New Roman"/>
          <w:szCs w:val="24"/>
          <w:lang w:val="en-GB"/>
        </w:rPr>
        <w:t xml:space="preserve">the </w:t>
      </w:r>
      <w:r w:rsidR="001A26B5" w:rsidRPr="003569BE">
        <w:rPr>
          <w:rFonts w:cs="Times New Roman"/>
          <w:szCs w:val="24"/>
          <w:lang w:val="en-GB"/>
        </w:rPr>
        <w:t>auditor</w:t>
      </w:r>
      <w:r w:rsidR="00401FD1" w:rsidRPr="003569BE">
        <w:rPr>
          <w:rFonts w:cs="Times New Roman"/>
          <w:szCs w:val="24"/>
          <w:lang w:val="en-GB"/>
        </w:rPr>
        <w:t>’s</w:t>
      </w:r>
      <w:r w:rsidR="001A26B5" w:rsidRPr="003569BE">
        <w:rPr>
          <w:rFonts w:cs="Times New Roman"/>
          <w:szCs w:val="24"/>
          <w:lang w:val="en-GB"/>
        </w:rPr>
        <w:t xml:space="preserve"> opinion </w:t>
      </w:r>
      <w:r w:rsidR="00401FD1" w:rsidRPr="003569BE">
        <w:rPr>
          <w:rFonts w:cs="Times New Roman"/>
          <w:szCs w:val="24"/>
          <w:lang w:val="en-GB"/>
        </w:rPr>
        <w:t xml:space="preserve">is </w:t>
      </w:r>
      <w:r w:rsidR="001A26B5" w:rsidRPr="003569BE">
        <w:rPr>
          <w:rFonts w:cs="Times New Roman"/>
          <w:szCs w:val="24"/>
          <w:lang w:val="en-GB"/>
        </w:rPr>
        <w:t>other than unqualified, i.e. qualified, adverse or disclaimer</w:t>
      </w:r>
      <w:r w:rsidR="00F67591" w:rsidRPr="003569BE">
        <w:rPr>
          <w:rFonts w:cs="Times New Roman"/>
          <w:szCs w:val="24"/>
          <w:lang w:val="en-GB"/>
        </w:rPr>
        <w:t>.</w:t>
      </w:r>
      <w:r w:rsidR="00183515" w:rsidRPr="003569BE">
        <w:rPr>
          <w:rFonts w:cs="Times New Roman"/>
          <w:szCs w:val="24"/>
          <w:lang w:val="en-GB"/>
        </w:rPr>
        <w:t xml:space="preserve"> </w:t>
      </w:r>
      <w:r w:rsidR="00906129" w:rsidRPr="003569BE">
        <w:rPr>
          <w:rFonts w:cs="Times New Roman"/>
          <w:szCs w:val="24"/>
          <w:lang w:val="en-GB"/>
        </w:rPr>
        <w:t>They find no significant evidence for this association</w:t>
      </w:r>
      <w:r w:rsidR="004327EB" w:rsidRPr="003569BE">
        <w:rPr>
          <w:rFonts w:cs="Times New Roman"/>
          <w:szCs w:val="24"/>
          <w:lang w:val="en-GB"/>
        </w:rPr>
        <w:t xml:space="preserve"> </w:t>
      </w:r>
      <w:sdt>
        <w:sdtPr>
          <w:rPr>
            <w:rFonts w:cs="Times New Roman"/>
            <w:szCs w:val="24"/>
            <w:lang w:val="en-GB"/>
          </w:rPr>
          <w:id w:val="1709293582"/>
          <w:citation/>
        </w:sdtPr>
        <w:sdtContent>
          <w:r w:rsidR="000E4BAF" w:rsidRPr="003569BE">
            <w:rPr>
              <w:rFonts w:cs="Times New Roman"/>
              <w:szCs w:val="24"/>
              <w:lang w:val="en-GB"/>
            </w:rPr>
            <w:fldChar w:fldCharType="begin"/>
          </w:r>
          <w:r w:rsidR="004327EB" w:rsidRPr="003569BE">
            <w:rPr>
              <w:rFonts w:cs="Times New Roman"/>
              <w:szCs w:val="24"/>
              <w:lang w:val="en-GB"/>
            </w:rPr>
            <w:instrText xml:space="preserve"> CITATION But04 \l 1033 </w:instrText>
          </w:r>
          <w:r w:rsidR="000E4BAF" w:rsidRPr="003569BE">
            <w:rPr>
              <w:rFonts w:cs="Times New Roman"/>
              <w:szCs w:val="24"/>
              <w:lang w:val="en-GB"/>
            </w:rPr>
            <w:fldChar w:fldCharType="separate"/>
          </w:r>
          <w:r w:rsidR="008F7EB3" w:rsidRPr="003569BE">
            <w:rPr>
              <w:rFonts w:cs="Times New Roman"/>
              <w:noProof/>
              <w:szCs w:val="24"/>
              <w:lang w:val="en-GB"/>
            </w:rPr>
            <w:t>(Butler, Leone, &amp; Willenborg, 2004)</w:t>
          </w:r>
          <w:r w:rsidR="000E4BAF" w:rsidRPr="003569BE">
            <w:rPr>
              <w:rFonts w:cs="Times New Roman"/>
              <w:szCs w:val="24"/>
              <w:lang w:val="en-GB"/>
            </w:rPr>
            <w:fldChar w:fldCharType="end"/>
          </w:r>
        </w:sdtContent>
      </w:sdt>
      <w:r w:rsidR="00906129" w:rsidRPr="003569BE">
        <w:rPr>
          <w:rFonts w:cs="Times New Roman"/>
          <w:szCs w:val="24"/>
          <w:lang w:val="en-GB"/>
        </w:rPr>
        <w:t xml:space="preserve">. </w:t>
      </w:r>
      <w:r w:rsidR="00826B23" w:rsidRPr="003569BE">
        <w:rPr>
          <w:rFonts w:cs="Times New Roman"/>
          <w:szCs w:val="24"/>
          <w:lang w:val="en-GB"/>
        </w:rPr>
        <w:t xml:space="preserve">These findings are </w:t>
      </w:r>
      <w:r w:rsidR="001A26B5" w:rsidRPr="003569BE">
        <w:rPr>
          <w:rFonts w:cs="Times New Roman"/>
          <w:szCs w:val="24"/>
          <w:lang w:val="en-GB"/>
        </w:rPr>
        <w:t>contradicted</w:t>
      </w:r>
      <w:r w:rsidR="00826B23" w:rsidRPr="003569BE">
        <w:rPr>
          <w:rFonts w:cs="Times New Roman"/>
          <w:szCs w:val="24"/>
          <w:lang w:val="en-GB"/>
        </w:rPr>
        <w:t xml:space="preserve"> by Becker et Al. (1998), who found a significant negative association between the audit quality and the use of earnings management</w:t>
      </w:r>
      <w:r w:rsidR="007951B5" w:rsidRPr="003569BE">
        <w:rPr>
          <w:rFonts w:cs="Times New Roman"/>
          <w:szCs w:val="24"/>
          <w:lang w:val="en-GB"/>
        </w:rPr>
        <w:t>.</w:t>
      </w:r>
    </w:p>
    <w:p w:rsidR="00B62539" w:rsidRPr="003569BE" w:rsidRDefault="00B62539" w:rsidP="00A529FD">
      <w:pPr>
        <w:spacing w:line="360" w:lineRule="auto"/>
        <w:rPr>
          <w:rFonts w:cs="Times New Roman"/>
          <w:szCs w:val="24"/>
          <w:lang w:val="en-GB"/>
        </w:rPr>
      </w:pPr>
      <w:r w:rsidRPr="003569BE">
        <w:rPr>
          <w:rFonts w:cs="Times New Roman"/>
          <w:szCs w:val="24"/>
          <w:lang w:val="en-GB"/>
        </w:rPr>
        <w:t>Considering that the behaviour of auditors affects the behaviour of the management, it is expected that the mandatory audit firm rotation itself has an effect on the management’s behaviour.</w:t>
      </w:r>
    </w:p>
    <w:p w:rsidR="00A529FD" w:rsidRPr="003569BE" w:rsidRDefault="001247ED" w:rsidP="00A529FD">
      <w:pPr>
        <w:spacing w:line="360" w:lineRule="auto"/>
        <w:rPr>
          <w:rFonts w:cs="Times New Roman"/>
          <w:szCs w:val="24"/>
          <w:lang w:val="en-GB"/>
        </w:rPr>
      </w:pPr>
      <w:r w:rsidRPr="003569BE">
        <w:rPr>
          <w:rFonts w:cs="Times New Roman"/>
          <w:szCs w:val="24"/>
          <w:lang w:val="en-GB"/>
        </w:rPr>
        <w:t xml:space="preserve">The most relevant study for the development of this thesis’s predictions is the one </w:t>
      </w:r>
      <w:r w:rsidR="00401FD1" w:rsidRPr="003569BE">
        <w:rPr>
          <w:rFonts w:cs="Times New Roman"/>
          <w:szCs w:val="24"/>
          <w:lang w:val="en-GB"/>
        </w:rPr>
        <w:t xml:space="preserve">by </w:t>
      </w:r>
      <w:r w:rsidRPr="003569BE">
        <w:rPr>
          <w:rFonts w:cs="Times New Roman"/>
          <w:szCs w:val="24"/>
          <w:lang w:val="en-GB"/>
        </w:rPr>
        <w:t xml:space="preserve">Davis et Al. (2000). They found </w:t>
      </w:r>
      <w:r w:rsidR="00A529FD" w:rsidRPr="003569BE">
        <w:rPr>
          <w:rFonts w:cs="Times New Roman"/>
          <w:szCs w:val="24"/>
          <w:lang w:val="en-GB"/>
        </w:rPr>
        <w:t xml:space="preserve">evidence that auditors with </w:t>
      </w:r>
      <w:r w:rsidR="00401FD1" w:rsidRPr="003569BE">
        <w:rPr>
          <w:rFonts w:cs="Times New Roman"/>
          <w:szCs w:val="24"/>
          <w:lang w:val="en-GB"/>
        </w:rPr>
        <w:t xml:space="preserve">a </w:t>
      </w:r>
      <w:r w:rsidR="00A529FD" w:rsidRPr="003569BE">
        <w:rPr>
          <w:rFonts w:cs="Times New Roman"/>
          <w:szCs w:val="24"/>
          <w:lang w:val="en-GB"/>
        </w:rPr>
        <w:t xml:space="preserve">longer tenure are more likely to </w:t>
      </w:r>
      <w:r w:rsidR="00401FD1" w:rsidRPr="003569BE">
        <w:rPr>
          <w:rFonts w:cs="Times New Roman"/>
          <w:szCs w:val="24"/>
          <w:lang w:val="en-GB"/>
        </w:rPr>
        <w:t xml:space="preserve">presents </w:t>
      </w:r>
      <w:r w:rsidR="00A529FD" w:rsidRPr="003569BE">
        <w:rPr>
          <w:rFonts w:cs="Times New Roman"/>
          <w:szCs w:val="24"/>
          <w:lang w:val="en-GB"/>
        </w:rPr>
        <w:t xml:space="preserve">client management more flexibility in recording accruals to manage </w:t>
      </w:r>
      <w:r w:rsidR="00401FD1" w:rsidRPr="003569BE">
        <w:rPr>
          <w:rFonts w:cs="Times New Roman"/>
          <w:szCs w:val="24"/>
          <w:lang w:val="en-GB"/>
        </w:rPr>
        <w:t xml:space="preserve">the published </w:t>
      </w:r>
      <w:r w:rsidR="00A529FD" w:rsidRPr="003569BE">
        <w:rPr>
          <w:rFonts w:cs="Times New Roman"/>
          <w:szCs w:val="24"/>
          <w:lang w:val="en-GB"/>
        </w:rPr>
        <w:t>earnings.</w:t>
      </w:r>
      <w:r w:rsidR="00C30C7B" w:rsidRPr="003569BE">
        <w:rPr>
          <w:rFonts w:cs="Times New Roman"/>
          <w:szCs w:val="24"/>
          <w:lang w:val="en-GB"/>
        </w:rPr>
        <w:t xml:space="preserve"> Their findings represent the key foundation of why the prediction of this thesis is for the magnitude of </w:t>
      </w:r>
      <w:r w:rsidR="00401FD1" w:rsidRPr="003569BE">
        <w:rPr>
          <w:rFonts w:cs="Times New Roman"/>
          <w:szCs w:val="24"/>
          <w:lang w:val="en-GB"/>
        </w:rPr>
        <w:t xml:space="preserve">the use of </w:t>
      </w:r>
      <w:r w:rsidR="00C30C7B" w:rsidRPr="003569BE">
        <w:rPr>
          <w:rFonts w:cs="Times New Roman"/>
          <w:szCs w:val="24"/>
          <w:lang w:val="en-GB"/>
        </w:rPr>
        <w:t xml:space="preserve">earnings management increase with </w:t>
      </w:r>
      <w:r w:rsidR="00401FD1" w:rsidRPr="003569BE">
        <w:rPr>
          <w:rFonts w:cs="Times New Roman"/>
          <w:szCs w:val="24"/>
          <w:lang w:val="en-GB"/>
        </w:rPr>
        <w:t xml:space="preserve">the </w:t>
      </w:r>
      <w:r w:rsidR="00C30C7B" w:rsidRPr="003569BE">
        <w:rPr>
          <w:rFonts w:cs="Times New Roman"/>
          <w:szCs w:val="24"/>
          <w:lang w:val="en-GB"/>
        </w:rPr>
        <w:t xml:space="preserve">auditor tenure, and drop in the first year after the rotation. This prediction </w:t>
      </w:r>
      <w:r w:rsidR="00401FD1" w:rsidRPr="003569BE">
        <w:rPr>
          <w:rFonts w:cs="Times New Roman"/>
          <w:szCs w:val="24"/>
          <w:lang w:val="en-GB"/>
        </w:rPr>
        <w:t xml:space="preserve">creates </w:t>
      </w:r>
      <w:r w:rsidR="00C30C7B" w:rsidRPr="003569BE">
        <w:rPr>
          <w:rFonts w:cs="Times New Roman"/>
          <w:szCs w:val="24"/>
          <w:lang w:val="en-GB"/>
        </w:rPr>
        <w:t>the formulation of the next two hypotheses:</w:t>
      </w:r>
    </w:p>
    <w:p w:rsidR="00401FD1" w:rsidRPr="003569BE" w:rsidRDefault="00401FD1">
      <w:pPr>
        <w:jc w:val="left"/>
        <w:rPr>
          <w:rFonts w:cs="Times New Roman"/>
          <w:i/>
          <w:szCs w:val="24"/>
          <w:lang w:val="en-GB"/>
        </w:rPr>
      </w:pPr>
      <w:r w:rsidRPr="003569BE">
        <w:rPr>
          <w:rFonts w:cs="Times New Roman"/>
          <w:i/>
          <w:szCs w:val="24"/>
          <w:lang w:val="en-GB"/>
        </w:rPr>
        <w:br w:type="page"/>
      </w:r>
    </w:p>
    <w:p w:rsidR="00C30C7B" w:rsidRPr="003569BE" w:rsidRDefault="00C30C7B" w:rsidP="00C30C7B">
      <w:pPr>
        <w:spacing w:after="0" w:line="360" w:lineRule="auto"/>
        <w:rPr>
          <w:rFonts w:cs="Times New Roman"/>
          <w:i/>
          <w:szCs w:val="24"/>
          <w:lang w:val="en-GB"/>
        </w:rPr>
      </w:pPr>
      <w:r w:rsidRPr="003569BE">
        <w:rPr>
          <w:rFonts w:cs="Times New Roman"/>
          <w:i/>
          <w:szCs w:val="24"/>
          <w:lang w:val="en-GB"/>
        </w:rPr>
        <w:lastRenderedPageBreak/>
        <w:t>H1</w:t>
      </w:r>
    </w:p>
    <w:p w:rsidR="00C30C7B" w:rsidRPr="003569BE" w:rsidRDefault="00C30C7B" w:rsidP="00C30C7B">
      <w:pPr>
        <w:spacing w:line="360" w:lineRule="auto"/>
        <w:rPr>
          <w:rFonts w:cs="Times New Roman"/>
          <w:i/>
          <w:szCs w:val="24"/>
          <w:lang w:val="en-GB"/>
        </w:rPr>
      </w:pPr>
      <w:r w:rsidRPr="003569BE">
        <w:rPr>
          <w:rFonts w:cs="Times New Roman"/>
          <w:i/>
          <w:szCs w:val="24"/>
          <w:lang w:val="en-GB"/>
        </w:rPr>
        <w:t xml:space="preserve">The magnitude of the use of earnings management increases gradually as </w:t>
      </w:r>
      <w:r w:rsidR="00401FD1" w:rsidRPr="003569BE">
        <w:rPr>
          <w:rFonts w:cs="Times New Roman"/>
          <w:i/>
          <w:szCs w:val="24"/>
          <w:lang w:val="en-GB"/>
        </w:rPr>
        <w:t xml:space="preserve">the </w:t>
      </w:r>
      <w:r w:rsidRPr="003569BE">
        <w:rPr>
          <w:rFonts w:cs="Times New Roman"/>
          <w:i/>
          <w:szCs w:val="24"/>
          <w:lang w:val="en-GB"/>
        </w:rPr>
        <w:t>auditor tenure increases</w:t>
      </w:r>
      <w:r w:rsidR="00401FD1" w:rsidRPr="003569BE">
        <w:rPr>
          <w:rFonts w:cs="Times New Roman"/>
          <w:i/>
          <w:szCs w:val="24"/>
          <w:lang w:val="en-GB"/>
        </w:rPr>
        <w:t>,</w:t>
      </w:r>
      <w:r w:rsidR="00401FD1" w:rsidRPr="003569BE" w:rsidDel="00401FD1">
        <w:rPr>
          <w:rFonts w:cs="Times New Roman"/>
          <w:i/>
          <w:szCs w:val="24"/>
          <w:lang w:val="en-GB"/>
        </w:rPr>
        <w:t xml:space="preserve"> </w:t>
      </w:r>
      <w:r w:rsidRPr="003569BE">
        <w:rPr>
          <w:rFonts w:cs="Times New Roman"/>
          <w:i/>
          <w:szCs w:val="24"/>
          <w:lang w:val="en-GB"/>
        </w:rPr>
        <w:t>positive correlation.</w:t>
      </w:r>
    </w:p>
    <w:p w:rsidR="0055045D" w:rsidRPr="003569BE" w:rsidRDefault="0055045D" w:rsidP="00C30C7B">
      <w:pPr>
        <w:spacing w:line="360" w:lineRule="auto"/>
        <w:rPr>
          <w:rFonts w:cs="Times New Roman"/>
          <w:szCs w:val="24"/>
          <w:lang w:val="en-GB"/>
        </w:rPr>
      </w:pPr>
      <w:r w:rsidRPr="003569BE">
        <w:rPr>
          <w:rFonts w:cs="Times New Roman"/>
          <w:szCs w:val="24"/>
          <w:lang w:val="en-GB"/>
        </w:rPr>
        <w:t>This hypothesis is based on the assumption that long-standing auditors beco</w:t>
      </w:r>
      <w:r w:rsidR="00EA4DDD" w:rsidRPr="003569BE">
        <w:rPr>
          <w:rFonts w:cs="Times New Roman"/>
          <w:szCs w:val="24"/>
          <w:lang w:val="en-GB"/>
        </w:rPr>
        <w:t>me too familiar with the client and allows the client’s management to engage more in earnings management. Although</w:t>
      </w:r>
      <w:r w:rsidR="00401FD1" w:rsidRPr="003569BE">
        <w:rPr>
          <w:rFonts w:cs="Times New Roman"/>
          <w:szCs w:val="24"/>
          <w:lang w:val="en-GB"/>
        </w:rPr>
        <w:t>, in prior research to support the claim that the audit quality decreases when the tenure is longer, most of these studies have been conducted in non-mandatory firm rotation environment,</w:t>
      </w:r>
      <w:r w:rsidR="00EA4DDD" w:rsidRPr="003569BE">
        <w:rPr>
          <w:rFonts w:cs="Times New Roman"/>
          <w:szCs w:val="24"/>
          <w:lang w:val="en-GB"/>
        </w:rPr>
        <w:t xml:space="preserve"> no significant evidence has been found. Considering that in this thesis the hypotheses will be tested in a real MAFR setting, i.e. Italy, the prediction is that the amount of discretionary accruals increases </w:t>
      </w:r>
      <w:r w:rsidR="005E2282" w:rsidRPr="003569BE">
        <w:rPr>
          <w:rFonts w:cs="Times New Roman"/>
          <w:szCs w:val="24"/>
          <w:lang w:val="en-GB"/>
        </w:rPr>
        <w:t>during the</w:t>
      </w:r>
      <w:r w:rsidR="00485811" w:rsidRPr="003569BE">
        <w:rPr>
          <w:rFonts w:cs="Times New Roman"/>
          <w:szCs w:val="24"/>
          <w:lang w:val="en-GB"/>
        </w:rPr>
        <w:t xml:space="preserve"> auditor</w:t>
      </w:r>
      <w:r w:rsidR="005E2282" w:rsidRPr="003569BE">
        <w:rPr>
          <w:rFonts w:cs="Times New Roman"/>
          <w:szCs w:val="24"/>
          <w:lang w:val="en-GB"/>
        </w:rPr>
        <w:t xml:space="preserve"> retention period</w:t>
      </w:r>
      <w:r w:rsidR="00EA4DDD" w:rsidRPr="003569BE">
        <w:rPr>
          <w:rFonts w:cs="Times New Roman"/>
          <w:szCs w:val="24"/>
          <w:lang w:val="en-GB"/>
        </w:rPr>
        <w:t>.</w:t>
      </w:r>
    </w:p>
    <w:p w:rsidR="00C30C7B" w:rsidRPr="003569BE" w:rsidRDefault="00C30C7B" w:rsidP="00C30C7B">
      <w:pPr>
        <w:spacing w:after="0" w:line="360" w:lineRule="auto"/>
        <w:rPr>
          <w:rFonts w:cs="Times New Roman"/>
          <w:i/>
          <w:szCs w:val="24"/>
          <w:lang w:val="en-GB"/>
        </w:rPr>
      </w:pPr>
      <w:r w:rsidRPr="003569BE">
        <w:rPr>
          <w:rFonts w:cs="Times New Roman"/>
          <w:i/>
          <w:szCs w:val="24"/>
          <w:lang w:val="en-GB"/>
        </w:rPr>
        <w:t>H2</w:t>
      </w:r>
    </w:p>
    <w:p w:rsidR="00C30C7B" w:rsidRPr="003569BE" w:rsidRDefault="00C30C7B" w:rsidP="00C30C7B">
      <w:pPr>
        <w:spacing w:line="360" w:lineRule="auto"/>
        <w:rPr>
          <w:rFonts w:cs="Times New Roman"/>
          <w:i/>
          <w:szCs w:val="24"/>
          <w:lang w:val="en-GB"/>
        </w:rPr>
      </w:pPr>
      <w:r w:rsidRPr="003569BE">
        <w:rPr>
          <w:rFonts w:cs="Times New Roman"/>
          <w:i/>
          <w:szCs w:val="24"/>
          <w:lang w:val="en-GB"/>
        </w:rPr>
        <w:t>The magnitude of the use of earnings management drops in the first year when a new auditor is appointed.</w:t>
      </w:r>
    </w:p>
    <w:p w:rsidR="001C0F0F" w:rsidRPr="003569BE" w:rsidRDefault="0059435E" w:rsidP="00D26A0E">
      <w:pPr>
        <w:spacing w:line="360" w:lineRule="auto"/>
        <w:rPr>
          <w:rFonts w:cs="Times New Roman"/>
          <w:szCs w:val="24"/>
          <w:lang w:val="en-GB"/>
        </w:rPr>
      </w:pPr>
      <w:r w:rsidRPr="003569BE">
        <w:rPr>
          <w:rFonts w:cs="Times New Roman"/>
          <w:szCs w:val="24"/>
          <w:lang w:val="en-GB"/>
        </w:rPr>
        <w:t xml:space="preserve">The second hypothesis is based on the assumption that despite the increased costs, a new auditor would be more determined to perform a quality audit than the predecessor in the last years of the engagement, and the management would be more constrained in their flexibility to manage </w:t>
      </w:r>
      <w:r w:rsidR="00401FD1" w:rsidRPr="003569BE">
        <w:rPr>
          <w:rFonts w:cs="Times New Roman"/>
          <w:szCs w:val="24"/>
          <w:lang w:val="en-GB"/>
        </w:rPr>
        <w:t xml:space="preserve">the published </w:t>
      </w:r>
      <w:r w:rsidRPr="003569BE">
        <w:rPr>
          <w:rFonts w:cs="Times New Roman"/>
          <w:szCs w:val="24"/>
          <w:lang w:val="en-GB"/>
        </w:rPr>
        <w:t>earnings.</w:t>
      </w:r>
    </w:p>
    <w:p w:rsidR="00EC02A0" w:rsidRPr="003569BE" w:rsidRDefault="00EC02A0" w:rsidP="00EC02A0">
      <w:pPr>
        <w:pStyle w:val="Heading2"/>
        <w:numPr>
          <w:ilvl w:val="1"/>
          <w:numId w:val="6"/>
        </w:numPr>
        <w:spacing w:line="360" w:lineRule="auto"/>
        <w:rPr>
          <w:rFonts w:cs="Times New Roman"/>
          <w:sz w:val="24"/>
          <w:szCs w:val="24"/>
          <w:lang w:val="en-GB"/>
        </w:rPr>
      </w:pPr>
      <w:bookmarkStart w:id="43" w:name="_Toc396633575"/>
      <w:r w:rsidRPr="003569BE">
        <w:rPr>
          <w:rFonts w:cs="Times New Roman"/>
          <w:sz w:val="24"/>
          <w:szCs w:val="24"/>
          <w:lang w:val="en-GB"/>
        </w:rPr>
        <w:t>Summary</w:t>
      </w:r>
      <w:bookmarkEnd w:id="43"/>
    </w:p>
    <w:p w:rsidR="00A90B73" w:rsidRPr="003569BE" w:rsidRDefault="00F83F17" w:rsidP="00007CB9">
      <w:pPr>
        <w:spacing w:line="360" w:lineRule="auto"/>
        <w:rPr>
          <w:rFonts w:cs="Times New Roman"/>
          <w:szCs w:val="24"/>
          <w:lang w:val="en-GB"/>
        </w:rPr>
      </w:pPr>
      <w:r w:rsidRPr="003569BE">
        <w:rPr>
          <w:rFonts w:cs="Times New Roman"/>
          <w:szCs w:val="24"/>
          <w:lang w:val="en-GB"/>
        </w:rPr>
        <w:t xml:space="preserve">This chapter presented the connection between the most relevant papers from prior </w:t>
      </w:r>
      <w:r w:rsidR="00401FD1" w:rsidRPr="003569BE">
        <w:rPr>
          <w:rFonts w:cs="Times New Roman"/>
          <w:szCs w:val="24"/>
          <w:lang w:val="en-GB"/>
        </w:rPr>
        <w:t>scientific l</w:t>
      </w:r>
      <w:r w:rsidRPr="003569BE">
        <w:rPr>
          <w:rFonts w:cs="Times New Roman"/>
          <w:szCs w:val="24"/>
          <w:lang w:val="en-GB"/>
        </w:rPr>
        <w:t>iterature and the formulation of the hypotheses has been presented. This thesis test</w:t>
      </w:r>
      <w:r w:rsidR="00A044A8" w:rsidRPr="003569BE">
        <w:rPr>
          <w:rFonts w:cs="Times New Roman"/>
          <w:szCs w:val="24"/>
          <w:lang w:val="en-GB"/>
        </w:rPr>
        <w:t>s</w:t>
      </w:r>
      <w:r w:rsidRPr="003569BE">
        <w:rPr>
          <w:rFonts w:cs="Times New Roman"/>
          <w:szCs w:val="24"/>
          <w:lang w:val="en-GB"/>
        </w:rPr>
        <w:t xml:space="preserve"> two hypotheses. Hypothesis 1 examines the management’s behaviour during the retention period that is from the moment when a new auditor is appointed until the moment when the auditor is rotated. The prediction of this thesis is that the magnitude of the use of earnings management increases during this period.</w:t>
      </w:r>
      <w:r w:rsidR="001D1BDC" w:rsidRPr="003569BE">
        <w:rPr>
          <w:rFonts w:cs="Times New Roman"/>
          <w:szCs w:val="24"/>
          <w:lang w:val="en-GB"/>
        </w:rPr>
        <w:t xml:space="preserve"> On the other hand, hypothesis 2 investigates what happens with the</w:t>
      </w:r>
      <w:r w:rsidR="00401FD1" w:rsidRPr="003569BE">
        <w:rPr>
          <w:rFonts w:cs="Times New Roman"/>
          <w:szCs w:val="24"/>
          <w:lang w:val="en-GB"/>
        </w:rPr>
        <w:t xml:space="preserve"> </w:t>
      </w:r>
      <w:r w:rsidR="001D1BDC" w:rsidRPr="003569BE">
        <w:rPr>
          <w:rFonts w:cs="Times New Roman"/>
          <w:szCs w:val="24"/>
          <w:lang w:val="en-GB"/>
        </w:rPr>
        <w:t>earnings management trend in the</w:t>
      </w:r>
      <w:r w:rsidR="00701181" w:rsidRPr="003569BE">
        <w:rPr>
          <w:rFonts w:cs="Times New Roman"/>
          <w:szCs w:val="24"/>
          <w:lang w:val="en-GB"/>
        </w:rPr>
        <w:t xml:space="preserve"> first year after the rotation, compared to</w:t>
      </w:r>
      <w:r w:rsidR="001D6B34" w:rsidRPr="003569BE">
        <w:rPr>
          <w:rFonts w:cs="Times New Roman"/>
          <w:szCs w:val="24"/>
          <w:lang w:val="en-GB"/>
        </w:rPr>
        <w:t xml:space="preserve"> the last years of engagement with</w:t>
      </w:r>
      <w:r w:rsidR="00701181" w:rsidRPr="003569BE">
        <w:rPr>
          <w:rFonts w:cs="Times New Roman"/>
          <w:szCs w:val="24"/>
          <w:lang w:val="en-GB"/>
        </w:rPr>
        <w:t xml:space="preserve"> the previous auditor.</w:t>
      </w:r>
      <w:r w:rsidR="00C53D9F" w:rsidRPr="003569BE">
        <w:rPr>
          <w:rFonts w:cs="Times New Roman"/>
          <w:szCs w:val="24"/>
          <w:lang w:val="en-GB"/>
        </w:rPr>
        <w:t xml:space="preserve"> The expectation is to </w:t>
      </w:r>
      <w:r w:rsidR="008E1AF5" w:rsidRPr="003569BE">
        <w:rPr>
          <w:rFonts w:cs="Times New Roman"/>
          <w:szCs w:val="24"/>
          <w:lang w:val="en-GB"/>
        </w:rPr>
        <w:t xml:space="preserve">identify a significant decrease in the amount of discretionary accruals, due to the presumed higher audit quality provided by the new auditor, as claimed by the advocates of </w:t>
      </w:r>
      <w:r w:rsidR="00401FD1" w:rsidRPr="003569BE">
        <w:rPr>
          <w:rFonts w:cs="Times New Roman"/>
          <w:szCs w:val="24"/>
          <w:lang w:val="en-GB"/>
        </w:rPr>
        <w:t xml:space="preserve">the </w:t>
      </w:r>
      <w:r w:rsidR="008E1AF5" w:rsidRPr="003569BE">
        <w:rPr>
          <w:rFonts w:cs="Times New Roman"/>
          <w:szCs w:val="24"/>
          <w:lang w:val="en-GB"/>
        </w:rPr>
        <w:t>mandatory audit firm rotation.</w:t>
      </w:r>
    </w:p>
    <w:p w:rsidR="00007CB9" w:rsidRPr="003569BE" w:rsidRDefault="00007CB9" w:rsidP="00007CB9">
      <w:pPr>
        <w:spacing w:line="360" w:lineRule="auto"/>
        <w:rPr>
          <w:rFonts w:cs="Times New Roman"/>
          <w:szCs w:val="24"/>
          <w:lang w:val="en-GB"/>
        </w:rPr>
      </w:pPr>
      <w:r w:rsidRPr="003569BE">
        <w:rPr>
          <w:rFonts w:cs="Times New Roman"/>
          <w:szCs w:val="24"/>
          <w:lang w:val="en-GB"/>
        </w:rPr>
        <w:t xml:space="preserve">The hypotheses </w:t>
      </w:r>
      <w:r w:rsidR="00B1412F" w:rsidRPr="003569BE">
        <w:rPr>
          <w:rFonts w:cs="Times New Roman"/>
          <w:szCs w:val="24"/>
          <w:lang w:val="en-GB"/>
        </w:rPr>
        <w:t xml:space="preserve">signalled in this chapter </w:t>
      </w:r>
      <w:r w:rsidRPr="003569BE">
        <w:rPr>
          <w:rFonts w:cs="Times New Roman"/>
          <w:szCs w:val="24"/>
          <w:lang w:val="en-GB"/>
        </w:rPr>
        <w:t>will be tested using the research design detailed in the next chapter.</w:t>
      </w:r>
    </w:p>
    <w:p w:rsidR="006619FA" w:rsidRPr="003569BE" w:rsidRDefault="006619FA">
      <w:pPr>
        <w:rPr>
          <w:rFonts w:cs="Times New Roman"/>
          <w:szCs w:val="24"/>
          <w:lang w:val="en-GB"/>
        </w:rPr>
      </w:pPr>
      <w:r w:rsidRPr="003569BE">
        <w:rPr>
          <w:rFonts w:cs="Times New Roman"/>
          <w:szCs w:val="24"/>
          <w:lang w:val="en-GB"/>
        </w:rPr>
        <w:br w:type="page"/>
      </w:r>
    </w:p>
    <w:p w:rsidR="00365857" w:rsidRPr="003569BE" w:rsidRDefault="006619FA" w:rsidP="00365857">
      <w:pPr>
        <w:pStyle w:val="Heading1"/>
        <w:numPr>
          <w:ilvl w:val="0"/>
          <w:numId w:val="6"/>
        </w:numPr>
        <w:spacing w:line="360" w:lineRule="auto"/>
        <w:rPr>
          <w:rFonts w:cs="Times New Roman"/>
          <w:sz w:val="24"/>
          <w:szCs w:val="24"/>
          <w:lang w:val="en-GB"/>
        </w:rPr>
      </w:pPr>
      <w:bookmarkStart w:id="44" w:name="_Toc396633576"/>
      <w:r w:rsidRPr="003569BE">
        <w:rPr>
          <w:lang w:val="en-GB"/>
        </w:rPr>
        <w:lastRenderedPageBreak/>
        <w:t>Research</w:t>
      </w:r>
      <w:r w:rsidRPr="003569BE">
        <w:rPr>
          <w:rFonts w:cs="Times New Roman"/>
          <w:sz w:val="24"/>
          <w:szCs w:val="24"/>
          <w:lang w:val="en-GB"/>
        </w:rPr>
        <w:t xml:space="preserve"> </w:t>
      </w:r>
      <w:r w:rsidRPr="003569BE">
        <w:rPr>
          <w:lang w:val="en-GB"/>
        </w:rPr>
        <w:t>Design</w:t>
      </w:r>
      <w:bookmarkEnd w:id="44"/>
    </w:p>
    <w:p w:rsidR="00385FF1" w:rsidRPr="003569BE" w:rsidRDefault="00EE1F21" w:rsidP="00365857">
      <w:pPr>
        <w:spacing w:line="360" w:lineRule="auto"/>
        <w:rPr>
          <w:lang w:val="en-GB"/>
        </w:rPr>
      </w:pPr>
      <w:r w:rsidRPr="003569BE">
        <w:rPr>
          <w:lang w:val="en-GB"/>
        </w:rPr>
        <w:t>This chapter</w:t>
      </w:r>
      <w:r w:rsidR="00CF1809" w:rsidRPr="003569BE">
        <w:rPr>
          <w:lang w:val="en-GB"/>
        </w:rPr>
        <w:t xml:space="preserve"> provides the answer to the sixth sub-question of this thesis: </w:t>
      </w:r>
      <w:r w:rsidR="008116B2" w:rsidRPr="003569BE">
        <w:rPr>
          <w:i/>
          <w:lang w:val="en-GB"/>
        </w:rPr>
        <w:t>“</w:t>
      </w:r>
      <w:r w:rsidR="008116B2" w:rsidRPr="003569BE">
        <w:rPr>
          <w:rFonts w:cs="Times New Roman"/>
          <w:i/>
          <w:szCs w:val="24"/>
          <w:lang w:val="en-GB"/>
        </w:rPr>
        <w:t>Which research design will be used to test the formulated hypotheses and to answer the research question?”</w:t>
      </w:r>
      <w:r w:rsidR="00837541" w:rsidRPr="003569BE">
        <w:rPr>
          <w:lang w:val="en-GB"/>
        </w:rPr>
        <w:t xml:space="preserve"> </w:t>
      </w:r>
      <w:r w:rsidR="00CF1809" w:rsidRPr="003569BE">
        <w:rPr>
          <w:lang w:val="en-GB"/>
        </w:rPr>
        <w:t xml:space="preserve">and </w:t>
      </w:r>
      <w:r w:rsidR="00837541" w:rsidRPr="003569BE">
        <w:rPr>
          <w:lang w:val="en-GB"/>
        </w:rPr>
        <w:t>describes the research design to be used for testing the hypotheses. First</w:t>
      </w:r>
      <w:r w:rsidR="0060313E" w:rsidRPr="003569BE">
        <w:rPr>
          <w:lang w:val="en-GB"/>
        </w:rPr>
        <w:t>, the research approach to be used in this thesis will be chosen, after presenting the available types of research. Next</w:t>
      </w:r>
      <w:r w:rsidR="00837541" w:rsidRPr="003569BE">
        <w:rPr>
          <w:lang w:val="en-GB"/>
        </w:rPr>
        <w:t xml:space="preserve">, </w:t>
      </w:r>
      <w:r w:rsidR="003478F4" w:rsidRPr="003569BE">
        <w:rPr>
          <w:lang w:val="en-GB"/>
        </w:rPr>
        <w:t xml:space="preserve">the research method and </w:t>
      </w:r>
      <w:r w:rsidR="00837541" w:rsidRPr="003569BE">
        <w:rPr>
          <w:lang w:val="en-GB"/>
        </w:rPr>
        <w:t xml:space="preserve">the model for detecting and measuring the use of earnings management will be presented. </w:t>
      </w:r>
      <w:r w:rsidR="00450BC9" w:rsidRPr="003569BE">
        <w:rPr>
          <w:lang w:val="en-GB"/>
        </w:rPr>
        <w:t>The focus of this chapter is on the statistical methods used for conducting the empirical research.</w:t>
      </w:r>
      <w:r w:rsidR="00237A4A" w:rsidRPr="003569BE">
        <w:rPr>
          <w:lang w:val="en-GB"/>
        </w:rPr>
        <w:t xml:space="preserve"> </w:t>
      </w:r>
      <w:r w:rsidR="000E04E9" w:rsidRPr="003569BE">
        <w:rPr>
          <w:lang w:val="en-GB"/>
        </w:rPr>
        <w:t>Next</w:t>
      </w:r>
      <w:r w:rsidR="00237A4A" w:rsidRPr="003569BE">
        <w:rPr>
          <w:lang w:val="en-GB"/>
        </w:rPr>
        <w:t>,</w:t>
      </w:r>
      <w:r w:rsidR="0060313E" w:rsidRPr="003569BE">
        <w:rPr>
          <w:lang w:val="en-GB"/>
        </w:rPr>
        <w:t xml:space="preserve"> the control variables and</w:t>
      </w:r>
      <w:r w:rsidR="00237A4A" w:rsidRPr="003569BE">
        <w:rPr>
          <w:lang w:val="en-GB"/>
        </w:rPr>
        <w:t xml:space="preserve"> </w:t>
      </w:r>
      <w:r w:rsidR="00E70013" w:rsidRPr="003569BE">
        <w:rPr>
          <w:lang w:val="en-GB"/>
        </w:rPr>
        <w:t xml:space="preserve">the methods </w:t>
      </w:r>
      <w:r w:rsidR="00237A4A" w:rsidRPr="003569BE">
        <w:rPr>
          <w:lang w:val="en-GB"/>
        </w:rPr>
        <w:t xml:space="preserve">that will be performed </w:t>
      </w:r>
      <w:r w:rsidR="00E70013" w:rsidRPr="003569BE">
        <w:rPr>
          <w:lang w:val="en-GB"/>
        </w:rPr>
        <w:t xml:space="preserve">for testing the hypotheses </w:t>
      </w:r>
      <w:r w:rsidR="00237A4A" w:rsidRPr="003569BE">
        <w:rPr>
          <w:lang w:val="en-GB"/>
        </w:rPr>
        <w:t>are presented.</w:t>
      </w:r>
      <w:r w:rsidR="000E04E9" w:rsidRPr="003569BE">
        <w:rPr>
          <w:lang w:val="en-GB"/>
        </w:rPr>
        <w:t xml:space="preserve"> Finally, the sample characteristics and the sources for collecting the data will be displayed.</w:t>
      </w:r>
    </w:p>
    <w:p w:rsidR="00B545BA" w:rsidRPr="003569BE" w:rsidRDefault="00B545BA" w:rsidP="00B545BA">
      <w:pPr>
        <w:pStyle w:val="Heading2"/>
        <w:numPr>
          <w:ilvl w:val="1"/>
          <w:numId w:val="6"/>
        </w:numPr>
        <w:spacing w:line="360" w:lineRule="auto"/>
        <w:rPr>
          <w:lang w:val="en-GB"/>
        </w:rPr>
      </w:pPr>
      <w:bookmarkStart w:id="45" w:name="_Toc396633577"/>
      <w:r w:rsidRPr="003569BE">
        <w:rPr>
          <w:lang w:val="en-GB"/>
        </w:rPr>
        <w:t>Research approach</w:t>
      </w:r>
      <w:bookmarkEnd w:id="45"/>
    </w:p>
    <w:p w:rsidR="00B545BA" w:rsidRPr="003569BE" w:rsidRDefault="00E732FA" w:rsidP="00365857">
      <w:pPr>
        <w:spacing w:line="360" w:lineRule="auto"/>
        <w:rPr>
          <w:lang w:val="en-GB"/>
        </w:rPr>
      </w:pPr>
      <w:r w:rsidRPr="003569BE">
        <w:rPr>
          <w:lang w:val="en-GB"/>
        </w:rPr>
        <w:t>Empirical research is based on obtaining information through direc</w:t>
      </w:r>
      <w:r w:rsidR="00657B96" w:rsidRPr="003569BE">
        <w:rPr>
          <w:lang w:val="en-GB"/>
        </w:rPr>
        <w:t xml:space="preserve">t or indirect observations. </w:t>
      </w:r>
      <w:r w:rsidRPr="003569BE">
        <w:rPr>
          <w:lang w:val="en-GB"/>
        </w:rPr>
        <w:t>In the accounting scientific field, empirical research implies identifying interesting, relevant and important topics in financial reporting, formulating a clear research question, developing one or more hypotheses to answer the research question, and empirically testing these hypotheses using a valid research design to obtain the empirical evidence for assessing the answer to the research question.</w:t>
      </w:r>
      <w:r w:rsidR="00ED1A8D" w:rsidRPr="003569BE">
        <w:rPr>
          <w:lang w:val="en-GB"/>
        </w:rPr>
        <w:t xml:space="preserve"> This empirical evidence can be assessed either quantitatively or qualitatively. In certain situations,</w:t>
      </w:r>
      <w:r w:rsidR="00D96A87" w:rsidRPr="003569BE">
        <w:rPr>
          <w:lang w:val="en-GB"/>
        </w:rPr>
        <w:t xml:space="preserve"> in the research process</w:t>
      </w:r>
      <w:r w:rsidR="00ED1A8D" w:rsidRPr="003569BE">
        <w:rPr>
          <w:lang w:val="en-GB"/>
        </w:rPr>
        <w:t xml:space="preserve"> both approaches can be used. </w:t>
      </w:r>
      <w:r w:rsidR="00925994" w:rsidRPr="003569BE">
        <w:rPr>
          <w:lang w:val="en-GB"/>
        </w:rPr>
        <w:t xml:space="preserve">However, this is not the case in this thesis. Consequently, </w:t>
      </w:r>
      <w:r w:rsidR="00C50EC5" w:rsidRPr="003569BE">
        <w:rPr>
          <w:lang w:val="en-GB"/>
        </w:rPr>
        <w:t xml:space="preserve">before proceeding to the research methodology, </w:t>
      </w:r>
      <w:r w:rsidR="00925994" w:rsidRPr="003569BE">
        <w:rPr>
          <w:lang w:val="en-GB"/>
        </w:rPr>
        <w:t xml:space="preserve">one of these two approaches </w:t>
      </w:r>
      <w:r w:rsidR="00A32540">
        <w:rPr>
          <w:lang w:val="en-GB"/>
        </w:rPr>
        <w:t xml:space="preserve">in this thesis </w:t>
      </w:r>
      <w:r w:rsidR="00925994" w:rsidRPr="003569BE">
        <w:rPr>
          <w:lang w:val="en-GB"/>
        </w:rPr>
        <w:t>needs to be selected.</w:t>
      </w:r>
      <w:r w:rsidR="00B346B8" w:rsidRPr="003569BE">
        <w:rPr>
          <w:lang w:val="en-GB"/>
        </w:rPr>
        <w:t xml:space="preserve"> The distinction between </w:t>
      </w:r>
      <w:r w:rsidR="00247B75" w:rsidRPr="003569BE">
        <w:rPr>
          <w:lang w:val="en-GB"/>
        </w:rPr>
        <w:t xml:space="preserve">the </w:t>
      </w:r>
      <w:r w:rsidR="00B346B8" w:rsidRPr="003569BE">
        <w:rPr>
          <w:lang w:val="en-GB"/>
        </w:rPr>
        <w:t xml:space="preserve">quantitative research and </w:t>
      </w:r>
      <w:r w:rsidR="00247B75" w:rsidRPr="003569BE">
        <w:rPr>
          <w:lang w:val="en-GB"/>
        </w:rPr>
        <w:t xml:space="preserve">the qualitative research </w:t>
      </w:r>
      <w:r w:rsidR="00B346B8" w:rsidRPr="003569BE">
        <w:rPr>
          <w:lang w:val="en-GB"/>
        </w:rPr>
        <w:t>in the next paragraphs</w:t>
      </w:r>
      <w:r w:rsidR="00B95A95" w:rsidRPr="003569BE">
        <w:rPr>
          <w:lang w:val="en-GB"/>
        </w:rPr>
        <w:t xml:space="preserve"> of this section</w:t>
      </w:r>
      <w:r w:rsidR="00247B75" w:rsidRPr="003569BE">
        <w:rPr>
          <w:lang w:val="en-GB"/>
        </w:rPr>
        <w:t xml:space="preserve"> will be presented</w:t>
      </w:r>
      <w:r w:rsidR="00B346B8" w:rsidRPr="003569BE">
        <w:rPr>
          <w:lang w:val="en-GB"/>
        </w:rPr>
        <w:t>.</w:t>
      </w:r>
    </w:p>
    <w:p w:rsidR="00B346B8" w:rsidRPr="003569BE" w:rsidRDefault="00E14FF4" w:rsidP="00365857">
      <w:pPr>
        <w:spacing w:line="360" w:lineRule="auto"/>
        <w:rPr>
          <w:lang w:val="en-GB"/>
        </w:rPr>
      </w:pPr>
      <w:r w:rsidRPr="003569BE">
        <w:rPr>
          <w:lang w:val="en-GB"/>
        </w:rPr>
        <w:t xml:space="preserve">Quantitative research is </w:t>
      </w:r>
      <w:r w:rsidR="00B95A95" w:rsidRPr="003569BE">
        <w:rPr>
          <w:lang w:val="en-GB"/>
        </w:rPr>
        <w:t>more neutral and objective and implies collecting numerical data</w:t>
      </w:r>
      <w:r w:rsidR="00247B75" w:rsidRPr="003569BE">
        <w:rPr>
          <w:lang w:val="en-GB"/>
        </w:rPr>
        <w:t>;</w:t>
      </w:r>
      <w:r w:rsidR="00B95A95" w:rsidRPr="003569BE">
        <w:rPr>
          <w:lang w:val="en-GB"/>
        </w:rPr>
        <w:t xml:space="preserve"> </w:t>
      </w:r>
      <w:r w:rsidR="00247B75" w:rsidRPr="003569BE">
        <w:rPr>
          <w:lang w:val="en-GB"/>
        </w:rPr>
        <w:t>consequently,</w:t>
      </w:r>
      <w:r w:rsidR="00B95A95" w:rsidRPr="003569BE">
        <w:rPr>
          <w:lang w:val="en-GB"/>
        </w:rPr>
        <w:t xml:space="preserve"> the relationship can be investigated in an unbiased way using certain statistical methods. The results of a quantitative research consist of a series of numbers, which are statistically analysed by the researcher.</w:t>
      </w:r>
      <w:r w:rsidR="00B76AE0" w:rsidRPr="003569BE">
        <w:rPr>
          <w:lang w:val="en-GB"/>
        </w:rPr>
        <w:t xml:space="preserve"> This approach generally applies for hard sciences aiming to answer specific research questions through </w:t>
      </w:r>
      <w:r w:rsidR="00247B75" w:rsidRPr="003569BE">
        <w:rPr>
          <w:lang w:val="en-GB"/>
        </w:rPr>
        <w:t xml:space="preserve">the </w:t>
      </w:r>
      <w:r w:rsidR="00B76AE0" w:rsidRPr="003569BE">
        <w:rPr>
          <w:lang w:val="en-GB"/>
        </w:rPr>
        <w:t>hypotheses testing.</w:t>
      </w:r>
    </w:p>
    <w:p w:rsidR="00542874" w:rsidRPr="003569BE" w:rsidRDefault="00542874" w:rsidP="00365857">
      <w:pPr>
        <w:spacing w:line="360" w:lineRule="auto"/>
        <w:rPr>
          <w:lang w:val="en-GB"/>
        </w:rPr>
      </w:pPr>
      <w:r w:rsidRPr="003569BE">
        <w:rPr>
          <w:lang w:val="en-GB"/>
        </w:rPr>
        <w:t>On the other hand, qualitative research is more subjective and implies a certain level of bias from the researcher. Unlike the quantitative research, in which the researcher generally knows specifically what the study aims for, qualitative research applies to situations when it is not clear from the beginning what the study aims for exactly.</w:t>
      </w:r>
      <w:r w:rsidR="00C522CC" w:rsidRPr="003569BE">
        <w:rPr>
          <w:lang w:val="en-GB"/>
        </w:rPr>
        <w:t xml:space="preserve"> In addition, qualitative research </w:t>
      </w:r>
      <w:r w:rsidR="00C522CC" w:rsidRPr="003569BE">
        <w:rPr>
          <w:lang w:val="en-GB"/>
        </w:rPr>
        <w:lastRenderedPageBreak/>
        <w:t xml:space="preserve">involves collecting descriptive data, which requires the researcher to interpret the gathered information, usually without using statistical methods. In order to provide valuable information, qualitative research requires remarkable knowledge and training from the researcher, </w:t>
      </w:r>
      <w:r w:rsidR="00247B75" w:rsidRPr="003569BE">
        <w:rPr>
          <w:lang w:val="en-GB"/>
        </w:rPr>
        <w:t xml:space="preserve">consequently </w:t>
      </w:r>
      <w:r w:rsidR="00C522CC" w:rsidRPr="003569BE">
        <w:rPr>
          <w:lang w:val="en-GB"/>
        </w:rPr>
        <w:t>he/she can accurately interpret the collected information.</w:t>
      </w:r>
      <w:r w:rsidR="007D2C6D" w:rsidRPr="003569BE">
        <w:rPr>
          <w:lang w:val="en-GB"/>
        </w:rPr>
        <w:t xml:space="preserve"> </w:t>
      </w:r>
      <w:r w:rsidR="00300462" w:rsidRPr="003569BE">
        <w:rPr>
          <w:lang w:val="en-GB"/>
        </w:rPr>
        <w:t xml:space="preserve">However, qualitative research </w:t>
      </w:r>
      <w:r w:rsidR="008C1662" w:rsidRPr="003569BE">
        <w:rPr>
          <w:lang w:val="en-GB"/>
        </w:rPr>
        <w:t>usually is more expensive and time-consuming.</w:t>
      </w:r>
    </w:p>
    <w:p w:rsidR="00190606" w:rsidRPr="003569BE" w:rsidRDefault="00840332" w:rsidP="00365857">
      <w:pPr>
        <w:spacing w:line="360" w:lineRule="auto"/>
        <w:rPr>
          <w:lang w:val="en-GB"/>
        </w:rPr>
      </w:pPr>
      <w:r w:rsidRPr="003569BE">
        <w:rPr>
          <w:lang w:val="en-GB"/>
        </w:rPr>
        <w:t>Considering the fact that this thesis aims to answer the research question by determining the strength of the relationship between the independent variable, i.e. the length of the audit tenure, and the dependent variable, i.e. the amount of discretionary a</w:t>
      </w:r>
      <w:r w:rsidR="00650472" w:rsidRPr="003569BE">
        <w:rPr>
          <w:lang w:val="en-GB"/>
        </w:rPr>
        <w:t xml:space="preserve">ccruals, </w:t>
      </w:r>
      <w:r w:rsidR="00A32540">
        <w:rPr>
          <w:lang w:val="en-GB"/>
        </w:rPr>
        <w:t xml:space="preserve">in this thesis </w:t>
      </w:r>
      <w:r w:rsidR="00650472" w:rsidRPr="003569BE">
        <w:rPr>
          <w:lang w:val="en-GB"/>
        </w:rPr>
        <w:t>quantitative research will be</w:t>
      </w:r>
      <w:r w:rsidRPr="003569BE">
        <w:rPr>
          <w:lang w:val="en-GB"/>
        </w:rPr>
        <w:t xml:space="preserve"> performed.</w:t>
      </w:r>
      <w:r w:rsidR="00EF3232" w:rsidRPr="003569BE">
        <w:rPr>
          <w:lang w:val="en-GB"/>
        </w:rPr>
        <w:t xml:space="preserve"> </w:t>
      </w:r>
    </w:p>
    <w:p w:rsidR="00840332" w:rsidRPr="003569BE" w:rsidRDefault="00190606" w:rsidP="00365857">
      <w:pPr>
        <w:spacing w:line="360" w:lineRule="auto"/>
        <w:rPr>
          <w:lang w:val="en-GB"/>
        </w:rPr>
      </w:pPr>
      <w:r w:rsidRPr="003569BE">
        <w:rPr>
          <w:lang w:val="en-GB"/>
        </w:rPr>
        <w:t>Five types of research exist: surveys, experiments, case studies, theoretical based studies and desk research. S</w:t>
      </w:r>
      <w:r w:rsidR="00EF3232" w:rsidRPr="003569BE">
        <w:rPr>
          <w:lang w:val="en-GB"/>
        </w:rPr>
        <w:t xml:space="preserve">pecifically, </w:t>
      </w:r>
      <w:r w:rsidR="00855D2D" w:rsidRPr="003569BE">
        <w:rPr>
          <w:lang w:val="en-GB"/>
        </w:rPr>
        <w:t xml:space="preserve">since this thesis uses existing material in combination with reflection and no direct contact exists with the research object, </w:t>
      </w:r>
      <w:r w:rsidR="00A32540">
        <w:rPr>
          <w:lang w:val="en-GB"/>
        </w:rPr>
        <w:t xml:space="preserve">concerning </w:t>
      </w:r>
      <w:r w:rsidR="00A32540" w:rsidRPr="00A32540">
        <w:rPr>
          <w:lang w:val="en-GB"/>
        </w:rPr>
        <w:t xml:space="preserve">answering the research question </w:t>
      </w:r>
      <w:r w:rsidR="00A32540">
        <w:rPr>
          <w:lang w:val="en-GB"/>
        </w:rPr>
        <w:t xml:space="preserve">in this thesis </w:t>
      </w:r>
      <w:r w:rsidR="00EF3232" w:rsidRPr="003569BE">
        <w:rPr>
          <w:lang w:val="en-GB"/>
        </w:rPr>
        <w:t>a desk research will be conducted</w:t>
      </w:r>
      <w:r w:rsidRPr="003569BE">
        <w:rPr>
          <w:lang w:val="en-GB"/>
        </w:rPr>
        <w:t>.</w:t>
      </w:r>
    </w:p>
    <w:p w:rsidR="00390999" w:rsidRPr="003569BE" w:rsidRDefault="00B06080" w:rsidP="002C6910">
      <w:pPr>
        <w:pStyle w:val="Heading2"/>
        <w:numPr>
          <w:ilvl w:val="1"/>
          <w:numId w:val="6"/>
        </w:numPr>
        <w:spacing w:line="360" w:lineRule="auto"/>
        <w:rPr>
          <w:lang w:val="en-GB"/>
        </w:rPr>
      </w:pPr>
      <w:bookmarkStart w:id="46" w:name="_Toc396633578"/>
      <w:r w:rsidRPr="003569BE">
        <w:rPr>
          <w:lang w:val="en-GB"/>
        </w:rPr>
        <w:t>Research Method</w:t>
      </w:r>
      <w:r w:rsidR="0034413A" w:rsidRPr="003569BE">
        <w:rPr>
          <w:lang w:val="en-GB"/>
        </w:rPr>
        <w:t>ology</w:t>
      </w:r>
      <w:bookmarkEnd w:id="46"/>
    </w:p>
    <w:p w:rsidR="00724C5D" w:rsidRPr="003569BE" w:rsidRDefault="00B06080" w:rsidP="00B06080">
      <w:pPr>
        <w:spacing w:line="360" w:lineRule="auto"/>
        <w:rPr>
          <w:lang w:val="en-GB"/>
        </w:rPr>
      </w:pPr>
      <w:r w:rsidRPr="003569BE">
        <w:rPr>
          <w:lang w:val="en-GB"/>
        </w:rPr>
        <w:t xml:space="preserve">In order to answer the main research question, </w:t>
      </w:r>
      <w:r w:rsidR="00255DC5" w:rsidRPr="003569BE">
        <w:rPr>
          <w:lang w:val="en-GB"/>
        </w:rPr>
        <w:t xml:space="preserve">in this thesis </w:t>
      </w:r>
      <w:r w:rsidR="008A313B" w:rsidRPr="003569BE">
        <w:rPr>
          <w:lang w:val="en-GB"/>
        </w:rPr>
        <w:t xml:space="preserve">a quantitative research, using a </w:t>
      </w:r>
      <w:r w:rsidR="00A01890" w:rsidRPr="003569BE">
        <w:rPr>
          <w:lang w:val="en-GB"/>
        </w:rPr>
        <w:t>desk research approach</w:t>
      </w:r>
      <w:r w:rsidR="004356EE" w:rsidRPr="003569BE">
        <w:rPr>
          <w:lang w:val="en-GB"/>
        </w:rPr>
        <w:t>,</w:t>
      </w:r>
      <w:r w:rsidR="008A313B" w:rsidRPr="003569BE">
        <w:rPr>
          <w:lang w:val="en-GB"/>
        </w:rPr>
        <w:t xml:space="preserve"> </w:t>
      </w:r>
      <w:r w:rsidRPr="003569BE">
        <w:rPr>
          <w:lang w:val="en-GB"/>
        </w:rPr>
        <w:t xml:space="preserve">will be conducted. </w:t>
      </w:r>
      <w:r w:rsidR="0006351E" w:rsidRPr="003569BE">
        <w:rPr>
          <w:lang w:val="en-GB"/>
        </w:rPr>
        <w:t xml:space="preserve">The approach of the empirical research is to measure the magnitude of the use of earnings management through the amount of </w:t>
      </w:r>
      <w:r w:rsidR="00A17934" w:rsidRPr="003569BE">
        <w:rPr>
          <w:lang w:val="en-GB"/>
        </w:rPr>
        <w:t xml:space="preserve">the </w:t>
      </w:r>
      <w:r w:rsidR="0006351E" w:rsidRPr="003569BE">
        <w:rPr>
          <w:lang w:val="en-GB"/>
        </w:rPr>
        <w:t>discretionary accruals.</w:t>
      </w:r>
      <w:r w:rsidR="00190606" w:rsidRPr="003569BE">
        <w:rPr>
          <w:lang w:val="en-GB"/>
        </w:rPr>
        <w:t xml:space="preserve"> </w:t>
      </w:r>
    </w:p>
    <w:p w:rsidR="00724C5D" w:rsidRPr="003569BE" w:rsidRDefault="00724C5D" w:rsidP="00724C5D">
      <w:pPr>
        <w:pStyle w:val="Heading2"/>
        <w:numPr>
          <w:ilvl w:val="2"/>
          <w:numId w:val="6"/>
        </w:numPr>
        <w:rPr>
          <w:lang w:val="en-GB"/>
        </w:rPr>
      </w:pPr>
      <w:bookmarkStart w:id="47" w:name="_Toc396633579"/>
      <w:r w:rsidRPr="003569BE">
        <w:rPr>
          <w:lang w:val="en-GB"/>
        </w:rPr>
        <w:t xml:space="preserve">Measuring the </w:t>
      </w:r>
      <w:r w:rsidR="00D3280D" w:rsidRPr="003569BE">
        <w:rPr>
          <w:lang w:val="en-GB"/>
        </w:rPr>
        <w:t>Amount of Discretionary Accruals</w:t>
      </w:r>
      <w:r w:rsidR="00E3249B" w:rsidRPr="003569BE">
        <w:rPr>
          <w:lang w:val="en-GB"/>
        </w:rPr>
        <w:t xml:space="preserve"> (the dependent variable)</w:t>
      </w:r>
      <w:bookmarkEnd w:id="47"/>
    </w:p>
    <w:p w:rsidR="00B06080" w:rsidRPr="003569BE" w:rsidRDefault="008C4137" w:rsidP="00B06080">
      <w:pPr>
        <w:spacing w:line="360" w:lineRule="auto"/>
        <w:rPr>
          <w:lang w:val="en-GB"/>
        </w:rPr>
      </w:pPr>
      <w:r w:rsidRPr="003569BE">
        <w:rPr>
          <w:lang w:val="en-GB"/>
        </w:rPr>
        <w:t>As it was signalled before in chapter 3 of this thesis, t</w:t>
      </w:r>
      <w:r w:rsidR="00255DC5" w:rsidRPr="003569BE">
        <w:rPr>
          <w:lang w:val="en-GB"/>
        </w:rPr>
        <w:t>o measure the magnitude of the use of earnings management t</w:t>
      </w:r>
      <w:r w:rsidR="00B06080" w:rsidRPr="003569BE">
        <w:rPr>
          <w:lang w:val="en-GB"/>
        </w:rPr>
        <w:t>he performance matched model of Kothari et Al. (2005) will be used. This model is based on the modified Jones (1991) model, with an approach towards the amount of the discretionary accruals, which represents the proxy for the use of earnings management.</w:t>
      </w:r>
      <w:r w:rsidR="00A06038" w:rsidRPr="003569BE">
        <w:rPr>
          <w:lang w:val="en-GB"/>
        </w:rPr>
        <w:t xml:space="preserve"> </w:t>
      </w:r>
    </w:p>
    <w:p w:rsidR="00A06038" w:rsidRPr="003569BE" w:rsidRDefault="00A32540" w:rsidP="00B06080">
      <w:pPr>
        <w:spacing w:line="360" w:lineRule="auto"/>
        <w:rPr>
          <w:lang w:val="en-GB"/>
        </w:rPr>
      </w:pPr>
      <w:r>
        <w:rPr>
          <w:lang w:val="en-GB"/>
        </w:rPr>
        <w:t>I</w:t>
      </w:r>
      <w:r w:rsidRPr="00A32540">
        <w:rPr>
          <w:lang w:val="en-GB"/>
        </w:rPr>
        <w:t>n measuring the discretionary accruals</w:t>
      </w:r>
      <w:r>
        <w:rPr>
          <w:lang w:val="en-GB"/>
        </w:rPr>
        <w:t>,</w:t>
      </w:r>
      <w:r w:rsidRPr="00A32540">
        <w:rPr>
          <w:lang w:val="en-GB"/>
        </w:rPr>
        <w:t xml:space="preserve"> </w:t>
      </w:r>
      <w:r>
        <w:rPr>
          <w:lang w:val="en-GB"/>
        </w:rPr>
        <w:t>t</w:t>
      </w:r>
      <w:r w:rsidR="00A06038" w:rsidRPr="003569BE">
        <w:rPr>
          <w:lang w:val="en-GB"/>
        </w:rPr>
        <w:t>his model assumes three steps</w:t>
      </w:r>
      <w:r w:rsidR="00F20F18" w:rsidRPr="003569BE">
        <w:rPr>
          <w:lang w:val="en-GB"/>
        </w:rPr>
        <w:t xml:space="preserve">. First, the amount of </w:t>
      </w:r>
      <w:r w:rsidR="00255DC5" w:rsidRPr="003569BE">
        <w:rPr>
          <w:lang w:val="en-GB"/>
        </w:rPr>
        <w:t xml:space="preserve">the </w:t>
      </w:r>
      <w:r w:rsidR="00F20F18" w:rsidRPr="003569BE">
        <w:rPr>
          <w:lang w:val="en-GB"/>
        </w:rPr>
        <w:t xml:space="preserve">total accruals is computed, using the </w:t>
      </w:r>
      <w:r w:rsidR="00255DC5" w:rsidRPr="003569BE">
        <w:rPr>
          <w:lang w:val="en-GB"/>
        </w:rPr>
        <w:t xml:space="preserve">next </w:t>
      </w:r>
      <w:r w:rsidR="00F20F18" w:rsidRPr="003569BE">
        <w:rPr>
          <w:lang w:val="en-GB"/>
        </w:rPr>
        <w:t>equation:</w:t>
      </w:r>
    </w:p>
    <w:p w:rsidR="00A50699" w:rsidRPr="003569BE" w:rsidRDefault="00A50699" w:rsidP="00A50699">
      <w:pPr>
        <w:jc w:val="center"/>
        <w:rPr>
          <w:rFonts w:cs="Times New Roman"/>
          <w:i/>
          <w:szCs w:val="24"/>
          <w:lang w:val="en-GB"/>
        </w:rPr>
      </w:pPr>
      <w:r w:rsidRPr="003569BE">
        <w:rPr>
          <w:rFonts w:cs="Times New Roman"/>
          <w:i/>
          <w:szCs w:val="24"/>
          <w:lang w:val="en-GB"/>
        </w:rPr>
        <w:t>TA</w:t>
      </w:r>
      <w:r w:rsidRPr="003569BE">
        <w:rPr>
          <w:rFonts w:cs="Times New Roman"/>
          <w:i/>
          <w:szCs w:val="24"/>
          <w:vertAlign w:val="subscript"/>
          <w:lang w:val="en-GB"/>
        </w:rPr>
        <w:t>it</w:t>
      </w:r>
      <w:r w:rsidRPr="003569BE">
        <w:rPr>
          <w:rFonts w:cs="Times New Roman"/>
          <w:i/>
          <w:szCs w:val="24"/>
          <w:lang w:val="en-GB"/>
        </w:rPr>
        <w:t xml:space="preserve"> = ΔCA</w:t>
      </w:r>
      <w:r w:rsidRPr="003569BE">
        <w:rPr>
          <w:rFonts w:cs="Times New Roman"/>
          <w:i/>
          <w:szCs w:val="24"/>
          <w:vertAlign w:val="subscript"/>
          <w:lang w:val="en-GB"/>
        </w:rPr>
        <w:t>it</w:t>
      </w:r>
      <w:r w:rsidRPr="003569BE">
        <w:rPr>
          <w:rFonts w:cs="Times New Roman"/>
          <w:i/>
          <w:szCs w:val="24"/>
          <w:lang w:val="en-GB"/>
        </w:rPr>
        <w:t xml:space="preserve"> – ΔCL</w:t>
      </w:r>
      <w:r w:rsidRPr="003569BE">
        <w:rPr>
          <w:rFonts w:cs="Times New Roman"/>
          <w:i/>
          <w:szCs w:val="24"/>
          <w:vertAlign w:val="subscript"/>
          <w:lang w:val="en-GB"/>
        </w:rPr>
        <w:t>it</w:t>
      </w:r>
      <w:r w:rsidRPr="003569BE">
        <w:rPr>
          <w:rFonts w:cs="Times New Roman"/>
          <w:i/>
          <w:szCs w:val="24"/>
          <w:lang w:val="en-GB"/>
        </w:rPr>
        <w:t xml:space="preserve"> – ΔCASH</w:t>
      </w:r>
      <w:r w:rsidRPr="003569BE">
        <w:rPr>
          <w:rFonts w:cs="Times New Roman"/>
          <w:i/>
          <w:szCs w:val="24"/>
          <w:vertAlign w:val="subscript"/>
          <w:lang w:val="en-GB"/>
        </w:rPr>
        <w:t>it</w:t>
      </w:r>
      <w:r w:rsidRPr="003569BE">
        <w:rPr>
          <w:rFonts w:cs="Times New Roman"/>
          <w:i/>
          <w:szCs w:val="24"/>
          <w:lang w:val="en-GB"/>
        </w:rPr>
        <w:t xml:space="preserve"> + ΔCPLTD</w:t>
      </w:r>
      <w:r w:rsidRPr="003569BE">
        <w:rPr>
          <w:rFonts w:cs="Times New Roman"/>
          <w:i/>
          <w:szCs w:val="24"/>
          <w:vertAlign w:val="subscript"/>
          <w:lang w:val="en-GB"/>
        </w:rPr>
        <w:t>it</w:t>
      </w:r>
      <w:r w:rsidRPr="003569BE">
        <w:rPr>
          <w:rFonts w:cs="Times New Roman"/>
          <w:i/>
          <w:szCs w:val="24"/>
          <w:lang w:val="en-GB"/>
        </w:rPr>
        <w:t xml:space="preserve"> – DEPN</w:t>
      </w:r>
      <w:r w:rsidRPr="003569BE">
        <w:rPr>
          <w:rFonts w:cs="Times New Roman"/>
          <w:i/>
          <w:szCs w:val="24"/>
          <w:vertAlign w:val="subscript"/>
          <w:lang w:val="en-GB"/>
        </w:rPr>
        <w:t xml:space="preserve">it                   </w:t>
      </w:r>
      <w:r w:rsidRPr="003569BE">
        <w:rPr>
          <w:rFonts w:cs="Times New Roman"/>
          <w:i/>
          <w:szCs w:val="24"/>
          <w:lang w:val="en-GB"/>
        </w:rPr>
        <w:t xml:space="preserve">          </w:t>
      </w:r>
    </w:p>
    <w:p w:rsidR="00A32540" w:rsidRDefault="00A32540">
      <w:pPr>
        <w:jc w:val="left"/>
        <w:rPr>
          <w:rFonts w:cs="Times New Roman"/>
          <w:szCs w:val="24"/>
          <w:lang w:val="en-GB"/>
        </w:rPr>
      </w:pPr>
      <w:r>
        <w:rPr>
          <w:rFonts w:cs="Times New Roman"/>
          <w:szCs w:val="24"/>
          <w:lang w:val="en-GB"/>
        </w:rPr>
        <w:br w:type="page"/>
      </w:r>
    </w:p>
    <w:p w:rsidR="008F686E" w:rsidRPr="003569BE" w:rsidRDefault="008F686E" w:rsidP="008F686E">
      <w:pPr>
        <w:rPr>
          <w:rFonts w:cs="Times New Roman"/>
          <w:szCs w:val="24"/>
          <w:lang w:val="en-GB"/>
        </w:rPr>
      </w:pPr>
      <w:r w:rsidRPr="003569BE">
        <w:rPr>
          <w:rFonts w:cs="Times New Roman"/>
          <w:szCs w:val="24"/>
          <w:lang w:val="en-GB"/>
        </w:rPr>
        <w:lastRenderedPageBreak/>
        <w:t>Where:</w:t>
      </w:r>
    </w:p>
    <w:p w:rsidR="008F686E" w:rsidRPr="003569BE" w:rsidRDefault="008F686E" w:rsidP="008D4DE6">
      <w:pPr>
        <w:spacing w:after="0" w:line="240" w:lineRule="auto"/>
        <w:rPr>
          <w:rFonts w:cs="Times New Roman"/>
          <w:szCs w:val="24"/>
          <w:lang w:val="en-GB"/>
        </w:rPr>
      </w:pPr>
      <w:r w:rsidRPr="003569BE">
        <w:rPr>
          <w:rFonts w:cs="Times New Roman"/>
          <w:szCs w:val="24"/>
          <w:lang w:val="en-GB"/>
        </w:rPr>
        <w:t>TA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total accruals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D4DE6">
      <w:pPr>
        <w:spacing w:after="0" w:line="240" w:lineRule="auto"/>
        <w:rPr>
          <w:rFonts w:cs="Times New Roman"/>
          <w:szCs w:val="24"/>
          <w:lang w:val="en-GB"/>
        </w:rPr>
      </w:pPr>
      <w:r w:rsidRPr="003569BE">
        <w:rPr>
          <w:rFonts w:cs="Times New Roman"/>
          <w:szCs w:val="24"/>
          <w:lang w:val="en-GB"/>
        </w:rPr>
        <w:t>ΔCA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change in current assets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D4DE6">
      <w:pPr>
        <w:spacing w:after="0" w:line="240" w:lineRule="auto"/>
        <w:rPr>
          <w:rFonts w:cs="Times New Roman"/>
          <w:szCs w:val="24"/>
          <w:lang w:val="en-GB"/>
        </w:rPr>
      </w:pPr>
      <w:r w:rsidRPr="003569BE">
        <w:rPr>
          <w:rFonts w:cs="Times New Roman"/>
          <w:szCs w:val="24"/>
          <w:lang w:val="en-GB"/>
        </w:rPr>
        <w:t>ΔCL</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i/>
          <w:szCs w:val="24"/>
          <w:lang w:val="en-GB"/>
        </w:rPr>
        <w:tab/>
      </w:r>
      <w:r w:rsidRPr="003569BE">
        <w:rPr>
          <w:rFonts w:cs="Times New Roman"/>
          <w:szCs w:val="24"/>
          <w:lang w:val="en-GB"/>
        </w:rPr>
        <w:t xml:space="preserve">= change in current liabilities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D4DE6">
      <w:pPr>
        <w:spacing w:after="0" w:line="240" w:lineRule="auto"/>
        <w:rPr>
          <w:rFonts w:cs="Times New Roman"/>
          <w:szCs w:val="24"/>
          <w:lang w:val="en-GB"/>
        </w:rPr>
      </w:pPr>
      <w:r w:rsidRPr="003569BE">
        <w:rPr>
          <w:rFonts w:cs="Times New Roman"/>
          <w:szCs w:val="24"/>
          <w:lang w:val="en-GB"/>
        </w:rPr>
        <w:t>ΔCASH</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szCs w:val="24"/>
          <w:lang w:val="en-GB"/>
        </w:rPr>
        <w:t xml:space="preserve">= change in cash and marketable securities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D4DE6">
      <w:pPr>
        <w:spacing w:after="0" w:line="240" w:lineRule="auto"/>
        <w:rPr>
          <w:rFonts w:cs="Times New Roman"/>
          <w:szCs w:val="24"/>
          <w:lang w:val="en-GB"/>
        </w:rPr>
      </w:pPr>
      <w:r w:rsidRPr="003569BE">
        <w:rPr>
          <w:rFonts w:cs="Times New Roman"/>
          <w:szCs w:val="24"/>
          <w:lang w:val="en-GB"/>
        </w:rPr>
        <w:t>ΔCPLTD</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t xml:space="preserve">= change in current portion of long-term debt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F686E">
      <w:pPr>
        <w:spacing w:line="360" w:lineRule="auto"/>
        <w:rPr>
          <w:rFonts w:cs="Times New Roman"/>
          <w:szCs w:val="24"/>
          <w:lang w:val="en-GB"/>
        </w:rPr>
      </w:pPr>
      <w:r w:rsidRPr="003569BE">
        <w:rPr>
          <w:rFonts w:cs="Times New Roman"/>
          <w:szCs w:val="24"/>
          <w:lang w:val="en-GB"/>
        </w:rPr>
        <w:t>DEPN</w:t>
      </w:r>
      <w:r w:rsidRPr="003569BE">
        <w:rPr>
          <w:rFonts w:cs="Times New Roman"/>
          <w:szCs w:val="24"/>
          <w:vertAlign w:val="subscript"/>
          <w:lang w:val="en-GB"/>
        </w:rPr>
        <w:t>it</w:t>
      </w:r>
      <w:r w:rsidRPr="003569BE">
        <w:rPr>
          <w:rFonts w:cs="Times New Roman"/>
          <w:i/>
          <w:szCs w:val="24"/>
          <w:lang w:val="en-GB"/>
        </w:rPr>
        <w:t xml:space="preserve"> </w:t>
      </w:r>
      <w:r w:rsidRPr="003569BE">
        <w:rPr>
          <w:rFonts w:cs="Times New Roman"/>
          <w:i/>
          <w:szCs w:val="24"/>
          <w:lang w:val="en-GB"/>
        </w:rPr>
        <w:tab/>
      </w:r>
      <w:r w:rsidRPr="003569BE">
        <w:rPr>
          <w:rFonts w:cs="Times New Roman"/>
          <w:szCs w:val="24"/>
          <w:lang w:val="en-GB"/>
        </w:rPr>
        <w:t xml:space="preserve">= depreciation and amortization expense for firm </w:t>
      </w:r>
      <w:r w:rsidRPr="003569BE">
        <w:rPr>
          <w:rFonts w:cs="Times New Roman"/>
          <w:i/>
          <w:szCs w:val="24"/>
          <w:lang w:val="en-GB"/>
        </w:rPr>
        <w:t xml:space="preserve">i </w:t>
      </w:r>
      <w:r w:rsidRPr="003569BE">
        <w:rPr>
          <w:rFonts w:cs="Times New Roman"/>
          <w:szCs w:val="24"/>
          <w:lang w:val="en-GB"/>
        </w:rPr>
        <w:t xml:space="preserve">in year </w:t>
      </w:r>
      <w:r w:rsidRPr="003569BE">
        <w:rPr>
          <w:rFonts w:cs="Times New Roman"/>
          <w:i/>
          <w:szCs w:val="24"/>
          <w:lang w:val="en-GB"/>
        </w:rPr>
        <w:t>t</w:t>
      </w:r>
      <w:r w:rsidRPr="003569BE">
        <w:rPr>
          <w:rFonts w:cs="Times New Roman"/>
          <w:szCs w:val="24"/>
          <w:lang w:val="en-GB"/>
        </w:rPr>
        <w:t>;</w:t>
      </w:r>
    </w:p>
    <w:p w:rsidR="008F686E" w:rsidRPr="003569BE" w:rsidRDefault="008F686E" w:rsidP="008F686E">
      <w:pPr>
        <w:spacing w:line="360" w:lineRule="auto"/>
        <w:rPr>
          <w:rFonts w:cs="Times New Roman"/>
          <w:szCs w:val="24"/>
          <w:lang w:val="en-GB"/>
        </w:rPr>
      </w:pPr>
      <w:r w:rsidRPr="003569BE">
        <w:rPr>
          <w:rFonts w:cs="Times New Roman"/>
          <w:szCs w:val="24"/>
          <w:lang w:val="en-GB"/>
        </w:rPr>
        <w:t>The second step is to estimate the coefficients b</w:t>
      </w:r>
      <w:r w:rsidRPr="003569BE">
        <w:rPr>
          <w:rFonts w:cs="Times New Roman"/>
          <w:szCs w:val="24"/>
          <w:vertAlign w:val="subscript"/>
          <w:lang w:val="en-GB"/>
        </w:rPr>
        <w:t>0</w:t>
      </w:r>
      <w:r w:rsidRPr="003569BE">
        <w:rPr>
          <w:rFonts w:cs="Times New Roman"/>
          <w:szCs w:val="24"/>
          <w:lang w:val="en-GB"/>
        </w:rPr>
        <w:t>, b</w:t>
      </w:r>
      <w:r w:rsidRPr="003569BE">
        <w:rPr>
          <w:rFonts w:cs="Times New Roman"/>
          <w:szCs w:val="24"/>
          <w:vertAlign w:val="subscript"/>
          <w:lang w:val="en-GB"/>
        </w:rPr>
        <w:t>1</w:t>
      </w:r>
      <w:r w:rsidR="00673C35" w:rsidRPr="003569BE">
        <w:rPr>
          <w:rFonts w:cs="Times New Roman"/>
          <w:szCs w:val="24"/>
          <w:lang w:val="en-GB"/>
        </w:rPr>
        <w:t>, b</w:t>
      </w:r>
      <w:r w:rsidR="00673C35" w:rsidRPr="003569BE">
        <w:rPr>
          <w:rFonts w:cs="Times New Roman"/>
          <w:szCs w:val="24"/>
          <w:vertAlign w:val="subscript"/>
          <w:lang w:val="en-GB"/>
        </w:rPr>
        <w:t xml:space="preserve">2 </w:t>
      </w:r>
      <w:r w:rsidR="00673C35" w:rsidRPr="003569BE">
        <w:rPr>
          <w:rFonts w:cs="Times New Roman"/>
          <w:szCs w:val="24"/>
          <w:lang w:val="en-GB"/>
        </w:rPr>
        <w:t>and b</w:t>
      </w:r>
      <w:r w:rsidR="00673C35" w:rsidRPr="003569BE">
        <w:rPr>
          <w:rFonts w:cs="Times New Roman"/>
          <w:szCs w:val="24"/>
          <w:vertAlign w:val="subscript"/>
          <w:lang w:val="en-GB"/>
        </w:rPr>
        <w:t>3</w:t>
      </w:r>
      <w:r w:rsidRPr="003569BE">
        <w:rPr>
          <w:rFonts w:cs="Times New Roman"/>
          <w:szCs w:val="24"/>
          <w:lang w:val="en-GB"/>
        </w:rPr>
        <w:t xml:space="preserve"> based on the next equation:</w:t>
      </w:r>
    </w:p>
    <w:p w:rsidR="008F686E" w:rsidRPr="003569BE" w:rsidRDefault="008F686E" w:rsidP="008F686E">
      <w:pPr>
        <w:spacing w:line="360" w:lineRule="auto"/>
        <w:jc w:val="center"/>
        <w:rPr>
          <w:rFonts w:cs="Times New Roman"/>
          <w:i/>
          <w:szCs w:val="24"/>
          <w:lang w:val="en-GB"/>
        </w:rPr>
      </w:pPr>
      <w:r w:rsidRPr="003569BE">
        <w:rPr>
          <w:rFonts w:cs="Times New Roman"/>
          <w:i/>
          <w:szCs w:val="24"/>
          <w:lang w:val="en-GB"/>
        </w:rPr>
        <w:t>TA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b</w:t>
      </w:r>
      <w:r w:rsidRPr="003569BE">
        <w:rPr>
          <w:rFonts w:cs="Times New Roman"/>
          <w:i/>
          <w:szCs w:val="24"/>
          <w:vertAlign w:val="subscript"/>
          <w:lang w:val="en-GB"/>
        </w:rPr>
        <w:t>0</w:t>
      </w:r>
      <w:r w:rsidRPr="003569BE">
        <w:rPr>
          <w:rFonts w:cs="Times New Roman"/>
          <w:i/>
          <w:szCs w:val="24"/>
          <w:lang w:val="en-GB"/>
        </w:rPr>
        <w:t xml:space="preserve"> [1/A</w:t>
      </w:r>
      <w:r w:rsidRPr="003569BE">
        <w:rPr>
          <w:rFonts w:cs="Times New Roman"/>
          <w:i/>
          <w:szCs w:val="24"/>
          <w:vertAlign w:val="subscript"/>
          <w:lang w:val="en-GB"/>
        </w:rPr>
        <w:t>it-1</w:t>
      </w:r>
      <w:r w:rsidRPr="003569BE">
        <w:rPr>
          <w:rFonts w:cs="Times New Roman"/>
          <w:i/>
          <w:szCs w:val="24"/>
          <w:lang w:val="en-GB"/>
        </w:rPr>
        <w:t>] + b</w:t>
      </w:r>
      <w:r w:rsidRPr="003569BE">
        <w:rPr>
          <w:rFonts w:cs="Times New Roman"/>
          <w:i/>
          <w:szCs w:val="24"/>
          <w:vertAlign w:val="subscript"/>
          <w:lang w:val="en-GB"/>
        </w:rPr>
        <w:t xml:space="preserve">1 </w:t>
      </w:r>
      <w:r w:rsidRPr="003569BE">
        <w:rPr>
          <w:rFonts w:cs="Times New Roman"/>
          <w:i/>
          <w:szCs w:val="24"/>
          <w:lang w:val="en-GB"/>
        </w:rPr>
        <w:t>[ΔREV</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006A5AED" w:rsidRPr="003569BE">
        <w:rPr>
          <w:rFonts w:cs="Times New Roman"/>
          <w:i/>
          <w:szCs w:val="24"/>
          <w:lang w:val="en-GB"/>
        </w:rPr>
        <w:t xml:space="preserve"> </w:t>
      </w:r>
      <w:r w:rsidR="00413C91" w:rsidRPr="003569BE">
        <w:rPr>
          <w:rFonts w:cs="Times New Roman"/>
          <w:i/>
          <w:szCs w:val="24"/>
          <w:lang w:val="en-GB"/>
        </w:rPr>
        <w:t>–</w:t>
      </w:r>
      <w:r w:rsidR="006A5AED" w:rsidRPr="003569BE">
        <w:rPr>
          <w:rFonts w:cs="Times New Roman"/>
          <w:i/>
          <w:szCs w:val="24"/>
          <w:lang w:val="en-GB"/>
        </w:rPr>
        <w:t xml:space="preserve"> ΔREC</w:t>
      </w:r>
      <w:r w:rsidR="006A5AED" w:rsidRPr="003569BE">
        <w:rPr>
          <w:rFonts w:cs="Times New Roman"/>
          <w:i/>
          <w:szCs w:val="24"/>
          <w:vertAlign w:val="subscript"/>
          <w:lang w:val="en-GB"/>
        </w:rPr>
        <w:t>it</w:t>
      </w:r>
      <w:r w:rsidR="006A5AED" w:rsidRPr="003569BE">
        <w:rPr>
          <w:rFonts w:cs="Times New Roman"/>
          <w:i/>
          <w:szCs w:val="24"/>
          <w:lang w:val="en-GB"/>
        </w:rPr>
        <w:t xml:space="preserve"> / A</w:t>
      </w:r>
      <w:r w:rsidR="006A5AED" w:rsidRPr="003569BE">
        <w:rPr>
          <w:rFonts w:cs="Times New Roman"/>
          <w:i/>
          <w:szCs w:val="24"/>
          <w:vertAlign w:val="subscript"/>
          <w:lang w:val="en-GB"/>
        </w:rPr>
        <w:t>it-1</w:t>
      </w:r>
      <w:r w:rsidRPr="003569BE">
        <w:rPr>
          <w:rFonts w:cs="Times New Roman"/>
          <w:i/>
          <w:szCs w:val="24"/>
          <w:lang w:val="en-GB"/>
        </w:rPr>
        <w:t>] + b</w:t>
      </w:r>
      <w:r w:rsidRPr="003569BE">
        <w:rPr>
          <w:rFonts w:cs="Times New Roman"/>
          <w:i/>
          <w:szCs w:val="24"/>
          <w:vertAlign w:val="subscript"/>
          <w:lang w:val="en-GB"/>
        </w:rPr>
        <w:t>2</w:t>
      </w:r>
      <w:r w:rsidRPr="003569BE">
        <w:rPr>
          <w:rFonts w:cs="Times New Roman"/>
          <w:i/>
          <w:szCs w:val="24"/>
          <w:lang w:val="en-GB"/>
        </w:rPr>
        <w:t xml:space="preserve"> [PPE</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w:t>
      </w:r>
      <w:r w:rsidR="00673C35" w:rsidRPr="003569BE">
        <w:rPr>
          <w:rFonts w:cs="Times New Roman"/>
          <w:i/>
          <w:szCs w:val="24"/>
          <w:lang w:val="en-GB"/>
        </w:rPr>
        <w:t>b</w:t>
      </w:r>
      <w:r w:rsidR="00814747" w:rsidRPr="003569BE">
        <w:rPr>
          <w:rFonts w:cs="Times New Roman"/>
          <w:i/>
          <w:szCs w:val="24"/>
          <w:vertAlign w:val="subscript"/>
          <w:lang w:val="en-GB"/>
        </w:rPr>
        <w:t>3</w:t>
      </w:r>
      <w:r w:rsidR="00814747" w:rsidRPr="003569BE">
        <w:rPr>
          <w:rFonts w:cs="Times New Roman"/>
          <w:i/>
          <w:szCs w:val="24"/>
          <w:lang w:val="en-GB"/>
        </w:rPr>
        <w:t xml:space="preserve"> ROA</w:t>
      </w:r>
      <w:r w:rsidR="00814747" w:rsidRPr="003569BE">
        <w:rPr>
          <w:rFonts w:cs="Times New Roman"/>
          <w:i/>
          <w:szCs w:val="24"/>
          <w:vertAlign w:val="subscript"/>
          <w:lang w:val="en-GB"/>
        </w:rPr>
        <w:t>it-1</w:t>
      </w:r>
      <w:r w:rsidRPr="003569BE">
        <w:rPr>
          <w:rFonts w:cs="Times New Roman"/>
          <w:i/>
          <w:szCs w:val="24"/>
          <w:lang w:val="en-GB"/>
        </w:rPr>
        <w:t xml:space="preserve"> </w:t>
      </w:r>
      <w:r w:rsidR="00673C35" w:rsidRPr="003569BE">
        <w:rPr>
          <w:rFonts w:cs="Times New Roman"/>
          <w:i/>
          <w:szCs w:val="24"/>
          <w:lang w:val="en-GB"/>
        </w:rPr>
        <w:t xml:space="preserve">+ </w:t>
      </w:r>
      <w:r w:rsidRPr="003569BE">
        <w:rPr>
          <w:rFonts w:cs="Times New Roman"/>
          <w:i/>
          <w:szCs w:val="24"/>
          <w:lang w:val="en-GB"/>
        </w:rPr>
        <w:t>ε</w:t>
      </w:r>
      <w:r w:rsidRPr="003569BE">
        <w:rPr>
          <w:rFonts w:cs="Times New Roman"/>
          <w:i/>
          <w:szCs w:val="24"/>
          <w:vertAlign w:val="subscript"/>
          <w:lang w:val="en-GB"/>
        </w:rPr>
        <w:t>it</w:t>
      </w:r>
      <w:r w:rsidRPr="003569BE">
        <w:rPr>
          <w:rFonts w:cs="Times New Roman"/>
          <w:i/>
          <w:szCs w:val="24"/>
          <w:lang w:val="en-GB"/>
        </w:rPr>
        <w:t xml:space="preserve">       </w:t>
      </w:r>
    </w:p>
    <w:p w:rsidR="008F686E" w:rsidRPr="003569BE" w:rsidRDefault="008F686E" w:rsidP="008F686E">
      <w:pPr>
        <w:spacing w:line="360" w:lineRule="auto"/>
        <w:rPr>
          <w:rFonts w:cs="Times New Roman"/>
          <w:szCs w:val="24"/>
          <w:lang w:val="en-GB"/>
        </w:rPr>
      </w:pPr>
      <w:r w:rsidRPr="003569BE">
        <w:rPr>
          <w:rFonts w:cs="Times New Roman"/>
          <w:szCs w:val="24"/>
          <w:lang w:val="en-GB"/>
        </w:rPr>
        <w:t>Where:</w:t>
      </w:r>
    </w:p>
    <w:p w:rsidR="008F686E" w:rsidRPr="003569BE" w:rsidRDefault="008F686E" w:rsidP="008F686E">
      <w:pPr>
        <w:tabs>
          <w:tab w:val="left" w:pos="142"/>
          <w:tab w:val="left" w:pos="1418"/>
        </w:tabs>
        <w:spacing w:after="0" w:line="240" w:lineRule="auto"/>
        <w:rPr>
          <w:rFonts w:cs="Times New Roman"/>
          <w:szCs w:val="24"/>
          <w:lang w:val="en-GB"/>
        </w:rPr>
      </w:pPr>
      <w:r w:rsidRPr="003569BE">
        <w:rPr>
          <w:rFonts w:cs="Times New Roman"/>
          <w:szCs w:val="24"/>
          <w:lang w:val="en-GB"/>
        </w:rPr>
        <w:t>TA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t xml:space="preserve">= total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8F686E" w:rsidRPr="003569BE" w:rsidRDefault="008F686E" w:rsidP="008F686E">
      <w:pPr>
        <w:tabs>
          <w:tab w:val="left" w:pos="1418"/>
        </w:tabs>
        <w:spacing w:after="0" w:line="240" w:lineRule="auto"/>
        <w:rPr>
          <w:rFonts w:cs="Times New Roman"/>
          <w:szCs w:val="24"/>
          <w:lang w:val="en-GB"/>
        </w:rPr>
      </w:pPr>
      <w:r w:rsidRPr="003569BE">
        <w:rPr>
          <w:rFonts w:cs="Times New Roman"/>
          <w:szCs w:val="24"/>
          <w:lang w:val="en-GB"/>
        </w:rPr>
        <w:t>ΔREV</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t xml:space="preserve">= change in revenues, i.e. revenues in year </w:t>
      </w:r>
      <w:r w:rsidRPr="003569BE">
        <w:rPr>
          <w:rFonts w:cs="Times New Roman"/>
          <w:i/>
          <w:szCs w:val="24"/>
          <w:lang w:val="en-GB"/>
        </w:rPr>
        <w:t>t</w:t>
      </w:r>
      <w:r w:rsidRPr="003569BE">
        <w:rPr>
          <w:rFonts w:cs="Times New Roman"/>
          <w:szCs w:val="24"/>
          <w:lang w:val="en-GB"/>
        </w:rPr>
        <w:t xml:space="preserve"> less revenues in year </w:t>
      </w:r>
      <w:r w:rsidRPr="003569BE">
        <w:rPr>
          <w:rFonts w:cs="Times New Roman"/>
          <w:i/>
          <w:szCs w:val="24"/>
          <w:lang w:val="en-GB"/>
        </w:rPr>
        <w:t>t-1</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AD5339" w:rsidRPr="003569BE" w:rsidRDefault="00AD5339" w:rsidP="00EC787A">
      <w:pPr>
        <w:tabs>
          <w:tab w:val="left" w:pos="1418"/>
        </w:tabs>
        <w:spacing w:after="0" w:line="240" w:lineRule="auto"/>
        <w:ind w:left="1416" w:hanging="1416"/>
        <w:rPr>
          <w:rFonts w:cs="Times New Roman"/>
          <w:szCs w:val="24"/>
          <w:lang w:val="en-GB"/>
        </w:rPr>
      </w:pPr>
      <w:r w:rsidRPr="003569BE">
        <w:rPr>
          <w:rFonts w:cs="Times New Roman"/>
          <w:szCs w:val="24"/>
          <w:lang w:val="en-GB"/>
        </w:rPr>
        <w:t>ΔREC</w:t>
      </w:r>
      <w:r w:rsidRPr="003569BE">
        <w:rPr>
          <w:rFonts w:cs="Times New Roman"/>
          <w:szCs w:val="24"/>
          <w:vertAlign w:val="subscript"/>
          <w:lang w:val="en-GB"/>
        </w:rPr>
        <w:t>it</w:t>
      </w:r>
      <w:r w:rsidR="00194BF3" w:rsidRPr="003569BE">
        <w:rPr>
          <w:rFonts w:cs="Times New Roman"/>
          <w:szCs w:val="24"/>
          <w:lang w:val="en-GB"/>
        </w:rPr>
        <w:t xml:space="preserve"> </w:t>
      </w:r>
      <w:r w:rsidR="00194BF3" w:rsidRPr="003569BE">
        <w:rPr>
          <w:rFonts w:cs="Times New Roman"/>
          <w:szCs w:val="24"/>
          <w:lang w:val="en-GB"/>
        </w:rPr>
        <w:tab/>
        <w:t>=</w:t>
      </w:r>
      <w:r w:rsidR="00EC787A" w:rsidRPr="003569BE">
        <w:rPr>
          <w:rFonts w:cs="Times New Roman"/>
          <w:szCs w:val="24"/>
          <w:lang w:val="en-GB"/>
        </w:rPr>
        <w:t xml:space="preserve"> change in receivables, i.e. receivables in year t less receivables in year </w:t>
      </w:r>
      <w:r w:rsidR="00EC787A" w:rsidRPr="003569BE">
        <w:rPr>
          <w:rFonts w:cs="Times New Roman"/>
          <w:i/>
          <w:szCs w:val="24"/>
          <w:lang w:val="en-GB"/>
        </w:rPr>
        <w:t>t-1</w:t>
      </w:r>
      <w:r w:rsidR="00EC787A" w:rsidRPr="003569BE">
        <w:rPr>
          <w:rFonts w:cs="Times New Roman"/>
          <w:szCs w:val="24"/>
          <w:lang w:val="en-GB"/>
        </w:rPr>
        <w:t xml:space="preserve"> for firm </w:t>
      </w:r>
      <w:r w:rsidR="00EC787A" w:rsidRPr="003569BE">
        <w:rPr>
          <w:rFonts w:cs="Times New Roman"/>
          <w:i/>
          <w:szCs w:val="24"/>
          <w:lang w:val="en-GB"/>
        </w:rPr>
        <w:t>i</w:t>
      </w:r>
      <w:r w:rsidR="00EC787A" w:rsidRPr="003569BE">
        <w:rPr>
          <w:rFonts w:cs="Times New Roman"/>
          <w:szCs w:val="24"/>
          <w:lang w:val="en-GB"/>
        </w:rPr>
        <w:t>;</w:t>
      </w:r>
    </w:p>
    <w:p w:rsidR="008F686E" w:rsidRPr="003569BE" w:rsidRDefault="008F686E" w:rsidP="00194BF3">
      <w:pPr>
        <w:tabs>
          <w:tab w:val="left" w:pos="1276"/>
        </w:tabs>
        <w:spacing w:after="0" w:line="240" w:lineRule="auto"/>
        <w:rPr>
          <w:rFonts w:cs="Times New Roman"/>
          <w:szCs w:val="24"/>
          <w:lang w:val="en-GB"/>
        </w:rPr>
      </w:pPr>
      <w:r w:rsidRPr="003569BE">
        <w:rPr>
          <w:rFonts w:cs="Times New Roman"/>
          <w:szCs w:val="24"/>
          <w:lang w:val="en-GB"/>
        </w:rPr>
        <w:t>PPE</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gross property, plant and equipment in year </w:t>
      </w:r>
      <w:r w:rsidRPr="003569BE">
        <w:rPr>
          <w:rFonts w:cs="Times New Roman"/>
          <w:i/>
          <w:szCs w:val="24"/>
          <w:lang w:val="en-GB"/>
        </w:rPr>
        <w:t xml:space="preserve">t </w:t>
      </w:r>
      <w:r w:rsidRPr="003569BE">
        <w:rPr>
          <w:rFonts w:cs="Times New Roman"/>
          <w:szCs w:val="24"/>
          <w:lang w:val="en-GB"/>
        </w:rPr>
        <w:t xml:space="preserve">for firm </w:t>
      </w:r>
      <w:r w:rsidRPr="003569BE">
        <w:rPr>
          <w:rFonts w:cs="Times New Roman"/>
          <w:i/>
          <w:szCs w:val="24"/>
          <w:lang w:val="en-GB"/>
        </w:rPr>
        <w:t>i</w:t>
      </w:r>
      <w:r w:rsidRPr="003569BE">
        <w:rPr>
          <w:rFonts w:cs="Times New Roman"/>
          <w:szCs w:val="24"/>
          <w:lang w:val="en-GB"/>
        </w:rPr>
        <w:t>;</w:t>
      </w:r>
    </w:p>
    <w:p w:rsidR="008F686E" w:rsidRPr="003569BE" w:rsidRDefault="008F686E" w:rsidP="00194BF3">
      <w:pPr>
        <w:tabs>
          <w:tab w:val="left" w:pos="1418"/>
        </w:tabs>
        <w:spacing w:after="0" w:line="240" w:lineRule="auto"/>
        <w:rPr>
          <w:rFonts w:cs="Times New Roman"/>
          <w:szCs w:val="24"/>
          <w:lang w:val="en-GB"/>
        </w:rPr>
      </w:pPr>
      <w:r w:rsidRPr="003569BE">
        <w:rPr>
          <w:rFonts w:cs="Times New Roman"/>
          <w:szCs w:val="24"/>
          <w:lang w:val="en-GB"/>
        </w:rPr>
        <w:t>A</w:t>
      </w:r>
      <w:r w:rsidRPr="003569BE">
        <w:rPr>
          <w:rFonts w:cs="Times New Roman"/>
          <w:szCs w:val="24"/>
          <w:vertAlign w:val="subscript"/>
          <w:lang w:val="en-GB"/>
        </w:rPr>
        <w:t>it-1</w:t>
      </w:r>
      <w:r w:rsidRPr="003569BE">
        <w:rPr>
          <w:rFonts w:cs="Times New Roman"/>
          <w:szCs w:val="24"/>
          <w:vertAlign w:val="subscript"/>
          <w:lang w:val="en-GB"/>
        </w:rPr>
        <w:tab/>
      </w:r>
      <w:r w:rsidRPr="003569BE">
        <w:rPr>
          <w:rFonts w:cs="Times New Roman"/>
          <w:szCs w:val="24"/>
          <w:lang w:val="en-GB"/>
        </w:rPr>
        <w:t>= total assets in year</w:t>
      </w:r>
      <w:r w:rsidRPr="003569BE">
        <w:rPr>
          <w:rFonts w:cs="Times New Roman"/>
          <w:i/>
          <w:szCs w:val="24"/>
          <w:lang w:val="en-GB"/>
        </w:rPr>
        <w:t xml:space="preserve"> t-1</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773661" w:rsidRPr="003569BE" w:rsidRDefault="00773661" w:rsidP="00952C9C">
      <w:pPr>
        <w:spacing w:after="0" w:line="240" w:lineRule="auto"/>
        <w:ind w:left="1412" w:hanging="1412"/>
        <w:rPr>
          <w:rFonts w:cs="Times New Roman"/>
          <w:szCs w:val="24"/>
          <w:lang w:val="en-GB"/>
        </w:rPr>
      </w:pPr>
      <w:r w:rsidRPr="003569BE">
        <w:rPr>
          <w:rFonts w:cs="Times New Roman"/>
          <w:szCs w:val="24"/>
          <w:lang w:val="en-GB"/>
        </w:rPr>
        <w:t>ROA</w:t>
      </w:r>
      <w:r w:rsidRPr="003569BE">
        <w:rPr>
          <w:rFonts w:cs="Times New Roman"/>
          <w:szCs w:val="24"/>
          <w:vertAlign w:val="subscript"/>
          <w:lang w:val="en-GB"/>
        </w:rPr>
        <w:t>it-1</w:t>
      </w:r>
      <w:r w:rsidRPr="003569BE">
        <w:rPr>
          <w:rFonts w:cs="Times New Roman"/>
          <w:szCs w:val="24"/>
          <w:lang w:val="en-GB"/>
        </w:rPr>
        <w:t xml:space="preserve"> </w:t>
      </w:r>
      <w:r w:rsidRPr="003569BE">
        <w:rPr>
          <w:rFonts w:cs="Times New Roman"/>
          <w:szCs w:val="24"/>
          <w:lang w:val="en-GB"/>
        </w:rPr>
        <w:tab/>
        <w:t xml:space="preserve">= return on assets in year </w:t>
      </w:r>
      <w:r w:rsidRPr="003569BE">
        <w:rPr>
          <w:rFonts w:cs="Times New Roman"/>
          <w:i/>
          <w:szCs w:val="24"/>
          <w:lang w:val="en-GB"/>
        </w:rPr>
        <w:t>t-1</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 computed as the net income/ total assets ratio;</w:t>
      </w:r>
    </w:p>
    <w:p w:rsidR="00EB2FA6" w:rsidRPr="003569BE" w:rsidRDefault="008F686E" w:rsidP="00EB2FA6">
      <w:pPr>
        <w:spacing w:line="360" w:lineRule="auto"/>
        <w:rPr>
          <w:rFonts w:cs="Times New Roman"/>
          <w:szCs w:val="24"/>
          <w:lang w:val="en-GB"/>
        </w:rPr>
      </w:pPr>
      <w:r w:rsidRPr="003569BE">
        <w:rPr>
          <w:rFonts w:cs="Times New Roman"/>
          <w:szCs w:val="24"/>
          <w:lang w:val="en-GB"/>
        </w:rPr>
        <w:t>ε</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error term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r w:rsidR="00EB2FA6" w:rsidRPr="003569BE">
        <w:rPr>
          <w:rFonts w:cs="Times New Roman"/>
          <w:szCs w:val="24"/>
          <w:lang w:val="en-GB"/>
        </w:rPr>
        <w:t xml:space="preserve"> </w:t>
      </w:r>
    </w:p>
    <w:p w:rsidR="00E825E3" w:rsidRPr="003569BE" w:rsidRDefault="00EC6A97" w:rsidP="00EB2FA6">
      <w:pPr>
        <w:spacing w:line="360" w:lineRule="auto"/>
        <w:rPr>
          <w:lang w:val="en-GB"/>
        </w:rPr>
      </w:pPr>
      <w:r w:rsidRPr="003569BE">
        <w:rPr>
          <w:lang w:val="en-GB"/>
        </w:rPr>
        <w:t xml:space="preserve">Next, </w:t>
      </w:r>
      <w:r w:rsidR="001B0AB8" w:rsidRPr="003569BE">
        <w:rPr>
          <w:lang w:val="en-GB"/>
        </w:rPr>
        <w:t xml:space="preserve">the </w:t>
      </w:r>
      <w:r w:rsidRPr="003569BE">
        <w:rPr>
          <w:lang w:val="en-GB"/>
        </w:rPr>
        <w:t>non-discretionary accruals can be computed using the next formula:</w:t>
      </w:r>
    </w:p>
    <w:p w:rsidR="00EC6A97" w:rsidRPr="003569BE" w:rsidRDefault="006850C5" w:rsidP="006850C5">
      <w:pPr>
        <w:spacing w:line="360" w:lineRule="auto"/>
        <w:jc w:val="center"/>
        <w:rPr>
          <w:rFonts w:cs="Times New Roman"/>
          <w:i/>
          <w:szCs w:val="24"/>
          <w:lang w:val="en-GB"/>
        </w:rPr>
      </w:pPr>
      <w:r w:rsidRPr="003569BE">
        <w:rPr>
          <w:rFonts w:cs="Times New Roman"/>
          <w:i/>
          <w:szCs w:val="24"/>
          <w:lang w:val="en-GB"/>
        </w:rPr>
        <w:t>NDA</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 xml:space="preserve">0 </w:t>
      </w:r>
      <w:r w:rsidRPr="003569BE">
        <w:rPr>
          <w:rFonts w:cs="Times New Roman"/>
          <w:i/>
          <w:szCs w:val="24"/>
          <w:lang w:val="en-GB"/>
        </w:rPr>
        <w:t>[1/A</w:t>
      </w:r>
      <w:r w:rsidRPr="003569BE">
        <w:rPr>
          <w:rFonts w:cs="Times New Roman"/>
          <w:i/>
          <w:szCs w:val="24"/>
          <w:vertAlign w:val="subscript"/>
          <w:lang w:val="en-GB"/>
        </w:rPr>
        <w:t>it-1</w:t>
      </w:r>
      <w:r w:rsidRPr="003569BE">
        <w:rPr>
          <w:rFonts w:cs="Times New Roman"/>
          <w:i/>
          <w:szCs w:val="24"/>
          <w:lang w:val="en-GB"/>
        </w:rPr>
        <w:t>] + β</w:t>
      </w:r>
      <w:r w:rsidRPr="003569BE">
        <w:rPr>
          <w:rFonts w:cs="Times New Roman"/>
          <w:i/>
          <w:szCs w:val="24"/>
          <w:vertAlign w:val="subscript"/>
          <w:lang w:val="en-GB"/>
        </w:rPr>
        <w:t xml:space="preserve">1 </w:t>
      </w:r>
      <w:r w:rsidRPr="003569BE">
        <w:rPr>
          <w:rFonts w:cs="Times New Roman"/>
          <w:i/>
          <w:szCs w:val="24"/>
          <w:lang w:val="en-GB"/>
        </w:rPr>
        <w:t>[ΔREV</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00CE7787" w:rsidRPr="003569BE">
        <w:rPr>
          <w:rFonts w:cs="Times New Roman"/>
          <w:i/>
          <w:szCs w:val="24"/>
          <w:lang w:val="en-GB"/>
        </w:rPr>
        <w:t xml:space="preserve"> </w:t>
      </w:r>
      <w:r w:rsidR="004363B8" w:rsidRPr="003569BE">
        <w:rPr>
          <w:rFonts w:cs="Times New Roman"/>
          <w:i/>
          <w:szCs w:val="24"/>
          <w:lang w:val="en-GB"/>
        </w:rPr>
        <w:t>–</w:t>
      </w:r>
      <w:r w:rsidR="00CE7787" w:rsidRPr="003569BE">
        <w:rPr>
          <w:rFonts w:cs="Times New Roman"/>
          <w:i/>
          <w:szCs w:val="24"/>
          <w:lang w:val="en-GB"/>
        </w:rPr>
        <w:t xml:space="preserve"> ΔREC</w:t>
      </w:r>
      <w:r w:rsidR="00CE7787" w:rsidRPr="003569BE">
        <w:rPr>
          <w:rFonts w:cs="Times New Roman"/>
          <w:i/>
          <w:szCs w:val="24"/>
          <w:vertAlign w:val="subscript"/>
          <w:lang w:val="en-GB"/>
        </w:rPr>
        <w:t>it</w:t>
      </w:r>
      <w:r w:rsidR="00CE7787" w:rsidRPr="003569BE">
        <w:rPr>
          <w:rFonts w:cs="Times New Roman"/>
          <w:i/>
          <w:szCs w:val="24"/>
          <w:lang w:val="en-GB"/>
        </w:rPr>
        <w:t xml:space="preserve"> / A</w:t>
      </w:r>
      <w:r w:rsidR="00CE7787" w:rsidRPr="003569BE">
        <w:rPr>
          <w:rFonts w:cs="Times New Roman"/>
          <w:i/>
          <w:szCs w:val="24"/>
          <w:vertAlign w:val="subscript"/>
          <w:lang w:val="en-GB"/>
        </w:rPr>
        <w:t>it-1</w:t>
      </w:r>
      <w:r w:rsidRPr="003569BE">
        <w:rPr>
          <w:rFonts w:cs="Times New Roman"/>
          <w:i/>
          <w:szCs w:val="24"/>
          <w:lang w:val="en-GB"/>
        </w:rPr>
        <w:t>] + β</w:t>
      </w:r>
      <w:r w:rsidRPr="003569BE">
        <w:rPr>
          <w:rFonts w:cs="Times New Roman"/>
          <w:i/>
          <w:szCs w:val="24"/>
          <w:vertAlign w:val="subscript"/>
          <w:lang w:val="en-GB"/>
        </w:rPr>
        <w:t xml:space="preserve">2 </w:t>
      </w:r>
      <w:r w:rsidRPr="003569BE">
        <w:rPr>
          <w:rFonts w:cs="Times New Roman"/>
          <w:i/>
          <w:szCs w:val="24"/>
          <w:lang w:val="en-GB"/>
        </w:rPr>
        <w:t>[PPE</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00CE7787" w:rsidRPr="003569BE">
        <w:rPr>
          <w:rFonts w:cs="Times New Roman"/>
          <w:i/>
          <w:szCs w:val="24"/>
          <w:lang w:val="en-GB"/>
        </w:rPr>
        <w:t>] + β</w:t>
      </w:r>
      <w:r w:rsidR="00CE7787" w:rsidRPr="003569BE">
        <w:rPr>
          <w:rFonts w:cs="Times New Roman"/>
          <w:i/>
          <w:szCs w:val="24"/>
          <w:vertAlign w:val="subscript"/>
          <w:lang w:val="en-GB"/>
        </w:rPr>
        <w:t xml:space="preserve">3 </w:t>
      </w:r>
      <w:r w:rsidR="00CE7787" w:rsidRPr="003569BE">
        <w:rPr>
          <w:rFonts w:cs="Times New Roman"/>
          <w:i/>
          <w:szCs w:val="24"/>
          <w:lang w:val="en-GB"/>
        </w:rPr>
        <w:t>[ROA</w:t>
      </w:r>
      <w:r w:rsidR="00CE7787" w:rsidRPr="003569BE">
        <w:rPr>
          <w:rFonts w:cs="Times New Roman"/>
          <w:i/>
          <w:szCs w:val="24"/>
          <w:vertAlign w:val="subscript"/>
          <w:lang w:val="en-GB"/>
        </w:rPr>
        <w:t>it-1</w:t>
      </w:r>
      <w:r w:rsidR="00CE7787" w:rsidRPr="003569BE">
        <w:rPr>
          <w:rFonts w:cs="Times New Roman"/>
          <w:i/>
          <w:szCs w:val="24"/>
          <w:lang w:val="en-GB"/>
        </w:rPr>
        <w:t>/A</w:t>
      </w:r>
      <w:r w:rsidR="00CE7787" w:rsidRPr="003569BE">
        <w:rPr>
          <w:rFonts w:cs="Times New Roman"/>
          <w:i/>
          <w:szCs w:val="24"/>
          <w:vertAlign w:val="subscript"/>
          <w:lang w:val="en-GB"/>
        </w:rPr>
        <w:t>it-1</w:t>
      </w:r>
      <w:r w:rsidR="00CE7787" w:rsidRPr="003569BE">
        <w:rPr>
          <w:rFonts w:cs="Times New Roman"/>
          <w:i/>
          <w:szCs w:val="24"/>
          <w:lang w:val="en-GB"/>
        </w:rPr>
        <w:t>]</w:t>
      </w:r>
    </w:p>
    <w:p w:rsidR="006621DB" w:rsidRPr="003569BE" w:rsidRDefault="006621DB" w:rsidP="006621DB">
      <w:pPr>
        <w:spacing w:line="360" w:lineRule="auto"/>
        <w:rPr>
          <w:rFonts w:cs="Times New Roman"/>
          <w:szCs w:val="24"/>
          <w:lang w:val="en-GB"/>
        </w:rPr>
      </w:pPr>
      <w:r w:rsidRPr="003569BE">
        <w:rPr>
          <w:rFonts w:cs="Times New Roman"/>
          <w:szCs w:val="24"/>
          <w:lang w:val="en-GB"/>
        </w:rPr>
        <w:t xml:space="preserve">Finally, </w:t>
      </w:r>
      <w:r w:rsidR="00CC1177" w:rsidRPr="003569BE">
        <w:rPr>
          <w:rFonts w:cs="Times New Roman"/>
          <w:szCs w:val="24"/>
          <w:lang w:val="en-GB"/>
        </w:rPr>
        <w:t xml:space="preserve">the </w:t>
      </w:r>
      <w:r w:rsidRPr="003569BE">
        <w:rPr>
          <w:rFonts w:cs="Times New Roman"/>
          <w:szCs w:val="24"/>
          <w:lang w:val="en-GB"/>
        </w:rPr>
        <w:t>discretionary accruals are computed using the following equation:</w:t>
      </w:r>
    </w:p>
    <w:p w:rsidR="006621DB" w:rsidRPr="003569BE" w:rsidRDefault="006621DB" w:rsidP="006621DB">
      <w:pPr>
        <w:spacing w:line="360" w:lineRule="auto"/>
        <w:jc w:val="center"/>
        <w:rPr>
          <w:rFonts w:cs="Times New Roman"/>
          <w:i/>
          <w:szCs w:val="24"/>
          <w:lang w:val="en-GB"/>
        </w:rPr>
      </w:pPr>
      <w:r w:rsidRPr="003569BE">
        <w:rPr>
          <w:rFonts w:cs="Times New Roman"/>
          <w:i/>
          <w:szCs w:val="24"/>
          <w:lang w:val="en-GB"/>
        </w:rPr>
        <w:t>DA</w:t>
      </w:r>
      <w:r w:rsidRPr="003569BE">
        <w:rPr>
          <w:rFonts w:cs="Times New Roman"/>
          <w:i/>
          <w:szCs w:val="24"/>
          <w:vertAlign w:val="subscript"/>
          <w:lang w:val="en-GB"/>
        </w:rPr>
        <w:t>it</w:t>
      </w:r>
      <w:r w:rsidRPr="003569BE">
        <w:rPr>
          <w:rFonts w:cs="Times New Roman"/>
          <w:i/>
          <w:szCs w:val="24"/>
          <w:lang w:val="en-GB"/>
        </w:rPr>
        <w:t xml:space="preserve"> = TA</w:t>
      </w:r>
      <w:r w:rsidRPr="003569BE">
        <w:rPr>
          <w:rFonts w:cs="Times New Roman"/>
          <w:i/>
          <w:szCs w:val="24"/>
          <w:vertAlign w:val="subscript"/>
          <w:lang w:val="en-GB"/>
        </w:rPr>
        <w:t>it</w:t>
      </w:r>
      <w:r w:rsidRPr="003569BE">
        <w:rPr>
          <w:rFonts w:cs="Times New Roman"/>
          <w:i/>
          <w:szCs w:val="24"/>
          <w:lang w:val="en-GB"/>
        </w:rPr>
        <w:t xml:space="preserve"> – NDA</w:t>
      </w:r>
      <w:r w:rsidRPr="003569BE">
        <w:rPr>
          <w:rFonts w:cs="Times New Roman"/>
          <w:i/>
          <w:szCs w:val="24"/>
          <w:vertAlign w:val="subscript"/>
          <w:lang w:val="en-GB"/>
        </w:rPr>
        <w:t xml:space="preserve">it                         </w:t>
      </w:r>
    </w:p>
    <w:p w:rsidR="006621DB" w:rsidRPr="003569BE" w:rsidRDefault="006621DB" w:rsidP="006621DB">
      <w:pPr>
        <w:spacing w:line="360" w:lineRule="auto"/>
        <w:rPr>
          <w:rFonts w:cs="Times New Roman"/>
          <w:szCs w:val="24"/>
          <w:lang w:val="en-GB"/>
        </w:rPr>
      </w:pPr>
      <w:r w:rsidRPr="003569BE">
        <w:rPr>
          <w:rFonts w:cs="Times New Roman"/>
          <w:szCs w:val="24"/>
          <w:lang w:val="en-GB"/>
        </w:rPr>
        <w:t>Where:</w:t>
      </w:r>
    </w:p>
    <w:p w:rsidR="006621DB" w:rsidRPr="003569BE" w:rsidRDefault="006621DB" w:rsidP="003C19F6">
      <w:pPr>
        <w:spacing w:after="0" w:line="240" w:lineRule="auto"/>
        <w:rPr>
          <w:rFonts w:cs="Times New Roman"/>
          <w:szCs w:val="24"/>
          <w:lang w:val="en-GB"/>
        </w:rPr>
      </w:pPr>
      <w:r w:rsidRPr="003569BE">
        <w:rPr>
          <w:rFonts w:cs="Times New Roman"/>
          <w:szCs w:val="24"/>
          <w:lang w:val="en-GB"/>
        </w:rPr>
        <w:t>DA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discretionary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3C19F6" w:rsidRPr="003569BE" w:rsidRDefault="003C19F6" w:rsidP="003C19F6">
      <w:pPr>
        <w:spacing w:after="0" w:line="240" w:lineRule="auto"/>
        <w:rPr>
          <w:rFonts w:cs="Times New Roman"/>
          <w:szCs w:val="24"/>
          <w:lang w:val="en-GB"/>
        </w:rPr>
      </w:pPr>
      <w:r w:rsidRPr="003569BE">
        <w:rPr>
          <w:rFonts w:cs="Times New Roman"/>
          <w:szCs w:val="24"/>
          <w:lang w:val="en-GB"/>
        </w:rPr>
        <w:t>NDA</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r>
      <w:r w:rsidRPr="003569BE">
        <w:rPr>
          <w:rFonts w:cs="Times New Roman"/>
          <w:szCs w:val="24"/>
          <w:lang w:val="en-GB"/>
        </w:rPr>
        <w:tab/>
        <w:t xml:space="preserve">= non-discretionary accruals in year </w:t>
      </w:r>
      <w:r w:rsidRPr="003569BE">
        <w:rPr>
          <w:rFonts w:cs="Times New Roman"/>
          <w:i/>
          <w:szCs w:val="24"/>
          <w:lang w:val="en-GB"/>
        </w:rPr>
        <w:t>t</w:t>
      </w:r>
      <w:r w:rsidRPr="003569BE">
        <w:rPr>
          <w:rFonts w:cs="Times New Roman"/>
          <w:szCs w:val="24"/>
          <w:lang w:val="en-GB"/>
        </w:rPr>
        <w:t xml:space="preserve"> for firm </w:t>
      </w:r>
      <w:r w:rsidRPr="003569BE">
        <w:rPr>
          <w:rFonts w:cs="Times New Roman"/>
          <w:i/>
          <w:szCs w:val="24"/>
          <w:lang w:val="en-GB"/>
        </w:rPr>
        <w:t>i</w:t>
      </w:r>
      <w:r w:rsidRPr="003569BE">
        <w:rPr>
          <w:rFonts w:cs="Times New Roman"/>
          <w:szCs w:val="24"/>
          <w:lang w:val="en-GB"/>
        </w:rPr>
        <w:t>;</w:t>
      </w:r>
    </w:p>
    <w:p w:rsidR="003C19F6" w:rsidRPr="003569BE" w:rsidRDefault="003C19F6" w:rsidP="007D319F">
      <w:pPr>
        <w:spacing w:line="360" w:lineRule="auto"/>
        <w:rPr>
          <w:lang w:val="en-GB"/>
        </w:rPr>
      </w:pPr>
      <w:r w:rsidRPr="003569BE">
        <w:rPr>
          <w:lang w:val="en-GB"/>
        </w:rPr>
        <w:t>TA</w:t>
      </w:r>
      <w:r w:rsidRPr="003569BE">
        <w:rPr>
          <w:vertAlign w:val="subscript"/>
          <w:lang w:val="en-GB"/>
        </w:rPr>
        <w:t>it</w:t>
      </w:r>
      <w:r w:rsidRPr="003569BE">
        <w:rPr>
          <w:lang w:val="en-GB"/>
        </w:rPr>
        <w:t xml:space="preserve"> </w:t>
      </w:r>
      <w:r w:rsidRPr="003569BE">
        <w:rPr>
          <w:lang w:val="en-GB"/>
        </w:rPr>
        <w:tab/>
      </w:r>
      <w:r w:rsidRPr="003569BE">
        <w:rPr>
          <w:lang w:val="en-GB"/>
        </w:rPr>
        <w:tab/>
        <w:t xml:space="preserve">= total accruals in year </w:t>
      </w:r>
      <w:r w:rsidRPr="003569BE">
        <w:rPr>
          <w:i/>
          <w:lang w:val="en-GB"/>
        </w:rPr>
        <w:t xml:space="preserve">t </w:t>
      </w:r>
      <w:r w:rsidRPr="003569BE">
        <w:rPr>
          <w:lang w:val="en-GB"/>
        </w:rPr>
        <w:t xml:space="preserve">for firm </w:t>
      </w:r>
      <w:r w:rsidRPr="003569BE">
        <w:rPr>
          <w:i/>
          <w:lang w:val="en-GB"/>
        </w:rPr>
        <w:t>i</w:t>
      </w:r>
      <w:r w:rsidRPr="003569BE">
        <w:rPr>
          <w:lang w:val="en-GB"/>
        </w:rPr>
        <w:t>;</w:t>
      </w:r>
    </w:p>
    <w:p w:rsidR="004A0FAF" w:rsidRPr="003569BE" w:rsidRDefault="004A0FAF" w:rsidP="007D319F">
      <w:pPr>
        <w:spacing w:line="360" w:lineRule="auto"/>
        <w:rPr>
          <w:lang w:val="en-GB"/>
        </w:rPr>
      </w:pPr>
      <w:r w:rsidRPr="003569BE">
        <w:rPr>
          <w:lang w:val="en-GB"/>
        </w:rPr>
        <w:t>Once the measure for discretionary accruals is estimated, the hypotheses can be tested</w:t>
      </w:r>
      <w:r w:rsidR="0006621F" w:rsidRPr="003569BE">
        <w:rPr>
          <w:lang w:val="en-GB"/>
        </w:rPr>
        <w:t xml:space="preserve">. The model used for testing the hypotheses </w:t>
      </w:r>
      <w:r w:rsidR="006F7641">
        <w:rPr>
          <w:lang w:val="en-GB"/>
        </w:rPr>
        <w:t>will be</w:t>
      </w:r>
      <w:r w:rsidR="0006621F" w:rsidRPr="003569BE">
        <w:rPr>
          <w:lang w:val="en-GB"/>
        </w:rPr>
        <w:t xml:space="preserve"> presented in section 6.2.4 of this chapter.</w:t>
      </w:r>
    </w:p>
    <w:p w:rsidR="00661E29" w:rsidRPr="003569BE" w:rsidRDefault="00661E29" w:rsidP="00661E29">
      <w:pPr>
        <w:pStyle w:val="Heading2"/>
        <w:numPr>
          <w:ilvl w:val="2"/>
          <w:numId w:val="6"/>
        </w:numPr>
        <w:rPr>
          <w:lang w:val="en-GB"/>
        </w:rPr>
      </w:pPr>
      <w:bookmarkStart w:id="48" w:name="_Toc396633580"/>
      <w:r w:rsidRPr="003569BE">
        <w:rPr>
          <w:lang w:val="en-GB"/>
        </w:rPr>
        <w:t>Measuring the length of the audit tenure</w:t>
      </w:r>
      <w:r w:rsidR="002E31BE" w:rsidRPr="003569BE">
        <w:rPr>
          <w:lang w:val="en-GB"/>
        </w:rPr>
        <w:t xml:space="preserve"> (</w:t>
      </w:r>
      <w:r w:rsidR="00F27DDE" w:rsidRPr="003569BE">
        <w:rPr>
          <w:lang w:val="en-GB"/>
        </w:rPr>
        <w:t xml:space="preserve">the </w:t>
      </w:r>
      <w:r w:rsidR="002E31BE" w:rsidRPr="003569BE">
        <w:rPr>
          <w:lang w:val="en-GB"/>
        </w:rPr>
        <w:t>independent variable)</w:t>
      </w:r>
      <w:bookmarkEnd w:id="48"/>
    </w:p>
    <w:p w:rsidR="00661E29" w:rsidRPr="003569BE" w:rsidRDefault="00E5193D" w:rsidP="007D319F">
      <w:pPr>
        <w:spacing w:line="360" w:lineRule="auto"/>
        <w:rPr>
          <w:lang w:val="en-GB"/>
        </w:rPr>
      </w:pPr>
      <w:r w:rsidRPr="003569BE">
        <w:rPr>
          <w:lang w:val="en-GB"/>
        </w:rPr>
        <w:t xml:space="preserve">Audit tenure is measured as the length of the auditor-client relationship. In order to compute </w:t>
      </w:r>
      <w:r w:rsidR="00255DC5" w:rsidRPr="003569BE">
        <w:rPr>
          <w:lang w:val="en-GB"/>
        </w:rPr>
        <w:t xml:space="preserve">the </w:t>
      </w:r>
      <w:r w:rsidRPr="003569BE">
        <w:rPr>
          <w:lang w:val="en-GB"/>
        </w:rPr>
        <w:t xml:space="preserve">audit tenure, the auditors of the firms in each year of the sample period are identified. Next, </w:t>
      </w:r>
      <w:r w:rsidR="00EA7218" w:rsidRPr="003569BE">
        <w:rPr>
          <w:lang w:val="en-GB"/>
        </w:rPr>
        <w:t xml:space="preserve">the </w:t>
      </w:r>
      <w:r w:rsidRPr="003569BE">
        <w:rPr>
          <w:lang w:val="en-GB"/>
        </w:rPr>
        <w:t>audit tenure is computed starting with 1 in the first firm-year observation, and incrementing it for each year until the rotation</w:t>
      </w:r>
      <w:r w:rsidR="00835570" w:rsidRPr="003569BE">
        <w:rPr>
          <w:lang w:val="en-GB"/>
        </w:rPr>
        <w:t>.</w:t>
      </w:r>
    </w:p>
    <w:p w:rsidR="00835570" w:rsidRPr="003569BE" w:rsidRDefault="00835570" w:rsidP="00835570">
      <w:pPr>
        <w:spacing w:line="360" w:lineRule="auto"/>
        <w:ind w:left="663" w:hanging="663"/>
        <w:rPr>
          <w:rFonts w:cs="Times New Roman"/>
          <w:i/>
          <w:szCs w:val="24"/>
          <w:lang w:val="en-GB"/>
        </w:rPr>
      </w:pPr>
      <w:r w:rsidRPr="003569BE">
        <w:rPr>
          <w:rFonts w:cs="Times New Roman"/>
          <w:szCs w:val="24"/>
          <w:lang w:val="en-GB"/>
        </w:rPr>
        <w:lastRenderedPageBreak/>
        <w:t>AT</w:t>
      </w:r>
      <w:r w:rsidRPr="003569BE">
        <w:rPr>
          <w:rFonts w:cs="Times New Roman"/>
          <w:szCs w:val="24"/>
          <w:vertAlign w:val="subscript"/>
          <w:lang w:val="en-GB"/>
        </w:rPr>
        <w:t>it</w:t>
      </w:r>
      <w:r w:rsidRPr="003569BE">
        <w:rPr>
          <w:rFonts w:cs="Times New Roman"/>
          <w:szCs w:val="24"/>
          <w:lang w:val="en-GB"/>
        </w:rPr>
        <w:t xml:space="preserve"> = the length,</w:t>
      </w:r>
      <w:r w:rsidRPr="003569BE" w:rsidDel="005B6807">
        <w:rPr>
          <w:rFonts w:cs="Times New Roman"/>
          <w:szCs w:val="24"/>
          <w:lang w:val="en-GB"/>
        </w:rPr>
        <w:t xml:space="preserve"> </w:t>
      </w:r>
      <w:r w:rsidRPr="003569BE">
        <w:rPr>
          <w:rFonts w:cs="Times New Roman"/>
          <w:szCs w:val="24"/>
          <w:lang w:val="en-GB"/>
        </w:rPr>
        <w:t>in years, of the auditor-client relationship as counted from the moment the auditor was hired for firm</w:t>
      </w:r>
      <w:r w:rsidRPr="003569BE">
        <w:rPr>
          <w:rFonts w:cs="Times New Roman"/>
          <w:i/>
          <w:szCs w:val="24"/>
          <w:lang w:val="en-GB"/>
        </w:rPr>
        <w:t xml:space="preserve"> i </w:t>
      </w:r>
      <w:r w:rsidRPr="003569BE">
        <w:rPr>
          <w:rFonts w:cs="Times New Roman"/>
          <w:szCs w:val="24"/>
          <w:lang w:val="en-GB"/>
        </w:rPr>
        <w:t xml:space="preserve">in year </w:t>
      </w:r>
      <w:r w:rsidRPr="003569BE">
        <w:rPr>
          <w:rFonts w:cs="Times New Roman"/>
          <w:i/>
          <w:szCs w:val="24"/>
          <w:lang w:val="en-GB"/>
        </w:rPr>
        <w:t xml:space="preserve">t. </w:t>
      </w:r>
    </w:p>
    <w:p w:rsidR="00832A11" w:rsidRPr="003569BE" w:rsidRDefault="00832A11" w:rsidP="00832A11">
      <w:pPr>
        <w:pStyle w:val="Heading2"/>
        <w:numPr>
          <w:ilvl w:val="2"/>
          <w:numId w:val="6"/>
        </w:numPr>
        <w:rPr>
          <w:rFonts w:cs="Times New Roman"/>
          <w:szCs w:val="24"/>
          <w:lang w:val="en-GB"/>
        </w:rPr>
      </w:pPr>
      <w:bookmarkStart w:id="49" w:name="_Toc396633581"/>
      <w:r w:rsidRPr="003569BE">
        <w:rPr>
          <w:lang w:val="en-GB"/>
        </w:rPr>
        <w:t>Control</w:t>
      </w:r>
      <w:r w:rsidRPr="003569BE">
        <w:rPr>
          <w:rFonts w:cs="Times New Roman"/>
          <w:szCs w:val="24"/>
          <w:lang w:val="en-GB"/>
        </w:rPr>
        <w:t xml:space="preserve"> variables</w:t>
      </w:r>
      <w:bookmarkEnd w:id="49"/>
    </w:p>
    <w:p w:rsidR="00832A11" w:rsidRPr="003569BE" w:rsidRDefault="00081848" w:rsidP="00832A11">
      <w:pPr>
        <w:spacing w:line="360" w:lineRule="auto"/>
        <w:rPr>
          <w:lang w:val="en-GB"/>
        </w:rPr>
      </w:pPr>
      <w:r w:rsidRPr="003569BE">
        <w:rPr>
          <w:lang w:val="en-GB"/>
        </w:rPr>
        <w:t xml:space="preserve">In order to investigate the effect mandatory audit firm rotation has on the management’s behaviour in terms of earnings management, a regression model </w:t>
      </w:r>
      <w:r w:rsidR="00DD3BDD" w:rsidRPr="003569BE">
        <w:rPr>
          <w:lang w:val="en-GB"/>
        </w:rPr>
        <w:t>will be</w:t>
      </w:r>
      <w:r w:rsidRPr="003569BE">
        <w:rPr>
          <w:lang w:val="en-GB"/>
        </w:rPr>
        <w:t xml:space="preserve"> used.</w:t>
      </w:r>
      <w:r w:rsidR="007202B5" w:rsidRPr="003569BE">
        <w:rPr>
          <w:lang w:val="en-GB"/>
        </w:rPr>
        <w:t xml:space="preserve"> As signalled before, it is clear that managers have certain incentives to engage in earnings management. Since this might influence the magnitude of the use of earnings management, </w:t>
      </w:r>
      <w:r w:rsidR="00DD3BDD" w:rsidRPr="003569BE">
        <w:rPr>
          <w:lang w:val="en-GB"/>
        </w:rPr>
        <w:t xml:space="preserve">in the regression model </w:t>
      </w:r>
      <w:r w:rsidR="007202B5" w:rsidRPr="003569BE">
        <w:rPr>
          <w:lang w:val="en-GB"/>
        </w:rPr>
        <w:t xml:space="preserve">certain factors </w:t>
      </w:r>
      <w:r w:rsidR="00DD3BDD" w:rsidRPr="003569BE">
        <w:rPr>
          <w:lang w:val="en-GB"/>
        </w:rPr>
        <w:t>need to</w:t>
      </w:r>
      <w:r w:rsidR="007202B5" w:rsidRPr="003569BE">
        <w:rPr>
          <w:lang w:val="en-GB"/>
        </w:rPr>
        <w:t xml:space="preserve"> be considered. Consequently, the </w:t>
      </w:r>
      <w:r w:rsidR="00DD3BDD" w:rsidRPr="003569BE">
        <w:rPr>
          <w:lang w:val="en-GB"/>
        </w:rPr>
        <w:t xml:space="preserve">next </w:t>
      </w:r>
      <w:r w:rsidR="007202B5" w:rsidRPr="003569BE">
        <w:rPr>
          <w:lang w:val="en-GB"/>
        </w:rPr>
        <w:t xml:space="preserve">control variables </w:t>
      </w:r>
      <w:r w:rsidR="00DD3BDD" w:rsidRPr="003569BE">
        <w:rPr>
          <w:lang w:val="en-GB"/>
        </w:rPr>
        <w:t xml:space="preserve">in the model </w:t>
      </w:r>
      <w:r w:rsidR="007202B5" w:rsidRPr="003569BE">
        <w:rPr>
          <w:lang w:val="en-GB"/>
        </w:rPr>
        <w:t>are included:</w:t>
      </w:r>
    </w:p>
    <w:p w:rsidR="000F1105" w:rsidRPr="003569BE" w:rsidRDefault="000F1105" w:rsidP="00832A11">
      <w:pPr>
        <w:spacing w:line="360" w:lineRule="auto"/>
        <w:rPr>
          <w:b/>
          <w:i/>
          <w:lang w:val="en-GB"/>
        </w:rPr>
      </w:pPr>
      <w:r w:rsidRPr="003569BE">
        <w:rPr>
          <w:b/>
          <w:i/>
          <w:lang w:val="en-GB"/>
        </w:rPr>
        <w:t>Firm size</w:t>
      </w:r>
    </w:p>
    <w:p w:rsidR="000F1105" w:rsidRPr="003569BE" w:rsidRDefault="00BB1D02" w:rsidP="00832A11">
      <w:pPr>
        <w:spacing w:line="360" w:lineRule="auto"/>
        <w:rPr>
          <w:lang w:val="en-GB"/>
        </w:rPr>
      </w:pPr>
      <w:r w:rsidRPr="003569BE">
        <w:rPr>
          <w:lang w:val="en-GB"/>
        </w:rPr>
        <w:t xml:space="preserve">A significant amount of studies concerning the use of earnings management have indicated that controlling for the firm size is essential. </w:t>
      </w:r>
      <w:r w:rsidR="00D57461" w:rsidRPr="003569BE">
        <w:rPr>
          <w:lang w:val="en-GB"/>
        </w:rPr>
        <w:t xml:space="preserve">Large profitable firms tend to engage in earnings management by manipulating </w:t>
      </w:r>
      <w:r w:rsidR="00763241">
        <w:rPr>
          <w:lang w:val="en-GB"/>
        </w:rPr>
        <w:t xml:space="preserve">the </w:t>
      </w:r>
      <w:r w:rsidR="00D57461" w:rsidRPr="003569BE">
        <w:rPr>
          <w:lang w:val="en-GB"/>
        </w:rPr>
        <w:t>accruals downwards. In other words, larger firms report lower levels of discretionary accruals than smaller firms</w:t>
      </w:r>
      <w:r w:rsidR="00D1566A" w:rsidRPr="003569BE">
        <w:rPr>
          <w:lang w:val="en-GB"/>
        </w:rPr>
        <w:t xml:space="preserve"> do</w:t>
      </w:r>
      <w:r w:rsidR="00D57461" w:rsidRPr="003569BE">
        <w:rPr>
          <w:lang w:val="en-GB"/>
        </w:rPr>
        <w:t>.</w:t>
      </w:r>
      <w:r w:rsidR="004738CF" w:rsidRPr="003569BE">
        <w:rPr>
          <w:lang w:val="en-GB"/>
        </w:rPr>
        <w:t xml:space="preserve"> In this thesis, the control for firm size is implemented through the variable SIZE, which is computed as </w:t>
      </w:r>
      <w:r w:rsidR="00D1566A" w:rsidRPr="003569BE">
        <w:rPr>
          <w:lang w:val="en-GB"/>
        </w:rPr>
        <w:t xml:space="preserve">the </w:t>
      </w:r>
      <w:r w:rsidR="004738CF" w:rsidRPr="003569BE">
        <w:rPr>
          <w:lang w:val="en-GB"/>
        </w:rPr>
        <w:t>natural logarithm of the total sales</w:t>
      </w:r>
      <w:r w:rsidR="009C485B" w:rsidRPr="003569BE">
        <w:rPr>
          <w:lang w:val="en-GB"/>
        </w:rPr>
        <w:t xml:space="preserve"> in year </w:t>
      </w:r>
      <w:r w:rsidR="009C485B" w:rsidRPr="003569BE">
        <w:rPr>
          <w:i/>
          <w:lang w:val="en-GB"/>
        </w:rPr>
        <w:t>t</w:t>
      </w:r>
      <w:r w:rsidR="004738CF" w:rsidRPr="003569BE">
        <w:rPr>
          <w:lang w:val="en-GB"/>
        </w:rPr>
        <w:t>.</w:t>
      </w:r>
    </w:p>
    <w:p w:rsidR="000F1105" w:rsidRPr="003569BE" w:rsidRDefault="000F1105" w:rsidP="00832A11">
      <w:pPr>
        <w:spacing w:line="360" w:lineRule="auto"/>
        <w:rPr>
          <w:b/>
          <w:i/>
          <w:lang w:val="en-GB"/>
        </w:rPr>
      </w:pPr>
      <w:r w:rsidRPr="003569BE">
        <w:rPr>
          <w:b/>
          <w:i/>
          <w:lang w:val="en-GB"/>
        </w:rPr>
        <w:t>Sales growth</w:t>
      </w:r>
    </w:p>
    <w:p w:rsidR="000F1105" w:rsidRPr="003569BE" w:rsidRDefault="00755521" w:rsidP="00832A11">
      <w:pPr>
        <w:spacing w:line="360" w:lineRule="auto"/>
        <w:rPr>
          <w:lang w:val="en-GB"/>
        </w:rPr>
      </w:pPr>
      <w:r w:rsidRPr="003569BE">
        <w:rPr>
          <w:lang w:val="en-GB"/>
        </w:rPr>
        <w:t xml:space="preserve">In addition, sales growth is another factor that relates to the use of earnings management. </w:t>
      </w:r>
      <w:r w:rsidR="00B7511F" w:rsidRPr="003569BE">
        <w:rPr>
          <w:lang w:val="en-GB"/>
        </w:rPr>
        <w:t xml:space="preserve">Several other empirical </w:t>
      </w:r>
      <w:r w:rsidR="00A9556D" w:rsidRPr="003569BE">
        <w:rPr>
          <w:lang w:val="en-GB"/>
        </w:rPr>
        <w:t xml:space="preserve">studies </w:t>
      </w:r>
      <w:r w:rsidR="00B7511F" w:rsidRPr="003569BE">
        <w:rPr>
          <w:lang w:val="en-GB"/>
        </w:rPr>
        <w:t xml:space="preserve">suggest </w:t>
      </w:r>
      <w:r w:rsidRPr="003569BE">
        <w:rPr>
          <w:lang w:val="en-GB"/>
        </w:rPr>
        <w:t>that accruals are correlated with a company’s growth opportunities</w:t>
      </w:r>
      <w:r w:rsidR="000F221E" w:rsidRPr="003569BE">
        <w:rPr>
          <w:lang w:val="en-GB"/>
        </w:rPr>
        <w:t xml:space="preserve">. </w:t>
      </w:r>
      <w:r w:rsidRPr="003569BE">
        <w:rPr>
          <w:lang w:val="en-GB"/>
        </w:rPr>
        <w:t>Consequently, sales growth</w:t>
      </w:r>
      <w:r w:rsidR="00757188" w:rsidRPr="003569BE">
        <w:rPr>
          <w:lang w:val="en-GB"/>
        </w:rPr>
        <w:t xml:space="preserve"> as a control variable</w:t>
      </w:r>
      <w:r w:rsidRPr="003569BE">
        <w:rPr>
          <w:lang w:val="en-GB"/>
        </w:rPr>
        <w:t xml:space="preserve"> </w:t>
      </w:r>
      <w:r w:rsidR="00763241">
        <w:rPr>
          <w:lang w:val="en-GB"/>
        </w:rPr>
        <w:t xml:space="preserve">in the model </w:t>
      </w:r>
      <w:r w:rsidRPr="003569BE">
        <w:rPr>
          <w:lang w:val="en-GB"/>
        </w:rPr>
        <w:t xml:space="preserve">is included. The variable GROWTH is computed as the sales in year </w:t>
      </w:r>
      <w:r w:rsidRPr="003569BE">
        <w:rPr>
          <w:i/>
          <w:lang w:val="en-GB"/>
        </w:rPr>
        <w:t>t</w:t>
      </w:r>
      <w:r w:rsidRPr="003569BE">
        <w:rPr>
          <w:lang w:val="en-GB"/>
        </w:rPr>
        <w:t xml:space="preserve"> minus </w:t>
      </w:r>
      <w:r w:rsidR="00763241">
        <w:rPr>
          <w:lang w:val="en-GB"/>
        </w:rPr>
        <w:t xml:space="preserve">the </w:t>
      </w:r>
      <w:r w:rsidRPr="003569BE">
        <w:rPr>
          <w:lang w:val="en-GB"/>
        </w:rPr>
        <w:t xml:space="preserve">sales in year </w:t>
      </w:r>
      <w:r w:rsidRPr="003569BE">
        <w:rPr>
          <w:i/>
          <w:lang w:val="en-GB"/>
        </w:rPr>
        <w:t>t-1</w:t>
      </w:r>
      <w:r w:rsidRPr="003569BE">
        <w:rPr>
          <w:lang w:val="en-GB"/>
        </w:rPr>
        <w:t xml:space="preserve">, scaled by sales in year </w:t>
      </w:r>
      <w:r w:rsidRPr="003569BE">
        <w:rPr>
          <w:i/>
          <w:lang w:val="en-GB"/>
        </w:rPr>
        <w:t>t-1</w:t>
      </w:r>
      <w:r w:rsidRPr="003569BE">
        <w:rPr>
          <w:lang w:val="en-GB"/>
        </w:rPr>
        <w:t>.</w:t>
      </w:r>
    </w:p>
    <w:p w:rsidR="000F1105" w:rsidRPr="003569BE" w:rsidRDefault="000F1105" w:rsidP="00832A11">
      <w:pPr>
        <w:spacing w:line="360" w:lineRule="auto"/>
        <w:rPr>
          <w:b/>
          <w:i/>
          <w:lang w:val="en-GB"/>
        </w:rPr>
      </w:pPr>
      <w:r w:rsidRPr="003569BE">
        <w:rPr>
          <w:b/>
          <w:i/>
          <w:lang w:val="en-GB"/>
        </w:rPr>
        <w:t>Leverage</w:t>
      </w:r>
    </w:p>
    <w:p w:rsidR="000F1105" w:rsidRPr="003569BE" w:rsidRDefault="0051188D" w:rsidP="00832A11">
      <w:pPr>
        <w:spacing w:line="360" w:lineRule="auto"/>
        <w:rPr>
          <w:lang w:val="en-GB"/>
        </w:rPr>
      </w:pPr>
      <w:r w:rsidRPr="003569BE">
        <w:rPr>
          <w:lang w:val="en-GB"/>
        </w:rPr>
        <w:t xml:space="preserve">A high leverage ratio can be an indicator of a high risk of bankruptcy. </w:t>
      </w:r>
      <w:r w:rsidR="009F5B8A" w:rsidRPr="003569BE">
        <w:rPr>
          <w:lang w:val="en-GB"/>
        </w:rPr>
        <w:t xml:space="preserve">Because the threat of debt covenant violations can create the incentive for management to increase </w:t>
      </w:r>
      <w:r w:rsidR="00763241">
        <w:rPr>
          <w:lang w:val="en-GB"/>
        </w:rPr>
        <w:t xml:space="preserve">the published </w:t>
      </w:r>
      <w:r w:rsidR="009F5B8A" w:rsidRPr="003569BE">
        <w:rPr>
          <w:lang w:val="en-GB"/>
        </w:rPr>
        <w:t xml:space="preserve">earnings by manipulating </w:t>
      </w:r>
      <w:r w:rsidR="00763241">
        <w:rPr>
          <w:lang w:val="en-GB"/>
        </w:rPr>
        <w:t xml:space="preserve">the </w:t>
      </w:r>
      <w:r w:rsidR="009F5B8A" w:rsidRPr="003569BE">
        <w:rPr>
          <w:lang w:val="en-GB"/>
        </w:rPr>
        <w:t>discretionary accruals upwards, f</w:t>
      </w:r>
      <w:r w:rsidRPr="003569BE">
        <w:rPr>
          <w:lang w:val="en-GB"/>
        </w:rPr>
        <w:t xml:space="preserve">irms which experience high leverage may have the tendency to engage more in </w:t>
      </w:r>
      <w:r w:rsidR="00251A99" w:rsidRPr="003569BE">
        <w:rPr>
          <w:lang w:val="en-GB"/>
        </w:rPr>
        <w:t xml:space="preserve">the use of </w:t>
      </w:r>
      <w:r w:rsidRPr="003569BE">
        <w:rPr>
          <w:lang w:val="en-GB"/>
        </w:rPr>
        <w:t>earnings management.</w:t>
      </w:r>
      <w:r w:rsidR="00E76239" w:rsidRPr="003569BE">
        <w:rPr>
          <w:lang w:val="en-GB"/>
        </w:rPr>
        <w:t xml:space="preserve"> Consequently, the control for this effect</w:t>
      </w:r>
      <w:r w:rsidR="001B0672" w:rsidRPr="003569BE">
        <w:rPr>
          <w:lang w:val="en-GB"/>
        </w:rPr>
        <w:t xml:space="preserve"> in the regression model</w:t>
      </w:r>
      <w:r w:rsidR="00E76239" w:rsidRPr="003569BE">
        <w:rPr>
          <w:lang w:val="en-GB"/>
        </w:rPr>
        <w:t xml:space="preserve"> is included. The control variable LEVERAGE is computed as the ratio of total liabilities to total assets in year </w:t>
      </w:r>
      <w:r w:rsidR="00E76239" w:rsidRPr="003569BE">
        <w:rPr>
          <w:i/>
          <w:lang w:val="en-GB"/>
        </w:rPr>
        <w:t>t</w:t>
      </w:r>
      <w:r w:rsidR="00E76239" w:rsidRPr="003569BE">
        <w:rPr>
          <w:lang w:val="en-GB"/>
        </w:rPr>
        <w:t>.</w:t>
      </w:r>
    </w:p>
    <w:p w:rsidR="00763241" w:rsidRDefault="00763241">
      <w:pPr>
        <w:jc w:val="left"/>
        <w:rPr>
          <w:b/>
          <w:i/>
          <w:lang w:val="en-GB"/>
        </w:rPr>
      </w:pPr>
      <w:r>
        <w:rPr>
          <w:b/>
          <w:i/>
          <w:lang w:val="en-GB"/>
        </w:rPr>
        <w:br w:type="page"/>
      </w:r>
    </w:p>
    <w:p w:rsidR="000F1105" w:rsidRPr="003569BE" w:rsidRDefault="000F1105" w:rsidP="00832A11">
      <w:pPr>
        <w:spacing w:line="360" w:lineRule="auto"/>
        <w:rPr>
          <w:b/>
          <w:i/>
          <w:lang w:val="en-GB"/>
        </w:rPr>
      </w:pPr>
      <w:r w:rsidRPr="003569BE">
        <w:rPr>
          <w:b/>
          <w:i/>
          <w:lang w:val="en-GB"/>
        </w:rPr>
        <w:lastRenderedPageBreak/>
        <w:t>Prior loss</w:t>
      </w:r>
    </w:p>
    <w:p w:rsidR="007202B5" w:rsidRPr="003569BE" w:rsidRDefault="009F05D4" w:rsidP="00832A11">
      <w:pPr>
        <w:spacing w:line="360" w:lineRule="auto"/>
        <w:rPr>
          <w:lang w:val="en-GB"/>
        </w:rPr>
      </w:pPr>
      <w:r w:rsidRPr="003569BE">
        <w:rPr>
          <w:lang w:val="en-GB"/>
        </w:rPr>
        <w:t xml:space="preserve">The situation of a loss in the prior year can be an indicator for financial distress. When a firm reports a loss in the prior year, management may have the incentive to engage more in </w:t>
      </w:r>
      <w:r w:rsidR="00123019" w:rsidRPr="003569BE">
        <w:rPr>
          <w:lang w:val="en-GB"/>
        </w:rPr>
        <w:t xml:space="preserve">the use of </w:t>
      </w:r>
      <w:r w:rsidRPr="003569BE">
        <w:rPr>
          <w:lang w:val="en-GB"/>
        </w:rPr>
        <w:t xml:space="preserve">earnings management, increasing </w:t>
      </w:r>
      <w:r w:rsidR="009E4964" w:rsidRPr="003569BE">
        <w:rPr>
          <w:lang w:val="en-GB"/>
        </w:rPr>
        <w:t xml:space="preserve">the published </w:t>
      </w:r>
      <w:r w:rsidRPr="003569BE">
        <w:rPr>
          <w:lang w:val="en-GB"/>
        </w:rPr>
        <w:t xml:space="preserve">earnings in the following year by manipulating </w:t>
      </w:r>
      <w:r w:rsidR="00763241">
        <w:rPr>
          <w:lang w:val="en-GB"/>
        </w:rPr>
        <w:t xml:space="preserve">the </w:t>
      </w:r>
      <w:r w:rsidRPr="003569BE">
        <w:rPr>
          <w:lang w:val="en-GB"/>
        </w:rPr>
        <w:t>discretionary accruals upwards.</w:t>
      </w:r>
      <w:r w:rsidR="00F71BA6" w:rsidRPr="003569BE">
        <w:rPr>
          <w:lang w:val="en-GB"/>
        </w:rPr>
        <w:t xml:space="preserve"> To control for this effect, the dummy variable PRIOR_LOSS</w:t>
      </w:r>
      <w:r w:rsidR="00647B12" w:rsidRPr="003569BE">
        <w:rPr>
          <w:lang w:val="en-GB"/>
        </w:rPr>
        <w:t xml:space="preserve"> in the regression model</w:t>
      </w:r>
      <w:r w:rsidR="00F71BA6" w:rsidRPr="003569BE">
        <w:rPr>
          <w:lang w:val="en-GB"/>
        </w:rPr>
        <w:t xml:space="preserve"> is included, which takes the value 1 if the firm has reported a loss in year </w:t>
      </w:r>
      <w:r w:rsidR="00F71BA6" w:rsidRPr="003569BE">
        <w:rPr>
          <w:i/>
          <w:lang w:val="en-GB"/>
        </w:rPr>
        <w:t>t-1</w:t>
      </w:r>
      <w:r w:rsidR="00F71BA6" w:rsidRPr="003569BE">
        <w:rPr>
          <w:lang w:val="en-GB"/>
        </w:rPr>
        <w:t>, and</w:t>
      </w:r>
      <w:r w:rsidR="009804C7" w:rsidRPr="003569BE">
        <w:rPr>
          <w:lang w:val="en-GB"/>
        </w:rPr>
        <w:t xml:space="preserve"> the value</w:t>
      </w:r>
      <w:r w:rsidR="00F71BA6" w:rsidRPr="003569BE">
        <w:rPr>
          <w:lang w:val="en-GB"/>
        </w:rPr>
        <w:t xml:space="preserve"> 0 otherwise.</w:t>
      </w:r>
    </w:p>
    <w:p w:rsidR="00790C24" w:rsidRPr="003569BE" w:rsidRDefault="00790C24" w:rsidP="00832A11">
      <w:pPr>
        <w:spacing w:line="360" w:lineRule="auto"/>
        <w:rPr>
          <w:lang w:val="en-GB"/>
        </w:rPr>
      </w:pPr>
      <w:r w:rsidRPr="003569BE">
        <w:rPr>
          <w:lang w:val="en-GB"/>
        </w:rPr>
        <w:t xml:space="preserve">The control variables presented </w:t>
      </w:r>
      <w:r w:rsidR="0051060A" w:rsidRPr="003569BE">
        <w:rPr>
          <w:lang w:val="en-GB"/>
        </w:rPr>
        <w:t>before</w:t>
      </w:r>
      <w:r w:rsidRPr="003569BE">
        <w:rPr>
          <w:lang w:val="en-GB"/>
        </w:rPr>
        <w:t xml:space="preserve"> are included in the next regression model, which will be used for testing hypothesis 1.</w:t>
      </w:r>
    </w:p>
    <w:p w:rsidR="007202B5" w:rsidRDefault="007202B5" w:rsidP="007202B5">
      <w:pPr>
        <w:jc w:val="center"/>
        <w:rPr>
          <w:rFonts w:cs="Times New Roman"/>
          <w:i/>
          <w:szCs w:val="24"/>
          <w:vertAlign w:val="subscript"/>
          <w:lang w:val="en-GB"/>
        </w:rPr>
      </w:pPr>
      <w:r w:rsidRPr="003569BE">
        <w:rPr>
          <w:rFonts w:cs="Times New Roman"/>
          <w:i/>
          <w:szCs w:val="24"/>
          <w:lang w:val="en-GB"/>
        </w:rPr>
        <w:t>DA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β</w:t>
      </w:r>
      <w:r w:rsidRPr="003569BE">
        <w:rPr>
          <w:rFonts w:cs="Times New Roman"/>
          <w:i/>
          <w:szCs w:val="24"/>
          <w:vertAlign w:val="subscript"/>
          <w:lang w:val="en-GB"/>
        </w:rPr>
        <w:t>0</w:t>
      </w:r>
      <w:r w:rsidRPr="003569BE">
        <w:rPr>
          <w:rFonts w:cs="Times New Roman"/>
          <w:i/>
          <w:szCs w:val="24"/>
          <w:lang w:val="en-GB"/>
        </w:rPr>
        <w:t xml:space="preserve"> + β</w:t>
      </w:r>
      <w:r w:rsidRPr="003569BE">
        <w:rPr>
          <w:rFonts w:cs="Times New Roman"/>
          <w:i/>
          <w:szCs w:val="24"/>
          <w:vertAlign w:val="subscript"/>
          <w:lang w:val="en-GB"/>
        </w:rPr>
        <w:t>1</w:t>
      </w:r>
      <w:r w:rsidRPr="003569BE">
        <w:rPr>
          <w:rFonts w:cs="Times New Roman"/>
          <w:i/>
          <w:szCs w:val="24"/>
          <w:lang w:val="en-GB"/>
        </w:rPr>
        <w:t>AT</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2</w:t>
      </w:r>
      <w:r w:rsidRPr="003569BE">
        <w:rPr>
          <w:rFonts w:cs="Times New Roman"/>
          <w:i/>
          <w:szCs w:val="24"/>
          <w:lang w:val="en-GB"/>
        </w:rPr>
        <w:t>SIZE</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3</w:t>
      </w:r>
      <w:r w:rsidRPr="003569BE">
        <w:rPr>
          <w:rFonts w:cs="Times New Roman"/>
          <w:i/>
          <w:szCs w:val="24"/>
          <w:lang w:val="en-GB"/>
        </w:rPr>
        <w:t>GROWTH</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4</w:t>
      </w:r>
      <w:r w:rsidRPr="003569BE">
        <w:rPr>
          <w:rFonts w:cs="Times New Roman"/>
          <w:i/>
          <w:szCs w:val="24"/>
          <w:lang w:val="en-GB"/>
        </w:rPr>
        <w:t>LEVERAGE</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5</w:t>
      </w:r>
      <w:r w:rsidRPr="003569BE">
        <w:rPr>
          <w:rFonts w:cs="Times New Roman"/>
          <w:i/>
          <w:szCs w:val="24"/>
          <w:lang w:val="en-GB"/>
        </w:rPr>
        <w:t>PRIOR_LOSS</w:t>
      </w:r>
      <w:r w:rsidRPr="003569BE">
        <w:rPr>
          <w:rFonts w:cs="Times New Roman"/>
          <w:i/>
          <w:szCs w:val="24"/>
          <w:vertAlign w:val="subscript"/>
          <w:lang w:val="en-GB"/>
        </w:rPr>
        <w:t>it</w:t>
      </w:r>
      <w:r w:rsidRPr="003569BE">
        <w:rPr>
          <w:rFonts w:cs="Times New Roman"/>
          <w:i/>
          <w:szCs w:val="24"/>
          <w:lang w:val="en-GB"/>
        </w:rPr>
        <w:t xml:space="preserve"> + ε</w:t>
      </w:r>
      <w:r w:rsidRPr="003569BE">
        <w:rPr>
          <w:rFonts w:cs="Times New Roman"/>
          <w:i/>
          <w:szCs w:val="24"/>
          <w:vertAlign w:val="subscript"/>
          <w:lang w:val="en-GB"/>
        </w:rPr>
        <w:t>it</w:t>
      </w:r>
    </w:p>
    <w:p w:rsidR="00763241" w:rsidRPr="003569BE" w:rsidRDefault="00763241" w:rsidP="007202B5">
      <w:pPr>
        <w:jc w:val="center"/>
        <w:rPr>
          <w:rFonts w:cs="Times New Roman"/>
          <w:i/>
          <w:szCs w:val="24"/>
          <w:lang w:val="en-GB"/>
        </w:rPr>
      </w:pPr>
    </w:p>
    <w:p w:rsidR="00316D9F" w:rsidRPr="003569BE" w:rsidRDefault="00316D9F" w:rsidP="00316D9F">
      <w:pPr>
        <w:pStyle w:val="Heading2"/>
        <w:numPr>
          <w:ilvl w:val="2"/>
          <w:numId w:val="6"/>
        </w:numPr>
        <w:rPr>
          <w:lang w:val="en-GB"/>
        </w:rPr>
      </w:pPr>
      <w:bookmarkStart w:id="50" w:name="_Toc396633582"/>
      <w:r w:rsidRPr="003569BE">
        <w:rPr>
          <w:lang w:val="en-GB"/>
        </w:rPr>
        <w:t>Testing the hypotheses</w:t>
      </w:r>
      <w:bookmarkEnd w:id="50"/>
    </w:p>
    <w:p w:rsidR="00B06080" w:rsidRPr="003569BE" w:rsidRDefault="0019740E" w:rsidP="00B06080">
      <w:pPr>
        <w:spacing w:line="360" w:lineRule="auto"/>
        <w:rPr>
          <w:rFonts w:cs="Times New Roman"/>
          <w:szCs w:val="24"/>
          <w:lang w:val="en-GB"/>
        </w:rPr>
      </w:pPr>
      <w:r w:rsidRPr="003569BE">
        <w:rPr>
          <w:lang w:val="en-GB"/>
        </w:rPr>
        <w:t>In order to test the</w:t>
      </w:r>
      <w:r w:rsidR="00B22407" w:rsidRPr="003569BE">
        <w:rPr>
          <w:lang w:val="en-GB"/>
        </w:rPr>
        <w:t xml:space="preserve"> relationship</w:t>
      </w:r>
      <w:r w:rsidRPr="003569BE">
        <w:rPr>
          <w:lang w:val="en-GB"/>
        </w:rPr>
        <w:t xml:space="preserve"> </w:t>
      </w:r>
      <w:r w:rsidRPr="003569BE">
        <w:rPr>
          <w:rFonts w:cs="Times New Roman"/>
          <w:szCs w:val="24"/>
          <w:lang w:val="en-GB"/>
        </w:rPr>
        <w:t>between the auditor tenure and the magnitude of the use of earnings management the next regression model will be used:</w:t>
      </w:r>
    </w:p>
    <w:p w:rsidR="0019740E" w:rsidRPr="003569BE" w:rsidRDefault="0019740E" w:rsidP="0019740E">
      <w:pPr>
        <w:jc w:val="center"/>
        <w:rPr>
          <w:rFonts w:cs="Times New Roman"/>
          <w:i/>
          <w:szCs w:val="24"/>
          <w:lang w:val="en-GB"/>
        </w:rPr>
      </w:pPr>
      <w:r w:rsidRPr="003569BE">
        <w:rPr>
          <w:rFonts w:cs="Times New Roman"/>
          <w:i/>
          <w:szCs w:val="24"/>
          <w:lang w:val="en-GB"/>
        </w:rPr>
        <w:t>DA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β</w:t>
      </w:r>
      <w:r w:rsidRPr="003569BE">
        <w:rPr>
          <w:rFonts w:cs="Times New Roman"/>
          <w:i/>
          <w:szCs w:val="24"/>
          <w:vertAlign w:val="subscript"/>
          <w:lang w:val="en-GB"/>
        </w:rPr>
        <w:t>0</w:t>
      </w:r>
      <w:r w:rsidRPr="003569BE">
        <w:rPr>
          <w:rFonts w:cs="Times New Roman"/>
          <w:i/>
          <w:szCs w:val="24"/>
          <w:lang w:val="en-GB"/>
        </w:rPr>
        <w:t xml:space="preserve"> + β</w:t>
      </w:r>
      <w:r w:rsidRPr="003569BE">
        <w:rPr>
          <w:rFonts w:cs="Times New Roman"/>
          <w:i/>
          <w:szCs w:val="24"/>
          <w:vertAlign w:val="subscript"/>
          <w:lang w:val="en-GB"/>
        </w:rPr>
        <w:t>1</w:t>
      </w:r>
      <w:r w:rsidRPr="003569BE">
        <w:rPr>
          <w:rFonts w:cs="Times New Roman"/>
          <w:i/>
          <w:szCs w:val="24"/>
          <w:lang w:val="en-GB"/>
        </w:rPr>
        <w:t>AT</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2</w:t>
      </w:r>
      <w:r w:rsidRPr="003569BE">
        <w:rPr>
          <w:rFonts w:cs="Times New Roman"/>
          <w:i/>
          <w:szCs w:val="24"/>
          <w:lang w:val="en-GB"/>
        </w:rPr>
        <w:t>SIZE</w:t>
      </w:r>
      <w:r w:rsidR="00DF2486"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3</w:t>
      </w:r>
      <w:r w:rsidRPr="003569BE">
        <w:rPr>
          <w:rFonts w:cs="Times New Roman"/>
          <w:i/>
          <w:szCs w:val="24"/>
          <w:lang w:val="en-GB"/>
        </w:rPr>
        <w:t>GROWTH</w:t>
      </w:r>
      <w:r w:rsidR="00DF2486"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4</w:t>
      </w:r>
      <w:r w:rsidRPr="003569BE">
        <w:rPr>
          <w:rFonts w:cs="Times New Roman"/>
          <w:i/>
          <w:szCs w:val="24"/>
          <w:lang w:val="en-GB"/>
        </w:rPr>
        <w:t>LEVERAGE</w:t>
      </w:r>
      <w:r w:rsidR="00DF2486"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5</w:t>
      </w:r>
      <w:r w:rsidRPr="003569BE">
        <w:rPr>
          <w:rFonts w:cs="Times New Roman"/>
          <w:i/>
          <w:szCs w:val="24"/>
          <w:lang w:val="en-GB"/>
        </w:rPr>
        <w:t>PRIOR_LOSS</w:t>
      </w:r>
      <w:r w:rsidR="00DF2486" w:rsidRPr="003569BE">
        <w:rPr>
          <w:rFonts w:cs="Times New Roman"/>
          <w:i/>
          <w:szCs w:val="24"/>
          <w:vertAlign w:val="subscript"/>
          <w:lang w:val="en-GB"/>
        </w:rPr>
        <w:t>it</w:t>
      </w:r>
      <w:r w:rsidRPr="003569BE">
        <w:rPr>
          <w:rFonts w:cs="Times New Roman"/>
          <w:i/>
          <w:szCs w:val="24"/>
          <w:lang w:val="en-GB"/>
        </w:rPr>
        <w:t xml:space="preserve"> + ε</w:t>
      </w:r>
      <w:r w:rsidRPr="003569BE">
        <w:rPr>
          <w:rFonts w:cs="Times New Roman"/>
          <w:i/>
          <w:szCs w:val="24"/>
          <w:vertAlign w:val="subscript"/>
          <w:lang w:val="en-GB"/>
        </w:rPr>
        <w:t>it</w:t>
      </w:r>
    </w:p>
    <w:p w:rsidR="007C6AA6" w:rsidRPr="003569BE" w:rsidRDefault="007C6AA6" w:rsidP="00705973">
      <w:pPr>
        <w:spacing w:line="360" w:lineRule="auto"/>
        <w:rPr>
          <w:rFonts w:cs="Times New Roman"/>
          <w:szCs w:val="24"/>
          <w:lang w:val="en-GB"/>
        </w:rPr>
      </w:pPr>
      <w:r w:rsidRPr="003569BE">
        <w:rPr>
          <w:rFonts w:cs="Times New Roman"/>
          <w:szCs w:val="24"/>
          <w:lang w:val="en-GB"/>
        </w:rPr>
        <w:t>Where:</w:t>
      </w:r>
    </w:p>
    <w:p w:rsidR="00DF7B27" w:rsidRPr="003569BE" w:rsidRDefault="007C6AA6" w:rsidP="0093102B">
      <w:pPr>
        <w:spacing w:after="80" w:line="240" w:lineRule="auto"/>
        <w:ind w:left="2126" w:hanging="2126"/>
        <w:rPr>
          <w:rFonts w:cs="Times New Roman"/>
          <w:szCs w:val="24"/>
          <w:lang w:val="en-GB"/>
        </w:rPr>
      </w:pPr>
      <w:r w:rsidRPr="003569BE">
        <w:rPr>
          <w:rFonts w:cs="Times New Roman"/>
          <w:szCs w:val="24"/>
          <w:lang w:val="en-GB"/>
        </w:rPr>
        <w:t>SIZE</w:t>
      </w:r>
      <w:r w:rsidR="00865553" w:rsidRPr="003569BE">
        <w:rPr>
          <w:rFonts w:cs="Times New Roman"/>
          <w:szCs w:val="24"/>
          <w:vertAlign w:val="subscript"/>
          <w:lang w:val="en-GB"/>
        </w:rPr>
        <w:t>it</w:t>
      </w:r>
      <w:r w:rsidR="00DF7B27" w:rsidRPr="003569BE">
        <w:rPr>
          <w:rFonts w:cs="Times New Roman"/>
          <w:szCs w:val="24"/>
          <w:lang w:val="en-GB"/>
        </w:rPr>
        <w:tab/>
        <w:t>= control variable</w:t>
      </w:r>
      <w:r w:rsidR="00DF2486" w:rsidRPr="003569BE">
        <w:rPr>
          <w:rFonts w:cs="Times New Roman"/>
          <w:szCs w:val="24"/>
          <w:lang w:val="en-GB"/>
        </w:rPr>
        <w:t>, representing the firm size</w:t>
      </w:r>
      <w:r w:rsidR="00D43626" w:rsidRPr="003569BE">
        <w:rPr>
          <w:rFonts w:cs="Times New Roman"/>
          <w:szCs w:val="24"/>
          <w:lang w:val="en-GB"/>
        </w:rPr>
        <w:t xml:space="preserve"> for firm </w:t>
      </w:r>
      <w:r w:rsidR="00D43626" w:rsidRPr="003569BE">
        <w:rPr>
          <w:rFonts w:cs="Times New Roman"/>
          <w:i/>
          <w:szCs w:val="24"/>
          <w:lang w:val="en-GB"/>
        </w:rPr>
        <w:t>i</w:t>
      </w:r>
      <w:r w:rsidR="00D43626" w:rsidRPr="003569BE">
        <w:rPr>
          <w:rFonts w:cs="Times New Roman"/>
          <w:szCs w:val="24"/>
          <w:lang w:val="en-GB"/>
        </w:rPr>
        <w:t xml:space="preserve"> in year </w:t>
      </w:r>
      <w:r w:rsidR="00D43626" w:rsidRPr="003569BE">
        <w:rPr>
          <w:rFonts w:cs="Times New Roman"/>
          <w:i/>
          <w:szCs w:val="24"/>
          <w:lang w:val="en-GB"/>
        </w:rPr>
        <w:t>t</w:t>
      </w:r>
      <w:r w:rsidR="00F04614" w:rsidRPr="003569BE">
        <w:rPr>
          <w:rFonts w:cs="Times New Roman"/>
          <w:szCs w:val="24"/>
          <w:lang w:val="en-GB"/>
        </w:rPr>
        <w:t>, computed as natural logarithm of total sales</w:t>
      </w:r>
      <w:r w:rsidR="00DF7B27" w:rsidRPr="003569BE">
        <w:rPr>
          <w:rFonts w:cs="Times New Roman"/>
          <w:szCs w:val="24"/>
          <w:lang w:val="en-GB"/>
        </w:rPr>
        <w:t>;</w:t>
      </w:r>
    </w:p>
    <w:p w:rsidR="00DF7B27" w:rsidRPr="003569BE" w:rsidRDefault="007C6AA6" w:rsidP="00DB43FF">
      <w:pPr>
        <w:spacing w:after="80" w:line="240" w:lineRule="auto"/>
        <w:ind w:left="2126" w:hanging="2126"/>
        <w:rPr>
          <w:rFonts w:cs="Times New Roman"/>
          <w:szCs w:val="24"/>
          <w:lang w:val="en-GB"/>
        </w:rPr>
      </w:pPr>
      <w:r w:rsidRPr="003569BE">
        <w:rPr>
          <w:rFonts w:cs="Times New Roman"/>
          <w:szCs w:val="24"/>
          <w:lang w:val="en-GB"/>
        </w:rPr>
        <w:t>GROWTH</w:t>
      </w:r>
      <w:r w:rsidR="00865553" w:rsidRPr="003569BE">
        <w:rPr>
          <w:rFonts w:cs="Times New Roman"/>
          <w:szCs w:val="24"/>
          <w:vertAlign w:val="subscript"/>
          <w:lang w:val="en-GB"/>
        </w:rPr>
        <w:t>it</w:t>
      </w:r>
      <w:r w:rsidR="00DF7B27" w:rsidRPr="003569BE">
        <w:rPr>
          <w:rFonts w:cs="Times New Roman"/>
          <w:szCs w:val="24"/>
          <w:lang w:val="en-GB"/>
        </w:rPr>
        <w:tab/>
        <w:t>= control variable</w:t>
      </w:r>
      <w:r w:rsidR="00D43626" w:rsidRPr="003569BE">
        <w:rPr>
          <w:rFonts w:cs="Times New Roman"/>
          <w:szCs w:val="24"/>
          <w:lang w:val="en-GB"/>
        </w:rPr>
        <w:t>, representing the sales growth</w:t>
      </w:r>
      <w:r w:rsidR="00D73DAA" w:rsidRPr="003569BE">
        <w:rPr>
          <w:rFonts w:cs="Times New Roman"/>
          <w:szCs w:val="24"/>
          <w:lang w:val="en-GB"/>
        </w:rPr>
        <w:t xml:space="preserve"> for firm </w:t>
      </w:r>
      <w:r w:rsidR="00D73DAA" w:rsidRPr="003569BE">
        <w:rPr>
          <w:rFonts w:cs="Times New Roman"/>
          <w:i/>
          <w:szCs w:val="24"/>
          <w:lang w:val="en-GB"/>
        </w:rPr>
        <w:t>i</w:t>
      </w:r>
      <w:r w:rsidR="00D73DAA" w:rsidRPr="003569BE">
        <w:rPr>
          <w:rFonts w:cs="Times New Roman"/>
          <w:szCs w:val="24"/>
          <w:lang w:val="en-GB"/>
        </w:rPr>
        <w:t xml:space="preserve"> in year </w:t>
      </w:r>
      <w:r w:rsidR="00D73DAA" w:rsidRPr="003569BE">
        <w:rPr>
          <w:rFonts w:cs="Times New Roman"/>
          <w:i/>
          <w:szCs w:val="24"/>
          <w:lang w:val="en-GB"/>
        </w:rPr>
        <w:t>t</w:t>
      </w:r>
      <w:r w:rsidR="00D43626" w:rsidRPr="003569BE">
        <w:rPr>
          <w:rFonts w:cs="Times New Roman"/>
          <w:szCs w:val="24"/>
          <w:lang w:val="en-GB"/>
        </w:rPr>
        <w:t>, computed as (Sales</w:t>
      </w:r>
      <w:r w:rsidR="00D43626" w:rsidRPr="003569BE">
        <w:rPr>
          <w:rFonts w:cs="Times New Roman"/>
          <w:szCs w:val="24"/>
          <w:vertAlign w:val="subscript"/>
          <w:lang w:val="en-GB"/>
        </w:rPr>
        <w:t>t</w:t>
      </w:r>
      <w:r w:rsidR="00D43626" w:rsidRPr="003569BE">
        <w:rPr>
          <w:rFonts w:cs="Times New Roman"/>
          <w:szCs w:val="24"/>
          <w:lang w:val="en-GB"/>
        </w:rPr>
        <w:t xml:space="preserve"> – Sales</w:t>
      </w:r>
      <w:r w:rsidR="00D43626" w:rsidRPr="003569BE">
        <w:rPr>
          <w:rFonts w:cs="Times New Roman"/>
          <w:szCs w:val="24"/>
          <w:vertAlign w:val="subscript"/>
          <w:lang w:val="en-GB"/>
        </w:rPr>
        <w:t>t-1</w:t>
      </w:r>
      <w:r w:rsidR="00D43626" w:rsidRPr="003569BE">
        <w:rPr>
          <w:rFonts w:cs="Times New Roman"/>
          <w:szCs w:val="24"/>
          <w:lang w:val="en-GB"/>
        </w:rPr>
        <w:t>)/Sales</w:t>
      </w:r>
      <w:r w:rsidR="00D43626" w:rsidRPr="003569BE">
        <w:rPr>
          <w:rFonts w:cs="Times New Roman"/>
          <w:szCs w:val="24"/>
          <w:vertAlign w:val="subscript"/>
          <w:lang w:val="en-GB"/>
        </w:rPr>
        <w:t>t-1</w:t>
      </w:r>
      <w:r w:rsidR="00DF7B27" w:rsidRPr="003569BE">
        <w:rPr>
          <w:rFonts w:cs="Times New Roman"/>
          <w:szCs w:val="24"/>
          <w:lang w:val="en-GB"/>
        </w:rPr>
        <w:t>;</w:t>
      </w:r>
    </w:p>
    <w:p w:rsidR="00DF7B27" w:rsidRPr="003569BE" w:rsidRDefault="007C6AA6" w:rsidP="00CB7E37">
      <w:pPr>
        <w:spacing w:after="80" w:line="240" w:lineRule="auto"/>
        <w:ind w:left="2127" w:hanging="2127"/>
        <w:rPr>
          <w:rFonts w:cs="Times New Roman"/>
          <w:szCs w:val="24"/>
          <w:lang w:val="en-GB"/>
        </w:rPr>
      </w:pPr>
      <w:r w:rsidRPr="003569BE">
        <w:rPr>
          <w:rFonts w:cs="Times New Roman"/>
          <w:szCs w:val="24"/>
          <w:lang w:val="en-GB"/>
        </w:rPr>
        <w:t>LEVERAGE</w:t>
      </w:r>
      <w:r w:rsidR="00865553" w:rsidRPr="003569BE">
        <w:rPr>
          <w:rFonts w:cs="Times New Roman"/>
          <w:szCs w:val="24"/>
          <w:vertAlign w:val="subscript"/>
          <w:lang w:val="en-GB"/>
        </w:rPr>
        <w:t>it</w:t>
      </w:r>
      <w:r w:rsidR="00DF7B27" w:rsidRPr="003569BE">
        <w:rPr>
          <w:rFonts w:cs="Times New Roman"/>
          <w:szCs w:val="24"/>
          <w:lang w:val="en-GB"/>
        </w:rPr>
        <w:tab/>
        <w:t>= control variable</w:t>
      </w:r>
      <w:r w:rsidR="00FE6590" w:rsidRPr="003569BE">
        <w:rPr>
          <w:rFonts w:cs="Times New Roman"/>
          <w:szCs w:val="24"/>
          <w:lang w:val="en-GB"/>
        </w:rPr>
        <w:t>, representing the leverage</w:t>
      </w:r>
      <w:r w:rsidR="00D73DAA" w:rsidRPr="003569BE">
        <w:rPr>
          <w:rFonts w:cs="Times New Roman"/>
          <w:szCs w:val="24"/>
          <w:lang w:val="en-GB"/>
        </w:rPr>
        <w:t xml:space="preserve"> for firm </w:t>
      </w:r>
      <w:r w:rsidR="00D73DAA" w:rsidRPr="003569BE">
        <w:rPr>
          <w:rFonts w:cs="Times New Roman"/>
          <w:i/>
          <w:szCs w:val="24"/>
          <w:lang w:val="en-GB"/>
        </w:rPr>
        <w:t>i</w:t>
      </w:r>
      <w:r w:rsidR="00D73DAA" w:rsidRPr="003569BE">
        <w:rPr>
          <w:rFonts w:cs="Times New Roman"/>
          <w:szCs w:val="24"/>
          <w:lang w:val="en-GB"/>
        </w:rPr>
        <w:t xml:space="preserve"> in year </w:t>
      </w:r>
      <w:r w:rsidR="00D73DAA" w:rsidRPr="003569BE">
        <w:rPr>
          <w:rFonts w:cs="Times New Roman"/>
          <w:i/>
          <w:szCs w:val="24"/>
          <w:lang w:val="en-GB"/>
        </w:rPr>
        <w:t>t</w:t>
      </w:r>
      <w:r w:rsidR="00FE6590" w:rsidRPr="003569BE">
        <w:rPr>
          <w:rFonts w:cs="Times New Roman"/>
          <w:szCs w:val="24"/>
          <w:lang w:val="en-GB"/>
        </w:rPr>
        <w:t xml:space="preserve">, computed as </w:t>
      </w:r>
      <w:r w:rsidR="001F2298" w:rsidRPr="003569BE">
        <w:rPr>
          <w:rFonts w:cs="Times New Roman"/>
          <w:szCs w:val="24"/>
          <w:lang w:val="en-GB"/>
        </w:rPr>
        <w:t>(</w:t>
      </w:r>
      <w:r w:rsidR="00FE6590" w:rsidRPr="003569BE">
        <w:rPr>
          <w:rFonts w:cs="Times New Roman"/>
          <w:szCs w:val="24"/>
          <w:lang w:val="en-GB"/>
        </w:rPr>
        <w:t>Total Liabilities</w:t>
      </w:r>
      <w:r w:rsidR="0008475F" w:rsidRPr="003569BE">
        <w:rPr>
          <w:rFonts w:cs="Times New Roman"/>
          <w:szCs w:val="24"/>
          <w:vertAlign w:val="subscript"/>
          <w:lang w:val="en-GB"/>
        </w:rPr>
        <w:t>t</w:t>
      </w:r>
      <w:r w:rsidR="00FE6590" w:rsidRPr="003569BE">
        <w:rPr>
          <w:rFonts w:cs="Times New Roman"/>
          <w:szCs w:val="24"/>
          <w:lang w:val="en-GB"/>
        </w:rPr>
        <w:t>/Total Assets</w:t>
      </w:r>
      <w:r w:rsidR="0008475F" w:rsidRPr="003569BE">
        <w:rPr>
          <w:rFonts w:cs="Times New Roman"/>
          <w:szCs w:val="24"/>
          <w:vertAlign w:val="subscript"/>
          <w:lang w:val="en-GB"/>
        </w:rPr>
        <w:t>t</w:t>
      </w:r>
      <w:r w:rsidR="001F2298" w:rsidRPr="003569BE">
        <w:rPr>
          <w:rFonts w:cs="Times New Roman"/>
          <w:szCs w:val="24"/>
          <w:lang w:val="en-GB"/>
        </w:rPr>
        <w:t>)</w:t>
      </w:r>
      <w:r w:rsidR="00FE6590" w:rsidRPr="003569BE">
        <w:rPr>
          <w:rFonts w:cs="Times New Roman"/>
          <w:szCs w:val="24"/>
          <w:lang w:val="en-GB"/>
        </w:rPr>
        <w:t xml:space="preserve"> ratio</w:t>
      </w:r>
      <w:r w:rsidR="00DF7B27" w:rsidRPr="003569BE">
        <w:rPr>
          <w:rFonts w:cs="Times New Roman"/>
          <w:szCs w:val="24"/>
          <w:lang w:val="en-GB"/>
        </w:rPr>
        <w:t>;</w:t>
      </w:r>
    </w:p>
    <w:p w:rsidR="007C6AA6" w:rsidRPr="003569BE" w:rsidRDefault="007C6AA6" w:rsidP="00C4026C">
      <w:pPr>
        <w:spacing w:line="240" w:lineRule="auto"/>
        <w:ind w:left="2126" w:hanging="2126"/>
        <w:rPr>
          <w:rFonts w:cs="Times New Roman"/>
          <w:szCs w:val="24"/>
          <w:lang w:val="en-GB"/>
        </w:rPr>
      </w:pPr>
      <w:r w:rsidRPr="003569BE">
        <w:rPr>
          <w:rFonts w:cs="Times New Roman"/>
          <w:szCs w:val="24"/>
          <w:lang w:val="en-GB"/>
        </w:rPr>
        <w:t>PRIOR_LOSS</w:t>
      </w:r>
      <w:r w:rsidR="00865553" w:rsidRPr="003569BE">
        <w:rPr>
          <w:rFonts w:cs="Times New Roman"/>
          <w:szCs w:val="24"/>
          <w:vertAlign w:val="subscript"/>
          <w:lang w:val="en-GB"/>
        </w:rPr>
        <w:t>it</w:t>
      </w:r>
      <w:r w:rsidRPr="003569BE">
        <w:rPr>
          <w:rFonts w:cs="Times New Roman"/>
          <w:szCs w:val="24"/>
          <w:lang w:val="en-GB"/>
        </w:rPr>
        <w:t xml:space="preserve"> </w:t>
      </w:r>
      <w:r w:rsidR="00DF7B27" w:rsidRPr="003569BE">
        <w:rPr>
          <w:rFonts w:cs="Times New Roman"/>
          <w:szCs w:val="24"/>
          <w:lang w:val="en-GB"/>
        </w:rPr>
        <w:tab/>
      </w:r>
      <w:r w:rsidRPr="003569BE">
        <w:rPr>
          <w:rFonts w:cs="Times New Roman"/>
          <w:szCs w:val="24"/>
          <w:lang w:val="en-GB"/>
        </w:rPr>
        <w:t xml:space="preserve">= control </w:t>
      </w:r>
      <w:r w:rsidR="006E5CB5" w:rsidRPr="003569BE">
        <w:rPr>
          <w:rFonts w:cs="Times New Roman"/>
          <w:szCs w:val="24"/>
          <w:lang w:val="en-GB"/>
        </w:rPr>
        <w:t xml:space="preserve">dummy variable, taking the value 1 if the firm </w:t>
      </w:r>
      <w:r w:rsidR="006E5CB5" w:rsidRPr="003569BE">
        <w:rPr>
          <w:rFonts w:cs="Times New Roman"/>
          <w:i/>
          <w:szCs w:val="24"/>
          <w:lang w:val="en-GB"/>
        </w:rPr>
        <w:t>i</w:t>
      </w:r>
      <w:r w:rsidR="006E5CB5" w:rsidRPr="003569BE">
        <w:rPr>
          <w:rFonts w:cs="Times New Roman"/>
          <w:szCs w:val="24"/>
          <w:lang w:val="en-GB"/>
        </w:rPr>
        <w:t xml:space="preserve"> has reported a loss in year </w:t>
      </w:r>
      <w:r w:rsidR="006E5CB5" w:rsidRPr="003569BE">
        <w:rPr>
          <w:rFonts w:cs="Times New Roman"/>
          <w:i/>
          <w:szCs w:val="24"/>
          <w:lang w:val="en-GB"/>
        </w:rPr>
        <w:t>t-1</w:t>
      </w:r>
      <w:r w:rsidR="006E5CB5" w:rsidRPr="003569BE">
        <w:rPr>
          <w:rFonts w:cs="Times New Roman"/>
          <w:szCs w:val="24"/>
          <w:lang w:val="en-GB"/>
        </w:rPr>
        <w:t>, 0 otherwise</w:t>
      </w:r>
      <w:r w:rsidRPr="003569BE">
        <w:rPr>
          <w:rFonts w:cs="Times New Roman"/>
          <w:szCs w:val="24"/>
          <w:lang w:val="en-GB"/>
        </w:rPr>
        <w:t>;</w:t>
      </w:r>
    </w:p>
    <w:p w:rsidR="00952C9C" w:rsidRPr="003569BE" w:rsidRDefault="00952C9C" w:rsidP="0095558C">
      <w:pPr>
        <w:spacing w:line="360" w:lineRule="auto"/>
        <w:ind w:left="2126" w:hanging="2126"/>
        <w:rPr>
          <w:rFonts w:cs="Times New Roman"/>
          <w:szCs w:val="24"/>
          <w:lang w:val="en-GB"/>
        </w:rPr>
      </w:pPr>
      <w:r w:rsidRPr="003569BE">
        <w:rPr>
          <w:rFonts w:cs="Times New Roman"/>
          <w:szCs w:val="24"/>
          <w:lang w:val="en-GB"/>
        </w:rPr>
        <w:t>ε</w:t>
      </w:r>
      <w:r w:rsidRPr="003569BE">
        <w:rPr>
          <w:rFonts w:cs="Times New Roman"/>
          <w:szCs w:val="24"/>
          <w:vertAlign w:val="subscript"/>
          <w:lang w:val="en-GB"/>
        </w:rPr>
        <w:t>it</w:t>
      </w:r>
      <w:r w:rsidRPr="003569BE">
        <w:rPr>
          <w:rFonts w:cs="Times New Roman"/>
          <w:szCs w:val="24"/>
          <w:lang w:val="en-GB"/>
        </w:rPr>
        <w:t xml:space="preserve"> </w:t>
      </w:r>
      <w:r w:rsidRPr="003569BE">
        <w:rPr>
          <w:rFonts w:cs="Times New Roman"/>
          <w:szCs w:val="24"/>
          <w:lang w:val="en-GB"/>
        </w:rPr>
        <w:tab/>
        <w:t>= error term;</w:t>
      </w:r>
    </w:p>
    <w:p w:rsidR="00CC1270" w:rsidRPr="003569BE" w:rsidRDefault="00CC1270" w:rsidP="00CC1270">
      <w:pPr>
        <w:spacing w:line="360" w:lineRule="auto"/>
        <w:rPr>
          <w:rFonts w:cs="Times New Roman"/>
          <w:szCs w:val="24"/>
          <w:lang w:val="en-GB"/>
        </w:rPr>
      </w:pPr>
      <w:r w:rsidRPr="003569BE">
        <w:rPr>
          <w:rFonts w:cs="Times New Roman"/>
          <w:szCs w:val="24"/>
          <w:lang w:val="en-GB"/>
        </w:rPr>
        <w:t>Concerning answering the first part of the research question, the results of the regression before will be analysed. In order to assess whether the H1 hypothesis is confirmed or rejected, the β</w:t>
      </w:r>
      <w:r w:rsidRPr="003569BE">
        <w:rPr>
          <w:rFonts w:cs="Times New Roman"/>
          <w:szCs w:val="24"/>
          <w:vertAlign w:val="subscript"/>
          <w:lang w:val="en-GB"/>
        </w:rPr>
        <w:t xml:space="preserve">1 </w:t>
      </w:r>
      <w:r w:rsidRPr="003569BE">
        <w:rPr>
          <w:rFonts w:cs="Times New Roman"/>
          <w:szCs w:val="24"/>
          <w:lang w:val="en-GB"/>
        </w:rPr>
        <w:t>coefficient will be observed. To confirm the H1 hypothesis, the expectation is that β</w:t>
      </w:r>
      <w:r w:rsidRPr="003569BE">
        <w:rPr>
          <w:rFonts w:cs="Times New Roman"/>
          <w:szCs w:val="24"/>
          <w:vertAlign w:val="subscript"/>
          <w:lang w:val="en-GB"/>
        </w:rPr>
        <w:t>1</w:t>
      </w:r>
      <w:r w:rsidRPr="003569BE">
        <w:rPr>
          <w:rFonts w:cs="Times New Roman"/>
          <w:szCs w:val="24"/>
          <w:lang w:val="en-GB"/>
        </w:rPr>
        <w:t xml:space="preserve"> is positive and statistically significant.</w:t>
      </w:r>
    </w:p>
    <w:p w:rsidR="00CC1270" w:rsidRPr="003569BE" w:rsidRDefault="00CC1270" w:rsidP="00CC1270">
      <w:pPr>
        <w:spacing w:line="360" w:lineRule="auto"/>
        <w:rPr>
          <w:rFonts w:cs="Times New Roman"/>
          <w:szCs w:val="24"/>
          <w:lang w:val="en-GB"/>
        </w:rPr>
      </w:pPr>
      <w:r w:rsidRPr="003569BE">
        <w:rPr>
          <w:rFonts w:cs="Times New Roman"/>
          <w:szCs w:val="24"/>
          <w:lang w:val="en-GB"/>
        </w:rPr>
        <w:t>In order to assess whether the H2 hypothesis is confirmed or rejected, the distribution of the discretionary accruals will be analysed, by comparing the amount of discretionary accruals in the years where AT</w:t>
      </w:r>
      <w:r w:rsidRPr="003569BE">
        <w:rPr>
          <w:rFonts w:cs="Times New Roman"/>
          <w:szCs w:val="24"/>
          <w:vertAlign w:val="subscript"/>
          <w:lang w:val="en-GB"/>
        </w:rPr>
        <w:t>it</w:t>
      </w:r>
      <w:r w:rsidRPr="003569BE">
        <w:rPr>
          <w:rFonts w:cs="Times New Roman"/>
          <w:szCs w:val="24"/>
          <w:lang w:val="en-GB"/>
        </w:rPr>
        <w:t xml:space="preserve"> = 1, with the amount of </w:t>
      </w:r>
      <w:r w:rsidR="005B7D3C" w:rsidRPr="003569BE">
        <w:rPr>
          <w:rFonts w:cs="Times New Roman"/>
          <w:szCs w:val="24"/>
          <w:lang w:val="en-GB"/>
        </w:rPr>
        <w:t xml:space="preserve">the </w:t>
      </w:r>
      <w:r w:rsidRPr="003569BE">
        <w:rPr>
          <w:rFonts w:cs="Times New Roman"/>
          <w:szCs w:val="24"/>
          <w:lang w:val="en-GB"/>
        </w:rPr>
        <w:t xml:space="preserve">discretionary accruals in the preceding </w:t>
      </w:r>
      <w:r w:rsidR="000D4165" w:rsidRPr="003569BE">
        <w:rPr>
          <w:rFonts w:cs="Times New Roman"/>
          <w:szCs w:val="24"/>
          <w:lang w:val="en-GB"/>
        </w:rPr>
        <w:t>year</w:t>
      </w:r>
      <w:r w:rsidRPr="003569BE">
        <w:rPr>
          <w:rFonts w:cs="Times New Roman"/>
          <w:szCs w:val="24"/>
          <w:lang w:val="en-GB"/>
        </w:rPr>
        <w:t xml:space="preserve">. </w:t>
      </w:r>
    </w:p>
    <w:p w:rsidR="00092020" w:rsidRPr="003569BE" w:rsidRDefault="00092020" w:rsidP="00092020">
      <w:pPr>
        <w:pStyle w:val="Heading2"/>
        <w:numPr>
          <w:ilvl w:val="1"/>
          <w:numId w:val="6"/>
        </w:numPr>
        <w:spacing w:line="360" w:lineRule="auto"/>
        <w:rPr>
          <w:rFonts w:cs="Times New Roman"/>
          <w:szCs w:val="24"/>
          <w:lang w:val="en-GB"/>
        </w:rPr>
      </w:pPr>
      <w:bookmarkStart w:id="51" w:name="_Toc396633583"/>
      <w:r w:rsidRPr="003569BE">
        <w:rPr>
          <w:lang w:val="en-GB"/>
        </w:rPr>
        <w:lastRenderedPageBreak/>
        <w:t>Validity</w:t>
      </w:r>
      <w:r w:rsidRPr="003569BE">
        <w:rPr>
          <w:rFonts w:cs="Times New Roman"/>
          <w:szCs w:val="24"/>
          <w:lang w:val="en-GB"/>
        </w:rPr>
        <w:t xml:space="preserve"> framework</w:t>
      </w:r>
      <w:bookmarkEnd w:id="51"/>
    </w:p>
    <w:p w:rsidR="00092020" w:rsidRPr="003569BE" w:rsidRDefault="008D7C76" w:rsidP="00092020">
      <w:pPr>
        <w:spacing w:line="360" w:lineRule="auto"/>
        <w:rPr>
          <w:lang w:val="en-GB"/>
        </w:rPr>
      </w:pPr>
      <w:r w:rsidRPr="003569BE">
        <w:rPr>
          <w:lang w:val="en-GB"/>
        </w:rPr>
        <w:t xml:space="preserve">The </w:t>
      </w:r>
      <w:r w:rsidR="00AD14D5" w:rsidRPr="003569BE">
        <w:rPr>
          <w:lang w:val="en-GB"/>
        </w:rPr>
        <w:t xml:space="preserve">concepts </w:t>
      </w:r>
      <w:r w:rsidRPr="003569BE">
        <w:rPr>
          <w:lang w:val="en-GB"/>
        </w:rPr>
        <w:t xml:space="preserve">analysed in this thesis, i.e. audit quality in a mandatory rotation setting and the magnitude of the use of earnings management, </w:t>
      </w:r>
      <w:r w:rsidR="003569BE" w:rsidRPr="003569BE">
        <w:rPr>
          <w:lang w:val="en-GB"/>
        </w:rPr>
        <w:t>and are</w:t>
      </w:r>
      <w:r w:rsidRPr="003569BE">
        <w:rPr>
          <w:lang w:val="en-GB"/>
        </w:rPr>
        <w:t xml:space="preserve"> not directly observable.</w:t>
      </w:r>
      <w:r w:rsidR="00AD14D5" w:rsidRPr="003569BE">
        <w:rPr>
          <w:lang w:val="en-GB"/>
        </w:rPr>
        <w:t xml:space="preserve"> Consequently, in order to measure these concepts, they </w:t>
      </w:r>
      <w:r w:rsidR="00275436" w:rsidRPr="003569BE">
        <w:rPr>
          <w:lang w:val="en-GB"/>
        </w:rPr>
        <w:t>need to</w:t>
      </w:r>
      <w:r w:rsidR="00AD14D5" w:rsidRPr="003569BE">
        <w:rPr>
          <w:lang w:val="en-GB"/>
        </w:rPr>
        <w:t xml:space="preserve"> be operationalized. Libby (1981) provides a tool to operationalize unobservable concepts: the predictive validity framework </w:t>
      </w:r>
      <w:sdt>
        <w:sdtPr>
          <w:rPr>
            <w:lang w:val="en-GB"/>
          </w:rPr>
          <w:id w:val="-1551769581"/>
          <w:citation/>
        </w:sdtPr>
        <w:sdtContent>
          <w:r w:rsidR="000E4BAF" w:rsidRPr="003569BE">
            <w:rPr>
              <w:lang w:val="en-GB"/>
            </w:rPr>
            <w:fldChar w:fldCharType="begin"/>
          </w:r>
          <w:r w:rsidR="008120BB" w:rsidRPr="003569BE">
            <w:rPr>
              <w:lang w:val="en-GB"/>
            </w:rPr>
            <w:instrText xml:space="preserve"> CITATION Lib81 \l 1033 </w:instrText>
          </w:r>
          <w:r w:rsidR="000E4BAF" w:rsidRPr="003569BE">
            <w:rPr>
              <w:lang w:val="en-GB"/>
            </w:rPr>
            <w:fldChar w:fldCharType="separate"/>
          </w:r>
          <w:r w:rsidR="008F7EB3" w:rsidRPr="003569BE">
            <w:rPr>
              <w:noProof/>
              <w:lang w:val="en-GB"/>
            </w:rPr>
            <w:t>(Libby, 1981)</w:t>
          </w:r>
          <w:r w:rsidR="000E4BAF" w:rsidRPr="003569BE">
            <w:rPr>
              <w:lang w:val="en-GB"/>
            </w:rPr>
            <w:fldChar w:fldCharType="end"/>
          </w:r>
        </w:sdtContent>
      </w:sdt>
      <w:r w:rsidR="00AD14D5" w:rsidRPr="003569BE">
        <w:rPr>
          <w:lang w:val="en-GB"/>
        </w:rPr>
        <w:t>.</w:t>
      </w:r>
    </w:p>
    <w:p w:rsidR="0026018B" w:rsidRPr="003569BE" w:rsidRDefault="0026018B" w:rsidP="00092020">
      <w:pPr>
        <w:spacing w:line="360" w:lineRule="auto"/>
        <w:rPr>
          <w:lang w:val="en-GB"/>
        </w:rPr>
      </w:pPr>
      <w:r w:rsidRPr="003569BE">
        <w:rPr>
          <w:lang w:val="en-GB"/>
        </w:rPr>
        <w:t xml:space="preserve">In the </w:t>
      </w:r>
      <w:r w:rsidR="002323BF" w:rsidRPr="003569BE">
        <w:rPr>
          <w:lang w:val="en-GB"/>
        </w:rPr>
        <w:t>Figure 1</w:t>
      </w:r>
      <w:r w:rsidRPr="003569BE">
        <w:rPr>
          <w:lang w:val="en-GB"/>
        </w:rPr>
        <w:t xml:space="preserve"> below, the Libby boxes concerning the predictive validity framework are presented.</w:t>
      </w:r>
    </w:p>
    <w:p w:rsidR="00820DD4" w:rsidRPr="003569BE" w:rsidRDefault="00493FD9" w:rsidP="00493FD9">
      <w:pPr>
        <w:spacing w:line="360" w:lineRule="auto"/>
        <w:ind w:left="708" w:firstLine="708"/>
        <w:rPr>
          <w:lang w:val="en-GB"/>
        </w:rPr>
      </w:pPr>
      <w:r w:rsidRPr="003569BE">
        <w:rPr>
          <w:lang w:val="en-GB"/>
        </w:rPr>
        <w:t>Independent variable</w:t>
      </w:r>
      <w:r w:rsidRPr="003569BE">
        <w:rPr>
          <w:lang w:val="en-GB"/>
        </w:rPr>
        <w:tab/>
      </w:r>
      <w:r w:rsidRPr="003569BE">
        <w:rPr>
          <w:lang w:val="en-GB"/>
        </w:rPr>
        <w:tab/>
        <w:t xml:space="preserve">    Dependent variable</w:t>
      </w:r>
      <w:r w:rsidRPr="003569BE">
        <w:rPr>
          <w:lang w:val="en-GB"/>
        </w:rPr>
        <w:tab/>
      </w:r>
      <w:r w:rsidRPr="003569BE">
        <w:rPr>
          <w:lang w:val="en-GB"/>
        </w:rPr>
        <w:tab/>
        <w:t xml:space="preserve">     Control variables</w:t>
      </w:r>
    </w:p>
    <w:p w:rsidR="00493FD9" w:rsidRPr="003569BE" w:rsidRDefault="000E4BAF" w:rsidP="00092020">
      <w:pPr>
        <w:spacing w:line="360" w:lineRule="auto"/>
        <w:rPr>
          <w:lang w:val="en-GB"/>
        </w:rPr>
      </w:pPr>
      <w:r w:rsidRPr="000E4BAF">
        <w:rPr>
          <w:noProof/>
          <w:lang w:eastAsia="ro-RO"/>
        </w:rPr>
        <w:pict>
          <v:shape id="Text Box 16" o:spid="_x0000_s1033" type="#_x0000_t202" style="position:absolute;left:0;text-align:left;margin-left:182.65pt;margin-top:5pt;width:20.1pt;height:30.85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" strokecolor="white [3212]">
            <v:textbox style="mso-fit-shape-to-text:t">
              <w:txbxContent>
                <w:p w:rsidR="003569BE" w:rsidRDefault="003569BE">
                  <w:r>
                    <w:t>1</w:t>
                  </w:r>
                </w:p>
              </w:txbxContent>
            </v:textbox>
          </v:shape>
        </w:pict>
      </w:r>
      <w:r w:rsidRPr="000E4BAF">
        <w:rPr>
          <w:noProof/>
          <w:lang w:eastAsia="ro-RO"/>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1" o:spid="_x0000_s1050" type="#_x0000_t13" style="position:absolute;left:0;text-align:left;margin-left:177.4pt;margin-top:23.35pt;width:36pt;height:7.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"/>
        </w:pict>
      </w:r>
      <w:r w:rsidRPr="000E4BAF">
        <w:rPr>
          <w:noProof/>
          <w:lang w:eastAsia="ro-RO"/>
        </w:rPr>
        <w:pict>
          <v:shape id="Text Box 7" o:spid="_x0000_s1034" type="#_x0000_t202" style="position:absolute;left:0;text-align:left;margin-left:223.9pt;margin-top:8pt;width:99.6pt;height:43.55pt;z-index:251651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" fillcolor="#e2efd9 [665]">
            <v:fill opacity="43947f"/>
            <v:textbox style="mso-fit-shape-to-text:t">
              <w:txbxContent>
                <w:p w:rsidR="003569BE" w:rsidRPr="00E843BF" w:rsidRDefault="003569BE" w:rsidP="00E843BF">
                  <w:pPr>
                    <w:spacing w:line="240" w:lineRule="auto"/>
                    <w:jc w:val="center"/>
                    <w:rPr>
                      <w:lang w:val="en-US"/>
                    </w:rPr>
                  </w:pPr>
                  <w:r>
                    <w:rPr>
                      <w:lang w:val="en-US"/>
                    </w:rPr>
                    <w:t xml:space="preserve">Earnings </w:t>
                  </w:r>
                  <w:r w:rsidRPr="00AA5BF4">
                    <w:t>management</w:t>
                  </w:r>
                </w:p>
              </w:txbxContent>
            </v:textbox>
            <w10:wrap type="square"/>
          </v:shape>
        </w:pict>
      </w:r>
      <w:r w:rsidRPr="000E4BAF">
        <w:rPr>
          <w:noProof/>
          <w:lang w:eastAsia="ro-RO"/>
        </w:rPr>
        <w:pict>
          <v:shape id="Text Box 2" o:spid="_x0000_s1035" type="#_x0000_t202" style="position:absolute;left:0;text-align:left;margin-left:68.65pt;margin-top:8pt;width:99.6pt;height:43.55pt;z-index:2516490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" fillcolor="#e2efd9 [665]">
            <v:fill opacity="43947f"/>
            <v:textbox style="mso-fit-shape-to-text:t">
              <w:txbxContent>
                <w:p w:rsidR="003569BE" w:rsidRDefault="003569BE" w:rsidP="00E843BF">
                  <w:pPr>
                    <w:spacing w:line="240" w:lineRule="auto"/>
                    <w:jc w:val="center"/>
                  </w:pPr>
                  <w:r>
                    <w:t>Audit quality in a MAFR setting</w:t>
                  </w:r>
                </w:p>
              </w:txbxContent>
            </v:textbox>
            <w10:wrap type="square"/>
          </v:shape>
        </w:pict>
      </w:r>
    </w:p>
    <w:p w:rsidR="00493FD9" w:rsidRPr="003569BE" w:rsidRDefault="00493FD9" w:rsidP="00092020">
      <w:pPr>
        <w:spacing w:line="360" w:lineRule="auto"/>
        <w:rPr>
          <w:lang w:val="en-GB"/>
        </w:rPr>
      </w:pPr>
      <w:r w:rsidRPr="003569BE">
        <w:rPr>
          <w:lang w:val="en-GB"/>
        </w:rPr>
        <w:t>Conceptual</w:t>
      </w:r>
    </w:p>
    <w:p w:rsidR="00493FD9" w:rsidRPr="003569BE" w:rsidRDefault="000E4BAF" w:rsidP="00092020">
      <w:pPr>
        <w:spacing w:line="360" w:lineRule="auto"/>
        <w:rPr>
          <w:lang w:val="en-GB"/>
        </w:rPr>
      </w:pPr>
      <w:r w:rsidRPr="000E4BAF">
        <w:rPr>
          <w:noProof/>
          <w:lang w:eastAsia="ro-RO"/>
        </w:rPr>
        <w:pict>
          <v:shape id="Text Box 19" o:spid="_x0000_s1036" type="#_x0000_t202" style="position:absolute;left:0;text-align:left;margin-left:282.55pt;margin-top:10.6pt;width:21.6pt;height:21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" strokecolor="white [3212]">
            <v:textbox>
              <w:txbxContent>
                <w:p w:rsidR="003569BE" w:rsidRDefault="003569BE" w:rsidP="00C926B3">
                  <w:r>
                    <w:t>3</w:t>
                  </w:r>
                </w:p>
              </w:txbxContent>
            </v:textbox>
          </v:shape>
        </w:pict>
      </w:r>
      <w:r w:rsidRPr="000E4BAF">
        <w:rPr>
          <w:noProof/>
          <w:lang w:eastAsia="ro-RO"/>
        </w:rPr>
        <w:pict>
          <v:shape id="Text Box 17" o:spid="_x0000_s1037" type="#_x0000_t202" style="position:absolute;left:0;text-align:left;margin-left:98.05pt;margin-top:7.6pt;width:20.1pt;height:18.8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" strokecolor="white [3212]">
            <v:textbox>
              <w:txbxContent>
                <w:p w:rsidR="003569BE" w:rsidRDefault="003569BE" w:rsidP="00C926B3">
                  <w:r>
                    <w:t>2</w:t>
                  </w:r>
                </w:p>
              </w:txbxContent>
            </v:textbox>
          </v:shape>
        </w:pict>
      </w:r>
      <w:r w:rsidRPr="000E4BAF">
        <w:rPr>
          <w:noProof/>
          <w:lang w:eastAsia="ro-RO"/>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2" o:spid="_x0000_s1049" type="#_x0000_t67" style="position:absolute;left:0;text-align:left;margin-left:273.4pt;margin-top:6.1pt;width:7.15pt;height:2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">
            <v:textbox style="layout-flow:vertical-ideographic"/>
          </v:shape>
        </w:pict>
      </w:r>
      <w:r w:rsidRPr="000E4BAF">
        <w:rPr>
          <w:noProof/>
          <w:lang w:eastAsia="ro-RO"/>
        </w:rPr>
        <w:pict>
          <v:shape id="AutoShape 10" o:spid="_x0000_s1048" type="#_x0000_t67" style="position:absolute;left:0;text-align:left;margin-left:118.15pt;margin-top:5.35pt;width:7.15pt;height:2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">
            <v:textbox style="layout-flow:vertical-ideographic"/>
          </v:shape>
        </w:pict>
      </w:r>
      <w:r w:rsidRPr="000E4BAF">
        <w:rPr>
          <w:noProof/>
          <w:lang w:eastAsia="ro-RO"/>
        </w:rPr>
        <w:pict>
          <v:shape id="Text Box 9" o:spid="_x0000_s1038" type="#_x0000_t202" style="position:absolute;left:0;text-align:left;margin-left:367.15pt;margin-top:21.1pt;width:99.6pt;height:63.15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" fillcolor="#e2efd9 [665]">
            <v:fill opacity="43947f"/>
            <v:textbox style="mso-fit-shape-to-text:t">
              <w:txbxContent>
                <w:p w:rsidR="003569BE" w:rsidRDefault="003569BE" w:rsidP="005B054D">
                  <w:pPr>
                    <w:spacing w:after="0" w:line="240" w:lineRule="auto"/>
                    <w:jc w:val="center"/>
                    <w:rPr>
                      <w:lang w:val="en-US"/>
                    </w:rPr>
                  </w:pPr>
                  <w:r>
                    <w:rPr>
                      <w:lang w:val="en-US"/>
                    </w:rPr>
                    <w:t>Firm size</w:t>
                  </w:r>
                </w:p>
                <w:p w:rsidR="003569BE" w:rsidRDefault="003569BE" w:rsidP="005B054D">
                  <w:pPr>
                    <w:spacing w:after="0" w:line="240" w:lineRule="auto"/>
                    <w:jc w:val="center"/>
                    <w:rPr>
                      <w:lang w:val="en-US"/>
                    </w:rPr>
                  </w:pPr>
                  <w:r>
                    <w:rPr>
                      <w:lang w:val="en-US"/>
                    </w:rPr>
                    <w:t>Sales growth</w:t>
                  </w:r>
                </w:p>
                <w:p w:rsidR="003569BE" w:rsidRDefault="003569BE" w:rsidP="005B054D">
                  <w:pPr>
                    <w:spacing w:after="0" w:line="240" w:lineRule="auto"/>
                    <w:jc w:val="center"/>
                    <w:rPr>
                      <w:lang w:val="en-US"/>
                    </w:rPr>
                  </w:pPr>
                  <w:r>
                    <w:rPr>
                      <w:lang w:val="en-US"/>
                    </w:rPr>
                    <w:t>Leverage</w:t>
                  </w:r>
                </w:p>
                <w:p w:rsidR="003569BE" w:rsidRPr="00E843BF" w:rsidRDefault="003569BE" w:rsidP="005B054D">
                  <w:pPr>
                    <w:spacing w:after="0" w:line="240" w:lineRule="auto"/>
                    <w:jc w:val="center"/>
                    <w:rPr>
                      <w:lang w:val="en-US"/>
                    </w:rPr>
                  </w:pPr>
                  <w:r>
                    <w:rPr>
                      <w:lang w:val="en-US"/>
                    </w:rPr>
                    <w:t>Prior loss</w:t>
                  </w:r>
                </w:p>
              </w:txbxContent>
            </v:textbox>
            <w10:wrap type="square"/>
          </v:shape>
        </w:pict>
      </w:r>
    </w:p>
    <w:p w:rsidR="00493FD9" w:rsidRPr="003569BE" w:rsidRDefault="000E4BAF" w:rsidP="00092020">
      <w:pPr>
        <w:spacing w:line="360" w:lineRule="auto"/>
        <w:rPr>
          <w:lang w:val="en-GB"/>
        </w:rPr>
      </w:pPr>
      <w:r w:rsidRPr="000E4BAF">
        <w:rPr>
          <w:noProof/>
          <w:lang w:eastAsia="ro-RO"/>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15" o:spid="_x0000_s1047" type="#_x0000_t66" style="position:absolute;left:0;text-align:left;margin-left:331.15pt;margin-top:28.75pt;width:30pt;height:7.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"/>
        </w:pict>
      </w:r>
      <w:r w:rsidRPr="000E4BAF">
        <w:rPr>
          <w:noProof/>
          <w:lang w:eastAsia="ro-RO"/>
        </w:rPr>
        <w:pict>
          <v:shape id="AutoShape 13" o:spid="_x0000_s1046" type="#_x0000_t13" style="position:absolute;left:0;text-align:left;margin-left:178.15pt;margin-top:28.75pt;width:36pt;height:7.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"/>
        </w:pict>
      </w:r>
      <w:r w:rsidRPr="000E4BAF">
        <w:rPr>
          <w:noProof/>
          <w:lang w:eastAsia="ro-RO"/>
        </w:rPr>
        <w:pict>
          <v:shape id="Text Box 5" o:spid="_x0000_s1039" type="#_x0000_t202" style="position:absolute;left:0;text-align:left;margin-left:70.4pt;margin-top:12.65pt;width:99.6pt;height:39.5pt;z-index:251650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" fillcolor="#e2efd9 [665]">
            <v:fill opacity="43947f"/>
            <v:textbox>
              <w:txbxContent>
                <w:p w:rsidR="003569BE" w:rsidRPr="00E843BF" w:rsidRDefault="003569BE" w:rsidP="005B054D">
                  <w:pPr>
                    <w:spacing w:after="0" w:line="240" w:lineRule="auto"/>
                    <w:jc w:val="center"/>
                    <w:rPr>
                      <w:lang w:val="en-US"/>
                    </w:rPr>
                  </w:pPr>
                  <w:r>
                    <w:rPr>
                      <w:lang w:val="en-US"/>
                    </w:rPr>
                    <w:t>Audit tenure</w:t>
                  </w:r>
                </w:p>
              </w:txbxContent>
            </v:textbox>
            <w10:wrap type="square"/>
          </v:shape>
        </w:pict>
      </w:r>
      <w:r w:rsidRPr="000E4BAF">
        <w:rPr>
          <w:noProof/>
          <w:lang w:eastAsia="ro-RO"/>
        </w:rPr>
        <w:pict>
          <v:shape id="Text Box 8" o:spid="_x0000_s1040" type="#_x0000_t202" style="position:absolute;left:0;text-align:left;margin-left:223.9pt;margin-top:10.4pt;width:99.6pt;height:43.55pt;z-index:2516520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" fillcolor="#e2efd9 [665]">
            <v:fill opacity="43947f"/>
            <v:textbox style="mso-fit-shape-to-text:t">
              <w:txbxContent>
                <w:p w:rsidR="003569BE" w:rsidRPr="00E843BF" w:rsidRDefault="003569BE" w:rsidP="00E843BF">
                  <w:pPr>
                    <w:spacing w:line="240" w:lineRule="auto"/>
                    <w:jc w:val="center"/>
                    <w:rPr>
                      <w:lang w:val="en-US"/>
                    </w:rPr>
                  </w:pPr>
                  <w:r>
                    <w:rPr>
                      <w:lang w:val="en-US"/>
                    </w:rPr>
                    <w:t>Discretionary accruals</w:t>
                  </w:r>
                </w:p>
              </w:txbxContent>
            </v:textbox>
            <w10:wrap type="square"/>
          </v:shape>
        </w:pict>
      </w:r>
    </w:p>
    <w:p w:rsidR="00493FD9" w:rsidRPr="003569BE" w:rsidRDefault="000E4BAF" w:rsidP="00092020">
      <w:pPr>
        <w:spacing w:line="360" w:lineRule="auto"/>
        <w:rPr>
          <w:lang w:val="en-GB"/>
        </w:rPr>
      </w:pPr>
      <w:r w:rsidRPr="000E4BAF">
        <w:rPr>
          <w:noProof/>
          <w:lang w:eastAsia="ro-RO"/>
        </w:rPr>
        <w:pict>
          <v:shape id="Text Box 20" o:spid="_x0000_s1041" type="#_x0000_t202" style="position:absolute;left:0;text-align:left;margin-left:338.05pt;margin-top:6.35pt;width:20.1pt;height:18.8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" strokecolor="white [3212]">
            <v:textbox>
              <w:txbxContent>
                <w:p w:rsidR="003569BE" w:rsidRPr="00C926B3" w:rsidRDefault="003569BE" w:rsidP="00C926B3">
                  <w:pPr>
                    <w:rPr>
                      <w:lang w:val="en-US"/>
                    </w:rPr>
                  </w:pPr>
                  <w:r>
                    <w:rPr>
                      <w:lang w:val="en-US"/>
                    </w:rPr>
                    <w:t>5</w:t>
                  </w:r>
                </w:p>
              </w:txbxContent>
            </v:textbox>
          </v:shape>
        </w:pict>
      </w:r>
      <w:r w:rsidRPr="000E4BAF">
        <w:rPr>
          <w:noProof/>
          <w:lang w:eastAsia="ro-RO"/>
        </w:rPr>
        <w:pict>
          <v:shape id="Text Box 18" o:spid="_x0000_s1042" type="#_x0000_t202" style="position:absolute;left:0;text-align:left;margin-left:182.4pt;margin-top:6.35pt;width:20.1pt;height:18.8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" strokecolor="white [3212]">
            <v:textbox>
              <w:txbxContent>
                <w:p w:rsidR="003569BE" w:rsidRDefault="003569BE" w:rsidP="00C926B3">
                  <w:r>
                    <w:t>4</w:t>
                  </w:r>
                </w:p>
              </w:txbxContent>
            </v:textbox>
          </v:shape>
        </w:pict>
      </w:r>
      <w:r w:rsidR="00493FD9" w:rsidRPr="003569BE">
        <w:rPr>
          <w:lang w:val="en-GB"/>
        </w:rPr>
        <w:t>Operational</w:t>
      </w:r>
    </w:p>
    <w:p w:rsidR="00C97497" w:rsidRPr="003569BE" w:rsidRDefault="00DB2E0D" w:rsidP="00092020">
      <w:pPr>
        <w:spacing w:line="360" w:lineRule="auto"/>
        <w:rPr>
          <w:lang w:val="en-GB"/>
        </w:rPr>
      </w:pPr>
      <w:r w:rsidRPr="003569BE">
        <w:rPr>
          <w:lang w:val="en-GB"/>
        </w:rPr>
        <w:t xml:space="preserve"> </w:t>
      </w:r>
    </w:p>
    <w:p w:rsidR="00820DD4" w:rsidRPr="003569BE" w:rsidRDefault="00C97497" w:rsidP="00C97497">
      <w:pPr>
        <w:spacing w:line="360" w:lineRule="auto"/>
        <w:jc w:val="right"/>
        <w:rPr>
          <w:i/>
          <w:sz w:val="20"/>
          <w:szCs w:val="20"/>
          <w:lang w:val="en-GB"/>
        </w:rPr>
      </w:pPr>
      <w:r w:rsidRPr="003569BE">
        <w:rPr>
          <w:i/>
          <w:sz w:val="20"/>
          <w:szCs w:val="20"/>
          <w:lang w:val="en-GB"/>
        </w:rPr>
        <w:t>Figure 1 – The Predictive Validity Framework: Libby’s (1981) boxes</w:t>
      </w:r>
    </w:p>
    <w:p w:rsidR="00571F0F" w:rsidRPr="003569BE" w:rsidRDefault="004D65AC" w:rsidP="00343671">
      <w:pPr>
        <w:spacing w:line="360" w:lineRule="auto"/>
        <w:rPr>
          <w:szCs w:val="24"/>
          <w:lang w:val="en-GB"/>
        </w:rPr>
      </w:pPr>
      <w:r w:rsidRPr="003569BE">
        <w:rPr>
          <w:szCs w:val="24"/>
          <w:lang w:val="en-GB"/>
        </w:rPr>
        <w:t xml:space="preserve">This thesis studies the management’s behaviour in terms of </w:t>
      </w:r>
      <w:r w:rsidR="006D1AE6" w:rsidRPr="003569BE">
        <w:rPr>
          <w:szCs w:val="24"/>
          <w:lang w:val="en-GB"/>
        </w:rPr>
        <w:t xml:space="preserve">the use of </w:t>
      </w:r>
      <w:r w:rsidRPr="003569BE">
        <w:rPr>
          <w:szCs w:val="24"/>
          <w:lang w:val="en-GB"/>
        </w:rPr>
        <w:t xml:space="preserve">earnings management in a mandatory audit firm rotation setting. In other words, it studies the </w:t>
      </w:r>
      <w:r w:rsidR="00571F0F" w:rsidRPr="003569BE">
        <w:rPr>
          <w:szCs w:val="24"/>
          <w:lang w:val="en-GB"/>
        </w:rPr>
        <w:t>correlation between</w:t>
      </w:r>
      <w:r w:rsidRPr="003569BE">
        <w:rPr>
          <w:szCs w:val="24"/>
          <w:lang w:val="en-GB"/>
        </w:rPr>
        <w:t xml:space="preserve"> </w:t>
      </w:r>
      <w:r w:rsidR="00ED5AED" w:rsidRPr="003569BE">
        <w:rPr>
          <w:szCs w:val="24"/>
          <w:lang w:val="en-GB"/>
        </w:rPr>
        <w:t xml:space="preserve">the </w:t>
      </w:r>
      <w:r w:rsidRPr="003569BE">
        <w:rPr>
          <w:szCs w:val="24"/>
          <w:lang w:val="en-GB"/>
        </w:rPr>
        <w:t xml:space="preserve">audit quality in a MAFR setting </w:t>
      </w:r>
      <w:r w:rsidR="00571F0F" w:rsidRPr="003569BE">
        <w:rPr>
          <w:szCs w:val="24"/>
          <w:lang w:val="en-GB"/>
        </w:rPr>
        <w:t xml:space="preserve">and </w:t>
      </w:r>
      <w:r w:rsidRPr="003569BE">
        <w:rPr>
          <w:szCs w:val="24"/>
          <w:lang w:val="en-GB"/>
        </w:rPr>
        <w:t>the magnitude of the use of earnings management</w:t>
      </w:r>
      <w:r w:rsidR="00571F0F" w:rsidRPr="003569BE">
        <w:rPr>
          <w:szCs w:val="24"/>
          <w:lang w:val="en-GB"/>
        </w:rPr>
        <w:t xml:space="preserve"> employed by management</w:t>
      </w:r>
      <w:r w:rsidRPr="003569BE">
        <w:rPr>
          <w:szCs w:val="24"/>
          <w:lang w:val="en-GB"/>
        </w:rPr>
        <w:t>.</w:t>
      </w:r>
      <w:r w:rsidR="00571F0F" w:rsidRPr="003569BE">
        <w:rPr>
          <w:szCs w:val="24"/>
          <w:lang w:val="en-GB"/>
        </w:rPr>
        <w:t xml:space="preserve"> In order to investigate this relationship, the use of earnings management is employed as the dependent variable, measured through the amount of discretionary accruals, while the independent variable is represented by the audit quality in a MAFR setting, measured by the audit tenure, i.e. the length of the auditor-client relationship.</w:t>
      </w:r>
      <w:r w:rsidRPr="003569BE">
        <w:rPr>
          <w:szCs w:val="24"/>
          <w:lang w:val="en-GB"/>
        </w:rPr>
        <w:t xml:space="preserve"> </w:t>
      </w:r>
      <w:r w:rsidR="00A1577D" w:rsidRPr="003569BE">
        <w:rPr>
          <w:szCs w:val="24"/>
          <w:lang w:val="en-GB"/>
        </w:rPr>
        <w:t>Firm size, sales growth, leverage and the existence of a loss in the prior year are included as control v</w:t>
      </w:r>
      <w:r w:rsidR="00A2648A" w:rsidRPr="003569BE">
        <w:rPr>
          <w:szCs w:val="24"/>
          <w:lang w:val="en-GB"/>
        </w:rPr>
        <w:t>ariables</w:t>
      </w:r>
      <w:r w:rsidR="00A1577D" w:rsidRPr="003569BE">
        <w:rPr>
          <w:szCs w:val="24"/>
          <w:lang w:val="en-GB"/>
        </w:rPr>
        <w:t>.</w:t>
      </w:r>
    </w:p>
    <w:p w:rsidR="00343671" w:rsidRPr="003569BE" w:rsidRDefault="004D65AC" w:rsidP="00343671">
      <w:pPr>
        <w:spacing w:line="360" w:lineRule="auto"/>
        <w:rPr>
          <w:szCs w:val="24"/>
          <w:lang w:val="en-GB"/>
        </w:rPr>
      </w:pPr>
      <w:r w:rsidRPr="003569BE">
        <w:rPr>
          <w:szCs w:val="24"/>
          <w:lang w:val="en-GB"/>
        </w:rPr>
        <w:t xml:space="preserve">The two Libby boxes from the conceptual level, i.e. </w:t>
      </w:r>
      <w:r w:rsidRPr="003569BE">
        <w:rPr>
          <w:i/>
          <w:szCs w:val="24"/>
          <w:lang w:val="en-GB"/>
        </w:rPr>
        <w:t xml:space="preserve">audit quality in a MAFR setting </w:t>
      </w:r>
      <w:r w:rsidRPr="003569BE">
        <w:rPr>
          <w:szCs w:val="24"/>
          <w:lang w:val="en-GB"/>
        </w:rPr>
        <w:t xml:space="preserve">and </w:t>
      </w:r>
      <w:r w:rsidRPr="003569BE">
        <w:rPr>
          <w:i/>
          <w:szCs w:val="24"/>
          <w:lang w:val="en-GB"/>
        </w:rPr>
        <w:t>earnings management</w:t>
      </w:r>
      <w:r w:rsidRPr="003569BE">
        <w:rPr>
          <w:szCs w:val="24"/>
          <w:lang w:val="en-GB"/>
        </w:rPr>
        <w:t xml:space="preserve">, reflect the theoretical sector, while the boxes </w:t>
      </w:r>
      <w:r w:rsidRPr="003569BE">
        <w:rPr>
          <w:i/>
          <w:szCs w:val="24"/>
          <w:lang w:val="en-GB"/>
        </w:rPr>
        <w:t>audit tenure</w:t>
      </w:r>
      <w:r w:rsidRPr="003569BE">
        <w:rPr>
          <w:szCs w:val="24"/>
          <w:lang w:val="en-GB"/>
        </w:rPr>
        <w:t xml:space="preserve"> and </w:t>
      </w:r>
      <w:r w:rsidRPr="003569BE">
        <w:rPr>
          <w:i/>
          <w:szCs w:val="24"/>
          <w:lang w:val="en-GB"/>
        </w:rPr>
        <w:t>discretionary accruals</w:t>
      </w:r>
      <w:r w:rsidRPr="003569BE">
        <w:rPr>
          <w:szCs w:val="24"/>
          <w:lang w:val="en-GB"/>
        </w:rPr>
        <w:t xml:space="preserve"> from the operational level reflect the empirical sector. The last box </w:t>
      </w:r>
      <w:r w:rsidRPr="003569BE">
        <w:rPr>
          <w:szCs w:val="24"/>
          <w:lang w:val="en-GB"/>
        </w:rPr>
        <w:lastRenderedPageBreak/>
        <w:t>reflects the effect other factors have on the dependent variable, implemented as control variables.</w:t>
      </w:r>
    </w:p>
    <w:p w:rsidR="00AF4905" w:rsidRPr="003569BE" w:rsidRDefault="00AF4905" w:rsidP="00343671">
      <w:pPr>
        <w:spacing w:line="360" w:lineRule="auto"/>
        <w:rPr>
          <w:szCs w:val="24"/>
          <w:lang w:val="en-GB"/>
        </w:rPr>
      </w:pPr>
      <w:r w:rsidRPr="003569BE">
        <w:rPr>
          <w:szCs w:val="24"/>
          <w:lang w:val="en-GB"/>
        </w:rPr>
        <w:t xml:space="preserve">One of the most important parts of a research design is ensuring </w:t>
      </w:r>
      <w:r w:rsidR="00763241">
        <w:rPr>
          <w:szCs w:val="24"/>
          <w:lang w:val="en-GB"/>
        </w:rPr>
        <w:t xml:space="preserve">the </w:t>
      </w:r>
      <w:r w:rsidRPr="003569BE">
        <w:rPr>
          <w:szCs w:val="24"/>
          <w:lang w:val="en-GB"/>
        </w:rPr>
        <w:t xml:space="preserve">validity. The validity of a research reflects how effectively the research actually answers the research question. Existing scientific theory provides three generally accepted validity features of empirical research, which are </w:t>
      </w:r>
      <w:r w:rsidR="00ED21FE" w:rsidRPr="003569BE">
        <w:rPr>
          <w:szCs w:val="24"/>
          <w:lang w:val="en-GB"/>
        </w:rPr>
        <w:t>presented</w:t>
      </w:r>
      <w:r w:rsidRPr="003569BE">
        <w:rPr>
          <w:szCs w:val="24"/>
          <w:lang w:val="en-GB"/>
        </w:rPr>
        <w:t xml:space="preserve"> in the next paragraphs of this section.</w:t>
      </w:r>
    </w:p>
    <w:p w:rsidR="00717D4D" w:rsidRPr="003569BE" w:rsidRDefault="00717D4D" w:rsidP="00343671">
      <w:pPr>
        <w:spacing w:line="360" w:lineRule="auto"/>
        <w:rPr>
          <w:b/>
          <w:i/>
          <w:szCs w:val="24"/>
          <w:lang w:val="en-GB"/>
        </w:rPr>
      </w:pPr>
      <w:r w:rsidRPr="003569BE">
        <w:rPr>
          <w:b/>
          <w:i/>
          <w:szCs w:val="24"/>
          <w:lang w:val="en-GB"/>
        </w:rPr>
        <w:t>Internal validity</w:t>
      </w:r>
    </w:p>
    <w:p w:rsidR="00D21637" w:rsidRPr="003569BE" w:rsidRDefault="0004494C" w:rsidP="00343671">
      <w:pPr>
        <w:spacing w:line="360" w:lineRule="auto"/>
        <w:rPr>
          <w:lang w:val="en-GB"/>
        </w:rPr>
      </w:pPr>
      <w:r w:rsidRPr="003569BE">
        <w:rPr>
          <w:szCs w:val="24"/>
          <w:lang w:val="en-GB"/>
        </w:rPr>
        <w:t>Internal validity reflects the extent to which the dependent variable is the result of the effect from the independent variable. In Figure 1</w:t>
      </w:r>
      <w:r w:rsidRPr="003569BE">
        <w:rPr>
          <w:lang w:val="en-GB"/>
        </w:rPr>
        <w:t xml:space="preserve"> presented before, the internal validity can be visually identified </w:t>
      </w:r>
      <w:r w:rsidR="00063B43" w:rsidRPr="003569BE">
        <w:rPr>
          <w:lang w:val="en-GB"/>
        </w:rPr>
        <w:t>through</w:t>
      </w:r>
      <w:r w:rsidRPr="003569BE">
        <w:rPr>
          <w:lang w:val="en-GB"/>
        </w:rPr>
        <w:t xml:space="preserve"> arrow 4.</w:t>
      </w:r>
    </w:p>
    <w:p w:rsidR="00063B43" w:rsidRPr="003569BE" w:rsidRDefault="00357468" w:rsidP="00343671">
      <w:pPr>
        <w:spacing w:line="360" w:lineRule="auto"/>
        <w:rPr>
          <w:szCs w:val="24"/>
          <w:lang w:val="en-GB"/>
        </w:rPr>
      </w:pPr>
      <w:r w:rsidRPr="003569BE">
        <w:rPr>
          <w:szCs w:val="24"/>
          <w:lang w:val="en-GB"/>
        </w:rPr>
        <w:t xml:space="preserve">As it was </w:t>
      </w:r>
      <w:r w:rsidR="00C04D43">
        <w:rPr>
          <w:szCs w:val="24"/>
          <w:lang w:val="en-GB"/>
        </w:rPr>
        <w:t xml:space="preserve">signalled </w:t>
      </w:r>
      <w:r w:rsidRPr="003569BE">
        <w:rPr>
          <w:szCs w:val="24"/>
          <w:lang w:val="en-GB"/>
        </w:rPr>
        <w:t xml:space="preserve">before in this chapter, this thesis follows a </w:t>
      </w:r>
      <w:r w:rsidR="0023053A" w:rsidRPr="003569BE">
        <w:rPr>
          <w:szCs w:val="24"/>
          <w:lang w:val="en-GB"/>
        </w:rPr>
        <w:t>desk research</w:t>
      </w:r>
      <w:r w:rsidRPr="003569BE">
        <w:rPr>
          <w:szCs w:val="24"/>
          <w:lang w:val="en-GB"/>
        </w:rPr>
        <w:t xml:space="preserve"> approach.</w:t>
      </w:r>
      <w:r w:rsidR="004C2172" w:rsidRPr="003569BE">
        <w:rPr>
          <w:szCs w:val="24"/>
          <w:lang w:val="en-GB"/>
        </w:rPr>
        <w:t xml:space="preserve"> Because the numerical data used for estimating </w:t>
      </w:r>
      <w:r w:rsidR="00C04D43">
        <w:rPr>
          <w:szCs w:val="24"/>
          <w:lang w:val="en-GB"/>
        </w:rPr>
        <w:t xml:space="preserve">the </w:t>
      </w:r>
      <w:r w:rsidR="004C2172" w:rsidRPr="003569BE">
        <w:rPr>
          <w:szCs w:val="24"/>
          <w:lang w:val="en-GB"/>
        </w:rPr>
        <w:t>discretionary accruals is collected from various external sources, i.e. Compustat Global database, Orbis database, Thomson Research database, Thomson One Banker database</w:t>
      </w:r>
      <w:r w:rsidR="00FA7E28" w:rsidRPr="003569BE">
        <w:rPr>
          <w:szCs w:val="24"/>
          <w:lang w:val="en-GB"/>
        </w:rPr>
        <w:t>, as presented in section 6.4.2 of this chapter, the accuracy and the reliability of the data is in question. Consequently, this implies that this thesis has a relatively low internal validity.</w:t>
      </w:r>
      <w:r w:rsidR="00177D2C" w:rsidRPr="003569BE">
        <w:rPr>
          <w:szCs w:val="24"/>
          <w:lang w:val="en-GB"/>
        </w:rPr>
        <w:t xml:space="preserve"> </w:t>
      </w:r>
      <w:r w:rsidR="00FA7E28" w:rsidRPr="003569BE">
        <w:rPr>
          <w:szCs w:val="24"/>
          <w:lang w:val="en-GB"/>
        </w:rPr>
        <w:t>However</w:t>
      </w:r>
      <w:r w:rsidR="00177D2C" w:rsidRPr="003569BE">
        <w:rPr>
          <w:szCs w:val="24"/>
          <w:lang w:val="en-GB"/>
        </w:rPr>
        <w:t xml:space="preserve">, </w:t>
      </w:r>
      <w:r w:rsidR="00195785" w:rsidRPr="003569BE">
        <w:rPr>
          <w:szCs w:val="24"/>
          <w:lang w:val="en-GB"/>
        </w:rPr>
        <w:t xml:space="preserve">the implementation of control variables addresses this issue and should increase the internal validity of this thesis. </w:t>
      </w:r>
      <w:r w:rsidR="007D029D" w:rsidRPr="003569BE">
        <w:rPr>
          <w:szCs w:val="24"/>
          <w:lang w:val="en-GB"/>
        </w:rPr>
        <w:t xml:space="preserve">In addition, it is essential to </w:t>
      </w:r>
      <w:r w:rsidR="00C04D43">
        <w:rPr>
          <w:szCs w:val="24"/>
          <w:lang w:val="en-GB"/>
        </w:rPr>
        <w:t xml:space="preserve">signal </w:t>
      </w:r>
      <w:r w:rsidR="007D029D" w:rsidRPr="003569BE">
        <w:rPr>
          <w:szCs w:val="24"/>
          <w:lang w:val="en-GB"/>
        </w:rPr>
        <w:t xml:space="preserve">that always a trade-off </w:t>
      </w:r>
      <w:r w:rsidR="00C04D43">
        <w:rPr>
          <w:szCs w:val="24"/>
          <w:lang w:val="en-GB"/>
        </w:rPr>
        <w:t xml:space="preserve">exists </w:t>
      </w:r>
      <w:r w:rsidR="007D029D" w:rsidRPr="003569BE">
        <w:rPr>
          <w:szCs w:val="24"/>
          <w:lang w:val="en-GB"/>
        </w:rPr>
        <w:t>between the internal validity and the external validity of a research. Usually, one research does not experience both high internal validity and high external validity.</w:t>
      </w:r>
    </w:p>
    <w:p w:rsidR="00717D4D" w:rsidRPr="003569BE" w:rsidRDefault="00717D4D" w:rsidP="00343671">
      <w:pPr>
        <w:spacing w:line="360" w:lineRule="auto"/>
        <w:rPr>
          <w:b/>
          <w:i/>
          <w:szCs w:val="24"/>
          <w:lang w:val="en-GB"/>
        </w:rPr>
      </w:pPr>
      <w:r w:rsidRPr="003569BE">
        <w:rPr>
          <w:b/>
          <w:i/>
          <w:szCs w:val="24"/>
          <w:lang w:val="en-GB"/>
        </w:rPr>
        <w:t>External validity</w:t>
      </w:r>
    </w:p>
    <w:p w:rsidR="00D21637" w:rsidRPr="003569BE" w:rsidRDefault="00063B43" w:rsidP="00343671">
      <w:pPr>
        <w:spacing w:line="360" w:lineRule="auto"/>
        <w:rPr>
          <w:szCs w:val="24"/>
          <w:lang w:val="en-GB"/>
        </w:rPr>
      </w:pPr>
      <w:r w:rsidRPr="003569BE">
        <w:rPr>
          <w:szCs w:val="24"/>
          <w:lang w:val="en-GB"/>
        </w:rPr>
        <w:t>External validity reflects the extent to which the results can be generalized to the whole population. In Figure 1 presented before, the external validity can be visually identified through arrow 1.</w:t>
      </w:r>
    </w:p>
    <w:p w:rsidR="00063B43" w:rsidRPr="003569BE" w:rsidRDefault="007D029D" w:rsidP="00343671">
      <w:pPr>
        <w:spacing w:line="360" w:lineRule="auto"/>
        <w:rPr>
          <w:szCs w:val="24"/>
          <w:lang w:val="en-GB"/>
        </w:rPr>
      </w:pPr>
      <w:r w:rsidRPr="003569BE">
        <w:rPr>
          <w:szCs w:val="24"/>
          <w:lang w:val="en-GB"/>
        </w:rPr>
        <w:t>B</w:t>
      </w:r>
      <w:r w:rsidR="00D45B4C" w:rsidRPr="003569BE">
        <w:rPr>
          <w:szCs w:val="24"/>
          <w:lang w:val="en-GB"/>
        </w:rPr>
        <w:t xml:space="preserve">ecause </w:t>
      </w:r>
      <w:r w:rsidR="00C04D43">
        <w:rPr>
          <w:szCs w:val="24"/>
          <w:lang w:val="en-GB"/>
        </w:rPr>
        <w:t xml:space="preserve">in this desk research </w:t>
      </w:r>
      <w:r w:rsidR="00D45B4C" w:rsidRPr="003569BE">
        <w:rPr>
          <w:szCs w:val="24"/>
          <w:lang w:val="en-GB"/>
        </w:rPr>
        <w:t>real world data is used</w:t>
      </w:r>
      <w:r w:rsidRPr="003569BE">
        <w:rPr>
          <w:szCs w:val="24"/>
          <w:lang w:val="en-GB"/>
        </w:rPr>
        <w:t>, this thesis tends to have a relatively high level of external validity</w:t>
      </w:r>
      <w:r w:rsidR="00D45B4C" w:rsidRPr="003569BE">
        <w:rPr>
          <w:szCs w:val="24"/>
          <w:lang w:val="en-GB"/>
        </w:rPr>
        <w:t>.</w:t>
      </w:r>
      <w:r w:rsidR="00177D2C" w:rsidRPr="003569BE">
        <w:rPr>
          <w:szCs w:val="24"/>
          <w:lang w:val="en-GB"/>
        </w:rPr>
        <w:t xml:space="preserve"> In addition, </w:t>
      </w:r>
      <w:r w:rsidR="004D6FA9" w:rsidRPr="003569BE">
        <w:rPr>
          <w:szCs w:val="24"/>
          <w:lang w:val="en-GB"/>
        </w:rPr>
        <w:t>a sample selection as random as possible implies high levels of external validity. In this thesis, the sample comprising public listed companies from Italy, during a period of 9 years, i.e. 2005</w:t>
      </w:r>
      <w:r w:rsidR="00C04D43">
        <w:rPr>
          <w:szCs w:val="24"/>
          <w:lang w:val="en-GB"/>
        </w:rPr>
        <w:t xml:space="preserve"> up </w:t>
      </w:r>
      <w:r w:rsidR="006F7641">
        <w:rPr>
          <w:szCs w:val="24"/>
          <w:lang w:val="en-GB"/>
        </w:rPr>
        <w:t>a</w:t>
      </w:r>
      <w:r w:rsidR="00C04D43">
        <w:rPr>
          <w:szCs w:val="24"/>
          <w:lang w:val="en-GB"/>
        </w:rPr>
        <w:t xml:space="preserve">nd included </w:t>
      </w:r>
      <w:r w:rsidR="004D6FA9" w:rsidRPr="00AB0C91">
        <w:rPr>
          <w:szCs w:val="24"/>
          <w:lang w:val="en-GB"/>
        </w:rPr>
        <w:t>2013</w:t>
      </w:r>
      <w:r w:rsidR="004D6FA9" w:rsidRPr="003569BE">
        <w:rPr>
          <w:szCs w:val="24"/>
          <w:lang w:val="en-GB"/>
        </w:rPr>
        <w:t>, was randomly selected from the Compus</w:t>
      </w:r>
      <w:r w:rsidR="00E95C58" w:rsidRPr="003569BE">
        <w:rPr>
          <w:szCs w:val="24"/>
          <w:lang w:val="en-GB"/>
        </w:rPr>
        <w:t>tat Global database. Consequently, this thesis is considered to have a relatively high level of external validity.</w:t>
      </w:r>
    </w:p>
    <w:p w:rsidR="00AB0C91" w:rsidRDefault="00AB0C91" w:rsidP="00343671">
      <w:pPr>
        <w:spacing w:line="360" w:lineRule="auto"/>
        <w:rPr>
          <w:b/>
          <w:i/>
          <w:szCs w:val="24"/>
          <w:lang w:val="en-GB"/>
        </w:rPr>
      </w:pPr>
    </w:p>
    <w:p w:rsidR="00717D4D" w:rsidRPr="003569BE" w:rsidRDefault="00717D4D" w:rsidP="00343671">
      <w:pPr>
        <w:spacing w:line="360" w:lineRule="auto"/>
        <w:rPr>
          <w:b/>
          <w:i/>
          <w:szCs w:val="24"/>
          <w:lang w:val="en-GB"/>
        </w:rPr>
      </w:pPr>
      <w:r w:rsidRPr="003569BE">
        <w:rPr>
          <w:b/>
          <w:i/>
          <w:szCs w:val="24"/>
          <w:lang w:val="en-GB"/>
        </w:rPr>
        <w:lastRenderedPageBreak/>
        <w:t>Construct validity</w:t>
      </w:r>
    </w:p>
    <w:p w:rsidR="001D1A84" w:rsidRPr="003569BE" w:rsidRDefault="00063B43" w:rsidP="001D1A84">
      <w:pPr>
        <w:spacing w:line="360" w:lineRule="auto"/>
        <w:rPr>
          <w:szCs w:val="24"/>
          <w:lang w:val="en-GB"/>
        </w:rPr>
      </w:pPr>
      <w:r w:rsidRPr="003569BE">
        <w:rPr>
          <w:szCs w:val="24"/>
          <w:lang w:val="en-GB"/>
        </w:rPr>
        <w:t>Construct validity reflects the extent to which one variable measures the underlying theoretical construct that it is supposed to measure.</w:t>
      </w:r>
      <w:r w:rsidR="001D1A84" w:rsidRPr="003569BE">
        <w:rPr>
          <w:szCs w:val="24"/>
          <w:lang w:val="en-GB"/>
        </w:rPr>
        <w:t xml:space="preserve"> In Figure 1 presented before, the construct validity can be visually identified through arrows 2 and 3.</w:t>
      </w:r>
    </w:p>
    <w:p w:rsidR="00D21637" w:rsidRPr="003569BE" w:rsidRDefault="00BA76A6" w:rsidP="00343671">
      <w:pPr>
        <w:spacing w:line="360" w:lineRule="auto"/>
        <w:rPr>
          <w:szCs w:val="24"/>
          <w:lang w:val="en-GB"/>
        </w:rPr>
      </w:pPr>
      <w:r w:rsidRPr="003569BE">
        <w:rPr>
          <w:szCs w:val="24"/>
          <w:lang w:val="en-GB"/>
        </w:rPr>
        <w:t>Measuring the independent variable</w:t>
      </w:r>
      <w:r w:rsidR="0097130D" w:rsidRPr="003569BE">
        <w:rPr>
          <w:szCs w:val="24"/>
          <w:lang w:val="en-GB"/>
        </w:rPr>
        <w:t>,</w:t>
      </w:r>
      <w:r w:rsidR="00302726" w:rsidRPr="003569BE">
        <w:rPr>
          <w:szCs w:val="24"/>
          <w:lang w:val="en-GB"/>
        </w:rPr>
        <w:t xml:space="preserve"> i.e.</w:t>
      </w:r>
      <w:r w:rsidR="0097130D" w:rsidRPr="003569BE">
        <w:rPr>
          <w:szCs w:val="24"/>
          <w:lang w:val="en-GB"/>
        </w:rPr>
        <w:t xml:space="preserve"> audit quality in a MAFR setting,</w:t>
      </w:r>
      <w:r w:rsidRPr="003569BE">
        <w:rPr>
          <w:szCs w:val="24"/>
          <w:lang w:val="en-GB"/>
        </w:rPr>
        <w:t xml:space="preserve"> implies computing the audit tenure for each firm-year observation.</w:t>
      </w:r>
      <w:r w:rsidR="0097130D" w:rsidRPr="003569BE">
        <w:rPr>
          <w:szCs w:val="24"/>
          <w:lang w:val="en-GB"/>
        </w:rPr>
        <w:t xml:space="preserve"> In order to compute the audit tenure, the name of the auditors for each firm-year observation is collected from the published annual reports. Since the name of the auditors is observable in the annual reports of the companies,</w:t>
      </w:r>
      <w:r w:rsidRPr="003569BE">
        <w:rPr>
          <w:szCs w:val="24"/>
          <w:lang w:val="en-GB"/>
        </w:rPr>
        <w:t xml:space="preserve"> </w:t>
      </w:r>
      <w:r w:rsidR="0097130D" w:rsidRPr="003569BE">
        <w:rPr>
          <w:szCs w:val="24"/>
          <w:lang w:val="en-GB"/>
        </w:rPr>
        <w:t>t</w:t>
      </w:r>
      <w:r w:rsidRPr="003569BE">
        <w:rPr>
          <w:szCs w:val="24"/>
          <w:lang w:val="en-GB"/>
        </w:rPr>
        <w:t xml:space="preserve">his measurement is performed </w:t>
      </w:r>
      <w:r w:rsidR="0097130D" w:rsidRPr="003569BE">
        <w:rPr>
          <w:szCs w:val="24"/>
          <w:lang w:val="en-GB"/>
        </w:rPr>
        <w:t>without any issues. C</w:t>
      </w:r>
      <w:r w:rsidRPr="003569BE">
        <w:rPr>
          <w:szCs w:val="24"/>
          <w:lang w:val="en-GB"/>
        </w:rPr>
        <w:t>onsequently the construct validity regarding the independent variable is high.</w:t>
      </w:r>
      <w:r w:rsidR="0097130D" w:rsidRPr="003569BE">
        <w:rPr>
          <w:szCs w:val="24"/>
          <w:lang w:val="en-GB"/>
        </w:rPr>
        <w:t xml:space="preserve"> </w:t>
      </w:r>
    </w:p>
    <w:p w:rsidR="00302726" w:rsidRPr="003569BE" w:rsidRDefault="00302726" w:rsidP="00343671">
      <w:pPr>
        <w:spacing w:line="360" w:lineRule="auto"/>
        <w:rPr>
          <w:szCs w:val="24"/>
          <w:lang w:val="en-GB"/>
        </w:rPr>
      </w:pPr>
      <w:r w:rsidRPr="003569BE">
        <w:rPr>
          <w:szCs w:val="24"/>
          <w:lang w:val="en-GB"/>
        </w:rPr>
        <w:t>On the other hand, measuring the dependent variable, i.e. the magnitude of the use of earnings management, implies the estimation of the amount of discretionary accruals. Since discretionary accruals are not directly observable, an estimation model is used</w:t>
      </w:r>
      <w:r w:rsidR="0013375F" w:rsidRPr="003569BE">
        <w:rPr>
          <w:szCs w:val="24"/>
          <w:lang w:val="en-GB"/>
        </w:rPr>
        <w:t xml:space="preserve">, i.e. the performance matched model by Kothari et Al. (2005). These estimates used in the model for determining the amount of discretionary accruals cause certain </w:t>
      </w:r>
      <w:r w:rsidR="000823EF" w:rsidRPr="003569BE">
        <w:rPr>
          <w:szCs w:val="24"/>
          <w:lang w:val="en-GB"/>
        </w:rPr>
        <w:t>construct validity issues.</w:t>
      </w:r>
      <w:r w:rsidR="00E0159B" w:rsidRPr="003569BE">
        <w:rPr>
          <w:szCs w:val="24"/>
          <w:lang w:val="en-GB"/>
        </w:rPr>
        <w:t xml:space="preserve"> </w:t>
      </w:r>
      <w:r w:rsidR="00125A8F" w:rsidRPr="003569BE">
        <w:rPr>
          <w:szCs w:val="24"/>
          <w:lang w:val="en-GB"/>
        </w:rPr>
        <w:t xml:space="preserve">Consequently, the construct validity regarding the dependent variable is relatively low. </w:t>
      </w:r>
      <w:r w:rsidR="00AF068D" w:rsidRPr="003569BE">
        <w:rPr>
          <w:szCs w:val="24"/>
          <w:lang w:val="en-GB"/>
        </w:rPr>
        <w:t>This limitation will be further commented in section 8.2 of this thesis.</w:t>
      </w:r>
    </w:p>
    <w:p w:rsidR="00A71EE4" w:rsidRPr="003569BE" w:rsidRDefault="00A71EE4" w:rsidP="00A71EE4">
      <w:pPr>
        <w:pStyle w:val="Heading2"/>
        <w:numPr>
          <w:ilvl w:val="1"/>
          <w:numId w:val="6"/>
        </w:numPr>
        <w:spacing w:line="360" w:lineRule="auto"/>
        <w:rPr>
          <w:lang w:val="en-GB"/>
        </w:rPr>
      </w:pPr>
      <w:bookmarkStart w:id="52" w:name="_Toc396633584"/>
      <w:r w:rsidRPr="003569BE">
        <w:rPr>
          <w:lang w:val="en-GB"/>
        </w:rPr>
        <w:t>Sample</w:t>
      </w:r>
      <w:bookmarkEnd w:id="52"/>
    </w:p>
    <w:p w:rsidR="00A71EE4" w:rsidRPr="003569BE" w:rsidRDefault="00A71EE4" w:rsidP="00A71EE4">
      <w:pPr>
        <w:spacing w:line="360" w:lineRule="auto"/>
        <w:rPr>
          <w:lang w:val="en-GB"/>
        </w:rPr>
      </w:pPr>
      <w:r w:rsidRPr="003569BE">
        <w:rPr>
          <w:lang w:val="en-GB"/>
        </w:rPr>
        <w:t>In order to test the hypotheses, a sample is extracted from the Compustat Global database. The Compustat Global Database contains annual and quarterly report information of non-American and non-Canadian listed companies. Annual report data is available in this database starting from 1987. Furthermore, additional data is gathered from the next sources: Orbis database, Thomson Research database and Thomson One Banker database. Orbis contains financial information regarding 79 million companies worldwide for the last ten years. Thomson Research provides electronic copies of the annual, intermediary and quarterly</w:t>
      </w:r>
      <w:r w:rsidR="00C30623" w:rsidRPr="003569BE">
        <w:rPr>
          <w:lang w:val="en-GB"/>
        </w:rPr>
        <w:t xml:space="preserve"> financial </w:t>
      </w:r>
      <w:r w:rsidRPr="003569BE">
        <w:rPr>
          <w:lang w:val="en-GB"/>
        </w:rPr>
        <w:t xml:space="preserve">reports and analysts’ coverage for 30.000 listed companies worldwide, with a time range of 1993-present. Thomson One Banker contains financial data for listed companies worldwide, providing data from the annual reports, for the period starting from 1993. A detailed presentation of the data collection from these sources is presented </w:t>
      </w:r>
      <w:r w:rsidR="00820B5F" w:rsidRPr="003569BE">
        <w:rPr>
          <w:lang w:val="en-GB"/>
        </w:rPr>
        <w:t>next in</w:t>
      </w:r>
      <w:r w:rsidRPr="003569BE">
        <w:rPr>
          <w:lang w:val="en-GB"/>
        </w:rPr>
        <w:t xml:space="preserve"> this chapter.</w:t>
      </w:r>
    </w:p>
    <w:p w:rsidR="00A71EE4" w:rsidRPr="003569BE" w:rsidRDefault="00A71EE4" w:rsidP="00A71EE4">
      <w:pPr>
        <w:pStyle w:val="Heading2"/>
        <w:numPr>
          <w:ilvl w:val="2"/>
          <w:numId w:val="6"/>
        </w:numPr>
        <w:rPr>
          <w:lang w:val="en-GB"/>
        </w:rPr>
      </w:pPr>
      <w:bookmarkStart w:id="53" w:name="_Toc396633585"/>
      <w:r w:rsidRPr="003569BE">
        <w:rPr>
          <w:lang w:val="en-GB"/>
        </w:rPr>
        <w:lastRenderedPageBreak/>
        <w:t>Sample Selection</w:t>
      </w:r>
      <w:bookmarkEnd w:id="53"/>
    </w:p>
    <w:p w:rsidR="00A71EE4" w:rsidRPr="003569BE" w:rsidRDefault="00A71EE4" w:rsidP="00A71EE4">
      <w:pPr>
        <w:spacing w:line="360" w:lineRule="auto"/>
        <w:rPr>
          <w:lang w:val="en-GB"/>
        </w:rPr>
      </w:pPr>
      <w:r w:rsidRPr="003569BE">
        <w:rPr>
          <w:lang w:val="en-GB"/>
        </w:rPr>
        <w:t>In order to gain a proper understanding of the management’s behaviour, in terms of the magnitude of the use of earnings management, in a real mandatory audit firm rotation, the Italian setting will be used; consequently the sample used in this thesis will comprise non-financial Italian public listed companies. Due to data gathering limitations regarding the auditor tenure information, the sample period is 2005</w:t>
      </w:r>
      <w:r w:rsidR="006F7641">
        <w:rPr>
          <w:lang w:val="en-GB"/>
        </w:rPr>
        <w:t xml:space="preserve"> </w:t>
      </w:r>
      <w:r w:rsidR="00AB0C91">
        <w:rPr>
          <w:lang w:val="en-GB"/>
        </w:rPr>
        <w:t xml:space="preserve">up to and included </w:t>
      </w:r>
      <w:r w:rsidRPr="003569BE">
        <w:rPr>
          <w:lang w:val="en-GB"/>
        </w:rPr>
        <w:t>2013, a period in which the information about the auditor is accessible. This limitation in addition restricts the size of this thesis’s sample, since the information regarding the auditor tenure was manually collected. Consequently, the biggest public listed companies in Italy in the initial sample were included, comprising 92 unique firms. From this initial sample, 40 companies belonging to the financial sector are excluded. In addition, 8 other companies are excluded from the sample due to availability issues regarding the required data. Since the accrual measure requires data from two consecutive years, the observations which had no information regarding the prior year from the sample were deleted. Consequentl</w:t>
      </w:r>
      <w:r w:rsidR="00575BC3" w:rsidRPr="003569BE">
        <w:rPr>
          <w:lang w:val="en-GB"/>
        </w:rPr>
        <w:t>y, the final sample contains 36</w:t>
      </w:r>
      <w:r w:rsidR="00D45CC2">
        <w:rPr>
          <w:lang w:val="en-GB"/>
        </w:rPr>
        <w:t>4</w:t>
      </w:r>
      <w:r w:rsidRPr="003569BE">
        <w:rPr>
          <w:lang w:val="en-GB"/>
        </w:rPr>
        <w:t xml:space="preserve"> firm-year observations, with data available from 44 unique firms. The next table presents the description of the final sample:</w:t>
      </w:r>
    </w:p>
    <w:tbl>
      <w:tblPr>
        <w:tblStyle w:val="LightShading-Accent5"/>
        <w:tblW w:w="0" w:type="auto"/>
        <w:tblLook w:val="04A0"/>
      </w:tblPr>
      <w:tblGrid>
        <w:gridCol w:w="4644"/>
        <w:gridCol w:w="4644"/>
      </w:tblGrid>
      <w:tr w:rsidR="00A71EE4" w:rsidRPr="003569BE" w:rsidTr="00A71EE4">
        <w:trPr>
          <w:cnfStyle w:val="100000000000"/>
        </w:trPr>
        <w:tc>
          <w:tcPr>
            <w:cnfStyle w:val="001000000000"/>
            <w:tcW w:w="4644" w:type="dxa"/>
            <w:shd w:val="clear" w:color="auto" w:fill="FFFFFF" w:themeFill="background1"/>
          </w:tcPr>
          <w:p w:rsidR="00A71EE4" w:rsidRPr="003569BE" w:rsidRDefault="00A71EE4" w:rsidP="00A71EE4">
            <w:pPr>
              <w:jc w:val="center"/>
              <w:rPr>
                <w:szCs w:val="24"/>
                <w:lang w:val="en-GB"/>
              </w:rPr>
            </w:pPr>
          </w:p>
        </w:tc>
        <w:tc>
          <w:tcPr>
            <w:tcW w:w="4644" w:type="dxa"/>
          </w:tcPr>
          <w:p w:rsidR="00A71EE4" w:rsidRPr="003569BE" w:rsidRDefault="00A71EE4" w:rsidP="00A71EE4">
            <w:pPr>
              <w:jc w:val="center"/>
              <w:cnfStyle w:val="100000000000"/>
              <w:rPr>
                <w:b w:val="0"/>
                <w:i/>
                <w:szCs w:val="24"/>
                <w:lang w:val="en-GB"/>
              </w:rPr>
            </w:pPr>
            <w:r w:rsidRPr="003569BE">
              <w:rPr>
                <w:b w:val="0"/>
                <w:i/>
                <w:szCs w:val="24"/>
                <w:lang w:val="en-GB"/>
              </w:rPr>
              <w:t>Firm-year observations</w:t>
            </w:r>
          </w:p>
        </w:tc>
      </w:tr>
      <w:tr w:rsidR="00A71EE4" w:rsidRPr="003569BE" w:rsidTr="00A71EE4">
        <w:trPr>
          <w:cnfStyle w:val="000000100000"/>
        </w:trPr>
        <w:tc>
          <w:tcPr>
            <w:cnfStyle w:val="001000000000"/>
            <w:tcW w:w="4644" w:type="dxa"/>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Original sample</w:t>
            </w:r>
          </w:p>
        </w:tc>
        <w:tc>
          <w:tcPr>
            <w:tcW w:w="4644" w:type="dxa"/>
            <w:shd w:val="clear" w:color="auto" w:fill="FFFFFF" w:themeFill="background1"/>
          </w:tcPr>
          <w:p w:rsidR="00A71EE4" w:rsidRPr="003569BE" w:rsidRDefault="000F345D" w:rsidP="00A71EE4">
            <w:pPr>
              <w:jc w:val="center"/>
              <w:cnfStyle w:val="000000100000"/>
              <w:rPr>
                <w:szCs w:val="24"/>
                <w:lang w:val="en-GB"/>
              </w:rPr>
            </w:pPr>
            <w:r>
              <w:rPr>
                <w:szCs w:val="24"/>
                <w:lang w:val="en-GB"/>
              </w:rPr>
              <w:t xml:space="preserve">  835</w:t>
            </w:r>
          </w:p>
        </w:tc>
      </w:tr>
      <w:tr w:rsidR="00A71EE4" w:rsidRPr="003569BE" w:rsidTr="00A71EE4">
        <w:tc>
          <w:tcPr>
            <w:cnfStyle w:val="001000000000"/>
            <w:tcW w:w="4644" w:type="dxa"/>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Financial sector excluded</w:t>
            </w:r>
          </w:p>
        </w:tc>
        <w:tc>
          <w:tcPr>
            <w:tcW w:w="4644" w:type="dxa"/>
            <w:shd w:val="clear" w:color="auto" w:fill="FFFFFF" w:themeFill="background1"/>
          </w:tcPr>
          <w:p w:rsidR="00A71EE4" w:rsidRPr="003569BE" w:rsidRDefault="00A71EE4" w:rsidP="00A71EE4">
            <w:pPr>
              <w:jc w:val="center"/>
              <w:cnfStyle w:val="000000000000"/>
              <w:rPr>
                <w:szCs w:val="24"/>
                <w:lang w:val="en-GB"/>
              </w:rPr>
            </w:pPr>
            <w:r w:rsidRPr="003569BE">
              <w:rPr>
                <w:szCs w:val="24"/>
                <w:lang w:val="en-GB"/>
              </w:rPr>
              <w:t>-360</w:t>
            </w:r>
          </w:p>
        </w:tc>
      </w:tr>
      <w:tr w:rsidR="00A71EE4" w:rsidRPr="003569BE" w:rsidTr="008D1C52">
        <w:trPr>
          <w:cnfStyle w:val="000000100000"/>
        </w:trPr>
        <w:tc>
          <w:tcPr>
            <w:cnfStyle w:val="001000000000"/>
            <w:tcW w:w="4644" w:type="dxa"/>
            <w:tcBorders>
              <w:bottom w:val="single" w:sz="4" w:space="0" w:color="2E74B5" w:themeColor="accent1" w:themeShade="BF"/>
            </w:tcBorders>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Unavailable data excluded</w:t>
            </w:r>
          </w:p>
        </w:tc>
        <w:tc>
          <w:tcPr>
            <w:tcW w:w="4644" w:type="dxa"/>
            <w:tcBorders>
              <w:bottom w:val="single" w:sz="4" w:space="0" w:color="2E74B5" w:themeColor="accent1" w:themeShade="BF"/>
            </w:tcBorders>
            <w:shd w:val="clear" w:color="auto" w:fill="FFFFFF" w:themeFill="background1"/>
          </w:tcPr>
          <w:p w:rsidR="00A71EE4" w:rsidRPr="003569BE" w:rsidRDefault="00A71EE4" w:rsidP="00A71EE4">
            <w:pPr>
              <w:jc w:val="center"/>
              <w:cnfStyle w:val="000000100000"/>
              <w:rPr>
                <w:szCs w:val="24"/>
                <w:lang w:val="en-GB"/>
              </w:rPr>
            </w:pPr>
            <w:r w:rsidRPr="003569BE">
              <w:rPr>
                <w:szCs w:val="24"/>
                <w:lang w:val="en-GB"/>
              </w:rPr>
              <w:t>-111</w:t>
            </w:r>
          </w:p>
        </w:tc>
      </w:tr>
      <w:tr w:rsidR="00A71EE4" w:rsidRPr="003569BE" w:rsidTr="008D1C52">
        <w:tc>
          <w:tcPr>
            <w:cnfStyle w:val="001000000000"/>
            <w:tcW w:w="4644" w:type="dxa"/>
            <w:tcBorders>
              <w:top w:val="single" w:sz="4" w:space="0" w:color="2E74B5" w:themeColor="accent1" w:themeShade="BF"/>
            </w:tcBorders>
            <w:shd w:val="clear" w:color="auto" w:fill="FFFFFF" w:themeFill="background1"/>
          </w:tcPr>
          <w:p w:rsidR="00A71EE4" w:rsidRPr="003569BE" w:rsidRDefault="00A71EE4" w:rsidP="00A71EE4">
            <w:pPr>
              <w:jc w:val="center"/>
              <w:rPr>
                <w:szCs w:val="24"/>
                <w:lang w:val="en-GB"/>
              </w:rPr>
            </w:pPr>
            <w:r w:rsidRPr="003569BE">
              <w:rPr>
                <w:szCs w:val="24"/>
                <w:lang w:val="en-GB"/>
              </w:rPr>
              <w:t>FINAL SAMPLE</w:t>
            </w:r>
          </w:p>
        </w:tc>
        <w:tc>
          <w:tcPr>
            <w:tcW w:w="4644" w:type="dxa"/>
            <w:tcBorders>
              <w:top w:val="single" w:sz="4" w:space="0" w:color="2E74B5" w:themeColor="accent1" w:themeShade="BF"/>
            </w:tcBorders>
            <w:shd w:val="clear" w:color="auto" w:fill="FFFFFF" w:themeFill="background1"/>
          </w:tcPr>
          <w:p w:rsidR="00A71EE4" w:rsidRPr="003569BE" w:rsidRDefault="000F345D" w:rsidP="00A71EE4">
            <w:pPr>
              <w:jc w:val="center"/>
              <w:cnfStyle w:val="000000000000"/>
              <w:rPr>
                <w:b/>
                <w:szCs w:val="24"/>
                <w:lang w:val="en-GB"/>
              </w:rPr>
            </w:pPr>
            <w:r>
              <w:rPr>
                <w:b/>
                <w:szCs w:val="24"/>
                <w:lang w:val="en-GB"/>
              </w:rPr>
              <w:t xml:space="preserve">  364</w:t>
            </w:r>
          </w:p>
        </w:tc>
      </w:tr>
    </w:tbl>
    <w:p w:rsidR="00A71EE4" w:rsidRPr="003569BE" w:rsidRDefault="00A71EE4" w:rsidP="00A71EE4">
      <w:pPr>
        <w:spacing w:line="360" w:lineRule="auto"/>
        <w:jc w:val="right"/>
        <w:rPr>
          <w:i/>
          <w:sz w:val="20"/>
          <w:szCs w:val="20"/>
          <w:lang w:val="en-GB"/>
        </w:rPr>
      </w:pPr>
      <w:r w:rsidRPr="003569BE">
        <w:rPr>
          <w:i/>
          <w:sz w:val="20"/>
          <w:szCs w:val="20"/>
          <w:lang w:val="en-GB"/>
        </w:rPr>
        <w:t>Table 1 – Sample Description</w:t>
      </w:r>
    </w:p>
    <w:p w:rsidR="00A71EE4" w:rsidRPr="003569BE" w:rsidRDefault="00A71EE4" w:rsidP="00A71EE4">
      <w:pPr>
        <w:spacing w:line="360" w:lineRule="auto"/>
        <w:rPr>
          <w:szCs w:val="24"/>
          <w:lang w:val="en-GB"/>
        </w:rPr>
      </w:pPr>
      <w:r w:rsidRPr="003569BE">
        <w:rPr>
          <w:szCs w:val="24"/>
          <w:lang w:val="en-GB"/>
        </w:rPr>
        <w:t xml:space="preserve">In order to have a better understanding of the sample, Table 2 below presents in which way this sample is structured, in the context of the auditor rotation. </w:t>
      </w:r>
    </w:p>
    <w:tbl>
      <w:tblPr>
        <w:tblStyle w:val="LightShading-Accent5"/>
        <w:tblW w:w="0" w:type="auto"/>
        <w:tblLook w:val="04A0"/>
      </w:tblPr>
      <w:tblGrid>
        <w:gridCol w:w="4644"/>
        <w:gridCol w:w="4644"/>
      </w:tblGrid>
      <w:tr w:rsidR="00A71EE4" w:rsidRPr="003569BE" w:rsidTr="00A71EE4">
        <w:trPr>
          <w:cnfStyle w:val="100000000000"/>
        </w:trPr>
        <w:tc>
          <w:tcPr>
            <w:cnfStyle w:val="001000000000"/>
            <w:tcW w:w="4644" w:type="dxa"/>
            <w:shd w:val="clear" w:color="auto" w:fill="FFFFFF" w:themeFill="background1"/>
          </w:tcPr>
          <w:p w:rsidR="00A71EE4" w:rsidRPr="003569BE" w:rsidRDefault="00A71EE4" w:rsidP="00A71EE4">
            <w:pPr>
              <w:jc w:val="center"/>
              <w:rPr>
                <w:szCs w:val="24"/>
                <w:lang w:val="en-GB"/>
              </w:rPr>
            </w:pPr>
          </w:p>
        </w:tc>
        <w:tc>
          <w:tcPr>
            <w:tcW w:w="4644" w:type="dxa"/>
          </w:tcPr>
          <w:p w:rsidR="00A71EE4" w:rsidRPr="003569BE" w:rsidRDefault="00A71EE4" w:rsidP="00A71EE4">
            <w:pPr>
              <w:jc w:val="center"/>
              <w:cnfStyle w:val="100000000000"/>
              <w:rPr>
                <w:b w:val="0"/>
                <w:i/>
                <w:szCs w:val="24"/>
                <w:lang w:val="en-GB"/>
              </w:rPr>
            </w:pPr>
            <w:r w:rsidRPr="003569BE">
              <w:rPr>
                <w:b w:val="0"/>
                <w:i/>
                <w:szCs w:val="24"/>
                <w:lang w:val="en-GB"/>
              </w:rPr>
              <w:t>Firm-year observations</w:t>
            </w:r>
          </w:p>
        </w:tc>
      </w:tr>
      <w:tr w:rsidR="00A71EE4" w:rsidRPr="003569BE" w:rsidTr="00A71EE4">
        <w:trPr>
          <w:cnfStyle w:val="000000100000"/>
        </w:trPr>
        <w:tc>
          <w:tcPr>
            <w:cnfStyle w:val="001000000000"/>
            <w:tcW w:w="4644" w:type="dxa"/>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Years before the final year</w:t>
            </w:r>
          </w:p>
        </w:tc>
        <w:tc>
          <w:tcPr>
            <w:tcW w:w="4644" w:type="dxa"/>
            <w:shd w:val="clear" w:color="auto" w:fill="FFFFFF" w:themeFill="background1"/>
          </w:tcPr>
          <w:p w:rsidR="00A71EE4" w:rsidRPr="003569BE" w:rsidRDefault="005D5A2D" w:rsidP="00A71EE4">
            <w:pPr>
              <w:jc w:val="center"/>
              <w:cnfStyle w:val="000000100000"/>
              <w:rPr>
                <w:szCs w:val="24"/>
                <w:lang w:val="en-GB"/>
              </w:rPr>
            </w:pPr>
            <w:r w:rsidRPr="003569BE">
              <w:rPr>
                <w:szCs w:val="24"/>
                <w:lang w:val="en-GB"/>
              </w:rPr>
              <w:t>190</w:t>
            </w:r>
          </w:p>
        </w:tc>
      </w:tr>
      <w:tr w:rsidR="00A71EE4" w:rsidRPr="003569BE" w:rsidTr="00A71EE4">
        <w:tc>
          <w:tcPr>
            <w:cnfStyle w:val="001000000000"/>
            <w:tcW w:w="4644" w:type="dxa"/>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Last year before rotation</w:t>
            </w:r>
          </w:p>
        </w:tc>
        <w:tc>
          <w:tcPr>
            <w:tcW w:w="4644" w:type="dxa"/>
            <w:shd w:val="clear" w:color="auto" w:fill="FFFFFF" w:themeFill="background1"/>
          </w:tcPr>
          <w:p w:rsidR="00A71EE4" w:rsidRPr="003569BE" w:rsidRDefault="00A71EE4" w:rsidP="00A71EE4">
            <w:pPr>
              <w:jc w:val="center"/>
              <w:cnfStyle w:val="000000000000"/>
              <w:rPr>
                <w:szCs w:val="24"/>
                <w:lang w:val="en-GB"/>
              </w:rPr>
            </w:pPr>
            <w:r w:rsidRPr="003569BE">
              <w:rPr>
                <w:szCs w:val="24"/>
                <w:lang w:val="en-GB"/>
              </w:rPr>
              <w:t>35</w:t>
            </w:r>
          </w:p>
        </w:tc>
      </w:tr>
      <w:tr w:rsidR="00A71EE4" w:rsidRPr="003569BE" w:rsidTr="00A71EE4">
        <w:trPr>
          <w:cnfStyle w:val="000000100000"/>
        </w:trPr>
        <w:tc>
          <w:tcPr>
            <w:cnfStyle w:val="001000000000"/>
            <w:tcW w:w="4644" w:type="dxa"/>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First year after rotation</w:t>
            </w:r>
          </w:p>
        </w:tc>
        <w:tc>
          <w:tcPr>
            <w:tcW w:w="4644" w:type="dxa"/>
            <w:shd w:val="clear" w:color="auto" w:fill="FFFFFF" w:themeFill="background1"/>
          </w:tcPr>
          <w:p w:rsidR="00A71EE4" w:rsidRPr="003569BE" w:rsidRDefault="00A71EE4" w:rsidP="00A71EE4">
            <w:pPr>
              <w:jc w:val="center"/>
              <w:cnfStyle w:val="000000100000"/>
              <w:rPr>
                <w:szCs w:val="24"/>
                <w:lang w:val="en-GB"/>
              </w:rPr>
            </w:pPr>
            <w:r w:rsidRPr="003569BE">
              <w:rPr>
                <w:szCs w:val="24"/>
                <w:lang w:val="en-GB"/>
              </w:rPr>
              <w:t>35</w:t>
            </w:r>
          </w:p>
        </w:tc>
      </w:tr>
      <w:tr w:rsidR="00A71EE4" w:rsidRPr="003569BE" w:rsidTr="00A71EE4">
        <w:tc>
          <w:tcPr>
            <w:cnfStyle w:val="001000000000"/>
            <w:tcW w:w="4644" w:type="dxa"/>
            <w:tcBorders>
              <w:top w:val="single" w:sz="2" w:space="0" w:color="FFFFFF" w:themeColor="background1"/>
              <w:bottom w:val="single" w:sz="2" w:space="0" w:color="5B9BD5" w:themeColor="accent1"/>
            </w:tcBorders>
            <w:shd w:val="clear" w:color="auto" w:fill="FFFFFF" w:themeFill="background1"/>
          </w:tcPr>
          <w:p w:rsidR="00A71EE4" w:rsidRPr="003569BE" w:rsidRDefault="00A71EE4" w:rsidP="00A71EE4">
            <w:pPr>
              <w:jc w:val="center"/>
              <w:rPr>
                <w:b w:val="0"/>
                <w:szCs w:val="24"/>
                <w:lang w:val="en-GB"/>
              </w:rPr>
            </w:pPr>
            <w:r w:rsidRPr="003569BE">
              <w:rPr>
                <w:b w:val="0"/>
                <w:szCs w:val="24"/>
                <w:lang w:val="en-GB"/>
              </w:rPr>
              <w:t>Years after rotation</w:t>
            </w:r>
            <w:r w:rsidR="00B913E9" w:rsidRPr="003569BE">
              <w:rPr>
                <w:b w:val="0"/>
                <w:szCs w:val="24"/>
                <w:lang w:val="en-GB"/>
              </w:rPr>
              <w:t>, first year excluded</w:t>
            </w:r>
          </w:p>
        </w:tc>
        <w:tc>
          <w:tcPr>
            <w:tcW w:w="4644" w:type="dxa"/>
            <w:tcBorders>
              <w:top w:val="single" w:sz="2" w:space="0" w:color="FFFFFF" w:themeColor="background1"/>
              <w:bottom w:val="single" w:sz="2" w:space="0" w:color="5B9BD5" w:themeColor="accent1"/>
            </w:tcBorders>
            <w:shd w:val="clear" w:color="auto" w:fill="FFFFFF" w:themeFill="background1"/>
          </w:tcPr>
          <w:p w:rsidR="00A71EE4" w:rsidRPr="003569BE" w:rsidRDefault="000F345D" w:rsidP="00A71EE4">
            <w:pPr>
              <w:jc w:val="center"/>
              <w:cnfStyle w:val="000000000000"/>
              <w:rPr>
                <w:szCs w:val="24"/>
                <w:lang w:val="en-GB"/>
              </w:rPr>
            </w:pPr>
            <w:r>
              <w:rPr>
                <w:szCs w:val="24"/>
                <w:lang w:val="en-GB"/>
              </w:rPr>
              <w:t>104</w:t>
            </w:r>
          </w:p>
        </w:tc>
      </w:tr>
      <w:tr w:rsidR="00A71EE4" w:rsidRPr="003569BE" w:rsidTr="00A71EE4">
        <w:trPr>
          <w:cnfStyle w:val="000000100000"/>
        </w:trPr>
        <w:tc>
          <w:tcPr>
            <w:cnfStyle w:val="001000000000"/>
            <w:tcW w:w="4644" w:type="dxa"/>
            <w:tcBorders>
              <w:top w:val="single" w:sz="2" w:space="0" w:color="5B9BD5" w:themeColor="accent1"/>
            </w:tcBorders>
            <w:shd w:val="clear" w:color="auto" w:fill="FFFFFF" w:themeFill="background1"/>
          </w:tcPr>
          <w:p w:rsidR="00A71EE4" w:rsidRPr="003569BE" w:rsidRDefault="00A71EE4" w:rsidP="00A71EE4">
            <w:pPr>
              <w:jc w:val="center"/>
              <w:rPr>
                <w:szCs w:val="24"/>
                <w:lang w:val="en-GB"/>
              </w:rPr>
            </w:pPr>
            <w:r w:rsidRPr="003569BE">
              <w:rPr>
                <w:szCs w:val="24"/>
                <w:lang w:val="en-GB"/>
              </w:rPr>
              <w:t>TOTAL</w:t>
            </w:r>
          </w:p>
        </w:tc>
        <w:tc>
          <w:tcPr>
            <w:tcW w:w="4644" w:type="dxa"/>
            <w:tcBorders>
              <w:top w:val="single" w:sz="2" w:space="0" w:color="5B9BD5" w:themeColor="accent1"/>
            </w:tcBorders>
            <w:shd w:val="clear" w:color="auto" w:fill="FFFFFF" w:themeFill="background1"/>
          </w:tcPr>
          <w:p w:rsidR="00A71EE4" w:rsidRPr="003569BE" w:rsidRDefault="000F345D" w:rsidP="00A71EE4">
            <w:pPr>
              <w:jc w:val="center"/>
              <w:cnfStyle w:val="000000100000"/>
              <w:rPr>
                <w:b/>
                <w:szCs w:val="24"/>
                <w:lang w:val="en-GB"/>
              </w:rPr>
            </w:pPr>
            <w:r>
              <w:rPr>
                <w:b/>
                <w:szCs w:val="24"/>
                <w:lang w:val="en-GB"/>
              </w:rPr>
              <w:t>364</w:t>
            </w:r>
          </w:p>
        </w:tc>
      </w:tr>
    </w:tbl>
    <w:p w:rsidR="00A71EE4" w:rsidRPr="003569BE" w:rsidRDefault="00A71EE4" w:rsidP="00A71EE4">
      <w:pPr>
        <w:spacing w:line="360" w:lineRule="auto"/>
        <w:jc w:val="right"/>
        <w:rPr>
          <w:i/>
          <w:sz w:val="20"/>
          <w:szCs w:val="20"/>
          <w:lang w:val="en-GB"/>
        </w:rPr>
      </w:pPr>
      <w:r w:rsidRPr="003569BE">
        <w:rPr>
          <w:i/>
          <w:sz w:val="20"/>
          <w:szCs w:val="20"/>
          <w:lang w:val="en-GB"/>
        </w:rPr>
        <w:t>Table 2 – Auditors’ Distribution in the Sample</w:t>
      </w:r>
    </w:p>
    <w:p w:rsidR="00A71EE4" w:rsidRPr="003569BE" w:rsidRDefault="00A71EE4" w:rsidP="00A71EE4">
      <w:pPr>
        <w:spacing w:line="360" w:lineRule="auto"/>
        <w:rPr>
          <w:szCs w:val="24"/>
          <w:lang w:val="en-GB"/>
        </w:rPr>
      </w:pPr>
      <w:r w:rsidRPr="003569BE">
        <w:rPr>
          <w:szCs w:val="24"/>
          <w:lang w:val="en-GB"/>
        </w:rPr>
        <w:t>Considering the fact that for certain observations it is impossible to establish when the auditor was changed, the distinction presented in the table before is essential for understanding the sample and especially for testing the second hypothesis. As the table shows, 35 observations represent the first year of a new auditor, and another 35 observations represent the last year of the previous auditor, before the mandatory rotation. In addition, 1</w:t>
      </w:r>
      <w:r w:rsidR="007365F1" w:rsidRPr="003569BE">
        <w:rPr>
          <w:szCs w:val="24"/>
          <w:lang w:val="en-GB"/>
        </w:rPr>
        <w:t>90</w:t>
      </w:r>
      <w:r w:rsidRPr="003569BE">
        <w:rPr>
          <w:szCs w:val="24"/>
          <w:lang w:val="en-GB"/>
        </w:rPr>
        <w:t xml:space="preserve"> observations represent </w:t>
      </w:r>
      <w:r w:rsidRPr="003569BE">
        <w:rPr>
          <w:szCs w:val="24"/>
          <w:lang w:val="en-GB"/>
        </w:rPr>
        <w:lastRenderedPageBreak/>
        <w:t xml:space="preserve">the years before the final year of an auditor, for which the moment of the previous rotation </w:t>
      </w:r>
      <w:r w:rsidR="00F63267" w:rsidRPr="003569BE">
        <w:rPr>
          <w:szCs w:val="24"/>
          <w:lang w:val="en-GB"/>
        </w:rPr>
        <w:t>is</w:t>
      </w:r>
      <w:r w:rsidRPr="003569BE">
        <w:rPr>
          <w:szCs w:val="24"/>
          <w:lang w:val="en-GB"/>
        </w:rPr>
        <w:t xml:space="preserve"> unknown</w:t>
      </w:r>
      <w:r w:rsidR="00D45CC2">
        <w:rPr>
          <w:szCs w:val="24"/>
          <w:lang w:val="en-GB"/>
        </w:rPr>
        <w:t>. Finally, 104</w:t>
      </w:r>
      <w:r w:rsidRPr="003569BE">
        <w:rPr>
          <w:szCs w:val="24"/>
          <w:lang w:val="en-GB"/>
        </w:rPr>
        <w:t xml:space="preserve"> observations consist of years after the known rotation has been performed.</w:t>
      </w:r>
    </w:p>
    <w:p w:rsidR="00A71EE4" w:rsidRPr="003569BE" w:rsidRDefault="00A71EE4" w:rsidP="00A71EE4">
      <w:pPr>
        <w:pStyle w:val="Heading2"/>
        <w:numPr>
          <w:ilvl w:val="2"/>
          <w:numId w:val="6"/>
        </w:numPr>
        <w:rPr>
          <w:lang w:val="en-GB"/>
        </w:rPr>
      </w:pPr>
      <w:bookmarkStart w:id="54" w:name="_Toc396633586"/>
      <w:r w:rsidRPr="003569BE">
        <w:rPr>
          <w:lang w:val="en-GB"/>
        </w:rPr>
        <w:t>Data Collection</w:t>
      </w:r>
      <w:bookmarkEnd w:id="54"/>
    </w:p>
    <w:p w:rsidR="00A71EE4" w:rsidRPr="003569BE" w:rsidRDefault="00A71EE4" w:rsidP="00A71EE4">
      <w:pPr>
        <w:spacing w:line="360" w:lineRule="auto"/>
        <w:rPr>
          <w:lang w:val="en-GB"/>
        </w:rPr>
      </w:pPr>
      <w:r w:rsidRPr="003569BE">
        <w:rPr>
          <w:lang w:val="en-GB"/>
        </w:rPr>
        <w:t>As signalled before, the primary sample is collected from the Compustat Global database. From this database,</w:t>
      </w:r>
      <w:r w:rsidR="00A52414" w:rsidRPr="003569BE">
        <w:rPr>
          <w:lang w:val="en-GB"/>
        </w:rPr>
        <w:t xml:space="preserve"> regarding the required variables for the accrual measure,</w:t>
      </w:r>
      <w:r w:rsidRPr="003569BE">
        <w:rPr>
          <w:lang w:val="en-GB"/>
        </w:rPr>
        <w:t xml:space="preserve"> the next data </w:t>
      </w:r>
      <w:r w:rsidR="004C6772" w:rsidRPr="003569BE">
        <w:rPr>
          <w:lang w:val="en-GB"/>
        </w:rPr>
        <w:t>will be</w:t>
      </w:r>
      <w:r w:rsidRPr="003569BE">
        <w:rPr>
          <w:lang w:val="en-GB"/>
        </w:rPr>
        <w:t xml:space="preserve"> collected,: current assets, current liabilities, total assets, total liabilities, cash and marketable securities, current portion of the long-term debt, depreciation and amortization expense, gross property, plant and equipment, total receivables and total revenues (sales). Orbis database </w:t>
      </w:r>
      <w:r w:rsidR="004C6772" w:rsidRPr="003569BE">
        <w:rPr>
          <w:lang w:val="en-GB"/>
        </w:rPr>
        <w:t>will be</w:t>
      </w:r>
      <w:r w:rsidRPr="003569BE">
        <w:rPr>
          <w:lang w:val="en-GB"/>
        </w:rPr>
        <w:t xml:space="preserve"> used to collect the information regarding the net income, used to compute the return on the assets ratio and another control variable. In addition, Orbis and Thomson One Banker databases </w:t>
      </w:r>
      <w:r w:rsidR="004C6772" w:rsidRPr="003569BE">
        <w:rPr>
          <w:lang w:val="en-GB"/>
        </w:rPr>
        <w:t>will be</w:t>
      </w:r>
      <w:r w:rsidRPr="003569BE">
        <w:rPr>
          <w:lang w:val="en-GB"/>
        </w:rPr>
        <w:t xml:space="preserve"> used to collect missing financial data that was not available in Compustat Global, while still other missing financial data </w:t>
      </w:r>
      <w:r w:rsidR="00675CF4" w:rsidRPr="003569BE">
        <w:rPr>
          <w:lang w:val="en-GB"/>
        </w:rPr>
        <w:t>will be</w:t>
      </w:r>
      <w:r w:rsidRPr="003569BE">
        <w:rPr>
          <w:lang w:val="en-GB"/>
        </w:rPr>
        <w:t xml:space="preserve"> manually gathered from the scanned financial reports through Thomson Research database. </w:t>
      </w:r>
    </w:p>
    <w:p w:rsidR="00A71EE4" w:rsidRPr="003569BE" w:rsidRDefault="00A71EE4" w:rsidP="00A71EE4">
      <w:pPr>
        <w:spacing w:line="360" w:lineRule="auto"/>
        <w:rPr>
          <w:lang w:val="en-GB"/>
        </w:rPr>
      </w:pPr>
      <w:r w:rsidRPr="003569BE">
        <w:rPr>
          <w:lang w:val="en-GB"/>
        </w:rPr>
        <w:t xml:space="preserve">Concerning the auditor information, the names of the auditors of the companies in the sample </w:t>
      </w:r>
      <w:r w:rsidR="00580EE6" w:rsidRPr="003569BE">
        <w:rPr>
          <w:lang w:val="en-GB"/>
        </w:rPr>
        <w:t>will be</w:t>
      </w:r>
      <w:r w:rsidRPr="003569BE">
        <w:rPr>
          <w:lang w:val="en-GB"/>
        </w:rPr>
        <w:t xml:space="preserve"> manually collected from the annual reports through Thomson Research database and from the annual reports officially posted on the companies’ websites. The purpose of gathering the names of the auditors in each year for the companies in the sample is to compute the length of the auditor tenure and to establish when the auditor rotation has been performed.</w:t>
      </w:r>
    </w:p>
    <w:p w:rsidR="00A71EE4" w:rsidRPr="003569BE" w:rsidRDefault="00A71EE4" w:rsidP="00A71EE4">
      <w:pPr>
        <w:spacing w:line="360" w:lineRule="auto"/>
        <w:rPr>
          <w:lang w:val="en-GB"/>
        </w:rPr>
      </w:pPr>
      <w:r w:rsidRPr="003569BE">
        <w:rPr>
          <w:lang w:val="en-GB"/>
        </w:rPr>
        <w:t xml:space="preserve">Concerning that, all the databases used </w:t>
      </w:r>
      <w:r w:rsidR="00712059" w:rsidRPr="003569BE">
        <w:rPr>
          <w:lang w:val="en-GB"/>
        </w:rPr>
        <w:t xml:space="preserve">in collecting the data </w:t>
      </w:r>
      <w:r w:rsidR="002F0754" w:rsidRPr="003569BE">
        <w:rPr>
          <w:lang w:val="en-GB"/>
        </w:rPr>
        <w:t>concerning</w:t>
      </w:r>
      <w:r w:rsidRPr="003569BE">
        <w:rPr>
          <w:lang w:val="en-GB"/>
        </w:rPr>
        <w:t xml:space="preserve"> the purpose of this thesis require licenses, </w:t>
      </w:r>
      <w:r w:rsidR="00FA2D25" w:rsidRPr="00FA2D25">
        <w:rPr>
          <w:lang w:val="en-GB"/>
        </w:rPr>
        <w:t xml:space="preserve">for accessing the information </w:t>
      </w:r>
      <w:r w:rsidRPr="003569BE">
        <w:rPr>
          <w:lang w:val="en-GB"/>
        </w:rPr>
        <w:t xml:space="preserve">the Erasmus University of Rotterdam student credentials </w:t>
      </w:r>
      <w:r w:rsidR="0057114A" w:rsidRPr="003569BE">
        <w:rPr>
          <w:lang w:val="en-GB"/>
        </w:rPr>
        <w:t>will be</w:t>
      </w:r>
      <w:r w:rsidRPr="003569BE">
        <w:rPr>
          <w:lang w:val="en-GB"/>
        </w:rPr>
        <w:t xml:space="preserve"> used.</w:t>
      </w:r>
    </w:p>
    <w:p w:rsidR="00103F51" w:rsidRPr="003569BE" w:rsidRDefault="00103F51" w:rsidP="00A71EE4">
      <w:pPr>
        <w:pStyle w:val="Heading2"/>
        <w:numPr>
          <w:ilvl w:val="1"/>
          <w:numId w:val="6"/>
        </w:numPr>
        <w:spacing w:line="360" w:lineRule="auto"/>
        <w:rPr>
          <w:lang w:val="en-GB"/>
        </w:rPr>
      </w:pPr>
      <w:bookmarkStart w:id="55" w:name="_Toc396633587"/>
      <w:r w:rsidRPr="003569BE">
        <w:rPr>
          <w:lang w:val="en-GB"/>
        </w:rPr>
        <w:t>Summary</w:t>
      </w:r>
      <w:bookmarkEnd w:id="55"/>
    </w:p>
    <w:p w:rsidR="003D5ECA" w:rsidRPr="003569BE" w:rsidRDefault="00E456FE" w:rsidP="00AD0CE6">
      <w:pPr>
        <w:spacing w:line="360" w:lineRule="auto"/>
        <w:rPr>
          <w:lang w:val="en-GB"/>
        </w:rPr>
      </w:pPr>
      <w:r w:rsidRPr="003569BE">
        <w:rPr>
          <w:lang w:val="en-GB"/>
        </w:rPr>
        <w:t xml:space="preserve">This chapter has presented the research design </w:t>
      </w:r>
      <w:r w:rsidR="00F31B2C" w:rsidRPr="003569BE">
        <w:rPr>
          <w:lang w:val="en-GB"/>
        </w:rPr>
        <w:t xml:space="preserve">to be </w:t>
      </w:r>
      <w:r w:rsidRPr="003569BE">
        <w:rPr>
          <w:lang w:val="en-GB"/>
        </w:rPr>
        <w:t xml:space="preserve">used </w:t>
      </w:r>
      <w:r w:rsidR="00F31B2C" w:rsidRPr="003569BE">
        <w:rPr>
          <w:lang w:val="en-GB"/>
        </w:rPr>
        <w:t xml:space="preserve">for </w:t>
      </w:r>
      <w:r w:rsidRPr="003569BE">
        <w:rPr>
          <w:lang w:val="en-GB"/>
        </w:rPr>
        <w:t>test</w:t>
      </w:r>
      <w:r w:rsidR="00F31B2C" w:rsidRPr="003569BE">
        <w:rPr>
          <w:lang w:val="en-GB"/>
        </w:rPr>
        <w:t>ing</w:t>
      </w:r>
      <w:r w:rsidRPr="003569BE">
        <w:rPr>
          <w:lang w:val="en-GB"/>
        </w:rPr>
        <w:t xml:space="preserve"> the hypotheses. First</w:t>
      </w:r>
      <w:r w:rsidR="00EF335B" w:rsidRPr="003569BE">
        <w:rPr>
          <w:lang w:val="en-GB"/>
        </w:rPr>
        <w:t>, the research approach</w:t>
      </w:r>
      <w:r w:rsidR="00D23AE3" w:rsidRPr="003569BE">
        <w:rPr>
          <w:lang w:val="en-GB"/>
        </w:rPr>
        <w:t xml:space="preserve"> that in this thesis will be used is presented:</w:t>
      </w:r>
      <w:r w:rsidR="00EF335B" w:rsidRPr="003569BE">
        <w:rPr>
          <w:lang w:val="en-GB"/>
        </w:rPr>
        <w:t xml:space="preserve"> </w:t>
      </w:r>
      <w:r w:rsidR="00DA296C" w:rsidRPr="003569BE">
        <w:rPr>
          <w:lang w:val="en-GB"/>
        </w:rPr>
        <w:t xml:space="preserve">quantitative research using a </w:t>
      </w:r>
      <w:r w:rsidR="00D23AE3" w:rsidRPr="003569BE">
        <w:rPr>
          <w:lang w:val="en-GB"/>
        </w:rPr>
        <w:t>desk research</w:t>
      </w:r>
      <w:r w:rsidR="00EF335B" w:rsidRPr="003569BE">
        <w:rPr>
          <w:lang w:val="en-GB"/>
        </w:rPr>
        <w:t>. Next</w:t>
      </w:r>
      <w:r w:rsidRPr="003569BE">
        <w:rPr>
          <w:lang w:val="en-GB"/>
        </w:rPr>
        <w:t xml:space="preserve">, </w:t>
      </w:r>
      <w:r w:rsidR="00F5168B" w:rsidRPr="003569BE">
        <w:rPr>
          <w:lang w:val="en-GB"/>
        </w:rPr>
        <w:t xml:space="preserve">the </w:t>
      </w:r>
      <w:r w:rsidR="00785FD7" w:rsidRPr="003569BE">
        <w:rPr>
          <w:lang w:val="en-GB"/>
        </w:rPr>
        <w:t>methods for estimating the measure of the magnitude of the use of earnings management, i.e. discretionary accruals, was presented: the performance matched model of Kothari et Al. (2005).</w:t>
      </w:r>
      <w:r w:rsidR="007F21FB" w:rsidRPr="003569BE">
        <w:rPr>
          <w:lang w:val="en-GB"/>
        </w:rPr>
        <w:t xml:space="preserve"> </w:t>
      </w:r>
      <w:r w:rsidR="004850EA" w:rsidRPr="003569BE">
        <w:rPr>
          <w:lang w:val="en-GB"/>
        </w:rPr>
        <w:t>In addition</w:t>
      </w:r>
      <w:r w:rsidR="007F21FB" w:rsidRPr="003569BE">
        <w:rPr>
          <w:lang w:val="en-GB"/>
        </w:rPr>
        <w:t>, the</w:t>
      </w:r>
      <w:r w:rsidR="00837DBF" w:rsidRPr="003569BE">
        <w:rPr>
          <w:lang w:val="en-GB"/>
        </w:rPr>
        <w:t xml:space="preserve"> control variables and the</w:t>
      </w:r>
      <w:r w:rsidR="007F21FB" w:rsidRPr="003569BE">
        <w:rPr>
          <w:lang w:val="en-GB"/>
        </w:rPr>
        <w:t xml:space="preserve"> regression </w:t>
      </w:r>
      <w:r w:rsidR="008F0C57" w:rsidRPr="003569BE">
        <w:rPr>
          <w:lang w:val="en-GB"/>
        </w:rPr>
        <w:t xml:space="preserve">model </w:t>
      </w:r>
      <w:r w:rsidR="00D67F6C" w:rsidRPr="003569BE">
        <w:rPr>
          <w:lang w:val="en-GB"/>
        </w:rPr>
        <w:t>for testing the hypotheses have</w:t>
      </w:r>
      <w:r w:rsidR="007F21FB" w:rsidRPr="003569BE">
        <w:rPr>
          <w:lang w:val="en-GB"/>
        </w:rPr>
        <w:t xml:space="preserve"> been presented.</w:t>
      </w:r>
      <w:r w:rsidR="006E5B31" w:rsidRPr="003569BE">
        <w:rPr>
          <w:lang w:val="en-GB"/>
        </w:rPr>
        <w:t xml:space="preserve"> </w:t>
      </w:r>
      <w:r w:rsidR="001A01C7" w:rsidRPr="003569BE">
        <w:rPr>
          <w:lang w:val="en-GB"/>
        </w:rPr>
        <w:t xml:space="preserve">Finally, the </w:t>
      </w:r>
      <w:r w:rsidR="006E5B31" w:rsidRPr="003569BE">
        <w:rPr>
          <w:lang w:val="en-GB"/>
        </w:rPr>
        <w:t>validity framework and the sample</w:t>
      </w:r>
      <w:r w:rsidR="001327DD" w:rsidRPr="003569BE">
        <w:rPr>
          <w:lang w:val="en-GB"/>
        </w:rPr>
        <w:t xml:space="preserve"> consisting of non-financial Italian listed companies for the period 2005</w:t>
      </w:r>
      <w:r w:rsidR="00AB0C91">
        <w:rPr>
          <w:lang w:val="en-GB"/>
        </w:rPr>
        <w:t xml:space="preserve"> up to and included </w:t>
      </w:r>
      <w:r w:rsidR="001327DD" w:rsidRPr="003569BE">
        <w:rPr>
          <w:lang w:val="en-GB"/>
        </w:rPr>
        <w:t>2013</w:t>
      </w:r>
      <w:r w:rsidR="006E5B31" w:rsidRPr="003569BE">
        <w:rPr>
          <w:lang w:val="en-GB"/>
        </w:rPr>
        <w:t xml:space="preserve"> have</w:t>
      </w:r>
      <w:r w:rsidR="001327DD" w:rsidRPr="003569BE">
        <w:rPr>
          <w:lang w:val="en-GB"/>
        </w:rPr>
        <w:t xml:space="preserve"> been presented.</w:t>
      </w:r>
      <w:r w:rsidR="000A5B34">
        <w:rPr>
          <w:lang w:val="en-GB"/>
        </w:rPr>
        <w:t xml:space="preserve"> </w:t>
      </w:r>
      <w:r w:rsidR="005B7D3C" w:rsidRPr="003569BE">
        <w:rPr>
          <w:lang w:val="en-GB"/>
        </w:rPr>
        <w:t>In the next chapter the results will be presented</w:t>
      </w:r>
      <w:r w:rsidR="00E57942" w:rsidRPr="003569BE">
        <w:rPr>
          <w:lang w:val="en-GB"/>
        </w:rPr>
        <w:t>.</w:t>
      </w:r>
    </w:p>
    <w:p w:rsidR="003D5ECA" w:rsidRPr="003569BE" w:rsidRDefault="005F377C" w:rsidP="00CF5E60">
      <w:pPr>
        <w:pStyle w:val="Heading1"/>
        <w:numPr>
          <w:ilvl w:val="0"/>
          <w:numId w:val="6"/>
        </w:numPr>
        <w:spacing w:line="360" w:lineRule="auto"/>
        <w:rPr>
          <w:lang w:val="en-GB"/>
        </w:rPr>
      </w:pPr>
      <w:bookmarkStart w:id="56" w:name="_Toc396633588"/>
      <w:r w:rsidRPr="003569BE">
        <w:rPr>
          <w:lang w:val="en-GB"/>
        </w:rPr>
        <w:lastRenderedPageBreak/>
        <w:t>Results</w:t>
      </w:r>
      <w:bookmarkEnd w:id="56"/>
    </w:p>
    <w:p w:rsidR="00861DEC" w:rsidRPr="003569BE" w:rsidRDefault="007617D4" w:rsidP="00A00C78">
      <w:pPr>
        <w:spacing w:line="360" w:lineRule="auto"/>
        <w:rPr>
          <w:lang w:val="en-GB"/>
        </w:rPr>
      </w:pPr>
      <w:r w:rsidRPr="003569BE">
        <w:rPr>
          <w:lang w:val="en-GB"/>
        </w:rPr>
        <w:t xml:space="preserve">In this chapter, the answer to the seventh sub-question of this thesis is provided: </w:t>
      </w:r>
      <w:r w:rsidRPr="003569BE">
        <w:rPr>
          <w:rFonts w:cs="Times New Roman"/>
          <w:i/>
          <w:szCs w:val="24"/>
          <w:lang w:val="en-GB"/>
        </w:rPr>
        <w:t>“What do the statistical results of the empirical research present about the studied relationship</w:t>
      </w:r>
      <w:r w:rsidR="005E34F8" w:rsidRPr="003569BE">
        <w:rPr>
          <w:rFonts w:cs="Times New Roman"/>
          <w:i/>
          <w:szCs w:val="24"/>
          <w:lang w:val="en-GB"/>
        </w:rPr>
        <w:t>?</w:t>
      </w:r>
      <w:r w:rsidRPr="003569BE">
        <w:rPr>
          <w:rFonts w:cs="Times New Roman"/>
          <w:i/>
          <w:szCs w:val="24"/>
          <w:lang w:val="en-GB"/>
        </w:rPr>
        <w:t>”</w:t>
      </w:r>
      <w:r w:rsidR="005E34F8" w:rsidRPr="003569BE">
        <w:rPr>
          <w:lang w:val="en-GB"/>
        </w:rPr>
        <w:t xml:space="preserve">. </w:t>
      </w:r>
      <w:r w:rsidR="00FF007D" w:rsidRPr="003569BE">
        <w:rPr>
          <w:lang w:val="en-GB"/>
        </w:rPr>
        <w:t>This chapter is divided in</w:t>
      </w:r>
      <w:r w:rsidR="002B3F76" w:rsidRPr="003569BE">
        <w:rPr>
          <w:lang w:val="en-GB"/>
        </w:rPr>
        <w:t xml:space="preserve"> three</w:t>
      </w:r>
      <w:r w:rsidR="00FF007D" w:rsidRPr="003569BE">
        <w:rPr>
          <w:lang w:val="en-GB"/>
        </w:rPr>
        <w:t xml:space="preserve"> major sections</w:t>
      </w:r>
      <w:r w:rsidR="002B3F76" w:rsidRPr="003569BE">
        <w:rPr>
          <w:lang w:val="en-GB"/>
        </w:rPr>
        <w:t>.</w:t>
      </w:r>
      <w:r w:rsidR="00FF007D" w:rsidRPr="003569BE">
        <w:rPr>
          <w:lang w:val="en-GB"/>
        </w:rPr>
        <w:t xml:space="preserve"> </w:t>
      </w:r>
      <w:r w:rsidR="002B3F76" w:rsidRPr="003569BE">
        <w:rPr>
          <w:lang w:val="en-GB"/>
        </w:rPr>
        <w:t>T</w:t>
      </w:r>
      <w:r w:rsidR="00FF007D" w:rsidRPr="003569BE">
        <w:rPr>
          <w:lang w:val="en-GB"/>
        </w:rPr>
        <w:t>he first one presents the results of the performance matched model by Kothari et Al. (2005) for estimating the discretionary accruals, while the second one presents the results from testing the hypotheses signalled before in chapter 5.</w:t>
      </w:r>
      <w:r w:rsidR="002B3F76" w:rsidRPr="003569BE">
        <w:rPr>
          <w:lang w:val="en-GB"/>
        </w:rPr>
        <w:t xml:space="preserve"> Finally,</w:t>
      </w:r>
      <w:r w:rsidR="005B7D3C" w:rsidRPr="003569BE">
        <w:rPr>
          <w:lang w:val="en-GB"/>
        </w:rPr>
        <w:t xml:space="preserve"> in an attempt to identify the potential reasons for the differences in the outcomes</w:t>
      </w:r>
      <w:r w:rsidR="002B3F76" w:rsidRPr="003569BE">
        <w:rPr>
          <w:lang w:val="en-GB"/>
        </w:rPr>
        <w:t xml:space="preserve"> a comparison of the results acquired in the second section with prior research will be presented.</w:t>
      </w:r>
    </w:p>
    <w:p w:rsidR="001F10EB" w:rsidRPr="003569BE" w:rsidRDefault="001F10EB" w:rsidP="00CF5E60">
      <w:pPr>
        <w:pStyle w:val="Heading2"/>
        <w:numPr>
          <w:ilvl w:val="1"/>
          <w:numId w:val="6"/>
        </w:numPr>
        <w:spacing w:line="360" w:lineRule="auto"/>
        <w:rPr>
          <w:lang w:val="en-GB"/>
        </w:rPr>
      </w:pPr>
      <w:bookmarkStart w:id="57" w:name="_Toc396633589"/>
      <w:r w:rsidRPr="003569BE">
        <w:rPr>
          <w:lang w:val="en-GB"/>
        </w:rPr>
        <w:t>Quality Tests</w:t>
      </w:r>
      <w:bookmarkEnd w:id="57"/>
    </w:p>
    <w:p w:rsidR="0016151D" w:rsidRDefault="0016151D" w:rsidP="00652432">
      <w:pPr>
        <w:spacing w:line="360" w:lineRule="auto"/>
        <w:rPr>
          <w:lang w:val="en-GB"/>
        </w:rPr>
      </w:pPr>
      <w:r w:rsidRPr="003569BE">
        <w:rPr>
          <w:lang w:val="en-GB"/>
        </w:rPr>
        <w:t xml:space="preserve">Before running the regression for testing the hypotheses, further quality tests have been performed. </w:t>
      </w:r>
    </w:p>
    <w:p w:rsidR="0056674B" w:rsidRPr="003569BE" w:rsidRDefault="0056674B" w:rsidP="0056674B">
      <w:pPr>
        <w:pStyle w:val="Heading2"/>
        <w:numPr>
          <w:ilvl w:val="2"/>
          <w:numId w:val="6"/>
        </w:numPr>
        <w:rPr>
          <w:lang w:val="en-GB"/>
        </w:rPr>
      </w:pPr>
      <w:bookmarkStart w:id="58" w:name="_Toc396633591"/>
      <w:r w:rsidRPr="003569BE">
        <w:rPr>
          <w:lang w:val="en-GB"/>
        </w:rPr>
        <w:t>Outliers</w:t>
      </w:r>
      <w:bookmarkEnd w:id="58"/>
    </w:p>
    <w:p w:rsidR="0056674B" w:rsidRPr="003569BE" w:rsidRDefault="000E4BAF" w:rsidP="0056674B">
      <w:pPr>
        <w:spacing w:line="360" w:lineRule="auto"/>
        <w:rPr>
          <w:lang w:val="en-GB"/>
        </w:rPr>
      </w:pPr>
      <w:r w:rsidRPr="000E4BAF">
        <w:rPr>
          <w:noProof/>
          <w:lang w:eastAsia="ro-RO"/>
        </w:rPr>
        <w:pict>
          <v:shape id="_x0000_s1043" type="#_x0000_t202" style="position:absolute;left:0;text-align:left;margin-left:118.9pt;margin-top:49.2pt;width:186.95pt;height:110.55pt;z-index:-2516459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" strokecolor="white [3212]">
            <v:textbox style="layout-flow:vertical;mso-layout-flow-alt:bottom-to-top;mso-fit-shape-to-text:t">
              <w:txbxContent>
                <w:p w:rsidR="00401FD3" w:rsidRPr="00401FD3" w:rsidRDefault="00401FD3" w:rsidP="00401FD3">
                  <w:pPr>
                    <w:jc w:val="center"/>
                    <w:rPr>
                      <w:sz w:val="16"/>
                      <w:szCs w:val="16"/>
                      <w:lang w:val="en-US"/>
                    </w:rPr>
                  </w:pPr>
                  <w:r w:rsidRPr="00401FD3">
                    <w:rPr>
                      <w:sz w:val="16"/>
                      <w:szCs w:val="16"/>
                      <w:lang w:val="en-US"/>
                    </w:rPr>
                    <w:t>Values of the dependent variable</w:t>
                  </w:r>
                </w:p>
              </w:txbxContent>
            </v:textbox>
          </v:shape>
        </w:pict>
      </w:r>
      <w:r w:rsidR="0056674B" w:rsidRPr="003569BE">
        <w:rPr>
          <w:lang w:val="en-GB"/>
        </w:rPr>
        <w:t xml:space="preserve">In order to assess the quality of the data in the sample of this thesis, an investigation of the outliers is performed, by using the </w:t>
      </w:r>
      <w:r w:rsidR="00375CCF">
        <w:rPr>
          <w:lang w:val="en-GB"/>
        </w:rPr>
        <w:t>boxplot</w:t>
      </w:r>
      <w:r w:rsidR="00375CCF" w:rsidRPr="003569BE">
        <w:rPr>
          <w:lang w:val="en-GB"/>
        </w:rPr>
        <w:t xml:space="preserve"> </w:t>
      </w:r>
      <w:r w:rsidR="0056674B" w:rsidRPr="003569BE">
        <w:rPr>
          <w:lang w:val="en-GB"/>
        </w:rPr>
        <w:t>below.</w:t>
      </w:r>
    </w:p>
    <w:p w:rsidR="0056674B" w:rsidRPr="003569BE" w:rsidRDefault="0056674B" w:rsidP="0056674B">
      <w:pPr>
        <w:spacing w:line="360" w:lineRule="auto"/>
        <w:jc w:val="center"/>
        <w:rPr>
          <w:lang w:val="en-GB"/>
        </w:rPr>
      </w:pPr>
      <w:r w:rsidRPr="003569BE">
        <w:rPr>
          <w:noProof/>
          <w:lang w:val="en-US"/>
        </w:rPr>
        <w:drawing>
          <wp:inline distT="0" distB="0" distL="0" distR="0">
            <wp:extent cx="2282299" cy="18288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2282299" cy="1828800"/>
                    </a:xfrm>
                    <a:prstGeom prst="rect">
                      <a:avLst/>
                    </a:prstGeom>
                  </pic:spPr>
                </pic:pic>
              </a:graphicData>
            </a:graphic>
          </wp:inline>
        </w:drawing>
      </w:r>
    </w:p>
    <w:p w:rsidR="0056674B" w:rsidRPr="003569BE" w:rsidRDefault="0056674B" w:rsidP="0056674B">
      <w:pPr>
        <w:spacing w:line="360" w:lineRule="auto"/>
        <w:rPr>
          <w:lang w:val="en-GB"/>
        </w:rPr>
      </w:pPr>
      <w:r w:rsidRPr="003569BE">
        <w:rPr>
          <w:lang w:val="en-GB"/>
        </w:rPr>
        <w:t xml:space="preserve">As can be observed in this </w:t>
      </w:r>
      <w:r w:rsidR="00375CCF">
        <w:rPr>
          <w:lang w:val="en-GB"/>
        </w:rPr>
        <w:t>boxplot</w:t>
      </w:r>
      <w:r w:rsidRPr="003569BE">
        <w:rPr>
          <w:lang w:val="en-GB"/>
        </w:rPr>
        <w:t xml:space="preserve">, six outliers were identified. When these unusual values of the dependent variable, i.e. discretionary accruals scaled by total assets, are included in the sample, the potential to result in an unclear or biased relationship between the independent and dependent variables exists. Consequently, these outliers are eliminated from the sample, as presented in Table 1b below. The </w:t>
      </w:r>
      <w:r w:rsidR="00375CCF">
        <w:rPr>
          <w:lang w:val="en-GB"/>
        </w:rPr>
        <w:t>boxplot</w:t>
      </w:r>
      <w:r w:rsidR="00375CCF" w:rsidRPr="003569BE">
        <w:rPr>
          <w:lang w:val="en-GB"/>
        </w:rPr>
        <w:t xml:space="preserve"> </w:t>
      </w:r>
      <w:r w:rsidRPr="003569BE">
        <w:rPr>
          <w:lang w:val="en-GB"/>
        </w:rPr>
        <w:t xml:space="preserve">below is the result of the outliers test after excluding the unusual values identified in the previous </w:t>
      </w:r>
      <w:r w:rsidR="00375CCF">
        <w:rPr>
          <w:lang w:val="en-GB"/>
        </w:rPr>
        <w:t>boxplot</w:t>
      </w:r>
      <w:r w:rsidRPr="003569BE">
        <w:rPr>
          <w:lang w:val="en-GB"/>
        </w:rPr>
        <w:t>.</w:t>
      </w:r>
    </w:p>
    <w:p w:rsidR="0056674B" w:rsidRPr="003569BE" w:rsidRDefault="000E4BAF" w:rsidP="0056674B">
      <w:pPr>
        <w:spacing w:line="360" w:lineRule="auto"/>
        <w:jc w:val="center"/>
        <w:rPr>
          <w:lang w:val="en-GB"/>
        </w:rPr>
      </w:pPr>
      <w:r w:rsidRPr="000E4BAF">
        <w:rPr>
          <w:noProof/>
          <w:lang w:eastAsia="ro-RO"/>
        </w:rPr>
        <w:lastRenderedPageBreak/>
        <w:pict>
          <v:shape id="_x0000_s1044" type="#_x0000_t202" style="position:absolute;left:0;text-align:left;margin-left:100.9pt;margin-top:8.65pt;width:186.95pt;height:110.55pt;z-index:-2516439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" strokecolor="white [3212]">
            <v:textbox style="layout-flow:vertical;mso-layout-flow-alt:bottom-to-top;mso-fit-shape-to-text:t">
              <w:txbxContent>
                <w:p w:rsidR="00401FD3" w:rsidRPr="00401FD3" w:rsidRDefault="00401FD3" w:rsidP="00401FD3">
                  <w:pPr>
                    <w:jc w:val="center"/>
                    <w:rPr>
                      <w:sz w:val="16"/>
                      <w:szCs w:val="16"/>
                      <w:lang w:val="en-US"/>
                    </w:rPr>
                  </w:pPr>
                  <w:r w:rsidRPr="00401FD3">
                    <w:rPr>
                      <w:sz w:val="16"/>
                      <w:szCs w:val="16"/>
                      <w:lang w:val="en-US"/>
                    </w:rPr>
                    <w:t>Values of the dependent variable</w:t>
                  </w:r>
                </w:p>
              </w:txbxContent>
            </v:textbox>
          </v:shape>
        </w:pict>
      </w:r>
      <w:r w:rsidR="0056674B" w:rsidRPr="003569BE">
        <w:rPr>
          <w:noProof/>
          <w:lang w:val="en-US"/>
        </w:rPr>
        <w:drawing>
          <wp:inline distT="0" distB="0" distL="0" distR="0">
            <wp:extent cx="2615137" cy="20955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2660981" cy="2132234"/>
                    </a:xfrm>
                    <a:prstGeom prst="rect">
                      <a:avLst/>
                    </a:prstGeom>
                  </pic:spPr>
                </pic:pic>
              </a:graphicData>
            </a:graphic>
          </wp:inline>
        </w:drawing>
      </w:r>
    </w:p>
    <w:p w:rsidR="0056674B" w:rsidRPr="003569BE" w:rsidRDefault="00517D36" w:rsidP="00517D36">
      <w:pPr>
        <w:spacing w:line="360" w:lineRule="auto"/>
        <w:rPr>
          <w:lang w:val="en-GB"/>
        </w:rPr>
      </w:pPr>
      <w:r>
        <w:rPr>
          <w:lang w:val="en-GB"/>
        </w:rPr>
        <w:t>In addition, one more firm-year observation is excluded from the sample due to an unexpected loss of the data.</w:t>
      </w:r>
    </w:p>
    <w:tbl>
      <w:tblPr>
        <w:tblStyle w:val="LightShading-Accent5"/>
        <w:tblW w:w="0" w:type="auto"/>
        <w:tblLook w:val="04A0"/>
      </w:tblPr>
      <w:tblGrid>
        <w:gridCol w:w="4644"/>
        <w:gridCol w:w="4644"/>
      </w:tblGrid>
      <w:tr w:rsidR="0056674B" w:rsidRPr="003569BE" w:rsidTr="00F97DBF">
        <w:trPr>
          <w:cnfStyle w:val="100000000000"/>
        </w:trPr>
        <w:tc>
          <w:tcPr>
            <w:cnfStyle w:val="001000000000"/>
            <w:tcW w:w="4644" w:type="dxa"/>
            <w:shd w:val="clear" w:color="auto" w:fill="FFFFFF" w:themeFill="background1"/>
          </w:tcPr>
          <w:p w:rsidR="0056674B" w:rsidRPr="003569BE" w:rsidRDefault="0056674B" w:rsidP="00F97DBF">
            <w:pPr>
              <w:jc w:val="center"/>
              <w:rPr>
                <w:szCs w:val="24"/>
                <w:lang w:val="en-GB"/>
              </w:rPr>
            </w:pPr>
          </w:p>
        </w:tc>
        <w:tc>
          <w:tcPr>
            <w:tcW w:w="4644" w:type="dxa"/>
          </w:tcPr>
          <w:p w:rsidR="0056674B" w:rsidRPr="003569BE" w:rsidRDefault="0056674B" w:rsidP="00F97DBF">
            <w:pPr>
              <w:jc w:val="center"/>
              <w:cnfStyle w:val="100000000000"/>
              <w:rPr>
                <w:b w:val="0"/>
                <w:i/>
                <w:szCs w:val="24"/>
                <w:lang w:val="en-GB"/>
              </w:rPr>
            </w:pPr>
            <w:r w:rsidRPr="003569BE">
              <w:rPr>
                <w:b w:val="0"/>
                <w:i/>
                <w:szCs w:val="24"/>
                <w:lang w:val="en-GB"/>
              </w:rPr>
              <w:t>Firm-year observations</w:t>
            </w:r>
          </w:p>
        </w:tc>
      </w:tr>
      <w:tr w:rsidR="0056674B" w:rsidRPr="003569BE" w:rsidTr="00F97DBF">
        <w:trPr>
          <w:cnfStyle w:val="000000100000"/>
        </w:trPr>
        <w:tc>
          <w:tcPr>
            <w:cnfStyle w:val="001000000000"/>
            <w:tcW w:w="4644" w:type="dxa"/>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Original sample</w:t>
            </w:r>
          </w:p>
        </w:tc>
        <w:tc>
          <w:tcPr>
            <w:tcW w:w="4644" w:type="dxa"/>
            <w:shd w:val="clear" w:color="auto" w:fill="FFFFFF" w:themeFill="background1"/>
          </w:tcPr>
          <w:p w:rsidR="0056674B" w:rsidRPr="003569BE" w:rsidRDefault="00375CCF" w:rsidP="00F97DBF">
            <w:pPr>
              <w:jc w:val="center"/>
              <w:cnfStyle w:val="000000100000"/>
              <w:rPr>
                <w:szCs w:val="24"/>
                <w:lang w:val="en-GB"/>
              </w:rPr>
            </w:pPr>
            <w:r>
              <w:rPr>
                <w:szCs w:val="24"/>
                <w:lang w:val="en-GB"/>
              </w:rPr>
              <w:t xml:space="preserve">  835</w:t>
            </w:r>
          </w:p>
        </w:tc>
      </w:tr>
      <w:tr w:rsidR="0056674B" w:rsidRPr="003569BE" w:rsidTr="00F97DBF">
        <w:tc>
          <w:tcPr>
            <w:cnfStyle w:val="001000000000"/>
            <w:tcW w:w="4644" w:type="dxa"/>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Financial sector excluded</w:t>
            </w:r>
          </w:p>
        </w:tc>
        <w:tc>
          <w:tcPr>
            <w:tcW w:w="4644" w:type="dxa"/>
            <w:shd w:val="clear" w:color="auto" w:fill="FFFFFF" w:themeFill="background1"/>
          </w:tcPr>
          <w:p w:rsidR="0056674B" w:rsidRPr="003569BE" w:rsidRDefault="0056674B" w:rsidP="00F97DBF">
            <w:pPr>
              <w:jc w:val="center"/>
              <w:cnfStyle w:val="000000000000"/>
              <w:rPr>
                <w:szCs w:val="24"/>
                <w:lang w:val="en-GB"/>
              </w:rPr>
            </w:pPr>
            <w:r w:rsidRPr="003569BE">
              <w:rPr>
                <w:szCs w:val="24"/>
                <w:lang w:val="en-GB"/>
              </w:rPr>
              <w:t>-360</w:t>
            </w:r>
          </w:p>
        </w:tc>
      </w:tr>
      <w:tr w:rsidR="0056674B" w:rsidRPr="003569BE" w:rsidTr="00F97DBF">
        <w:trPr>
          <w:cnfStyle w:val="000000100000"/>
        </w:trPr>
        <w:tc>
          <w:tcPr>
            <w:cnfStyle w:val="001000000000"/>
            <w:tcW w:w="4644" w:type="dxa"/>
            <w:tcBorders>
              <w:bottom w:val="single" w:sz="4" w:space="0" w:color="FFFFFF" w:themeColor="background1"/>
            </w:tcBorders>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Unavailable data excluded</w:t>
            </w:r>
          </w:p>
        </w:tc>
        <w:tc>
          <w:tcPr>
            <w:tcW w:w="4644" w:type="dxa"/>
            <w:tcBorders>
              <w:bottom w:val="single" w:sz="4" w:space="0" w:color="FFFFFF" w:themeColor="background1"/>
            </w:tcBorders>
            <w:shd w:val="clear" w:color="auto" w:fill="FFFFFF" w:themeFill="background1"/>
          </w:tcPr>
          <w:p w:rsidR="0056674B" w:rsidRPr="003569BE" w:rsidRDefault="0056674B" w:rsidP="00F97DBF">
            <w:pPr>
              <w:jc w:val="center"/>
              <w:cnfStyle w:val="000000100000"/>
              <w:rPr>
                <w:szCs w:val="24"/>
                <w:lang w:val="en-GB"/>
              </w:rPr>
            </w:pPr>
            <w:r w:rsidRPr="003569BE">
              <w:rPr>
                <w:szCs w:val="24"/>
                <w:lang w:val="en-GB"/>
              </w:rPr>
              <w:t>-111</w:t>
            </w:r>
          </w:p>
        </w:tc>
      </w:tr>
      <w:tr w:rsidR="00375CCF" w:rsidRPr="003569BE" w:rsidTr="00F97DBF">
        <w:tc>
          <w:tcPr>
            <w:cnfStyle w:val="001000000000"/>
            <w:tcW w:w="4644" w:type="dxa"/>
            <w:tcBorders>
              <w:top w:val="single" w:sz="4" w:space="0" w:color="FFFFFF" w:themeColor="background1"/>
            </w:tcBorders>
            <w:shd w:val="clear" w:color="auto" w:fill="FFFFFF" w:themeFill="background1"/>
          </w:tcPr>
          <w:p w:rsidR="00375CCF" w:rsidRPr="00375CCF" w:rsidRDefault="00375CCF" w:rsidP="00F97DBF">
            <w:pPr>
              <w:jc w:val="center"/>
              <w:rPr>
                <w:b w:val="0"/>
                <w:szCs w:val="24"/>
                <w:lang w:val="en-GB"/>
              </w:rPr>
            </w:pPr>
            <w:r>
              <w:rPr>
                <w:b w:val="0"/>
                <w:szCs w:val="24"/>
                <w:lang w:val="en-GB"/>
              </w:rPr>
              <w:t>Other data excluded</w:t>
            </w:r>
          </w:p>
        </w:tc>
        <w:tc>
          <w:tcPr>
            <w:tcW w:w="4644" w:type="dxa"/>
            <w:tcBorders>
              <w:top w:val="single" w:sz="4" w:space="0" w:color="FFFFFF" w:themeColor="background1"/>
            </w:tcBorders>
          </w:tcPr>
          <w:p w:rsidR="00375CCF" w:rsidRPr="003569BE" w:rsidRDefault="00375CCF" w:rsidP="00F97DBF">
            <w:pPr>
              <w:jc w:val="center"/>
              <w:cnfStyle w:val="000000000000"/>
              <w:rPr>
                <w:szCs w:val="24"/>
                <w:lang w:val="en-GB"/>
              </w:rPr>
            </w:pPr>
            <w:r>
              <w:rPr>
                <w:szCs w:val="24"/>
                <w:lang w:val="en-GB"/>
              </w:rPr>
              <w:t>-1</w:t>
            </w:r>
          </w:p>
        </w:tc>
      </w:tr>
      <w:tr w:rsidR="0056674B" w:rsidRPr="003569BE" w:rsidTr="00375CCF">
        <w:trPr>
          <w:cnfStyle w:val="000000100000"/>
        </w:trPr>
        <w:tc>
          <w:tcPr>
            <w:cnfStyle w:val="001000000000"/>
            <w:tcW w:w="4644" w:type="dxa"/>
            <w:tcBorders>
              <w:top w:val="single" w:sz="4" w:space="0" w:color="FFFFFF" w:themeColor="background1"/>
            </w:tcBorders>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Outliers excluded</w:t>
            </w:r>
          </w:p>
        </w:tc>
        <w:tc>
          <w:tcPr>
            <w:tcW w:w="4644" w:type="dxa"/>
            <w:tcBorders>
              <w:top w:val="single" w:sz="4" w:space="0" w:color="FFFFFF" w:themeColor="background1"/>
            </w:tcBorders>
            <w:shd w:val="clear" w:color="auto" w:fill="FFFFFF" w:themeFill="background1"/>
          </w:tcPr>
          <w:p w:rsidR="0056674B" w:rsidRPr="003569BE" w:rsidRDefault="0056674B" w:rsidP="00F97DBF">
            <w:pPr>
              <w:jc w:val="center"/>
              <w:cnfStyle w:val="000000100000"/>
              <w:rPr>
                <w:szCs w:val="24"/>
                <w:lang w:val="en-GB"/>
              </w:rPr>
            </w:pPr>
            <w:r w:rsidRPr="003569BE">
              <w:rPr>
                <w:szCs w:val="24"/>
                <w:lang w:val="en-GB"/>
              </w:rPr>
              <w:t>-6</w:t>
            </w:r>
          </w:p>
        </w:tc>
      </w:tr>
      <w:tr w:rsidR="0056674B" w:rsidRPr="003569BE" w:rsidTr="00F97DBF">
        <w:tc>
          <w:tcPr>
            <w:cnfStyle w:val="001000000000"/>
            <w:tcW w:w="4644" w:type="dxa"/>
            <w:tcBorders>
              <w:top w:val="single" w:sz="2" w:space="0" w:color="5B9BD5" w:themeColor="accent1"/>
            </w:tcBorders>
            <w:shd w:val="clear" w:color="auto" w:fill="FFFFFF" w:themeFill="background1"/>
          </w:tcPr>
          <w:p w:rsidR="0056674B" w:rsidRPr="003569BE" w:rsidRDefault="0056674B" w:rsidP="00F97DBF">
            <w:pPr>
              <w:jc w:val="center"/>
              <w:rPr>
                <w:szCs w:val="24"/>
                <w:lang w:val="en-GB"/>
              </w:rPr>
            </w:pPr>
            <w:r w:rsidRPr="003569BE">
              <w:rPr>
                <w:szCs w:val="24"/>
                <w:lang w:val="en-GB"/>
              </w:rPr>
              <w:t>FINAL SAMPLE</w:t>
            </w:r>
          </w:p>
        </w:tc>
        <w:tc>
          <w:tcPr>
            <w:tcW w:w="4644" w:type="dxa"/>
            <w:tcBorders>
              <w:top w:val="single" w:sz="2" w:space="0" w:color="5B9BD5" w:themeColor="accent1"/>
            </w:tcBorders>
            <w:shd w:val="clear" w:color="auto" w:fill="FFFFFF" w:themeFill="background1"/>
          </w:tcPr>
          <w:p w:rsidR="0056674B" w:rsidRPr="003569BE" w:rsidRDefault="0056674B" w:rsidP="00F97DBF">
            <w:pPr>
              <w:jc w:val="center"/>
              <w:cnfStyle w:val="000000000000"/>
              <w:rPr>
                <w:b/>
                <w:szCs w:val="24"/>
                <w:lang w:val="en-GB"/>
              </w:rPr>
            </w:pPr>
            <w:r w:rsidRPr="003569BE">
              <w:rPr>
                <w:b/>
                <w:szCs w:val="24"/>
                <w:lang w:val="en-GB"/>
              </w:rPr>
              <w:t xml:space="preserve">  357</w:t>
            </w:r>
          </w:p>
        </w:tc>
      </w:tr>
    </w:tbl>
    <w:p w:rsidR="0056674B" w:rsidRPr="003569BE" w:rsidRDefault="0056674B" w:rsidP="0056674B">
      <w:pPr>
        <w:spacing w:line="360" w:lineRule="auto"/>
        <w:jc w:val="right"/>
        <w:rPr>
          <w:i/>
          <w:sz w:val="20"/>
          <w:szCs w:val="20"/>
          <w:lang w:val="en-GB"/>
        </w:rPr>
      </w:pPr>
      <w:r w:rsidRPr="003569BE">
        <w:rPr>
          <w:i/>
          <w:sz w:val="20"/>
          <w:szCs w:val="20"/>
          <w:lang w:val="en-GB"/>
        </w:rPr>
        <w:t>Table 1b – Sample Description After Eliminating the Outliers</w:t>
      </w:r>
    </w:p>
    <w:p w:rsidR="0056674B" w:rsidRPr="003569BE" w:rsidRDefault="0056674B" w:rsidP="0056674B">
      <w:pPr>
        <w:spacing w:line="360" w:lineRule="auto"/>
        <w:rPr>
          <w:szCs w:val="24"/>
          <w:lang w:val="en-GB"/>
        </w:rPr>
      </w:pPr>
      <w:r w:rsidRPr="003569BE">
        <w:rPr>
          <w:szCs w:val="24"/>
          <w:lang w:val="en-GB"/>
        </w:rPr>
        <w:t>In addition, Table 2b below presents the distribution of the sample after eliminating the outliers.</w:t>
      </w:r>
    </w:p>
    <w:tbl>
      <w:tblPr>
        <w:tblStyle w:val="LightShading-Accent5"/>
        <w:tblW w:w="0" w:type="auto"/>
        <w:tblLook w:val="04A0"/>
      </w:tblPr>
      <w:tblGrid>
        <w:gridCol w:w="4644"/>
        <w:gridCol w:w="4644"/>
      </w:tblGrid>
      <w:tr w:rsidR="0056674B" w:rsidRPr="003569BE" w:rsidTr="00F97DBF">
        <w:trPr>
          <w:cnfStyle w:val="100000000000"/>
        </w:trPr>
        <w:tc>
          <w:tcPr>
            <w:cnfStyle w:val="001000000000"/>
            <w:tcW w:w="4644" w:type="dxa"/>
            <w:shd w:val="clear" w:color="auto" w:fill="FFFFFF" w:themeFill="background1"/>
          </w:tcPr>
          <w:p w:rsidR="0056674B" w:rsidRPr="003569BE" w:rsidRDefault="0056674B" w:rsidP="00F97DBF">
            <w:pPr>
              <w:jc w:val="center"/>
              <w:rPr>
                <w:szCs w:val="24"/>
                <w:lang w:val="en-GB"/>
              </w:rPr>
            </w:pPr>
          </w:p>
        </w:tc>
        <w:tc>
          <w:tcPr>
            <w:tcW w:w="4644" w:type="dxa"/>
          </w:tcPr>
          <w:p w:rsidR="0056674B" w:rsidRPr="003569BE" w:rsidRDefault="0056674B" w:rsidP="00F97DBF">
            <w:pPr>
              <w:jc w:val="center"/>
              <w:cnfStyle w:val="100000000000"/>
              <w:rPr>
                <w:b w:val="0"/>
                <w:i/>
                <w:szCs w:val="24"/>
                <w:lang w:val="en-GB"/>
              </w:rPr>
            </w:pPr>
            <w:r w:rsidRPr="003569BE">
              <w:rPr>
                <w:b w:val="0"/>
                <w:i/>
                <w:szCs w:val="24"/>
                <w:lang w:val="en-GB"/>
              </w:rPr>
              <w:t>Firm-year observations</w:t>
            </w:r>
          </w:p>
        </w:tc>
      </w:tr>
      <w:tr w:rsidR="0056674B" w:rsidRPr="003569BE" w:rsidTr="00F97DBF">
        <w:trPr>
          <w:cnfStyle w:val="000000100000"/>
        </w:trPr>
        <w:tc>
          <w:tcPr>
            <w:cnfStyle w:val="001000000000"/>
            <w:tcW w:w="4644" w:type="dxa"/>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Years before the final year</w:t>
            </w:r>
          </w:p>
        </w:tc>
        <w:tc>
          <w:tcPr>
            <w:tcW w:w="4644" w:type="dxa"/>
            <w:shd w:val="clear" w:color="auto" w:fill="FFFFFF" w:themeFill="background1"/>
          </w:tcPr>
          <w:p w:rsidR="0056674B" w:rsidRPr="003569BE" w:rsidRDefault="0056674B" w:rsidP="00F97DBF">
            <w:pPr>
              <w:jc w:val="center"/>
              <w:cnfStyle w:val="000000100000"/>
              <w:rPr>
                <w:szCs w:val="24"/>
                <w:lang w:val="en-GB"/>
              </w:rPr>
            </w:pPr>
            <w:r w:rsidRPr="003569BE">
              <w:rPr>
                <w:szCs w:val="24"/>
                <w:lang w:val="en-GB"/>
              </w:rPr>
              <w:t>187</w:t>
            </w:r>
          </w:p>
        </w:tc>
      </w:tr>
      <w:tr w:rsidR="0056674B" w:rsidRPr="003569BE" w:rsidTr="00F97DBF">
        <w:tc>
          <w:tcPr>
            <w:cnfStyle w:val="001000000000"/>
            <w:tcW w:w="4644" w:type="dxa"/>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Last year before rotation</w:t>
            </w:r>
          </w:p>
        </w:tc>
        <w:tc>
          <w:tcPr>
            <w:tcW w:w="4644" w:type="dxa"/>
            <w:shd w:val="clear" w:color="auto" w:fill="FFFFFF" w:themeFill="background1"/>
          </w:tcPr>
          <w:p w:rsidR="0056674B" w:rsidRPr="003569BE" w:rsidRDefault="0056674B" w:rsidP="00F97DBF">
            <w:pPr>
              <w:jc w:val="center"/>
              <w:cnfStyle w:val="000000000000"/>
              <w:rPr>
                <w:szCs w:val="24"/>
                <w:lang w:val="en-GB"/>
              </w:rPr>
            </w:pPr>
            <w:r w:rsidRPr="003569BE">
              <w:rPr>
                <w:szCs w:val="24"/>
                <w:lang w:val="en-GB"/>
              </w:rPr>
              <w:t>35</w:t>
            </w:r>
          </w:p>
        </w:tc>
      </w:tr>
      <w:tr w:rsidR="0056674B" w:rsidRPr="003569BE" w:rsidTr="00F97DBF">
        <w:trPr>
          <w:cnfStyle w:val="000000100000"/>
        </w:trPr>
        <w:tc>
          <w:tcPr>
            <w:cnfStyle w:val="001000000000"/>
            <w:tcW w:w="4644" w:type="dxa"/>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First year after rotation</w:t>
            </w:r>
          </w:p>
        </w:tc>
        <w:tc>
          <w:tcPr>
            <w:tcW w:w="4644" w:type="dxa"/>
            <w:shd w:val="clear" w:color="auto" w:fill="FFFFFF" w:themeFill="background1"/>
          </w:tcPr>
          <w:p w:rsidR="0056674B" w:rsidRPr="003569BE" w:rsidRDefault="0056674B" w:rsidP="00F97DBF">
            <w:pPr>
              <w:jc w:val="center"/>
              <w:cnfStyle w:val="000000100000"/>
              <w:rPr>
                <w:szCs w:val="24"/>
                <w:lang w:val="en-GB"/>
              </w:rPr>
            </w:pPr>
            <w:r w:rsidRPr="003569BE">
              <w:rPr>
                <w:szCs w:val="24"/>
                <w:lang w:val="en-GB"/>
              </w:rPr>
              <w:t>35</w:t>
            </w:r>
          </w:p>
        </w:tc>
      </w:tr>
      <w:tr w:rsidR="0056674B" w:rsidRPr="003569BE" w:rsidTr="00F97DBF">
        <w:tc>
          <w:tcPr>
            <w:cnfStyle w:val="001000000000"/>
            <w:tcW w:w="4644" w:type="dxa"/>
            <w:tcBorders>
              <w:top w:val="single" w:sz="2" w:space="0" w:color="FFFFFF" w:themeColor="background1"/>
              <w:bottom w:val="single" w:sz="2" w:space="0" w:color="5B9BD5" w:themeColor="accent1"/>
            </w:tcBorders>
            <w:shd w:val="clear" w:color="auto" w:fill="FFFFFF" w:themeFill="background1"/>
          </w:tcPr>
          <w:p w:rsidR="0056674B" w:rsidRPr="003569BE" w:rsidRDefault="0056674B" w:rsidP="00F97DBF">
            <w:pPr>
              <w:jc w:val="center"/>
              <w:rPr>
                <w:b w:val="0"/>
                <w:szCs w:val="24"/>
                <w:lang w:val="en-GB"/>
              </w:rPr>
            </w:pPr>
            <w:r w:rsidRPr="003569BE">
              <w:rPr>
                <w:b w:val="0"/>
                <w:szCs w:val="24"/>
                <w:lang w:val="en-GB"/>
              </w:rPr>
              <w:t>Years after rotation</w:t>
            </w:r>
          </w:p>
        </w:tc>
        <w:tc>
          <w:tcPr>
            <w:tcW w:w="4644" w:type="dxa"/>
            <w:tcBorders>
              <w:top w:val="single" w:sz="2" w:space="0" w:color="FFFFFF" w:themeColor="background1"/>
              <w:bottom w:val="single" w:sz="2" w:space="0" w:color="5B9BD5" w:themeColor="accent1"/>
            </w:tcBorders>
            <w:shd w:val="clear" w:color="auto" w:fill="FFFFFF" w:themeFill="background1"/>
          </w:tcPr>
          <w:p w:rsidR="0056674B" w:rsidRPr="003569BE" w:rsidRDefault="0056674B" w:rsidP="00F97DBF">
            <w:pPr>
              <w:jc w:val="center"/>
              <w:cnfStyle w:val="000000000000"/>
              <w:rPr>
                <w:szCs w:val="24"/>
                <w:lang w:val="en-GB"/>
              </w:rPr>
            </w:pPr>
            <w:r w:rsidRPr="003569BE">
              <w:rPr>
                <w:szCs w:val="24"/>
                <w:lang w:val="en-GB"/>
              </w:rPr>
              <w:t>100</w:t>
            </w:r>
          </w:p>
        </w:tc>
      </w:tr>
      <w:tr w:rsidR="0056674B" w:rsidRPr="003569BE" w:rsidTr="00F97DBF">
        <w:trPr>
          <w:cnfStyle w:val="000000100000"/>
        </w:trPr>
        <w:tc>
          <w:tcPr>
            <w:cnfStyle w:val="001000000000"/>
            <w:tcW w:w="4644" w:type="dxa"/>
            <w:tcBorders>
              <w:top w:val="single" w:sz="2" w:space="0" w:color="5B9BD5" w:themeColor="accent1"/>
            </w:tcBorders>
            <w:shd w:val="clear" w:color="auto" w:fill="FFFFFF" w:themeFill="background1"/>
          </w:tcPr>
          <w:p w:rsidR="0056674B" w:rsidRPr="003569BE" w:rsidRDefault="0056674B" w:rsidP="00F97DBF">
            <w:pPr>
              <w:jc w:val="center"/>
              <w:rPr>
                <w:szCs w:val="24"/>
                <w:lang w:val="en-GB"/>
              </w:rPr>
            </w:pPr>
            <w:r w:rsidRPr="003569BE">
              <w:rPr>
                <w:szCs w:val="24"/>
                <w:lang w:val="en-GB"/>
              </w:rPr>
              <w:t>TOTAL</w:t>
            </w:r>
          </w:p>
        </w:tc>
        <w:tc>
          <w:tcPr>
            <w:tcW w:w="4644" w:type="dxa"/>
            <w:tcBorders>
              <w:top w:val="single" w:sz="2" w:space="0" w:color="5B9BD5" w:themeColor="accent1"/>
            </w:tcBorders>
            <w:shd w:val="clear" w:color="auto" w:fill="FFFFFF" w:themeFill="background1"/>
          </w:tcPr>
          <w:p w:rsidR="0056674B" w:rsidRPr="003569BE" w:rsidRDefault="0056674B" w:rsidP="00F97DBF">
            <w:pPr>
              <w:jc w:val="center"/>
              <w:cnfStyle w:val="000000100000"/>
              <w:rPr>
                <w:b/>
                <w:szCs w:val="24"/>
                <w:lang w:val="en-GB"/>
              </w:rPr>
            </w:pPr>
            <w:r w:rsidRPr="003569BE">
              <w:rPr>
                <w:b/>
                <w:szCs w:val="24"/>
                <w:lang w:val="en-GB"/>
              </w:rPr>
              <w:t>357</w:t>
            </w:r>
          </w:p>
        </w:tc>
      </w:tr>
    </w:tbl>
    <w:p w:rsidR="0056674B" w:rsidRDefault="0056674B" w:rsidP="0056674B">
      <w:pPr>
        <w:spacing w:line="360" w:lineRule="auto"/>
        <w:jc w:val="right"/>
        <w:rPr>
          <w:i/>
          <w:sz w:val="20"/>
          <w:szCs w:val="20"/>
          <w:lang w:val="en-GB"/>
        </w:rPr>
      </w:pPr>
      <w:r w:rsidRPr="003569BE">
        <w:rPr>
          <w:i/>
          <w:sz w:val="20"/>
          <w:szCs w:val="20"/>
          <w:lang w:val="en-GB"/>
        </w:rPr>
        <w:t>Table 2b – Auditors’ Distribution in the Sample After Eliminating the Outliers</w:t>
      </w:r>
    </w:p>
    <w:p w:rsidR="0056674B" w:rsidRPr="003569BE" w:rsidRDefault="0056674B" w:rsidP="0056674B">
      <w:pPr>
        <w:spacing w:line="360" w:lineRule="auto"/>
        <w:jc w:val="right"/>
        <w:rPr>
          <w:i/>
          <w:sz w:val="20"/>
          <w:szCs w:val="20"/>
          <w:lang w:val="en-GB"/>
        </w:rPr>
      </w:pPr>
    </w:p>
    <w:p w:rsidR="001F10EB" w:rsidRPr="003569BE" w:rsidRDefault="001F10EB" w:rsidP="00CF5E60">
      <w:pPr>
        <w:pStyle w:val="Heading2"/>
        <w:numPr>
          <w:ilvl w:val="2"/>
          <w:numId w:val="6"/>
        </w:numPr>
        <w:rPr>
          <w:lang w:val="en-GB"/>
        </w:rPr>
      </w:pPr>
      <w:bookmarkStart w:id="59" w:name="_Toc396633590"/>
      <w:r w:rsidRPr="003569BE">
        <w:rPr>
          <w:lang w:val="en-GB"/>
        </w:rPr>
        <w:t>Normal Distribution of the Sample</w:t>
      </w:r>
      <w:bookmarkEnd w:id="59"/>
    </w:p>
    <w:p w:rsidR="001F10EB" w:rsidRPr="003569BE" w:rsidRDefault="001F10EB" w:rsidP="001F10EB">
      <w:pPr>
        <w:spacing w:line="360" w:lineRule="auto"/>
        <w:rPr>
          <w:lang w:val="en-GB"/>
        </w:rPr>
      </w:pPr>
      <w:r w:rsidRPr="003569BE">
        <w:rPr>
          <w:lang w:val="en-GB"/>
        </w:rPr>
        <w:t xml:space="preserve">Before performing </w:t>
      </w:r>
      <w:r w:rsidR="001952A3" w:rsidRPr="003569BE">
        <w:rPr>
          <w:lang w:val="en-GB"/>
        </w:rPr>
        <w:t xml:space="preserve">the </w:t>
      </w:r>
      <w:r w:rsidRPr="003569BE">
        <w:rPr>
          <w:lang w:val="en-GB"/>
        </w:rPr>
        <w:t>statistical tests using the sample signalled before, the data need to be tested for normality. In order to be able to perform linear regression, the data should be normally distributed. Testing for normal distribution can be performing in two ways: numerically and graphically. To assess the data distribution of the sample both approaches in this thesis are used. First, the significance of ,006 in the Kolmogorov-S</w:t>
      </w:r>
      <w:r w:rsidR="00E428A2" w:rsidRPr="003569BE">
        <w:rPr>
          <w:lang w:val="en-GB"/>
        </w:rPr>
        <w:t>mirnov test, as shown in Table 4</w:t>
      </w:r>
      <w:r w:rsidRPr="003569BE">
        <w:rPr>
          <w:lang w:val="en-GB"/>
        </w:rPr>
        <w:t xml:space="preserve"> below, suggests that the sample used in this thesis is significantly different from an abnormal distribution.</w:t>
      </w:r>
    </w:p>
    <w:tbl>
      <w:tblPr>
        <w:tblW w:w="695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93"/>
        <w:gridCol w:w="1010"/>
        <w:gridCol w:w="1009"/>
        <w:gridCol w:w="1011"/>
        <w:gridCol w:w="1011"/>
        <w:gridCol w:w="1011"/>
        <w:gridCol w:w="1011"/>
      </w:tblGrid>
      <w:tr w:rsidR="001F10EB" w:rsidRPr="003569BE" w:rsidTr="00A71EE4">
        <w:trPr>
          <w:cantSplit/>
          <w:tblHeader/>
          <w:jc w:val="center"/>
        </w:trPr>
        <w:tc>
          <w:tcPr>
            <w:tcW w:w="6956" w:type="dxa"/>
            <w:gridSpan w:val="7"/>
            <w:tcBorders>
              <w:top w:val="nil"/>
              <w:left w:val="nil"/>
              <w:bottom w:val="nil"/>
              <w:right w:val="nil"/>
            </w:tcBorders>
            <w:shd w:val="clear" w:color="auto" w:fill="FFFFFF"/>
            <w:vAlign w:val="center"/>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lastRenderedPageBreak/>
              <w:t>Tests of Normality</w:t>
            </w:r>
          </w:p>
        </w:tc>
      </w:tr>
      <w:tr w:rsidR="001F10EB" w:rsidRPr="003569BE" w:rsidTr="00A71EE4">
        <w:trPr>
          <w:cantSplit/>
          <w:tblHeader/>
          <w:jc w:val="center"/>
        </w:trPr>
        <w:tc>
          <w:tcPr>
            <w:tcW w:w="893"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F10EB" w:rsidRPr="003569BE" w:rsidRDefault="001F10EB" w:rsidP="00A71EE4">
            <w:pPr>
              <w:autoSpaceDE w:val="0"/>
              <w:autoSpaceDN w:val="0"/>
              <w:adjustRightInd w:val="0"/>
              <w:spacing w:after="0" w:line="240" w:lineRule="auto"/>
              <w:jc w:val="center"/>
              <w:rPr>
                <w:rFonts w:cs="Times New Roman"/>
                <w:szCs w:val="24"/>
                <w:lang w:val="en-GB"/>
              </w:rPr>
            </w:pPr>
          </w:p>
        </w:tc>
        <w:tc>
          <w:tcPr>
            <w:tcW w:w="3030" w:type="dxa"/>
            <w:gridSpan w:val="3"/>
            <w:tcBorders>
              <w:top w:val="single" w:sz="16" w:space="0" w:color="000000"/>
              <w:left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Kolmogorov-Smirnov</w:t>
            </w:r>
            <w:r w:rsidRPr="003569BE">
              <w:rPr>
                <w:rFonts w:ascii="Arial" w:hAnsi="Arial" w:cs="Arial"/>
                <w:color w:val="000000"/>
                <w:sz w:val="18"/>
                <w:szCs w:val="18"/>
                <w:vertAlign w:val="superscript"/>
                <w:lang w:val="en-GB"/>
              </w:rPr>
              <w:t>a</w:t>
            </w:r>
          </w:p>
        </w:tc>
        <w:tc>
          <w:tcPr>
            <w:tcW w:w="3033" w:type="dxa"/>
            <w:gridSpan w:val="3"/>
            <w:tcBorders>
              <w:top w:val="single" w:sz="16" w:space="0" w:color="000000"/>
              <w:right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Shapiro-Wilk</w:t>
            </w:r>
          </w:p>
        </w:tc>
      </w:tr>
      <w:tr w:rsidR="001F10EB" w:rsidRPr="003569BE" w:rsidTr="00A71EE4">
        <w:trPr>
          <w:cantSplit/>
          <w:tblHeader/>
          <w:jc w:val="center"/>
        </w:trPr>
        <w:tc>
          <w:tcPr>
            <w:tcW w:w="893"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F10EB" w:rsidRPr="003569BE" w:rsidRDefault="001F10EB" w:rsidP="00A71EE4">
            <w:pPr>
              <w:autoSpaceDE w:val="0"/>
              <w:autoSpaceDN w:val="0"/>
              <w:adjustRightInd w:val="0"/>
              <w:spacing w:after="0" w:line="240" w:lineRule="auto"/>
              <w:jc w:val="left"/>
              <w:rPr>
                <w:rFonts w:ascii="Arial" w:hAnsi="Arial" w:cs="Arial"/>
                <w:color w:val="000000"/>
                <w:sz w:val="18"/>
                <w:szCs w:val="18"/>
                <w:lang w:val="en-GB"/>
              </w:rPr>
            </w:pPr>
          </w:p>
        </w:tc>
        <w:tc>
          <w:tcPr>
            <w:tcW w:w="1010" w:type="dxa"/>
            <w:tcBorders>
              <w:left w:val="single" w:sz="16" w:space="0" w:color="000000"/>
              <w:bottom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Statistic</w:t>
            </w:r>
          </w:p>
        </w:tc>
        <w:tc>
          <w:tcPr>
            <w:tcW w:w="1009" w:type="dxa"/>
            <w:tcBorders>
              <w:bottom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011" w:type="dxa"/>
            <w:tcBorders>
              <w:bottom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c>
          <w:tcPr>
            <w:tcW w:w="1011" w:type="dxa"/>
            <w:tcBorders>
              <w:bottom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Statistic</w:t>
            </w:r>
          </w:p>
        </w:tc>
        <w:tc>
          <w:tcPr>
            <w:tcW w:w="1011" w:type="dxa"/>
            <w:tcBorders>
              <w:bottom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011" w:type="dxa"/>
            <w:tcBorders>
              <w:bottom w:val="single" w:sz="16" w:space="0" w:color="000000"/>
              <w:right w:val="single" w:sz="16" w:space="0" w:color="000000"/>
            </w:tcBorders>
            <w:shd w:val="clear" w:color="auto" w:fill="FFFFFF"/>
            <w:vAlign w:val="bottom"/>
          </w:tcPr>
          <w:p w:rsidR="001F10EB" w:rsidRPr="003569BE" w:rsidRDefault="001F10EB" w:rsidP="00A71EE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1F10EB" w:rsidRPr="003569BE" w:rsidTr="00A71EE4">
        <w:trPr>
          <w:cantSplit/>
          <w:tblHeader/>
          <w:jc w:val="center"/>
        </w:trPr>
        <w:tc>
          <w:tcPr>
            <w:tcW w:w="893" w:type="dxa"/>
            <w:tcBorders>
              <w:top w:val="single" w:sz="16" w:space="0" w:color="000000"/>
              <w:left w:val="single" w:sz="16" w:space="0" w:color="000000"/>
              <w:bottom w:val="single" w:sz="16" w:space="0" w:color="000000"/>
              <w:right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DA/At-1</w:t>
            </w:r>
          </w:p>
        </w:tc>
        <w:tc>
          <w:tcPr>
            <w:tcW w:w="1010" w:type="dxa"/>
            <w:tcBorders>
              <w:top w:val="single" w:sz="16" w:space="0" w:color="000000"/>
              <w:left w:val="single" w:sz="16" w:space="0" w:color="000000"/>
              <w:bottom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,058</w:t>
            </w:r>
          </w:p>
        </w:tc>
        <w:tc>
          <w:tcPr>
            <w:tcW w:w="1009" w:type="dxa"/>
            <w:tcBorders>
              <w:top w:val="single" w:sz="16" w:space="0" w:color="000000"/>
              <w:bottom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357</w:t>
            </w:r>
          </w:p>
        </w:tc>
        <w:tc>
          <w:tcPr>
            <w:tcW w:w="1011" w:type="dxa"/>
            <w:tcBorders>
              <w:top w:val="single" w:sz="16" w:space="0" w:color="000000"/>
              <w:bottom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,006</w:t>
            </w:r>
          </w:p>
        </w:tc>
        <w:tc>
          <w:tcPr>
            <w:tcW w:w="1011" w:type="dxa"/>
            <w:tcBorders>
              <w:top w:val="single" w:sz="16" w:space="0" w:color="000000"/>
              <w:bottom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,982</w:t>
            </w:r>
          </w:p>
        </w:tc>
        <w:tc>
          <w:tcPr>
            <w:tcW w:w="1011" w:type="dxa"/>
            <w:tcBorders>
              <w:top w:val="single" w:sz="16" w:space="0" w:color="000000"/>
              <w:bottom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357</w:t>
            </w:r>
          </w:p>
        </w:tc>
        <w:tc>
          <w:tcPr>
            <w:tcW w:w="1011" w:type="dxa"/>
            <w:tcBorders>
              <w:top w:val="single" w:sz="16" w:space="0" w:color="000000"/>
              <w:bottom w:val="single" w:sz="16" w:space="0" w:color="000000"/>
              <w:right w:val="single" w:sz="16" w:space="0" w:color="000000"/>
            </w:tcBorders>
            <w:shd w:val="clear" w:color="auto" w:fill="FFFFFF"/>
          </w:tcPr>
          <w:p w:rsidR="001F10EB" w:rsidRPr="003569BE" w:rsidRDefault="001F10EB" w:rsidP="00A71EE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1F10EB" w:rsidRPr="003569BE" w:rsidTr="00A71EE4">
        <w:trPr>
          <w:cantSplit/>
          <w:jc w:val="center"/>
        </w:trPr>
        <w:tc>
          <w:tcPr>
            <w:tcW w:w="6956" w:type="dxa"/>
            <w:gridSpan w:val="7"/>
            <w:tcBorders>
              <w:top w:val="nil"/>
              <w:left w:val="nil"/>
              <w:bottom w:val="nil"/>
              <w:right w:val="nil"/>
            </w:tcBorders>
            <w:shd w:val="clear" w:color="auto" w:fill="FFFFFF"/>
          </w:tcPr>
          <w:p w:rsidR="001F10EB" w:rsidRPr="003569BE" w:rsidRDefault="001F10EB" w:rsidP="00A71EE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Lilliefors Significance Correction</w:t>
            </w:r>
          </w:p>
        </w:tc>
      </w:tr>
    </w:tbl>
    <w:p w:rsidR="001F10EB" w:rsidRPr="003569BE" w:rsidRDefault="001F10EB" w:rsidP="001F10EB">
      <w:pPr>
        <w:spacing w:line="360" w:lineRule="auto"/>
        <w:jc w:val="right"/>
        <w:rPr>
          <w:i/>
          <w:sz w:val="20"/>
          <w:szCs w:val="20"/>
          <w:lang w:val="en-GB"/>
        </w:rPr>
      </w:pPr>
      <w:r w:rsidRPr="003569BE">
        <w:rPr>
          <w:i/>
          <w:sz w:val="20"/>
          <w:szCs w:val="20"/>
          <w:lang w:val="en-GB"/>
        </w:rPr>
        <w:t>Table 4 – Tests of Normality</w:t>
      </w:r>
    </w:p>
    <w:p w:rsidR="001F10EB" w:rsidRPr="003569BE" w:rsidRDefault="001F10EB" w:rsidP="001F10EB">
      <w:pPr>
        <w:spacing w:line="360" w:lineRule="auto"/>
        <w:rPr>
          <w:lang w:val="en-GB"/>
        </w:rPr>
      </w:pPr>
      <w:r w:rsidRPr="003569BE">
        <w:rPr>
          <w:lang w:val="en-GB"/>
        </w:rPr>
        <w:t xml:space="preserve">From the graphical point of view, the next </w:t>
      </w:r>
      <w:r w:rsidR="00A85A9E" w:rsidRPr="003569BE">
        <w:rPr>
          <w:lang w:val="en-GB"/>
        </w:rPr>
        <w:t>two</w:t>
      </w:r>
      <w:r w:rsidRPr="003569BE">
        <w:rPr>
          <w:lang w:val="en-GB"/>
        </w:rPr>
        <w:t xml:space="preserve"> graphs are relevant for assessing the normality of this sample. First, a normally distributed sample is graphically characterized by a bell-shaped histogram. Although it is not an ideal normal distribution, the histogram presented next shows that this thesis’s sample follows the trend of a normally distributed sample.</w:t>
      </w:r>
    </w:p>
    <w:p w:rsidR="00F351C0" w:rsidRPr="003569BE" w:rsidRDefault="00F351C0" w:rsidP="00A02523">
      <w:pPr>
        <w:spacing w:line="360" w:lineRule="auto"/>
        <w:jc w:val="center"/>
        <w:rPr>
          <w:lang w:val="en-GB"/>
        </w:rPr>
      </w:pPr>
    </w:p>
    <w:p w:rsidR="00F351C0" w:rsidRPr="003569BE" w:rsidRDefault="00F351C0" w:rsidP="00B96826">
      <w:pPr>
        <w:spacing w:line="360" w:lineRule="auto"/>
        <w:rPr>
          <w:lang w:val="en-GB"/>
        </w:rPr>
      </w:pPr>
      <w:r w:rsidRPr="003569BE">
        <w:rPr>
          <w:noProof/>
          <w:lang w:val="en-US"/>
        </w:rPr>
        <w:drawing>
          <wp:anchor distT="0" distB="0" distL="114300" distR="114300" simplePos="0" relativeHeight="251648000" behindDoc="0" locked="0" layoutInCell="1" allowOverlap="1">
            <wp:simplePos x="0" y="0"/>
            <wp:positionH relativeFrom="column">
              <wp:posOffset>1500505</wp:posOffset>
            </wp:positionH>
            <wp:positionV relativeFrom="paragraph">
              <wp:posOffset>-337820</wp:posOffset>
            </wp:positionV>
            <wp:extent cx="2762250" cy="221361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62250" cy="2213610"/>
                    </a:xfrm>
                    <a:prstGeom prst="rect">
                      <a:avLst/>
                    </a:prstGeom>
                  </pic:spPr>
                </pic:pic>
              </a:graphicData>
            </a:graphic>
          </wp:anchor>
        </w:drawing>
      </w:r>
    </w:p>
    <w:p w:rsidR="001F10EB" w:rsidRPr="003569BE" w:rsidRDefault="00F351C0" w:rsidP="00F351C0">
      <w:pPr>
        <w:spacing w:line="360" w:lineRule="auto"/>
        <w:rPr>
          <w:lang w:val="en-GB"/>
        </w:rPr>
      </w:pPr>
      <w:r w:rsidRPr="003569BE">
        <w:rPr>
          <w:rFonts w:cs="Times New Roman"/>
          <w:noProof/>
          <w:szCs w:val="24"/>
          <w:lang w:val="en-US"/>
        </w:rPr>
        <w:drawing>
          <wp:anchor distT="0" distB="0" distL="114300" distR="114300" simplePos="0" relativeHeight="251646976" behindDoc="1" locked="0" layoutInCell="1" allowOverlap="1">
            <wp:simplePos x="0" y="0"/>
            <wp:positionH relativeFrom="column">
              <wp:posOffset>1748155</wp:posOffset>
            </wp:positionH>
            <wp:positionV relativeFrom="paragraph">
              <wp:posOffset>961390</wp:posOffset>
            </wp:positionV>
            <wp:extent cx="2258695" cy="1809750"/>
            <wp:effectExtent l="0" t="0" r="8255"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258695" cy="1809750"/>
                    </a:xfrm>
                    <a:prstGeom prst="rect">
                      <a:avLst/>
                    </a:prstGeom>
                  </pic:spPr>
                </pic:pic>
              </a:graphicData>
            </a:graphic>
          </wp:anchor>
        </w:drawing>
      </w:r>
      <w:r w:rsidR="001F10EB" w:rsidRPr="003569BE">
        <w:rPr>
          <w:lang w:val="en-GB"/>
        </w:rPr>
        <w:t>A normal Q-Q plot is another tool that can help assessing the normal distribution of a sample. A straight diagonal line would be the ideal normality in this case. The plot presented next shows that the sample used in this thesis follows, to a certain extent, the diagonal line.</w:t>
      </w:r>
    </w:p>
    <w:p w:rsidR="00692000" w:rsidRPr="003569BE" w:rsidRDefault="00692000" w:rsidP="00692000">
      <w:pPr>
        <w:pStyle w:val="Heading2"/>
        <w:numPr>
          <w:ilvl w:val="2"/>
          <w:numId w:val="6"/>
        </w:numPr>
        <w:rPr>
          <w:lang w:val="en-GB"/>
        </w:rPr>
      </w:pPr>
      <w:bookmarkStart w:id="60" w:name="_Toc396633592"/>
      <w:r w:rsidRPr="003569BE">
        <w:rPr>
          <w:lang w:val="en-GB"/>
        </w:rPr>
        <w:lastRenderedPageBreak/>
        <w:t>Homoscedasticity</w:t>
      </w:r>
      <w:bookmarkEnd w:id="60"/>
    </w:p>
    <w:p w:rsidR="00641EDE" w:rsidRPr="003569BE" w:rsidRDefault="00641EDE" w:rsidP="00652432">
      <w:pPr>
        <w:spacing w:line="360" w:lineRule="auto"/>
        <w:rPr>
          <w:lang w:val="en-GB"/>
        </w:rPr>
      </w:pPr>
      <w:r w:rsidRPr="003569BE">
        <w:rPr>
          <w:lang w:val="en-GB"/>
        </w:rPr>
        <w:t xml:space="preserve">Another requirement for running the regression is </w:t>
      </w:r>
      <w:r w:rsidR="00FB1CC5">
        <w:rPr>
          <w:lang w:val="en-GB"/>
        </w:rPr>
        <w:t xml:space="preserve">the </w:t>
      </w:r>
      <w:r w:rsidRPr="003569BE">
        <w:rPr>
          <w:lang w:val="en-GB"/>
        </w:rPr>
        <w:t xml:space="preserve">homoscedasticity. In order to be able to perform linear regression, </w:t>
      </w:r>
      <w:r w:rsidR="00FB1CC5">
        <w:rPr>
          <w:lang w:val="en-GB"/>
        </w:rPr>
        <w:t xml:space="preserve">in the sample </w:t>
      </w:r>
      <w:r w:rsidRPr="003569BE">
        <w:rPr>
          <w:lang w:val="en-GB"/>
        </w:rPr>
        <w:t>homoscedasticity should exist.</w:t>
      </w:r>
    </w:p>
    <w:p w:rsidR="00652432" w:rsidRPr="003569BE" w:rsidRDefault="00652432" w:rsidP="00652432">
      <w:pPr>
        <w:spacing w:line="360" w:lineRule="auto"/>
        <w:rPr>
          <w:lang w:val="en-GB"/>
        </w:rPr>
      </w:pPr>
      <w:r w:rsidRPr="003569BE">
        <w:rPr>
          <w:lang w:val="en-GB"/>
        </w:rPr>
        <w:t>The results of the tests for h</w:t>
      </w:r>
      <w:r w:rsidRPr="003569BE">
        <w:rPr>
          <w:rFonts w:cs="Times New Roman"/>
          <w:szCs w:val="24"/>
          <w:lang w:val="en-GB"/>
        </w:rPr>
        <w:t xml:space="preserve">omoscedasticity can be observed in the </w:t>
      </w:r>
      <w:r w:rsidR="006F7641">
        <w:rPr>
          <w:rFonts w:cs="Times New Roman"/>
          <w:szCs w:val="24"/>
          <w:lang w:val="en-GB"/>
        </w:rPr>
        <w:t>box</w:t>
      </w:r>
      <w:r w:rsidRPr="003569BE">
        <w:rPr>
          <w:rFonts w:cs="Times New Roman"/>
          <w:szCs w:val="24"/>
          <w:lang w:val="en-GB"/>
        </w:rPr>
        <w:t xml:space="preserve">plot below, which shows that </w:t>
      </w:r>
      <w:r w:rsidR="00FB1CC5">
        <w:rPr>
          <w:rFonts w:cs="Times New Roman"/>
          <w:szCs w:val="24"/>
          <w:lang w:val="en-GB"/>
        </w:rPr>
        <w:t xml:space="preserve">in the sample </w:t>
      </w:r>
      <w:r w:rsidRPr="003569BE">
        <w:rPr>
          <w:rFonts w:cs="Times New Roman"/>
          <w:szCs w:val="24"/>
          <w:lang w:val="en-GB"/>
        </w:rPr>
        <w:t>homoscedasticity exists, as ind</w:t>
      </w:r>
      <w:r w:rsidR="00B923E1" w:rsidRPr="003569BE">
        <w:rPr>
          <w:rFonts w:cs="Times New Roman"/>
          <w:szCs w:val="24"/>
          <w:lang w:val="en-GB"/>
        </w:rPr>
        <w:t>icated by the straight fit line.</w:t>
      </w:r>
    </w:p>
    <w:p w:rsidR="00692000" w:rsidRPr="003569BE" w:rsidRDefault="00652432" w:rsidP="00652432">
      <w:pPr>
        <w:jc w:val="center"/>
        <w:rPr>
          <w:lang w:val="en-GB"/>
        </w:rPr>
      </w:pPr>
      <w:r w:rsidRPr="003569BE">
        <w:rPr>
          <w:noProof/>
          <w:lang w:val="en-US"/>
        </w:rPr>
        <w:drawing>
          <wp:inline distT="0" distB="0" distL="0" distR="0">
            <wp:extent cx="2781300" cy="222864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2788407" cy="2234342"/>
                    </a:xfrm>
                    <a:prstGeom prst="rect">
                      <a:avLst/>
                    </a:prstGeom>
                  </pic:spPr>
                </pic:pic>
              </a:graphicData>
            </a:graphic>
          </wp:inline>
        </w:drawing>
      </w:r>
    </w:p>
    <w:p w:rsidR="00692000" w:rsidRPr="003569BE" w:rsidRDefault="00692000" w:rsidP="00692000">
      <w:pPr>
        <w:pStyle w:val="Heading2"/>
        <w:numPr>
          <w:ilvl w:val="2"/>
          <w:numId w:val="6"/>
        </w:numPr>
        <w:rPr>
          <w:lang w:val="en-GB"/>
        </w:rPr>
      </w:pPr>
      <w:bookmarkStart w:id="61" w:name="_Toc396633593"/>
      <w:r w:rsidRPr="003569BE">
        <w:rPr>
          <w:lang w:val="en-GB"/>
        </w:rPr>
        <w:t>Multicollinearity</w:t>
      </w:r>
      <w:bookmarkEnd w:id="61"/>
    </w:p>
    <w:p w:rsidR="00641EDE" w:rsidRPr="003569BE" w:rsidRDefault="00641EDE" w:rsidP="00652432">
      <w:pPr>
        <w:spacing w:line="360" w:lineRule="auto"/>
        <w:rPr>
          <w:lang w:val="en-GB"/>
        </w:rPr>
      </w:pPr>
      <w:r w:rsidRPr="003569BE">
        <w:rPr>
          <w:lang w:val="en-GB"/>
        </w:rPr>
        <w:t xml:space="preserve">The last quality test performed for this thesis is regarding </w:t>
      </w:r>
      <w:r w:rsidR="00FB1CC5">
        <w:rPr>
          <w:lang w:val="en-GB"/>
        </w:rPr>
        <w:t xml:space="preserve">the </w:t>
      </w:r>
      <w:r w:rsidRPr="003569BE">
        <w:rPr>
          <w:lang w:val="en-GB"/>
        </w:rPr>
        <w:t xml:space="preserve">multicollinearity. In order to be able to perform linear regression, </w:t>
      </w:r>
      <w:r w:rsidR="00FB1CC5" w:rsidRPr="00FB1CC5">
        <w:rPr>
          <w:lang w:val="en-GB"/>
        </w:rPr>
        <w:t xml:space="preserve">in the sample regarding the variables included in the model </w:t>
      </w:r>
      <w:r w:rsidRPr="003569BE">
        <w:rPr>
          <w:lang w:val="en-GB"/>
        </w:rPr>
        <w:t xml:space="preserve">multicollinearity should not exist. </w:t>
      </w:r>
    </w:p>
    <w:p w:rsidR="00652432" w:rsidRPr="003569BE" w:rsidRDefault="00652432" w:rsidP="00652432">
      <w:pPr>
        <w:spacing w:line="360" w:lineRule="auto"/>
        <w:rPr>
          <w:rFonts w:cs="Times New Roman"/>
          <w:szCs w:val="24"/>
          <w:lang w:val="en-GB"/>
        </w:rPr>
      </w:pPr>
      <w:r w:rsidRPr="003569BE">
        <w:rPr>
          <w:lang w:val="en-GB"/>
        </w:rPr>
        <w:t xml:space="preserve">The results of the tests for multicollinearity </w:t>
      </w:r>
      <w:r w:rsidRPr="003569BE">
        <w:rPr>
          <w:rFonts w:cs="Times New Roman"/>
          <w:szCs w:val="24"/>
          <w:lang w:val="en-GB"/>
        </w:rPr>
        <w:t xml:space="preserve">can be observed in </w:t>
      </w:r>
      <w:r w:rsidR="00C069F0" w:rsidRPr="003569BE">
        <w:rPr>
          <w:rFonts w:cs="Times New Roman"/>
          <w:szCs w:val="24"/>
          <w:lang w:val="en-GB"/>
        </w:rPr>
        <w:t>the tables below</w:t>
      </w:r>
      <w:r w:rsidRPr="003569BE">
        <w:rPr>
          <w:rFonts w:cs="Times New Roman"/>
          <w:szCs w:val="24"/>
          <w:lang w:val="en-GB"/>
        </w:rPr>
        <w:t>, which show that multicollinearity is not an issue, as indicated by the VIF values which are around 1.</w:t>
      </w:r>
    </w:p>
    <w:tbl>
      <w:tblPr>
        <w:tblW w:w="42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303"/>
        <w:gridCol w:w="106"/>
        <w:gridCol w:w="1019"/>
        <w:gridCol w:w="106"/>
        <w:gridCol w:w="905"/>
        <w:gridCol w:w="106"/>
      </w:tblGrid>
      <w:tr w:rsidR="00A8292A" w:rsidRPr="003569BE" w:rsidTr="00747BEA">
        <w:trPr>
          <w:cantSplit/>
          <w:tblHeader/>
          <w:jc w:val="center"/>
        </w:trPr>
        <w:tc>
          <w:tcPr>
            <w:tcW w:w="4272" w:type="dxa"/>
            <w:gridSpan w:val="7"/>
            <w:tcBorders>
              <w:top w:val="nil"/>
              <w:left w:val="nil"/>
              <w:bottom w:val="nil"/>
              <w:right w:val="nil"/>
            </w:tcBorders>
            <w:shd w:val="clear" w:color="auto" w:fill="FFFFFF"/>
            <w:vAlign w:val="center"/>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A8292A" w:rsidRPr="003569BE" w:rsidTr="00747BEA">
        <w:trPr>
          <w:cantSplit/>
          <w:tblHeader/>
          <w:jc w:val="center"/>
        </w:trPr>
        <w:tc>
          <w:tcPr>
            <w:tcW w:w="2136"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4"/>
            <w:tcBorders>
              <w:top w:val="single" w:sz="16" w:space="0" w:color="000000"/>
              <w:left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8292A" w:rsidRPr="003569BE" w:rsidTr="00747BEA">
        <w:trPr>
          <w:cantSplit/>
          <w:tblHeader/>
          <w:jc w:val="center"/>
        </w:trPr>
        <w:tc>
          <w:tcPr>
            <w:tcW w:w="2136"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125" w:type="dxa"/>
            <w:gridSpan w:val="2"/>
            <w:tcBorders>
              <w:left w:val="single" w:sz="16" w:space="0" w:color="000000"/>
              <w:bottom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gridSpan w:val="2"/>
            <w:tcBorders>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8292A" w:rsidRPr="003569BE" w:rsidTr="00747BEA">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gridSpan w:val="2"/>
            <w:tcBorders>
              <w:top w:val="single" w:sz="16" w:space="0" w:color="000000"/>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gridSpan w:val="2"/>
            <w:tcBorders>
              <w:top w:val="single" w:sz="16" w:space="0" w:color="000000"/>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,984</w:t>
            </w:r>
          </w:p>
        </w:tc>
        <w:tc>
          <w:tcPr>
            <w:tcW w:w="1011" w:type="dxa"/>
            <w:gridSpan w:val="2"/>
            <w:tcBorders>
              <w:top w:val="single" w:sz="16" w:space="0" w:color="000000"/>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1,017</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,985</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1,016</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,962</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1,039</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gridSpan w:val="2"/>
            <w:tcBorders>
              <w:top w:val="nil"/>
              <w:left w:val="single" w:sz="16" w:space="0" w:color="000000"/>
              <w:bottom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,976</w:t>
            </w:r>
          </w:p>
        </w:tc>
        <w:tc>
          <w:tcPr>
            <w:tcW w:w="1011" w:type="dxa"/>
            <w:gridSpan w:val="2"/>
            <w:tcBorders>
              <w:top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1,025</w:t>
            </w:r>
          </w:p>
        </w:tc>
      </w:tr>
      <w:tr w:rsidR="00A8292A" w:rsidRPr="003569BE" w:rsidTr="00747BEA">
        <w:trPr>
          <w:cantSplit/>
          <w:jc w:val="center"/>
        </w:trPr>
        <w:tc>
          <w:tcPr>
            <w:tcW w:w="4272" w:type="dxa"/>
            <w:gridSpan w:val="7"/>
            <w:tcBorders>
              <w:top w:val="nil"/>
              <w:left w:val="nil"/>
              <w:bottom w:val="nil"/>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audit</w:t>
            </w:r>
            <w:r w:rsidR="003569BE">
              <w:rPr>
                <w:rFonts w:ascii="Arial" w:hAnsi="Arial" w:cs="Arial"/>
                <w:color w:val="000000"/>
                <w:sz w:val="18"/>
                <w:szCs w:val="18"/>
                <w:lang w:val="en-GB"/>
              </w:rPr>
              <w:t xml:space="preserve"> </w:t>
            </w:r>
            <w:r w:rsidRPr="003569BE">
              <w:rPr>
                <w:rFonts w:ascii="Arial" w:hAnsi="Arial" w:cs="Arial"/>
                <w:color w:val="000000"/>
                <w:sz w:val="18"/>
                <w:szCs w:val="18"/>
                <w:lang w:val="en-GB"/>
              </w:rPr>
              <w:t>tenure</w:t>
            </w:r>
          </w:p>
          <w:p w:rsidR="00A8292A"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p>
          <w:p w:rsidR="00B023B5" w:rsidRDefault="00B023B5" w:rsidP="004D6FA9">
            <w:pPr>
              <w:autoSpaceDE w:val="0"/>
              <w:autoSpaceDN w:val="0"/>
              <w:adjustRightInd w:val="0"/>
              <w:spacing w:after="0" w:line="320" w:lineRule="atLeast"/>
              <w:ind w:left="60" w:right="60"/>
              <w:jc w:val="left"/>
              <w:rPr>
                <w:rFonts w:ascii="Arial" w:hAnsi="Arial" w:cs="Arial"/>
                <w:color w:val="000000"/>
                <w:sz w:val="18"/>
                <w:szCs w:val="18"/>
                <w:lang w:val="en-GB"/>
              </w:rPr>
            </w:pPr>
          </w:p>
          <w:p w:rsidR="00B023B5" w:rsidRDefault="00B023B5" w:rsidP="004D6FA9">
            <w:pPr>
              <w:autoSpaceDE w:val="0"/>
              <w:autoSpaceDN w:val="0"/>
              <w:adjustRightInd w:val="0"/>
              <w:spacing w:after="0" w:line="320" w:lineRule="atLeast"/>
              <w:ind w:left="60" w:right="60"/>
              <w:jc w:val="left"/>
              <w:rPr>
                <w:rFonts w:ascii="Arial" w:hAnsi="Arial" w:cs="Arial"/>
                <w:color w:val="000000"/>
                <w:sz w:val="18"/>
                <w:szCs w:val="18"/>
                <w:lang w:val="en-GB"/>
              </w:rPr>
            </w:pPr>
          </w:p>
          <w:p w:rsidR="00B023B5" w:rsidRDefault="00B023B5" w:rsidP="004D6FA9">
            <w:pPr>
              <w:autoSpaceDE w:val="0"/>
              <w:autoSpaceDN w:val="0"/>
              <w:adjustRightInd w:val="0"/>
              <w:spacing w:after="0" w:line="320" w:lineRule="atLeast"/>
              <w:ind w:left="60" w:right="60"/>
              <w:jc w:val="left"/>
              <w:rPr>
                <w:rFonts w:ascii="Arial" w:hAnsi="Arial" w:cs="Arial"/>
                <w:color w:val="000000"/>
                <w:sz w:val="18"/>
                <w:szCs w:val="18"/>
                <w:lang w:val="en-GB"/>
              </w:rPr>
            </w:pPr>
          </w:p>
          <w:p w:rsidR="00B023B5" w:rsidRDefault="00B023B5" w:rsidP="004D6FA9">
            <w:pPr>
              <w:autoSpaceDE w:val="0"/>
              <w:autoSpaceDN w:val="0"/>
              <w:adjustRightInd w:val="0"/>
              <w:spacing w:after="0" w:line="320" w:lineRule="atLeast"/>
              <w:ind w:left="60" w:right="60"/>
              <w:jc w:val="left"/>
              <w:rPr>
                <w:rFonts w:ascii="Arial" w:hAnsi="Arial" w:cs="Arial"/>
                <w:color w:val="000000"/>
                <w:sz w:val="18"/>
                <w:szCs w:val="18"/>
                <w:lang w:val="en-GB"/>
              </w:rPr>
            </w:pPr>
          </w:p>
          <w:p w:rsidR="00B023B5" w:rsidRPr="003569BE" w:rsidRDefault="00B023B5" w:rsidP="004D6FA9">
            <w:pPr>
              <w:autoSpaceDE w:val="0"/>
              <w:autoSpaceDN w:val="0"/>
              <w:adjustRightInd w:val="0"/>
              <w:spacing w:after="0" w:line="320" w:lineRule="atLeast"/>
              <w:ind w:left="60" w:right="60"/>
              <w:jc w:val="left"/>
              <w:rPr>
                <w:rFonts w:ascii="Arial" w:hAnsi="Arial" w:cs="Arial"/>
                <w:color w:val="000000"/>
                <w:sz w:val="18"/>
                <w:szCs w:val="18"/>
                <w:lang w:val="en-GB"/>
              </w:rPr>
            </w:pPr>
          </w:p>
        </w:tc>
      </w:tr>
      <w:tr w:rsidR="00A8292A" w:rsidRPr="003569BE" w:rsidTr="00747BEA">
        <w:trPr>
          <w:cantSplit/>
          <w:tblHeader/>
          <w:jc w:val="center"/>
        </w:trPr>
        <w:tc>
          <w:tcPr>
            <w:tcW w:w="4272" w:type="dxa"/>
            <w:gridSpan w:val="7"/>
            <w:tcBorders>
              <w:top w:val="nil"/>
              <w:left w:val="nil"/>
              <w:bottom w:val="nil"/>
              <w:right w:val="nil"/>
            </w:tcBorders>
            <w:shd w:val="clear" w:color="auto" w:fill="FFFFFF"/>
            <w:vAlign w:val="center"/>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lastRenderedPageBreak/>
              <w:t>Coefficients</w:t>
            </w:r>
            <w:r w:rsidRPr="003569BE">
              <w:rPr>
                <w:rFonts w:ascii="Arial" w:hAnsi="Arial" w:cs="Arial"/>
                <w:b/>
                <w:bCs/>
                <w:color w:val="000000"/>
                <w:sz w:val="18"/>
                <w:szCs w:val="18"/>
                <w:vertAlign w:val="superscript"/>
                <w:lang w:val="en-GB"/>
              </w:rPr>
              <w:t>a</w:t>
            </w:r>
          </w:p>
        </w:tc>
      </w:tr>
      <w:tr w:rsidR="00A8292A" w:rsidRPr="003569BE" w:rsidTr="00747BEA">
        <w:trPr>
          <w:cantSplit/>
          <w:tblHeader/>
          <w:jc w:val="center"/>
        </w:trPr>
        <w:tc>
          <w:tcPr>
            <w:tcW w:w="2136"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4"/>
            <w:tcBorders>
              <w:top w:val="single" w:sz="16" w:space="0" w:color="000000"/>
              <w:left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8292A" w:rsidRPr="003569BE" w:rsidTr="00747BEA">
        <w:trPr>
          <w:cantSplit/>
          <w:tblHeader/>
          <w:jc w:val="center"/>
        </w:trPr>
        <w:tc>
          <w:tcPr>
            <w:tcW w:w="2136"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125" w:type="dxa"/>
            <w:gridSpan w:val="2"/>
            <w:tcBorders>
              <w:left w:val="single" w:sz="16" w:space="0" w:color="000000"/>
              <w:bottom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gridSpan w:val="2"/>
            <w:tcBorders>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8292A" w:rsidRPr="003569BE" w:rsidTr="00747BEA">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gridSpan w:val="2"/>
            <w:tcBorders>
              <w:top w:val="single" w:sz="16" w:space="0" w:color="000000"/>
              <w:left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gridSpan w:val="2"/>
            <w:tcBorders>
              <w:top w:val="single" w:sz="16" w:space="0" w:color="000000"/>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,960</w:t>
            </w:r>
          </w:p>
        </w:tc>
        <w:tc>
          <w:tcPr>
            <w:tcW w:w="1011" w:type="dxa"/>
            <w:gridSpan w:val="2"/>
            <w:tcBorders>
              <w:top w:val="single" w:sz="16" w:space="0" w:color="000000"/>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1,042</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gridSpan w:val="2"/>
            <w:tcBorders>
              <w:top w:val="nil"/>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gridSpan w:val="2"/>
            <w:tcBorders>
              <w:top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gridSpan w:val="2"/>
            <w:tcBorders>
              <w:top w:val="nil"/>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,967</w:t>
            </w:r>
          </w:p>
        </w:tc>
        <w:tc>
          <w:tcPr>
            <w:tcW w:w="1011" w:type="dxa"/>
            <w:gridSpan w:val="2"/>
            <w:tcBorders>
              <w:top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1,034</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single" w:sz="16" w:space="0" w:color="000000"/>
              <w:right w:val="single" w:sz="16" w:space="0" w:color="000000"/>
            </w:tcBorders>
            <w:shd w:val="clear" w:color="auto" w:fill="FFFFFF"/>
          </w:tcPr>
          <w:p w:rsidR="00A8292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A8292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A8292A" w:rsidRPr="003569BE">
              <w:rPr>
                <w:rFonts w:ascii="Arial" w:hAnsi="Arial" w:cs="Arial"/>
                <w:color w:val="000000"/>
                <w:sz w:val="18"/>
                <w:szCs w:val="18"/>
                <w:lang w:val="en-GB"/>
              </w:rPr>
              <w:t>tenure</w:t>
            </w:r>
          </w:p>
        </w:tc>
        <w:tc>
          <w:tcPr>
            <w:tcW w:w="1125" w:type="dxa"/>
            <w:gridSpan w:val="2"/>
            <w:tcBorders>
              <w:top w:val="nil"/>
              <w:left w:val="single" w:sz="16" w:space="0" w:color="000000"/>
              <w:bottom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,966</w:t>
            </w:r>
          </w:p>
        </w:tc>
        <w:tc>
          <w:tcPr>
            <w:tcW w:w="1011" w:type="dxa"/>
            <w:gridSpan w:val="2"/>
            <w:tcBorders>
              <w:top w:val="nil"/>
              <w:bottom w:val="single" w:sz="16" w:space="0" w:color="000000"/>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1,035</w:t>
            </w:r>
          </w:p>
        </w:tc>
      </w:tr>
      <w:tr w:rsidR="00A8292A" w:rsidRPr="003569BE" w:rsidTr="00747BEA">
        <w:trPr>
          <w:cantSplit/>
          <w:jc w:val="center"/>
        </w:trPr>
        <w:tc>
          <w:tcPr>
            <w:tcW w:w="4272" w:type="dxa"/>
            <w:gridSpan w:val="7"/>
            <w:tcBorders>
              <w:top w:val="nil"/>
              <w:left w:val="nil"/>
              <w:bottom w:val="nil"/>
              <w:right w:val="nil"/>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ctr_size</w:t>
            </w:r>
          </w:p>
          <w:p w:rsidR="00147063" w:rsidRPr="003569BE" w:rsidRDefault="00147063" w:rsidP="00A8292A">
            <w:pPr>
              <w:autoSpaceDE w:val="0"/>
              <w:autoSpaceDN w:val="0"/>
              <w:adjustRightInd w:val="0"/>
              <w:spacing w:after="0" w:line="320" w:lineRule="atLeast"/>
              <w:ind w:left="60" w:right="60"/>
              <w:jc w:val="left"/>
              <w:rPr>
                <w:rFonts w:ascii="Arial" w:hAnsi="Arial" w:cs="Arial"/>
                <w:color w:val="000000"/>
                <w:sz w:val="18"/>
                <w:szCs w:val="18"/>
                <w:lang w:val="en-GB"/>
              </w:rPr>
            </w:pPr>
          </w:p>
        </w:tc>
      </w:tr>
      <w:tr w:rsidR="00A8292A" w:rsidRPr="003569BE" w:rsidTr="00747BEA">
        <w:trPr>
          <w:cantSplit/>
          <w:tblHeader/>
          <w:jc w:val="center"/>
        </w:trPr>
        <w:tc>
          <w:tcPr>
            <w:tcW w:w="4272" w:type="dxa"/>
            <w:gridSpan w:val="7"/>
            <w:tcBorders>
              <w:top w:val="nil"/>
              <w:left w:val="nil"/>
              <w:bottom w:val="nil"/>
              <w:right w:val="nil"/>
            </w:tcBorders>
            <w:shd w:val="clear" w:color="auto" w:fill="FFFFFF"/>
            <w:vAlign w:val="center"/>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A8292A" w:rsidRPr="003569BE" w:rsidTr="00747BEA">
        <w:trPr>
          <w:cantSplit/>
          <w:tblHeader/>
          <w:jc w:val="center"/>
        </w:trPr>
        <w:tc>
          <w:tcPr>
            <w:tcW w:w="2136"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4"/>
            <w:tcBorders>
              <w:top w:val="single" w:sz="16" w:space="0" w:color="000000"/>
              <w:left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8292A" w:rsidRPr="003569BE" w:rsidTr="00747BEA">
        <w:trPr>
          <w:cantSplit/>
          <w:tblHeader/>
          <w:jc w:val="center"/>
        </w:trPr>
        <w:tc>
          <w:tcPr>
            <w:tcW w:w="2136"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125" w:type="dxa"/>
            <w:gridSpan w:val="2"/>
            <w:tcBorders>
              <w:left w:val="single" w:sz="16" w:space="0" w:color="000000"/>
              <w:bottom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gridSpan w:val="2"/>
            <w:tcBorders>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8292A" w:rsidRPr="003569BE" w:rsidTr="00747BEA">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gridSpan w:val="2"/>
            <w:tcBorders>
              <w:top w:val="single" w:sz="16" w:space="0" w:color="000000"/>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gridSpan w:val="2"/>
            <w:tcBorders>
              <w:top w:val="single" w:sz="16" w:space="0" w:color="000000"/>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,969</w:t>
            </w:r>
          </w:p>
        </w:tc>
        <w:tc>
          <w:tcPr>
            <w:tcW w:w="1011" w:type="dxa"/>
            <w:gridSpan w:val="2"/>
            <w:tcBorders>
              <w:top w:val="single" w:sz="16" w:space="0" w:color="000000"/>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1,032</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A8292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A8292A" w:rsidRPr="003569BE">
              <w:rPr>
                <w:rFonts w:ascii="Arial" w:hAnsi="Arial" w:cs="Arial"/>
                <w:color w:val="000000"/>
                <w:sz w:val="18"/>
                <w:szCs w:val="18"/>
                <w:lang w:val="en-GB"/>
              </w:rPr>
              <w:t>tenure</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,991</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1,009</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gridSpan w:val="2"/>
            <w:tcBorders>
              <w:top w:val="nil"/>
              <w:left w:val="single" w:sz="16" w:space="0" w:color="000000"/>
              <w:bottom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,984</w:t>
            </w:r>
          </w:p>
        </w:tc>
        <w:tc>
          <w:tcPr>
            <w:tcW w:w="1011" w:type="dxa"/>
            <w:gridSpan w:val="2"/>
            <w:tcBorders>
              <w:top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1,017</w:t>
            </w:r>
          </w:p>
        </w:tc>
      </w:tr>
      <w:tr w:rsidR="00A8292A" w:rsidRPr="003569BE" w:rsidTr="00747BEA">
        <w:trPr>
          <w:cantSplit/>
          <w:jc w:val="center"/>
        </w:trPr>
        <w:tc>
          <w:tcPr>
            <w:tcW w:w="4272" w:type="dxa"/>
            <w:gridSpan w:val="7"/>
            <w:tcBorders>
              <w:top w:val="nil"/>
              <w:left w:val="nil"/>
              <w:bottom w:val="nil"/>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ctr_growth</w:t>
            </w:r>
          </w:p>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p>
        </w:tc>
      </w:tr>
      <w:tr w:rsidR="00A8292A" w:rsidRPr="003569BE" w:rsidTr="00747BEA">
        <w:trPr>
          <w:gridAfter w:val="1"/>
          <w:wAfter w:w="106" w:type="dxa"/>
          <w:cantSplit/>
          <w:tblHeader/>
          <w:jc w:val="center"/>
        </w:trPr>
        <w:tc>
          <w:tcPr>
            <w:tcW w:w="4166" w:type="dxa"/>
            <w:gridSpan w:val="6"/>
            <w:tcBorders>
              <w:top w:val="nil"/>
              <w:left w:val="nil"/>
              <w:bottom w:val="nil"/>
              <w:right w:val="nil"/>
            </w:tcBorders>
            <w:shd w:val="clear" w:color="auto" w:fill="FFFFFF"/>
            <w:vAlign w:val="center"/>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A8292A" w:rsidRPr="003569BE" w:rsidTr="00747BEA">
        <w:trPr>
          <w:gridAfter w:val="1"/>
          <w:wAfter w:w="106" w:type="dxa"/>
          <w:cantSplit/>
          <w:tblHeader/>
          <w:jc w:val="center"/>
        </w:trPr>
        <w:tc>
          <w:tcPr>
            <w:tcW w:w="203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4"/>
            <w:tcBorders>
              <w:top w:val="single" w:sz="16" w:space="0" w:color="000000"/>
              <w:left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8292A" w:rsidRPr="003569BE" w:rsidTr="00747BEA">
        <w:trPr>
          <w:gridAfter w:val="1"/>
          <w:wAfter w:w="106" w:type="dxa"/>
          <w:cantSplit/>
          <w:tblHeader/>
          <w:jc w:val="center"/>
        </w:trPr>
        <w:tc>
          <w:tcPr>
            <w:tcW w:w="203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125" w:type="dxa"/>
            <w:gridSpan w:val="2"/>
            <w:tcBorders>
              <w:left w:val="single" w:sz="16" w:space="0" w:color="000000"/>
              <w:bottom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gridSpan w:val="2"/>
            <w:tcBorders>
              <w:bottom w:val="single" w:sz="16" w:space="0" w:color="000000"/>
              <w:right w:val="single" w:sz="16" w:space="0" w:color="000000"/>
            </w:tcBorders>
            <w:shd w:val="clear" w:color="auto" w:fill="FFFFFF"/>
            <w:vAlign w:val="bottom"/>
          </w:tcPr>
          <w:p w:rsidR="00A8292A" w:rsidRPr="003569BE" w:rsidRDefault="00A8292A" w:rsidP="00A8292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8292A" w:rsidRPr="003569BE" w:rsidTr="00747BEA">
        <w:trPr>
          <w:gridAfter w:val="1"/>
          <w:wAfter w:w="106" w:type="dxa"/>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303" w:type="dxa"/>
            <w:tcBorders>
              <w:top w:val="single" w:sz="16" w:space="0" w:color="000000"/>
              <w:left w:val="nil"/>
              <w:bottom w:val="nil"/>
              <w:right w:val="single" w:sz="16" w:space="0" w:color="000000"/>
            </w:tcBorders>
            <w:shd w:val="clear" w:color="auto" w:fill="FFFFFF"/>
          </w:tcPr>
          <w:p w:rsidR="00A8292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A8292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A8292A" w:rsidRPr="003569BE">
              <w:rPr>
                <w:rFonts w:ascii="Arial" w:hAnsi="Arial" w:cs="Arial"/>
                <w:color w:val="000000"/>
                <w:sz w:val="18"/>
                <w:szCs w:val="18"/>
                <w:lang w:val="en-GB"/>
              </w:rPr>
              <w:t>tenure</w:t>
            </w:r>
          </w:p>
        </w:tc>
        <w:tc>
          <w:tcPr>
            <w:tcW w:w="1125" w:type="dxa"/>
            <w:gridSpan w:val="2"/>
            <w:tcBorders>
              <w:top w:val="single" w:sz="16" w:space="0" w:color="000000"/>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,976</w:t>
            </w:r>
          </w:p>
        </w:tc>
        <w:tc>
          <w:tcPr>
            <w:tcW w:w="1011" w:type="dxa"/>
            <w:gridSpan w:val="2"/>
            <w:tcBorders>
              <w:top w:val="single" w:sz="16" w:space="0" w:color="000000"/>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1,025</w:t>
            </w:r>
          </w:p>
        </w:tc>
      </w:tr>
      <w:tr w:rsidR="00A8292A" w:rsidRPr="003569BE" w:rsidTr="00747BEA">
        <w:trPr>
          <w:gridAfter w:val="1"/>
          <w:wAfter w:w="106" w:type="dxa"/>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gridSpan w:val="2"/>
            <w:tcBorders>
              <w:top w:val="nil"/>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,985</w:t>
            </w:r>
          </w:p>
        </w:tc>
        <w:tc>
          <w:tcPr>
            <w:tcW w:w="1011" w:type="dxa"/>
            <w:gridSpan w:val="2"/>
            <w:tcBorders>
              <w:top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1,015</w:t>
            </w:r>
          </w:p>
        </w:tc>
      </w:tr>
      <w:tr w:rsidR="00A8292A" w:rsidRPr="003569BE" w:rsidTr="00747BEA">
        <w:trPr>
          <w:gridAfter w:val="1"/>
          <w:wAfter w:w="106" w:type="dxa"/>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gridSpan w:val="2"/>
            <w:tcBorders>
              <w:top w:val="nil"/>
              <w:left w:val="single" w:sz="16" w:space="0" w:color="000000"/>
              <w:bottom w:val="nil"/>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,968</w:t>
            </w:r>
          </w:p>
        </w:tc>
        <w:tc>
          <w:tcPr>
            <w:tcW w:w="1011" w:type="dxa"/>
            <w:gridSpan w:val="2"/>
            <w:tcBorders>
              <w:top w:val="nil"/>
              <w:bottom w:val="nil"/>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1,033</w:t>
            </w:r>
          </w:p>
        </w:tc>
      </w:tr>
      <w:tr w:rsidR="00A8292A" w:rsidRPr="003569BE" w:rsidTr="00747BEA">
        <w:trPr>
          <w:gridAfter w:val="1"/>
          <w:wAfter w:w="106" w:type="dxa"/>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A8292A">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single" w:sz="16" w:space="0" w:color="000000"/>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gridSpan w:val="2"/>
            <w:tcBorders>
              <w:top w:val="nil"/>
              <w:left w:val="single" w:sz="16" w:space="0" w:color="000000"/>
              <w:bottom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gridSpan w:val="2"/>
            <w:tcBorders>
              <w:top w:val="nil"/>
              <w:bottom w:val="single" w:sz="16" w:space="0" w:color="000000"/>
              <w:right w:val="single" w:sz="16" w:space="0" w:color="000000"/>
            </w:tcBorders>
            <w:shd w:val="clear" w:color="auto" w:fill="FFFFFF"/>
          </w:tcPr>
          <w:p w:rsidR="00A8292A" w:rsidRPr="003569BE" w:rsidRDefault="00A8292A" w:rsidP="00A8292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A8292A" w:rsidRPr="003569BE" w:rsidTr="00747BEA">
        <w:trPr>
          <w:gridAfter w:val="1"/>
          <w:wAfter w:w="106" w:type="dxa"/>
          <w:cantSplit/>
          <w:jc w:val="center"/>
        </w:trPr>
        <w:tc>
          <w:tcPr>
            <w:tcW w:w="4166" w:type="dxa"/>
            <w:gridSpan w:val="6"/>
            <w:tcBorders>
              <w:top w:val="nil"/>
              <w:left w:val="nil"/>
              <w:bottom w:val="nil"/>
              <w:right w:val="nil"/>
            </w:tcBorders>
            <w:shd w:val="clear" w:color="auto" w:fill="FFFFFF"/>
          </w:tcPr>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ctr_PriorLoss</w:t>
            </w:r>
          </w:p>
          <w:p w:rsidR="00A8292A" w:rsidRPr="003569BE" w:rsidRDefault="00A8292A" w:rsidP="00A8292A">
            <w:pPr>
              <w:autoSpaceDE w:val="0"/>
              <w:autoSpaceDN w:val="0"/>
              <w:adjustRightInd w:val="0"/>
              <w:spacing w:after="0" w:line="320" w:lineRule="atLeast"/>
              <w:ind w:left="60" w:right="60"/>
              <w:jc w:val="left"/>
              <w:rPr>
                <w:rFonts w:ascii="Arial" w:hAnsi="Arial" w:cs="Arial"/>
                <w:color w:val="000000"/>
                <w:sz w:val="18"/>
                <w:szCs w:val="18"/>
                <w:lang w:val="en-GB"/>
              </w:rPr>
            </w:pPr>
          </w:p>
        </w:tc>
      </w:tr>
      <w:tr w:rsidR="00A8292A" w:rsidRPr="003569BE" w:rsidTr="00747BEA">
        <w:trPr>
          <w:cantSplit/>
          <w:tblHeader/>
          <w:jc w:val="center"/>
        </w:trPr>
        <w:tc>
          <w:tcPr>
            <w:tcW w:w="4272" w:type="dxa"/>
            <w:gridSpan w:val="7"/>
            <w:tcBorders>
              <w:top w:val="nil"/>
              <w:left w:val="nil"/>
              <w:bottom w:val="nil"/>
              <w:right w:val="nil"/>
            </w:tcBorders>
            <w:shd w:val="clear" w:color="auto" w:fill="FFFFFF"/>
            <w:vAlign w:val="center"/>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A8292A" w:rsidRPr="003569BE" w:rsidTr="00747BEA">
        <w:trPr>
          <w:cantSplit/>
          <w:tblHeader/>
          <w:jc w:val="center"/>
        </w:trPr>
        <w:tc>
          <w:tcPr>
            <w:tcW w:w="2136"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4"/>
            <w:tcBorders>
              <w:top w:val="single" w:sz="16" w:space="0" w:color="000000"/>
              <w:left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8292A" w:rsidRPr="003569BE" w:rsidTr="00747BEA">
        <w:trPr>
          <w:cantSplit/>
          <w:tblHeader/>
          <w:jc w:val="center"/>
        </w:trPr>
        <w:tc>
          <w:tcPr>
            <w:tcW w:w="2136"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125" w:type="dxa"/>
            <w:gridSpan w:val="2"/>
            <w:tcBorders>
              <w:left w:val="single" w:sz="16" w:space="0" w:color="000000"/>
              <w:bottom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gridSpan w:val="2"/>
            <w:tcBorders>
              <w:bottom w:val="single" w:sz="16" w:space="0" w:color="000000"/>
              <w:right w:val="single" w:sz="16" w:space="0" w:color="000000"/>
            </w:tcBorders>
            <w:shd w:val="clear" w:color="auto" w:fill="FFFFFF"/>
            <w:vAlign w:val="bottom"/>
          </w:tcPr>
          <w:p w:rsidR="00A8292A" w:rsidRPr="003569BE" w:rsidRDefault="00A8292A" w:rsidP="004D6FA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8292A" w:rsidRPr="003569BE" w:rsidTr="00747BEA">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gridSpan w:val="2"/>
            <w:tcBorders>
              <w:top w:val="single" w:sz="16" w:space="0" w:color="000000"/>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gridSpan w:val="2"/>
            <w:tcBorders>
              <w:top w:val="single" w:sz="16" w:space="0" w:color="000000"/>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,978</w:t>
            </w:r>
          </w:p>
        </w:tc>
        <w:tc>
          <w:tcPr>
            <w:tcW w:w="1011" w:type="dxa"/>
            <w:gridSpan w:val="2"/>
            <w:tcBorders>
              <w:top w:val="single" w:sz="16" w:space="0" w:color="000000"/>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1,022</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A8292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A8292A" w:rsidRPr="003569BE">
              <w:rPr>
                <w:rFonts w:ascii="Arial" w:hAnsi="Arial" w:cs="Arial"/>
                <w:color w:val="000000"/>
                <w:sz w:val="18"/>
                <w:szCs w:val="18"/>
                <w:lang w:val="en-GB"/>
              </w:rPr>
              <w:t>tenure</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,967</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1,034</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gridSpan w:val="2"/>
            <w:tcBorders>
              <w:top w:val="nil"/>
              <w:left w:val="single" w:sz="16" w:space="0" w:color="000000"/>
              <w:bottom w:val="nil"/>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,997</w:t>
            </w:r>
          </w:p>
        </w:tc>
        <w:tc>
          <w:tcPr>
            <w:tcW w:w="1011" w:type="dxa"/>
            <w:gridSpan w:val="2"/>
            <w:tcBorders>
              <w:top w:val="nil"/>
              <w:bottom w:val="nil"/>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1,003</w:t>
            </w:r>
          </w:p>
        </w:tc>
      </w:tr>
      <w:tr w:rsidR="00A8292A" w:rsidRPr="003569BE" w:rsidTr="00747BEA">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A8292A" w:rsidRPr="003569BE" w:rsidRDefault="00A8292A" w:rsidP="004D6FA9">
            <w:pPr>
              <w:autoSpaceDE w:val="0"/>
              <w:autoSpaceDN w:val="0"/>
              <w:adjustRightInd w:val="0"/>
              <w:spacing w:after="0" w:line="240" w:lineRule="auto"/>
              <w:jc w:val="left"/>
              <w:rPr>
                <w:rFonts w:ascii="Arial" w:hAnsi="Arial" w:cs="Arial"/>
                <w:color w:val="000000"/>
                <w:sz w:val="18"/>
                <w:szCs w:val="18"/>
                <w:lang w:val="en-GB"/>
              </w:rPr>
            </w:pPr>
          </w:p>
        </w:tc>
        <w:tc>
          <w:tcPr>
            <w:tcW w:w="1409" w:type="dxa"/>
            <w:gridSpan w:val="2"/>
            <w:tcBorders>
              <w:top w:val="nil"/>
              <w:left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gridSpan w:val="2"/>
            <w:tcBorders>
              <w:top w:val="nil"/>
              <w:left w:val="single" w:sz="16" w:space="0" w:color="000000"/>
              <w:bottom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,968</w:t>
            </w:r>
          </w:p>
        </w:tc>
        <w:tc>
          <w:tcPr>
            <w:tcW w:w="1011" w:type="dxa"/>
            <w:gridSpan w:val="2"/>
            <w:tcBorders>
              <w:top w:val="nil"/>
              <w:bottom w:val="single" w:sz="16" w:space="0" w:color="000000"/>
              <w:right w:val="single" w:sz="16" w:space="0" w:color="000000"/>
            </w:tcBorders>
            <w:shd w:val="clear" w:color="auto" w:fill="FFFFFF"/>
          </w:tcPr>
          <w:p w:rsidR="00A8292A" w:rsidRPr="003569BE" w:rsidRDefault="00A8292A" w:rsidP="004D6FA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1,033</w:t>
            </w:r>
          </w:p>
        </w:tc>
      </w:tr>
      <w:tr w:rsidR="00A8292A" w:rsidRPr="003569BE" w:rsidTr="00747BEA">
        <w:trPr>
          <w:cantSplit/>
          <w:jc w:val="center"/>
        </w:trPr>
        <w:tc>
          <w:tcPr>
            <w:tcW w:w="4272" w:type="dxa"/>
            <w:gridSpan w:val="7"/>
            <w:tcBorders>
              <w:top w:val="nil"/>
              <w:left w:val="nil"/>
              <w:bottom w:val="nil"/>
              <w:right w:val="nil"/>
            </w:tcBorders>
            <w:shd w:val="clear" w:color="auto" w:fill="FFFFFF"/>
          </w:tcPr>
          <w:p w:rsidR="00A8292A" w:rsidRPr="003569BE" w:rsidRDefault="00A8292A" w:rsidP="004D6FA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ctr_leverage</w:t>
            </w:r>
          </w:p>
        </w:tc>
      </w:tr>
    </w:tbl>
    <w:p w:rsidR="00FB1CC5" w:rsidRDefault="00FB1CC5" w:rsidP="00881023">
      <w:pPr>
        <w:autoSpaceDE w:val="0"/>
        <w:autoSpaceDN w:val="0"/>
        <w:adjustRightInd w:val="0"/>
        <w:spacing w:after="0" w:line="240" w:lineRule="auto"/>
        <w:jc w:val="left"/>
        <w:rPr>
          <w:rFonts w:cs="Times New Roman"/>
          <w:szCs w:val="24"/>
          <w:lang w:val="en-GB"/>
        </w:rPr>
      </w:pPr>
    </w:p>
    <w:p w:rsidR="00FB1CC5" w:rsidRDefault="00FB1CC5">
      <w:pPr>
        <w:jc w:val="left"/>
        <w:rPr>
          <w:rFonts w:cs="Times New Roman"/>
          <w:szCs w:val="24"/>
          <w:lang w:val="en-GB"/>
        </w:rPr>
      </w:pPr>
      <w:r>
        <w:rPr>
          <w:rFonts w:cs="Times New Roman"/>
          <w:szCs w:val="24"/>
          <w:lang w:val="en-GB"/>
        </w:rPr>
        <w:br w:type="page"/>
      </w:r>
    </w:p>
    <w:p w:rsidR="00385806" w:rsidRPr="003569BE" w:rsidRDefault="00385806" w:rsidP="00CF5E60">
      <w:pPr>
        <w:pStyle w:val="Heading2"/>
        <w:numPr>
          <w:ilvl w:val="1"/>
          <w:numId w:val="6"/>
        </w:numPr>
        <w:spacing w:line="360" w:lineRule="auto"/>
        <w:rPr>
          <w:lang w:val="en-GB"/>
        </w:rPr>
      </w:pPr>
      <w:bookmarkStart w:id="62" w:name="_Toc396633594"/>
      <w:r w:rsidRPr="003569BE">
        <w:rPr>
          <w:lang w:val="en-GB"/>
        </w:rPr>
        <w:lastRenderedPageBreak/>
        <w:t>Earnings Management Model Results</w:t>
      </w:r>
      <w:bookmarkEnd w:id="62"/>
    </w:p>
    <w:p w:rsidR="00E71972" w:rsidRPr="003569BE" w:rsidRDefault="00162414" w:rsidP="00E71972">
      <w:pPr>
        <w:spacing w:line="360" w:lineRule="auto"/>
        <w:rPr>
          <w:rFonts w:cs="Times New Roman"/>
          <w:szCs w:val="24"/>
          <w:lang w:val="en-GB"/>
        </w:rPr>
      </w:pPr>
      <w:r w:rsidRPr="003569BE">
        <w:rPr>
          <w:lang w:val="en-GB"/>
        </w:rPr>
        <w:t>For estimating the amount of the discretionary accruals for the firms in this thesis’s sample, i</w:t>
      </w:r>
      <w:r w:rsidR="00A61882" w:rsidRPr="003569BE">
        <w:rPr>
          <w:lang w:val="en-GB"/>
        </w:rPr>
        <w:t>n this section</w:t>
      </w:r>
      <w:r w:rsidR="008570DE" w:rsidRPr="003569BE">
        <w:rPr>
          <w:lang w:val="en-GB"/>
        </w:rPr>
        <w:t xml:space="preserve"> the performance matched model of Kothari et</w:t>
      </w:r>
      <w:r w:rsidR="00A61882" w:rsidRPr="003569BE">
        <w:rPr>
          <w:lang w:val="en-GB"/>
        </w:rPr>
        <w:t xml:space="preserve"> Al. (2005) will be performed</w:t>
      </w:r>
      <w:r w:rsidR="008570DE" w:rsidRPr="003569BE">
        <w:rPr>
          <w:lang w:val="en-GB"/>
        </w:rPr>
        <w:t>. As signalled</w:t>
      </w:r>
      <w:r w:rsidR="00D359E8" w:rsidRPr="003569BE">
        <w:rPr>
          <w:lang w:val="en-GB"/>
        </w:rPr>
        <w:t xml:space="preserve"> before</w:t>
      </w:r>
      <w:r w:rsidR="008570DE" w:rsidRPr="003569BE">
        <w:rPr>
          <w:lang w:val="en-GB"/>
        </w:rPr>
        <w:t xml:space="preserve">, the amount of </w:t>
      </w:r>
      <w:r w:rsidR="00FB1CC5">
        <w:rPr>
          <w:lang w:val="en-GB"/>
        </w:rPr>
        <w:t xml:space="preserve">the </w:t>
      </w:r>
      <w:r w:rsidR="008570DE" w:rsidRPr="003569BE">
        <w:rPr>
          <w:lang w:val="en-GB"/>
        </w:rPr>
        <w:t>discretionary accruals is used as a proxy for the magnitude of the use of earnings management.</w:t>
      </w:r>
      <w:r w:rsidR="0072611E" w:rsidRPr="003569BE">
        <w:rPr>
          <w:lang w:val="en-GB"/>
        </w:rPr>
        <w:t xml:space="preserve"> The steps for the estimation of discretionary accruals are described in section 6.2.1 of this thesis. </w:t>
      </w:r>
      <w:r w:rsidR="00E71972" w:rsidRPr="003569BE">
        <w:rPr>
          <w:lang w:val="en-GB"/>
        </w:rPr>
        <w:t>After finishing the first step of the discretionary accruals estimation, i.e. computing the amount of Total Accruals (TA</w:t>
      </w:r>
      <w:r w:rsidR="00E71972" w:rsidRPr="003569BE">
        <w:rPr>
          <w:vertAlign w:val="subscript"/>
          <w:lang w:val="en-GB"/>
        </w:rPr>
        <w:t>it</w:t>
      </w:r>
      <w:r w:rsidR="00E71972" w:rsidRPr="003569BE">
        <w:rPr>
          <w:lang w:val="en-GB"/>
        </w:rPr>
        <w:t xml:space="preserve">), </w:t>
      </w:r>
      <w:r w:rsidR="00937056" w:rsidRPr="003569BE">
        <w:rPr>
          <w:lang w:val="en-GB"/>
        </w:rPr>
        <w:t>estimating the coefficients b0, b1, b2 and b3 based on the next equation</w:t>
      </w:r>
      <w:r w:rsidR="00626DE0" w:rsidRPr="003569BE">
        <w:rPr>
          <w:lang w:val="en-GB"/>
        </w:rPr>
        <w:t>,</w:t>
      </w:r>
      <w:r w:rsidR="00937056" w:rsidRPr="003569BE">
        <w:rPr>
          <w:lang w:val="en-GB"/>
        </w:rPr>
        <w:t xml:space="preserve"> in SPSS </w:t>
      </w:r>
      <w:r w:rsidR="00E71972" w:rsidRPr="003569BE">
        <w:rPr>
          <w:lang w:val="en-GB"/>
        </w:rPr>
        <w:t>a regression needs to be run</w:t>
      </w:r>
      <w:r w:rsidR="00E71972" w:rsidRPr="003569BE">
        <w:rPr>
          <w:rFonts w:cs="Times New Roman"/>
          <w:szCs w:val="24"/>
          <w:lang w:val="en-GB"/>
        </w:rPr>
        <w:t>:</w:t>
      </w:r>
    </w:p>
    <w:p w:rsidR="00AB1BE3" w:rsidRPr="003569BE" w:rsidRDefault="00E71972" w:rsidP="00E71972">
      <w:pPr>
        <w:spacing w:line="360" w:lineRule="auto"/>
        <w:rPr>
          <w:rFonts w:cs="Times New Roman"/>
          <w:i/>
          <w:szCs w:val="24"/>
          <w:vertAlign w:val="subscript"/>
          <w:lang w:val="en-GB"/>
        </w:rPr>
      </w:pPr>
      <w:r w:rsidRPr="003569BE">
        <w:rPr>
          <w:rFonts w:cs="Times New Roman"/>
          <w:i/>
          <w:szCs w:val="24"/>
          <w:lang w:val="en-GB"/>
        </w:rPr>
        <w:t>TA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b</w:t>
      </w:r>
      <w:r w:rsidRPr="003569BE">
        <w:rPr>
          <w:rFonts w:cs="Times New Roman"/>
          <w:i/>
          <w:szCs w:val="24"/>
          <w:vertAlign w:val="subscript"/>
          <w:lang w:val="en-GB"/>
        </w:rPr>
        <w:t>0</w:t>
      </w:r>
      <w:r w:rsidRPr="003569BE">
        <w:rPr>
          <w:rFonts w:cs="Times New Roman"/>
          <w:i/>
          <w:szCs w:val="24"/>
          <w:lang w:val="en-GB"/>
        </w:rPr>
        <w:t xml:space="preserve"> [1/A</w:t>
      </w:r>
      <w:r w:rsidRPr="003569BE">
        <w:rPr>
          <w:rFonts w:cs="Times New Roman"/>
          <w:i/>
          <w:szCs w:val="24"/>
          <w:vertAlign w:val="subscript"/>
          <w:lang w:val="en-GB"/>
        </w:rPr>
        <w:t>it-1</w:t>
      </w:r>
      <w:r w:rsidRPr="003569BE">
        <w:rPr>
          <w:rFonts w:cs="Times New Roman"/>
          <w:i/>
          <w:szCs w:val="24"/>
          <w:lang w:val="en-GB"/>
        </w:rPr>
        <w:t>] + b</w:t>
      </w:r>
      <w:r w:rsidRPr="003569BE">
        <w:rPr>
          <w:rFonts w:cs="Times New Roman"/>
          <w:i/>
          <w:szCs w:val="24"/>
          <w:vertAlign w:val="subscript"/>
          <w:lang w:val="en-GB"/>
        </w:rPr>
        <w:t xml:space="preserve">1 </w:t>
      </w:r>
      <w:r w:rsidRPr="003569BE">
        <w:rPr>
          <w:rFonts w:cs="Times New Roman"/>
          <w:i/>
          <w:szCs w:val="24"/>
          <w:lang w:val="en-GB"/>
        </w:rPr>
        <w:t>[ΔREV</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xml:space="preserve"> - ΔREC</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 b</w:t>
      </w:r>
      <w:r w:rsidRPr="003569BE">
        <w:rPr>
          <w:rFonts w:cs="Times New Roman"/>
          <w:i/>
          <w:szCs w:val="24"/>
          <w:vertAlign w:val="subscript"/>
          <w:lang w:val="en-GB"/>
        </w:rPr>
        <w:t>2</w:t>
      </w:r>
      <w:r w:rsidRPr="003569BE">
        <w:rPr>
          <w:rFonts w:cs="Times New Roman"/>
          <w:i/>
          <w:szCs w:val="24"/>
          <w:lang w:val="en-GB"/>
        </w:rPr>
        <w:t xml:space="preserve"> [PPE</w:t>
      </w:r>
      <w:r w:rsidRPr="003569BE">
        <w:rPr>
          <w:rFonts w:cs="Times New Roman"/>
          <w:i/>
          <w:szCs w:val="24"/>
          <w:vertAlign w:val="subscript"/>
          <w:lang w:val="en-GB"/>
        </w:rPr>
        <w:t>it</w:t>
      </w:r>
      <w:r w:rsidRPr="003569BE">
        <w:rPr>
          <w:rFonts w:cs="Times New Roman"/>
          <w:i/>
          <w:szCs w:val="24"/>
          <w:lang w:val="en-GB"/>
        </w:rPr>
        <w:t xml:space="preserve"> / A</w:t>
      </w:r>
      <w:r w:rsidRPr="003569BE">
        <w:rPr>
          <w:rFonts w:cs="Times New Roman"/>
          <w:i/>
          <w:szCs w:val="24"/>
          <w:vertAlign w:val="subscript"/>
          <w:lang w:val="en-GB"/>
        </w:rPr>
        <w:t>it-1</w:t>
      </w:r>
      <w:r w:rsidRPr="003569BE">
        <w:rPr>
          <w:rFonts w:cs="Times New Roman"/>
          <w:i/>
          <w:szCs w:val="24"/>
          <w:lang w:val="en-GB"/>
        </w:rPr>
        <w:t>] +b</w:t>
      </w:r>
      <w:r w:rsidRPr="003569BE">
        <w:rPr>
          <w:rFonts w:cs="Times New Roman"/>
          <w:i/>
          <w:szCs w:val="24"/>
          <w:vertAlign w:val="subscript"/>
          <w:lang w:val="en-GB"/>
        </w:rPr>
        <w:t>3</w:t>
      </w:r>
      <w:r w:rsidRPr="003569BE">
        <w:rPr>
          <w:rFonts w:cs="Times New Roman"/>
          <w:i/>
          <w:szCs w:val="24"/>
          <w:lang w:val="en-GB"/>
        </w:rPr>
        <w:t xml:space="preserve"> ROA</w:t>
      </w:r>
      <w:r w:rsidRPr="003569BE">
        <w:rPr>
          <w:rFonts w:cs="Times New Roman"/>
          <w:i/>
          <w:szCs w:val="24"/>
          <w:vertAlign w:val="subscript"/>
          <w:lang w:val="en-GB"/>
        </w:rPr>
        <w:t>it-1</w:t>
      </w:r>
      <w:r w:rsidRPr="003569BE">
        <w:rPr>
          <w:rFonts w:cs="Times New Roman"/>
          <w:i/>
          <w:szCs w:val="24"/>
          <w:lang w:val="en-GB"/>
        </w:rPr>
        <w:t xml:space="preserve"> + ε</w:t>
      </w:r>
      <w:r w:rsidRPr="003569BE">
        <w:rPr>
          <w:rFonts w:cs="Times New Roman"/>
          <w:i/>
          <w:szCs w:val="24"/>
          <w:vertAlign w:val="subscript"/>
          <w:lang w:val="en-GB"/>
        </w:rPr>
        <w:t>it</w:t>
      </w:r>
    </w:p>
    <w:p w:rsidR="00613A5C" w:rsidRPr="003569BE" w:rsidRDefault="00613A5C" w:rsidP="00613A5C">
      <w:pPr>
        <w:spacing w:line="360" w:lineRule="auto"/>
        <w:rPr>
          <w:lang w:val="en-GB"/>
        </w:rPr>
      </w:pPr>
      <w:r w:rsidRPr="003569BE">
        <w:rPr>
          <w:lang w:val="en-GB"/>
        </w:rPr>
        <w:t>Before running this regression further quality tests have been performed. The results of the tests for the multicollinearity and the h</w:t>
      </w:r>
      <w:r w:rsidRPr="003569BE">
        <w:rPr>
          <w:rFonts w:cs="Times New Roman"/>
          <w:szCs w:val="24"/>
          <w:lang w:val="en-GB"/>
        </w:rPr>
        <w:t xml:space="preserve">omoscedasticity can be observed in Appendix 3, which show that multicollinearity is not an issue, as indicated by the VIF values which are within the interval [1,2], and that homoscedasticity exists in the sample, as indicated by the straight fit line in the </w:t>
      </w:r>
      <w:r w:rsidR="00551BA7" w:rsidRPr="003569BE">
        <w:rPr>
          <w:rFonts w:cs="Times New Roman"/>
          <w:szCs w:val="24"/>
          <w:lang w:val="en-GB"/>
        </w:rPr>
        <w:t>scatter</w:t>
      </w:r>
      <w:r w:rsidRPr="003569BE">
        <w:rPr>
          <w:rFonts w:cs="Times New Roman"/>
          <w:szCs w:val="24"/>
          <w:lang w:val="en-GB"/>
        </w:rPr>
        <w:t>plot.</w:t>
      </w:r>
    </w:p>
    <w:p w:rsidR="001A521E" w:rsidRPr="003569BE" w:rsidRDefault="00002015" w:rsidP="00002015">
      <w:pPr>
        <w:spacing w:line="360" w:lineRule="auto"/>
        <w:rPr>
          <w:szCs w:val="24"/>
          <w:lang w:val="en-GB"/>
        </w:rPr>
      </w:pPr>
      <w:r w:rsidRPr="003569BE">
        <w:rPr>
          <w:szCs w:val="24"/>
          <w:lang w:val="en-GB"/>
        </w:rPr>
        <w:t xml:space="preserve">The results of </w:t>
      </w:r>
      <w:r w:rsidR="00613A5C" w:rsidRPr="003569BE">
        <w:rPr>
          <w:szCs w:val="24"/>
          <w:lang w:val="en-GB"/>
        </w:rPr>
        <w:t xml:space="preserve">the </w:t>
      </w:r>
      <w:r w:rsidRPr="003569BE">
        <w:rPr>
          <w:szCs w:val="24"/>
          <w:lang w:val="en-GB"/>
        </w:rPr>
        <w:t xml:space="preserve">regression </w:t>
      </w:r>
      <w:r w:rsidR="003077D2" w:rsidRPr="003569BE">
        <w:rPr>
          <w:szCs w:val="24"/>
          <w:lang w:val="en-GB"/>
        </w:rPr>
        <w:t>before</w:t>
      </w:r>
      <w:r w:rsidR="00613A5C" w:rsidRPr="003569BE">
        <w:rPr>
          <w:szCs w:val="24"/>
          <w:lang w:val="en-GB"/>
        </w:rPr>
        <w:t xml:space="preserve"> </w:t>
      </w:r>
      <w:r w:rsidR="003077D2" w:rsidRPr="003569BE">
        <w:rPr>
          <w:szCs w:val="24"/>
          <w:lang w:val="en-GB"/>
        </w:rPr>
        <w:t>are presented</w:t>
      </w:r>
      <w:r w:rsidRPr="003569BE">
        <w:rPr>
          <w:szCs w:val="24"/>
          <w:lang w:val="en-GB"/>
        </w:rPr>
        <w:t xml:space="preserve"> in Table 7 below.</w:t>
      </w:r>
      <w:r w:rsidR="0083219A" w:rsidRPr="003569BE">
        <w:rPr>
          <w:szCs w:val="24"/>
          <w:lang w:val="en-GB"/>
        </w:rPr>
        <w:t xml:space="preserve"> In addition, the descriptive statistics of this test </w:t>
      </w:r>
      <w:r w:rsidR="004B26DF" w:rsidRPr="003569BE">
        <w:rPr>
          <w:szCs w:val="24"/>
          <w:lang w:val="en-GB"/>
        </w:rPr>
        <w:t>are presented</w:t>
      </w:r>
      <w:r w:rsidR="0083219A" w:rsidRPr="003569BE">
        <w:rPr>
          <w:szCs w:val="24"/>
          <w:lang w:val="en-GB"/>
        </w:rPr>
        <w:t xml:space="preserve"> in Appendix 3, Table 5 and Table 6.</w:t>
      </w:r>
    </w:p>
    <w:tbl>
      <w:tblPr>
        <w:tblW w:w="803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56"/>
        <w:gridCol w:w="1701"/>
        <w:gridCol w:w="992"/>
        <w:gridCol w:w="1105"/>
        <w:gridCol w:w="1456"/>
        <w:gridCol w:w="1011"/>
        <w:gridCol w:w="1011"/>
      </w:tblGrid>
      <w:tr w:rsidR="001A521E" w:rsidRPr="003569BE" w:rsidTr="001C0E8D">
        <w:trPr>
          <w:cantSplit/>
          <w:tblHeader/>
          <w:jc w:val="center"/>
        </w:trPr>
        <w:tc>
          <w:tcPr>
            <w:tcW w:w="8032" w:type="dxa"/>
            <w:gridSpan w:val="7"/>
            <w:tcBorders>
              <w:top w:val="nil"/>
              <w:left w:val="nil"/>
              <w:bottom w:val="nil"/>
              <w:right w:val="nil"/>
            </w:tcBorders>
            <w:shd w:val="clear" w:color="auto" w:fill="FFFFFF"/>
            <w:vAlign w:val="center"/>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1A521E" w:rsidRPr="003569BE" w:rsidTr="001C0E8D">
        <w:trPr>
          <w:cantSplit/>
          <w:tblHeader/>
          <w:jc w:val="center"/>
        </w:trPr>
        <w:tc>
          <w:tcPr>
            <w:tcW w:w="245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097" w:type="dxa"/>
            <w:gridSpan w:val="2"/>
            <w:tcBorders>
              <w:top w:val="single" w:sz="16" w:space="0" w:color="000000"/>
              <w:left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Unstandardized Coefficients</w:t>
            </w:r>
          </w:p>
        </w:tc>
        <w:tc>
          <w:tcPr>
            <w:tcW w:w="1456" w:type="dxa"/>
            <w:tcBorders>
              <w:top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Standardized Coefficients</w:t>
            </w:r>
          </w:p>
        </w:tc>
        <w:tc>
          <w:tcPr>
            <w:tcW w:w="1011" w:type="dxa"/>
            <w:vMerge w:val="restart"/>
            <w:tcBorders>
              <w:top w:val="single" w:sz="16" w:space="0" w:color="000000"/>
              <w:bottom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w:t>
            </w:r>
          </w:p>
        </w:tc>
        <w:tc>
          <w:tcPr>
            <w:tcW w:w="1011" w:type="dxa"/>
            <w:vMerge w:val="restart"/>
            <w:tcBorders>
              <w:top w:val="single" w:sz="16" w:space="0" w:color="000000"/>
              <w:bottom w:val="single" w:sz="16" w:space="0" w:color="000000"/>
              <w:right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1A521E" w:rsidRPr="003569BE" w:rsidTr="001C0E8D">
        <w:trPr>
          <w:cantSplit/>
          <w:tblHeader/>
          <w:jc w:val="center"/>
        </w:trPr>
        <w:tc>
          <w:tcPr>
            <w:tcW w:w="2457"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992" w:type="dxa"/>
            <w:tcBorders>
              <w:left w:val="single" w:sz="16" w:space="0" w:color="000000"/>
              <w:bottom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w:t>
            </w:r>
          </w:p>
        </w:tc>
        <w:tc>
          <w:tcPr>
            <w:tcW w:w="1105" w:type="dxa"/>
            <w:tcBorders>
              <w:bottom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w:t>
            </w:r>
          </w:p>
        </w:tc>
        <w:tc>
          <w:tcPr>
            <w:tcW w:w="1456" w:type="dxa"/>
            <w:tcBorders>
              <w:bottom w:val="single" w:sz="16" w:space="0" w:color="000000"/>
            </w:tcBorders>
            <w:shd w:val="clear" w:color="auto" w:fill="FFFFFF"/>
            <w:vAlign w:val="bottom"/>
          </w:tcPr>
          <w:p w:rsidR="001A521E" w:rsidRPr="003569BE" w:rsidRDefault="001A521E"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Beta</w:t>
            </w:r>
          </w:p>
        </w:tc>
        <w:tc>
          <w:tcPr>
            <w:tcW w:w="1011" w:type="dxa"/>
            <w:vMerge/>
            <w:tcBorders>
              <w:top w:val="single" w:sz="16" w:space="0" w:color="000000"/>
              <w:bottom w:val="single" w:sz="16" w:space="0" w:color="000000"/>
            </w:tcBorders>
            <w:shd w:val="clear" w:color="auto" w:fill="FFFFFF"/>
            <w:vAlign w:val="bottom"/>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1011" w:type="dxa"/>
            <w:vMerge/>
            <w:tcBorders>
              <w:top w:val="single" w:sz="16" w:space="0" w:color="000000"/>
              <w:bottom w:val="single" w:sz="16" w:space="0" w:color="000000"/>
              <w:right w:val="single" w:sz="16" w:space="0" w:color="000000"/>
            </w:tcBorders>
            <w:shd w:val="clear" w:color="auto" w:fill="FFFFFF"/>
            <w:vAlign w:val="bottom"/>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r>
      <w:tr w:rsidR="001A521E" w:rsidRPr="003569BE" w:rsidTr="00ED5E2B">
        <w:trPr>
          <w:cantSplit/>
          <w:tblHeader/>
          <w:jc w:val="center"/>
        </w:trPr>
        <w:tc>
          <w:tcPr>
            <w:tcW w:w="756" w:type="dxa"/>
            <w:vMerge w:val="restart"/>
            <w:tcBorders>
              <w:top w:val="single" w:sz="16" w:space="0" w:color="000000"/>
              <w:left w:val="single" w:sz="16" w:space="0" w:color="000000"/>
              <w:bottom w:val="single" w:sz="16" w:space="0" w:color="000000"/>
              <w:right w:val="nil"/>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701" w:type="dxa"/>
            <w:tcBorders>
              <w:top w:val="single" w:sz="16" w:space="0" w:color="000000"/>
              <w:left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2" w:type="dxa"/>
            <w:tcBorders>
              <w:top w:val="single" w:sz="16" w:space="0" w:color="000000"/>
              <w:left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-,062</w:t>
            </w:r>
          </w:p>
        </w:tc>
        <w:tc>
          <w:tcPr>
            <w:tcW w:w="1105" w:type="dxa"/>
            <w:tcBorders>
              <w:top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,013</w:t>
            </w:r>
          </w:p>
        </w:tc>
        <w:tc>
          <w:tcPr>
            <w:tcW w:w="1456" w:type="dxa"/>
            <w:tcBorders>
              <w:top w:val="single" w:sz="16" w:space="0" w:color="000000"/>
              <w:bottom w:val="nil"/>
            </w:tcBorders>
            <w:shd w:val="clear" w:color="auto" w:fill="FFFFFF"/>
            <w:vAlign w:val="center"/>
          </w:tcPr>
          <w:p w:rsidR="001A521E" w:rsidRPr="003569BE" w:rsidRDefault="001A521E" w:rsidP="001C0E8D">
            <w:pPr>
              <w:autoSpaceDE w:val="0"/>
              <w:autoSpaceDN w:val="0"/>
              <w:adjustRightInd w:val="0"/>
              <w:spacing w:after="0" w:line="240" w:lineRule="auto"/>
              <w:jc w:val="center"/>
              <w:rPr>
                <w:rFonts w:cs="Times New Roman"/>
                <w:szCs w:val="24"/>
                <w:lang w:val="en-GB"/>
              </w:rPr>
            </w:pPr>
          </w:p>
        </w:tc>
        <w:tc>
          <w:tcPr>
            <w:tcW w:w="1011" w:type="dxa"/>
            <w:tcBorders>
              <w:top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-4,699</w:t>
            </w:r>
          </w:p>
        </w:tc>
        <w:tc>
          <w:tcPr>
            <w:tcW w:w="1011" w:type="dxa"/>
            <w:tcBorders>
              <w:top w:val="single" w:sz="16" w:space="0" w:color="000000"/>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1A521E" w:rsidRPr="003569BE" w:rsidTr="00ED5E2B">
        <w:trPr>
          <w:cantSplit/>
          <w:tblHeader/>
          <w:jc w:val="center"/>
        </w:trPr>
        <w:tc>
          <w:tcPr>
            <w:tcW w:w="756" w:type="dxa"/>
            <w:vMerge/>
            <w:tcBorders>
              <w:top w:val="single" w:sz="16" w:space="0" w:color="000000"/>
              <w:left w:val="single" w:sz="16" w:space="0" w:color="000000"/>
              <w:bottom w:val="single" w:sz="16" w:space="0" w:color="000000"/>
              <w:right w:val="nil"/>
            </w:tcBorders>
            <w:shd w:val="clear" w:color="auto" w:fill="FFFFFF"/>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1701" w:type="dxa"/>
            <w:tcBorders>
              <w:top w:val="nil"/>
              <w:left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33,842</w:t>
            </w:r>
          </w:p>
        </w:tc>
        <w:tc>
          <w:tcPr>
            <w:tcW w:w="1105"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27,338</w:t>
            </w:r>
          </w:p>
        </w:tc>
        <w:tc>
          <w:tcPr>
            <w:tcW w:w="1456"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,081</w:t>
            </w:r>
          </w:p>
        </w:tc>
        <w:tc>
          <w:tcPr>
            <w:tcW w:w="1011"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1,238</w:t>
            </w:r>
          </w:p>
        </w:tc>
        <w:tc>
          <w:tcPr>
            <w:tcW w:w="1011" w:type="dxa"/>
            <w:tcBorders>
              <w:top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,217</w:t>
            </w:r>
          </w:p>
        </w:tc>
      </w:tr>
      <w:tr w:rsidR="001A521E" w:rsidRPr="003569BE" w:rsidTr="00ED5E2B">
        <w:trPr>
          <w:cantSplit/>
          <w:tblHeader/>
          <w:jc w:val="center"/>
        </w:trPr>
        <w:tc>
          <w:tcPr>
            <w:tcW w:w="756" w:type="dxa"/>
            <w:vMerge/>
            <w:tcBorders>
              <w:top w:val="single" w:sz="16" w:space="0" w:color="000000"/>
              <w:left w:val="single" w:sz="16" w:space="0" w:color="000000"/>
              <w:bottom w:val="single" w:sz="16" w:space="0" w:color="000000"/>
              <w:right w:val="nil"/>
            </w:tcBorders>
            <w:shd w:val="clear" w:color="auto" w:fill="FFFFFF"/>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1701" w:type="dxa"/>
            <w:tcBorders>
              <w:top w:val="nil"/>
              <w:left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(REV</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-REC</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,161</w:t>
            </w:r>
          </w:p>
        </w:tc>
        <w:tc>
          <w:tcPr>
            <w:tcW w:w="1105"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,021</w:t>
            </w:r>
          </w:p>
        </w:tc>
        <w:tc>
          <w:tcPr>
            <w:tcW w:w="1456"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,399</w:t>
            </w:r>
          </w:p>
        </w:tc>
        <w:tc>
          <w:tcPr>
            <w:tcW w:w="1011"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7,538</w:t>
            </w:r>
          </w:p>
        </w:tc>
        <w:tc>
          <w:tcPr>
            <w:tcW w:w="1011" w:type="dxa"/>
            <w:tcBorders>
              <w:top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1A521E" w:rsidRPr="003569BE" w:rsidTr="00ED5E2B">
        <w:trPr>
          <w:cantSplit/>
          <w:tblHeader/>
          <w:jc w:val="center"/>
        </w:trPr>
        <w:tc>
          <w:tcPr>
            <w:tcW w:w="756" w:type="dxa"/>
            <w:vMerge/>
            <w:tcBorders>
              <w:top w:val="single" w:sz="16" w:space="0" w:color="000000"/>
              <w:left w:val="single" w:sz="16" w:space="0" w:color="000000"/>
              <w:bottom w:val="single" w:sz="16" w:space="0" w:color="000000"/>
              <w:right w:val="nil"/>
            </w:tcBorders>
            <w:shd w:val="clear" w:color="auto" w:fill="FFFFFF"/>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1701" w:type="dxa"/>
            <w:tcBorders>
              <w:top w:val="nil"/>
              <w:left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,017</w:t>
            </w:r>
          </w:p>
        </w:tc>
        <w:tc>
          <w:tcPr>
            <w:tcW w:w="1105"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,015</w:t>
            </w:r>
          </w:p>
        </w:tc>
        <w:tc>
          <w:tcPr>
            <w:tcW w:w="1456"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,062</w:t>
            </w:r>
          </w:p>
        </w:tc>
        <w:tc>
          <w:tcPr>
            <w:tcW w:w="1011" w:type="dxa"/>
            <w:tcBorders>
              <w:top w:val="nil"/>
              <w:bottom w:val="nil"/>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1,137</w:t>
            </w:r>
          </w:p>
        </w:tc>
        <w:tc>
          <w:tcPr>
            <w:tcW w:w="1011" w:type="dxa"/>
            <w:tcBorders>
              <w:top w:val="nil"/>
              <w:bottom w:val="nil"/>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,256</w:t>
            </w:r>
          </w:p>
        </w:tc>
      </w:tr>
      <w:tr w:rsidR="001A521E" w:rsidRPr="003569BE" w:rsidTr="00ED5E2B">
        <w:trPr>
          <w:cantSplit/>
          <w:tblHeader/>
          <w:jc w:val="center"/>
        </w:trPr>
        <w:tc>
          <w:tcPr>
            <w:tcW w:w="756" w:type="dxa"/>
            <w:vMerge/>
            <w:tcBorders>
              <w:top w:val="single" w:sz="16" w:space="0" w:color="000000"/>
              <w:left w:val="single" w:sz="16" w:space="0" w:color="000000"/>
              <w:bottom w:val="single" w:sz="16" w:space="0" w:color="000000"/>
              <w:right w:val="nil"/>
            </w:tcBorders>
            <w:shd w:val="clear" w:color="auto" w:fill="FFFFFF"/>
          </w:tcPr>
          <w:p w:rsidR="001A521E" w:rsidRPr="003569BE" w:rsidRDefault="001A521E" w:rsidP="001C0E8D">
            <w:pPr>
              <w:autoSpaceDE w:val="0"/>
              <w:autoSpaceDN w:val="0"/>
              <w:adjustRightInd w:val="0"/>
              <w:spacing w:after="0" w:line="240" w:lineRule="auto"/>
              <w:jc w:val="left"/>
              <w:rPr>
                <w:rFonts w:ascii="Arial" w:hAnsi="Arial" w:cs="Arial"/>
                <w:color w:val="000000"/>
                <w:sz w:val="18"/>
                <w:szCs w:val="18"/>
                <w:lang w:val="en-GB"/>
              </w:rPr>
            </w:pPr>
          </w:p>
        </w:tc>
        <w:tc>
          <w:tcPr>
            <w:tcW w:w="1701" w:type="dxa"/>
            <w:tcBorders>
              <w:top w:val="nil"/>
              <w:left w:val="nil"/>
              <w:bottom w:val="single" w:sz="16" w:space="0" w:color="000000"/>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ROA</w:t>
            </w:r>
            <w:r w:rsidRPr="003569BE">
              <w:rPr>
                <w:rFonts w:ascii="Arial" w:hAnsi="Arial" w:cs="Arial"/>
                <w:color w:val="000000"/>
                <w:sz w:val="18"/>
                <w:szCs w:val="18"/>
                <w:vertAlign w:val="subscript"/>
                <w:lang w:val="en-GB"/>
              </w:rPr>
              <w:t>t-1</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-714,490</w:t>
            </w:r>
          </w:p>
        </w:tc>
        <w:tc>
          <w:tcPr>
            <w:tcW w:w="1105" w:type="dxa"/>
            <w:tcBorders>
              <w:top w:val="nil"/>
              <w:bottom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408,728</w:t>
            </w:r>
          </w:p>
        </w:tc>
        <w:tc>
          <w:tcPr>
            <w:tcW w:w="1456" w:type="dxa"/>
            <w:tcBorders>
              <w:top w:val="nil"/>
              <w:bottom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-,112</w:t>
            </w:r>
          </w:p>
        </w:tc>
        <w:tc>
          <w:tcPr>
            <w:tcW w:w="1011" w:type="dxa"/>
            <w:tcBorders>
              <w:top w:val="nil"/>
              <w:bottom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-1,748</w:t>
            </w:r>
          </w:p>
        </w:tc>
        <w:tc>
          <w:tcPr>
            <w:tcW w:w="1011" w:type="dxa"/>
            <w:tcBorders>
              <w:top w:val="nil"/>
              <w:bottom w:val="single" w:sz="16" w:space="0" w:color="000000"/>
              <w:right w:val="single" w:sz="16" w:space="0" w:color="000000"/>
            </w:tcBorders>
            <w:shd w:val="clear" w:color="auto" w:fill="FFFFFF"/>
          </w:tcPr>
          <w:p w:rsidR="001A521E" w:rsidRPr="003569BE" w:rsidRDefault="001A521E"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,081</w:t>
            </w:r>
          </w:p>
        </w:tc>
      </w:tr>
      <w:tr w:rsidR="001A521E" w:rsidRPr="003569BE" w:rsidTr="001C0E8D">
        <w:trPr>
          <w:cantSplit/>
          <w:jc w:val="center"/>
        </w:trPr>
        <w:tc>
          <w:tcPr>
            <w:tcW w:w="8032" w:type="dxa"/>
            <w:gridSpan w:val="7"/>
            <w:tcBorders>
              <w:top w:val="nil"/>
              <w:left w:val="nil"/>
              <w:bottom w:val="nil"/>
              <w:right w:val="nil"/>
            </w:tcBorders>
            <w:shd w:val="clear" w:color="auto" w:fill="FFFFFF"/>
          </w:tcPr>
          <w:p w:rsidR="001A521E" w:rsidRPr="003569BE" w:rsidRDefault="001A521E"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TA</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r>
    </w:tbl>
    <w:p w:rsidR="001A521E" w:rsidRPr="003569BE" w:rsidRDefault="001A521E" w:rsidP="001A521E">
      <w:pPr>
        <w:spacing w:line="360" w:lineRule="auto"/>
        <w:jc w:val="right"/>
        <w:rPr>
          <w:i/>
          <w:sz w:val="20"/>
          <w:szCs w:val="20"/>
          <w:lang w:val="en-GB"/>
        </w:rPr>
      </w:pPr>
      <w:r w:rsidRPr="003569BE">
        <w:rPr>
          <w:i/>
          <w:sz w:val="20"/>
          <w:szCs w:val="20"/>
          <w:lang w:val="en-GB"/>
        </w:rPr>
        <w:t>Table 7 – BETAs Coefficients</w:t>
      </w:r>
    </w:p>
    <w:p w:rsidR="00E5011A" w:rsidRPr="003569BE" w:rsidRDefault="00937056" w:rsidP="00E71972">
      <w:pPr>
        <w:spacing w:line="360" w:lineRule="auto"/>
        <w:rPr>
          <w:lang w:val="en-GB"/>
        </w:rPr>
      </w:pPr>
      <w:r w:rsidRPr="003569BE">
        <w:rPr>
          <w:lang w:val="en-GB"/>
        </w:rPr>
        <w:t>Based on the table 7 before</w:t>
      </w:r>
      <w:r w:rsidR="00C42810" w:rsidRPr="003569BE">
        <w:rPr>
          <w:lang w:val="en-GB"/>
        </w:rPr>
        <w:t>, a positive relationship</w:t>
      </w:r>
      <w:r w:rsidR="00E564F1" w:rsidRPr="003569BE">
        <w:rPr>
          <w:lang w:val="en-GB"/>
        </w:rPr>
        <w:t xml:space="preserve"> exists</w:t>
      </w:r>
      <w:r w:rsidR="00C42810" w:rsidRPr="003569BE">
        <w:rPr>
          <w:lang w:val="en-GB"/>
        </w:rPr>
        <w:t xml:space="preserve"> between the first independent variable, i.e. 1/A</w:t>
      </w:r>
      <w:r w:rsidR="00C42810" w:rsidRPr="003569BE">
        <w:rPr>
          <w:vertAlign w:val="subscript"/>
          <w:lang w:val="en-GB"/>
        </w:rPr>
        <w:t>t-1</w:t>
      </w:r>
      <w:r w:rsidR="00C42810" w:rsidRPr="003569BE">
        <w:rPr>
          <w:lang w:val="en-GB"/>
        </w:rPr>
        <w:t xml:space="preserve">, and the dependent variable. However, the p-value of </w:t>
      </w:r>
      <w:r w:rsidR="006B5A39" w:rsidRPr="003569BE">
        <w:rPr>
          <w:lang w:val="en-GB"/>
        </w:rPr>
        <w:t>0</w:t>
      </w:r>
      <w:r w:rsidR="00C42810" w:rsidRPr="003569BE">
        <w:rPr>
          <w:lang w:val="en-GB"/>
        </w:rPr>
        <w:t xml:space="preserve">,217 </w:t>
      </w:r>
      <w:r w:rsidR="00307344" w:rsidRPr="003569BE">
        <w:rPr>
          <w:lang w:val="en-GB"/>
        </w:rPr>
        <w:t xml:space="preserve">indicates that the coefficient </w:t>
      </w:r>
      <w:r w:rsidR="00307344" w:rsidRPr="003569BE">
        <w:rPr>
          <w:rFonts w:cs="Times New Roman"/>
          <w:szCs w:val="24"/>
          <w:lang w:val="en-GB"/>
        </w:rPr>
        <w:t>b</w:t>
      </w:r>
      <w:r w:rsidR="00307344" w:rsidRPr="003569BE">
        <w:rPr>
          <w:rFonts w:cs="Times New Roman"/>
          <w:szCs w:val="24"/>
          <w:vertAlign w:val="subscript"/>
          <w:lang w:val="en-GB"/>
        </w:rPr>
        <w:t xml:space="preserve">0 </w:t>
      </w:r>
      <w:r w:rsidR="00307344" w:rsidRPr="003569BE">
        <w:rPr>
          <w:lang w:val="en-GB"/>
        </w:rPr>
        <w:t>is not significant at a 5% level.</w:t>
      </w:r>
      <w:r w:rsidR="00ED5E2B" w:rsidRPr="003569BE">
        <w:rPr>
          <w:lang w:val="en-GB"/>
        </w:rPr>
        <w:t xml:space="preserve"> Concerning the second independent variable, i.e. (REV</w:t>
      </w:r>
      <w:r w:rsidR="00ED5E2B" w:rsidRPr="003569BE">
        <w:rPr>
          <w:vertAlign w:val="subscript"/>
          <w:lang w:val="en-GB"/>
        </w:rPr>
        <w:t>t</w:t>
      </w:r>
      <w:r w:rsidR="00ED5E2B" w:rsidRPr="003569BE">
        <w:rPr>
          <w:lang w:val="en-GB"/>
        </w:rPr>
        <w:t>-REC</w:t>
      </w:r>
      <w:r w:rsidR="00ED5E2B" w:rsidRPr="003569BE">
        <w:rPr>
          <w:vertAlign w:val="subscript"/>
          <w:lang w:val="en-GB"/>
        </w:rPr>
        <w:t>t</w:t>
      </w:r>
      <w:r w:rsidR="00ED5E2B" w:rsidRPr="003569BE">
        <w:rPr>
          <w:lang w:val="en-GB"/>
        </w:rPr>
        <w:t>)/A</w:t>
      </w:r>
      <w:r w:rsidR="00ED5E2B" w:rsidRPr="003569BE">
        <w:rPr>
          <w:vertAlign w:val="subscript"/>
          <w:lang w:val="en-GB"/>
        </w:rPr>
        <w:t>t-1</w:t>
      </w:r>
      <w:r w:rsidR="00ED5E2B" w:rsidRPr="003569BE">
        <w:rPr>
          <w:lang w:val="en-GB"/>
        </w:rPr>
        <w:t xml:space="preserve">, a positive association with the dependent variable </w:t>
      </w:r>
      <w:r w:rsidR="00E90F04" w:rsidRPr="003569BE">
        <w:rPr>
          <w:lang w:val="en-GB"/>
        </w:rPr>
        <w:t>exists</w:t>
      </w:r>
      <w:r w:rsidR="00ED5E2B" w:rsidRPr="003569BE">
        <w:rPr>
          <w:lang w:val="en-GB"/>
        </w:rPr>
        <w:t xml:space="preserve"> with a p-value of </w:t>
      </w:r>
      <w:r w:rsidR="006B5A39" w:rsidRPr="003569BE">
        <w:rPr>
          <w:lang w:val="en-GB"/>
        </w:rPr>
        <w:t>0</w:t>
      </w:r>
      <w:r w:rsidR="00ED5E2B" w:rsidRPr="003569BE">
        <w:rPr>
          <w:lang w:val="en-GB"/>
        </w:rPr>
        <w:t xml:space="preserve">,000 which indicates that </w:t>
      </w:r>
      <w:r w:rsidR="00ED5E2B" w:rsidRPr="003569BE">
        <w:rPr>
          <w:rFonts w:cs="Times New Roman"/>
          <w:szCs w:val="24"/>
          <w:lang w:val="en-GB"/>
        </w:rPr>
        <w:t>b</w:t>
      </w:r>
      <w:r w:rsidR="00ED5E2B" w:rsidRPr="003569BE">
        <w:rPr>
          <w:rFonts w:cs="Times New Roman"/>
          <w:szCs w:val="24"/>
          <w:vertAlign w:val="subscript"/>
          <w:lang w:val="en-GB"/>
        </w:rPr>
        <w:t xml:space="preserve">1 </w:t>
      </w:r>
      <w:r w:rsidR="00ED5E2B" w:rsidRPr="003569BE">
        <w:rPr>
          <w:lang w:val="en-GB"/>
        </w:rPr>
        <w:t xml:space="preserve">is significant at a 5% level. In addition, </w:t>
      </w:r>
      <w:r w:rsidR="0098031C" w:rsidRPr="003569BE">
        <w:rPr>
          <w:lang w:val="en-GB"/>
        </w:rPr>
        <w:t xml:space="preserve">the relationship </w:t>
      </w:r>
      <w:r w:rsidR="0098031C" w:rsidRPr="003569BE">
        <w:rPr>
          <w:lang w:val="en-GB"/>
        </w:rPr>
        <w:lastRenderedPageBreak/>
        <w:t>between the third independent variable</w:t>
      </w:r>
      <w:r w:rsidR="00B367D6" w:rsidRPr="003569BE">
        <w:rPr>
          <w:lang w:val="en-GB"/>
        </w:rPr>
        <w:t>, i.e. PPE</w:t>
      </w:r>
      <w:r w:rsidR="00B367D6" w:rsidRPr="003569BE">
        <w:rPr>
          <w:vertAlign w:val="subscript"/>
          <w:lang w:val="en-GB"/>
        </w:rPr>
        <w:t>t</w:t>
      </w:r>
      <w:r w:rsidR="00B367D6" w:rsidRPr="003569BE">
        <w:rPr>
          <w:lang w:val="en-GB"/>
        </w:rPr>
        <w:t>/A</w:t>
      </w:r>
      <w:r w:rsidR="00B367D6" w:rsidRPr="003569BE">
        <w:rPr>
          <w:vertAlign w:val="subscript"/>
          <w:lang w:val="en-GB"/>
        </w:rPr>
        <w:t>t-1</w:t>
      </w:r>
      <w:r w:rsidR="00B367D6" w:rsidRPr="003569BE">
        <w:rPr>
          <w:lang w:val="en-GB"/>
        </w:rPr>
        <w:t>,</w:t>
      </w:r>
      <w:r w:rsidR="0098031C" w:rsidRPr="003569BE">
        <w:rPr>
          <w:lang w:val="en-GB"/>
        </w:rPr>
        <w:t xml:space="preserve"> and the depen</w:t>
      </w:r>
      <w:r w:rsidR="00372F53" w:rsidRPr="003569BE">
        <w:rPr>
          <w:lang w:val="en-GB"/>
        </w:rPr>
        <w:t>dent variable is positive</w:t>
      </w:r>
      <w:r w:rsidR="0098031C" w:rsidRPr="003569BE">
        <w:rPr>
          <w:lang w:val="en-GB"/>
        </w:rPr>
        <w:t xml:space="preserve">, with a p-value of </w:t>
      </w:r>
      <w:r w:rsidR="006B5A39" w:rsidRPr="003569BE">
        <w:rPr>
          <w:lang w:val="en-GB"/>
        </w:rPr>
        <w:t>0</w:t>
      </w:r>
      <w:r w:rsidR="0098031C" w:rsidRPr="003569BE">
        <w:rPr>
          <w:lang w:val="en-GB"/>
        </w:rPr>
        <w:t xml:space="preserve">,256 which indicates that </w:t>
      </w:r>
      <w:r w:rsidR="0098031C" w:rsidRPr="003569BE">
        <w:rPr>
          <w:rFonts w:cs="Times New Roman"/>
          <w:szCs w:val="24"/>
          <w:lang w:val="en-GB"/>
        </w:rPr>
        <w:t>b</w:t>
      </w:r>
      <w:r w:rsidR="0098031C" w:rsidRPr="003569BE">
        <w:rPr>
          <w:rFonts w:cs="Times New Roman"/>
          <w:szCs w:val="24"/>
          <w:vertAlign w:val="subscript"/>
          <w:lang w:val="en-GB"/>
        </w:rPr>
        <w:t xml:space="preserve">2 </w:t>
      </w:r>
      <w:r w:rsidR="0098031C" w:rsidRPr="003569BE">
        <w:rPr>
          <w:lang w:val="en-GB"/>
        </w:rPr>
        <w:t>is not significant at a 5% level</w:t>
      </w:r>
      <w:r w:rsidR="00CC65CE" w:rsidRPr="003569BE">
        <w:rPr>
          <w:lang w:val="en-GB"/>
        </w:rPr>
        <w:t>.</w:t>
      </w:r>
      <w:r w:rsidR="00B367D6" w:rsidRPr="003569BE">
        <w:rPr>
          <w:lang w:val="en-GB"/>
        </w:rPr>
        <w:t xml:space="preserve"> </w:t>
      </w:r>
      <w:r w:rsidR="00E83D91" w:rsidRPr="003569BE">
        <w:rPr>
          <w:lang w:val="en-GB"/>
        </w:rPr>
        <w:t>Finally, a negative correlation exists between ROA</w:t>
      </w:r>
      <w:r w:rsidR="00E83D91" w:rsidRPr="003569BE">
        <w:rPr>
          <w:vertAlign w:val="subscript"/>
          <w:lang w:val="en-GB"/>
        </w:rPr>
        <w:t>t-1</w:t>
      </w:r>
      <w:r w:rsidR="00E83D91" w:rsidRPr="003569BE">
        <w:rPr>
          <w:lang w:val="en-GB"/>
        </w:rPr>
        <w:t>/A</w:t>
      </w:r>
      <w:r w:rsidR="00E83D91" w:rsidRPr="003569BE">
        <w:rPr>
          <w:vertAlign w:val="subscript"/>
          <w:lang w:val="en-GB"/>
        </w:rPr>
        <w:t>t-1</w:t>
      </w:r>
      <w:r w:rsidR="0078200B" w:rsidRPr="003569BE">
        <w:rPr>
          <w:lang w:val="en-GB"/>
        </w:rPr>
        <w:t xml:space="preserve"> and the dependent variable, which can be explained by the assumption that firms with good performance report lower accruals.</w:t>
      </w:r>
      <w:r w:rsidR="009277CE" w:rsidRPr="003569BE">
        <w:rPr>
          <w:lang w:val="en-GB"/>
        </w:rPr>
        <w:t xml:space="preserve"> The p-value for this variable is </w:t>
      </w:r>
      <w:r w:rsidR="006B5A39" w:rsidRPr="003569BE">
        <w:rPr>
          <w:lang w:val="en-GB"/>
        </w:rPr>
        <w:t>0</w:t>
      </w:r>
      <w:r w:rsidR="009277CE" w:rsidRPr="003569BE">
        <w:rPr>
          <w:lang w:val="en-GB"/>
        </w:rPr>
        <w:t xml:space="preserve">,081 </w:t>
      </w:r>
      <w:r w:rsidR="001C0E8D" w:rsidRPr="003569BE">
        <w:rPr>
          <w:lang w:val="en-GB"/>
        </w:rPr>
        <w:t>that indicate</w:t>
      </w:r>
      <w:r w:rsidR="009277CE" w:rsidRPr="003569BE">
        <w:rPr>
          <w:lang w:val="en-GB"/>
        </w:rPr>
        <w:t xml:space="preserve"> that </w:t>
      </w:r>
      <w:r w:rsidR="009277CE" w:rsidRPr="003569BE">
        <w:rPr>
          <w:rFonts w:cs="Times New Roman"/>
          <w:szCs w:val="24"/>
          <w:lang w:val="en-GB"/>
        </w:rPr>
        <w:t>b</w:t>
      </w:r>
      <w:r w:rsidR="009277CE" w:rsidRPr="003569BE">
        <w:rPr>
          <w:rFonts w:cs="Times New Roman"/>
          <w:szCs w:val="24"/>
          <w:vertAlign w:val="subscript"/>
          <w:lang w:val="en-GB"/>
        </w:rPr>
        <w:t xml:space="preserve">3 </w:t>
      </w:r>
      <w:r w:rsidR="009277CE" w:rsidRPr="003569BE">
        <w:rPr>
          <w:lang w:val="en-GB"/>
        </w:rPr>
        <w:t>is not significant at a 5% level</w:t>
      </w:r>
      <w:r w:rsidR="00DE6799" w:rsidRPr="003569BE">
        <w:rPr>
          <w:lang w:val="en-GB"/>
        </w:rPr>
        <w:t>.</w:t>
      </w:r>
      <w:r w:rsidR="00D16E3B" w:rsidRPr="003569BE">
        <w:rPr>
          <w:lang w:val="en-GB"/>
        </w:rPr>
        <w:t xml:space="preserve"> </w:t>
      </w:r>
    </w:p>
    <w:p w:rsidR="00903435" w:rsidRPr="003569BE" w:rsidRDefault="00903435" w:rsidP="00E71972">
      <w:pPr>
        <w:spacing w:line="360" w:lineRule="auto"/>
        <w:rPr>
          <w:lang w:val="en-GB"/>
        </w:rPr>
      </w:pPr>
    </w:p>
    <w:p w:rsidR="00E1475F" w:rsidRPr="003569BE" w:rsidRDefault="00E1475F" w:rsidP="00CF5E60">
      <w:pPr>
        <w:pStyle w:val="Heading2"/>
        <w:numPr>
          <w:ilvl w:val="1"/>
          <w:numId w:val="6"/>
        </w:numPr>
        <w:spacing w:line="360" w:lineRule="auto"/>
        <w:rPr>
          <w:lang w:val="en-GB"/>
        </w:rPr>
      </w:pPr>
      <w:bookmarkStart w:id="63" w:name="_Toc396633595"/>
      <w:r w:rsidRPr="003569BE">
        <w:rPr>
          <w:lang w:val="en-GB"/>
        </w:rPr>
        <w:t>Hypotheses Testing Results</w:t>
      </w:r>
      <w:bookmarkEnd w:id="63"/>
    </w:p>
    <w:p w:rsidR="00CE0D18" w:rsidRPr="003569BE" w:rsidRDefault="00E63F1C" w:rsidP="00CE0D18">
      <w:pPr>
        <w:spacing w:line="360" w:lineRule="auto"/>
        <w:rPr>
          <w:lang w:val="en-GB"/>
        </w:rPr>
      </w:pPr>
      <w:r w:rsidRPr="003569BE">
        <w:rPr>
          <w:lang w:val="en-GB"/>
        </w:rPr>
        <w:t>In this section, the outcomes of the hypotheses tests are presented.</w:t>
      </w:r>
    </w:p>
    <w:p w:rsidR="00895566" w:rsidRPr="003569BE" w:rsidRDefault="00895566" w:rsidP="00CF5E60">
      <w:pPr>
        <w:pStyle w:val="Heading2"/>
        <w:numPr>
          <w:ilvl w:val="2"/>
          <w:numId w:val="6"/>
        </w:numPr>
        <w:rPr>
          <w:lang w:val="en-GB"/>
        </w:rPr>
      </w:pPr>
      <w:bookmarkStart w:id="64" w:name="_Toc396633596"/>
      <w:r w:rsidRPr="003569BE">
        <w:rPr>
          <w:lang w:val="en-GB"/>
        </w:rPr>
        <w:t>Hypothesis 1</w:t>
      </w:r>
      <w:bookmarkEnd w:id="64"/>
    </w:p>
    <w:p w:rsidR="00544856" w:rsidRPr="003569BE" w:rsidRDefault="00544856" w:rsidP="00544856">
      <w:pPr>
        <w:spacing w:line="360" w:lineRule="auto"/>
        <w:rPr>
          <w:i/>
          <w:lang w:val="en-GB"/>
        </w:rPr>
      </w:pPr>
      <w:r w:rsidRPr="003569BE">
        <w:rPr>
          <w:i/>
          <w:lang w:val="en-GB"/>
        </w:rPr>
        <w:t>H1</w:t>
      </w:r>
    </w:p>
    <w:p w:rsidR="00895566" w:rsidRPr="003569BE" w:rsidRDefault="00544856" w:rsidP="00544856">
      <w:pPr>
        <w:spacing w:line="360" w:lineRule="auto"/>
        <w:rPr>
          <w:i/>
          <w:lang w:val="en-GB"/>
        </w:rPr>
      </w:pPr>
      <w:r w:rsidRPr="003569BE">
        <w:rPr>
          <w:i/>
          <w:lang w:val="en-GB"/>
        </w:rPr>
        <w:t>The magnitude of the use of earnings management increases gradually as the auditor tenure increases, positive correlation.</w:t>
      </w:r>
    </w:p>
    <w:p w:rsidR="00CF7E4B" w:rsidRPr="003569BE" w:rsidRDefault="00951A98" w:rsidP="00544856">
      <w:pPr>
        <w:spacing w:line="360" w:lineRule="auto"/>
        <w:rPr>
          <w:lang w:val="en-GB"/>
        </w:rPr>
      </w:pPr>
      <w:r w:rsidRPr="003569BE">
        <w:rPr>
          <w:lang w:val="en-GB"/>
        </w:rPr>
        <w:t xml:space="preserve">In order to test the first hypothesis, </w:t>
      </w:r>
      <w:r w:rsidR="002B708E" w:rsidRPr="003569BE">
        <w:rPr>
          <w:lang w:val="en-GB"/>
        </w:rPr>
        <w:t xml:space="preserve">in SPSS </w:t>
      </w:r>
      <w:r w:rsidRPr="003569BE">
        <w:rPr>
          <w:lang w:val="en-GB"/>
        </w:rPr>
        <w:t xml:space="preserve">the </w:t>
      </w:r>
      <w:r w:rsidR="002B708E" w:rsidRPr="003569BE">
        <w:rPr>
          <w:lang w:val="en-GB"/>
        </w:rPr>
        <w:t xml:space="preserve">next </w:t>
      </w:r>
      <w:r w:rsidRPr="003569BE">
        <w:rPr>
          <w:lang w:val="en-GB"/>
        </w:rPr>
        <w:t>regression is run:</w:t>
      </w:r>
    </w:p>
    <w:p w:rsidR="00951A98" w:rsidRPr="003569BE" w:rsidRDefault="00951A98" w:rsidP="003F4FC6">
      <w:pPr>
        <w:spacing w:line="360" w:lineRule="auto"/>
        <w:jc w:val="center"/>
        <w:rPr>
          <w:rFonts w:cs="Times New Roman"/>
          <w:i/>
          <w:szCs w:val="24"/>
          <w:lang w:val="en-GB"/>
        </w:rPr>
      </w:pPr>
      <w:r w:rsidRPr="003569BE">
        <w:rPr>
          <w:rFonts w:cs="Times New Roman"/>
          <w:i/>
          <w:szCs w:val="24"/>
          <w:lang w:val="en-GB"/>
        </w:rPr>
        <w:t>DA</w:t>
      </w:r>
      <w:r w:rsidRPr="003569BE">
        <w:rPr>
          <w:rFonts w:cs="Times New Roman"/>
          <w:i/>
          <w:szCs w:val="24"/>
          <w:vertAlign w:val="subscript"/>
          <w:lang w:val="en-GB"/>
        </w:rPr>
        <w:t>it</w:t>
      </w:r>
      <w:r w:rsidRPr="003569BE">
        <w:rPr>
          <w:rFonts w:cs="Times New Roman"/>
          <w:i/>
          <w:szCs w:val="24"/>
          <w:lang w:val="en-GB"/>
        </w:rPr>
        <w:t>/A</w:t>
      </w:r>
      <w:r w:rsidRPr="003569BE">
        <w:rPr>
          <w:rFonts w:cs="Times New Roman"/>
          <w:i/>
          <w:szCs w:val="24"/>
          <w:vertAlign w:val="subscript"/>
          <w:lang w:val="en-GB"/>
        </w:rPr>
        <w:t>it-1</w:t>
      </w:r>
      <w:r w:rsidRPr="003569BE">
        <w:rPr>
          <w:rFonts w:cs="Times New Roman"/>
          <w:i/>
          <w:szCs w:val="24"/>
          <w:lang w:val="en-GB"/>
        </w:rPr>
        <w:t xml:space="preserve"> = β</w:t>
      </w:r>
      <w:r w:rsidRPr="003569BE">
        <w:rPr>
          <w:rFonts w:cs="Times New Roman"/>
          <w:i/>
          <w:szCs w:val="24"/>
          <w:vertAlign w:val="subscript"/>
          <w:lang w:val="en-GB"/>
        </w:rPr>
        <w:t>0</w:t>
      </w:r>
      <w:r w:rsidRPr="003569BE">
        <w:rPr>
          <w:rFonts w:cs="Times New Roman"/>
          <w:i/>
          <w:szCs w:val="24"/>
          <w:lang w:val="en-GB"/>
        </w:rPr>
        <w:t xml:space="preserve"> + β</w:t>
      </w:r>
      <w:r w:rsidRPr="003569BE">
        <w:rPr>
          <w:rFonts w:cs="Times New Roman"/>
          <w:i/>
          <w:szCs w:val="24"/>
          <w:vertAlign w:val="subscript"/>
          <w:lang w:val="en-GB"/>
        </w:rPr>
        <w:t>1</w:t>
      </w:r>
      <w:r w:rsidRPr="003569BE">
        <w:rPr>
          <w:rFonts w:cs="Times New Roman"/>
          <w:i/>
          <w:szCs w:val="24"/>
          <w:lang w:val="en-GB"/>
        </w:rPr>
        <w:t>AT</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2</w:t>
      </w:r>
      <w:r w:rsidRPr="003569BE">
        <w:rPr>
          <w:rFonts w:cs="Times New Roman"/>
          <w:i/>
          <w:szCs w:val="24"/>
          <w:lang w:val="en-GB"/>
        </w:rPr>
        <w:t>SIZE</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3</w:t>
      </w:r>
      <w:r w:rsidRPr="003569BE">
        <w:rPr>
          <w:rFonts w:cs="Times New Roman"/>
          <w:i/>
          <w:szCs w:val="24"/>
          <w:lang w:val="en-GB"/>
        </w:rPr>
        <w:t>GROWTH</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4</w:t>
      </w:r>
      <w:r w:rsidRPr="003569BE">
        <w:rPr>
          <w:rFonts w:cs="Times New Roman"/>
          <w:i/>
          <w:szCs w:val="24"/>
          <w:lang w:val="en-GB"/>
        </w:rPr>
        <w:t>LEVERAGE</w:t>
      </w:r>
      <w:r w:rsidRPr="003569BE">
        <w:rPr>
          <w:rFonts w:cs="Times New Roman"/>
          <w:i/>
          <w:szCs w:val="24"/>
          <w:vertAlign w:val="subscript"/>
          <w:lang w:val="en-GB"/>
        </w:rPr>
        <w:t>it</w:t>
      </w:r>
      <w:r w:rsidRPr="003569BE">
        <w:rPr>
          <w:rFonts w:cs="Times New Roman"/>
          <w:i/>
          <w:szCs w:val="24"/>
          <w:lang w:val="en-GB"/>
        </w:rPr>
        <w:t xml:space="preserve"> + β</w:t>
      </w:r>
      <w:r w:rsidRPr="003569BE">
        <w:rPr>
          <w:rFonts w:cs="Times New Roman"/>
          <w:i/>
          <w:szCs w:val="24"/>
          <w:vertAlign w:val="subscript"/>
          <w:lang w:val="en-GB"/>
        </w:rPr>
        <w:t>5</w:t>
      </w:r>
      <w:r w:rsidRPr="003569BE">
        <w:rPr>
          <w:rFonts w:cs="Times New Roman"/>
          <w:i/>
          <w:szCs w:val="24"/>
          <w:lang w:val="en-GB"/>
        </w:rPr>
        <w:t>PRIOR_LOSS</w:t>
      </w:r>
      <w:r w:rsidRPr="003569BE">
        <w:rPr>
          <w:rFonts w:cs="Times New Roman"/>
          <w:i/>
          <w:szCs w:val="24"/>
          <w:vertAlign w:val="subscript"/>
          <w:lang w:val="en-GB"/>
        </w:rPr>
        <w:t>it</w:t>
      </w:r>
      <w:r w:rsidRPr="003569BE">
        <w:rPr>
          <w:rFonts w:cs="Times New Roman"/>
          <w:i/>
          <w:szCs w:val="24"/>
          <w:lang w:val="en-GB"/>
        </w:rPr>
        <w:t xml:space="preserve"> + ε</w:t>
      </w:r>
      <w:r w:rsidRPr="003569BE">
        <w:rPr>
          <w:rFonts w:cs="Times New Roman"/>
          <w:i/>
          <w:szCs w:val="24"/>
          <w:vertAlign w:val="subscript"/>
          <w:lang w:val="en-GB"/>
        </w:rPr>
        <w:t>it</w:t>
      </w:r>
    </w:p>
    <w:p w:rsidR="00DF7A33" w:rsidRPr="003569BE" w:rsidRDefault="00BB35AC" w:rsidP="00544856">
      <w:pPr>
        <w:spacing w:line="360" w:lineRule="auto"/>
        <w:rPr>
          <w:rFonts w:cs="Times New Roman"/>
          <w:szCs w:val="24"/>
          <w:lang w:val="en-GB"/>
        </w:rPr>
      </w:pPr>
      <w:r w:rsidRPr="003569BE">
        <w:rPr>
          <w:lang w:val="en-GB"/>
        </w:rPr>
        <w:t>As signalled before</w:t>
      </w:r>
      <w:r w:rsidR="009A0BB5" w:rsidRPr="003569BE">
        <w:rPr>
          <w:lang w:val="en-GB"/>
        </w:rPr>
        <w:t xml:space="preserve">, in order to assess the first hypothesis, the </w:t>
      </w:r>
      <w:r w:rsidR="009A0BB5" w:rsidRPr="003569BE">
        <w:rPr>
          <w:rFonts w:cs="Times New Roman"/>
          <w:szCs w:val="24"/>
          <w:lang w:val="en-GB"/>
        </w:rPr>
        <w:t>β</w:t>
      </w:r>
      <w:r w:rsidR="009A0BB5" w:rsidRPr="003569BE">
        <w:rPr>
          <w:rFonts w:cs="Times New Roman"/>
          <w:szCs w:val="24"/>
          <w:vertAlign w:val="subscript"/>
          <w:lang w:val="en-GB"/>
        </w:rPr>
        <w:t>1</w:t>
      </w:r>
      <w:r w:rsidR="009A0BB5" w:rsidRPr="003569BE">
        <w:rPr>
          <w:rFonts w:cs="Times New Roman"/>
          <w:szCs w:val="24"/>
          <w:lang w:val="en-GB"/>
        </w:rPr>
        <w:t xml:space="preserve"> coefficient will be observed.</w:t>
      </w:r>
      <w:r w:rsidR="00102F15" w:rsidRPr="003569BE">
        <w:rPr>
          <w:rFonts w:cs="Times New Roman"/>
          <w:szCs w:val="24"/>
          <w:lang w:val="en-GB"/>
        </w:rPr>
        <w:t xml:space="preserve"> For the prediction to be confirmed, the expectation for </w:t>
      </w:r>
      <w:r w:rsidR="00102F15" w:rsidRPr="003569BE">
        <w:rPr>
          <w:lang w:val="en-GB"/>
        </w:rPr>
        <w:t xml:space="preserve">the </w:t>
      </w:r>
      <w:r w:rsidR="00102F15" w:rsidRPr="003569BE">
        <w:rPr>
          <w:rFonts w:cs="Times New Roman"/>
          <w:szCs w:val="24"/>
          <w:lang w:val="en-GB"/>
        </w:rPr>
        <w:t>β</w:t>
      </w:r>
      <w:r w:rsidR="00102F15" w:rsidRPr="003569BE">
        <w:rPr>
          <w:rFonts w:cs="Times New Roman"/>
          <w:szCs w:val="24"/>
          <w:vertAlign w:val="subscript"/>
          <w:lang w:val="en-GB"/>
        </w:rPr>
        <w:t>1</w:t>
      </w:r>
      <w:r w:rsidR="00102F15" w:rsidRPr="003569BE">
        <w:rPr>
          <w:rFonts w:cs="Times New Roman"/>
          <w:szCs w:val="24"/>
          <w:lang w:val="en-GB"/>
        </w:rPr>
        <w:t xml:space="preserve"> coefficient is to be significant and statistically significant. </w:t>
      </w:r>
    </w:p>
    <w:p w:rsidR="008600CF" w:rsidRPr="003569BE" w:rsidRDefault="003F4FC6" w:rsidP="00544856">
      <w:pPr>
        <w:spacing w:line="360" w:lineRule="auto"/>
        <w:rPr>
          <w:szCs w:val="24"/>
          <w:lang w:val="en-GB"/>
        </w:rPr>
      </w:pPr>
      <w:r w:rsidRPr="003569BE">
        <w:rPr>
          <w:lang w:val="en-GB"/>
        </w:rPr>
        <w:t xml:space="preserve">The results of this regression </w:t>
      </w:r>
      <w:r w:rsidR="00B07CA3" w:rsidRPr="003569BE">
        <w:rPr>
          <w:lang w:val="en-GB"/>
        </w:rPr>
        <w:t>are presented</w:t>
      </w:r>
      <w:r w:rsidRPr="003569BE">
        <w:rPr>
          <w:lang w:val="en-GB"/>
        </w:rPr>
        <w:t xml:space="preserve"> in Table </w:t>
      </w:r>
      <w:r w:rsidR="006345D5" w:rsidRPr="003569BE">
        <w:rPr>
          <w:lang w:val="en-GB"/>
        </w:rPr>
        <w:t>10</w:t>
      </w:r>
      <w:r w:rsidRPr="003569BE">
        <w:rPr>
          <w:lang w:val="en-GB"/>
        </w:rPr>
        <w:t xml:space="preserve"> below</w:t>
      </w:r>
      <w:r w:rsidR="001A53E7" w:rsidRPr="003569BE">
        <w:rPr>
          <w:lang w:val="en-GB"/>
        </w:rPr>
        <w:t xml:space="preserve">. In addition, </w:t>
      </w:r>
      <w:r w:rsidR="00EF2124">
        <w:rPr>
          <w:lang w:val="en-GB"/>
        </w:rPr>
        <w:t xml:space="preserve">the </w:t>
      </w:r>
      <w:r w:rsidR="001A53E7" w:rsidRPr="003569BE">
        <w:rPr>
          <w:szCs w:val="24"/>
          <w:lang w:val="en-GB"/>
        </w:rPr>
        <w:t xml:space="preserve">descriptive statistics of this test </w:t>
      </w:r>
      <w:r w:rsidR="00EF2124">
        <w:rPr>
          <w:szCs w:val="24"/>
          <w:lang w:val="en-GB"/>
        </w:rPr>
        <w:t xml:space="preserve">are presented </w:t>
      </w:r>
      <w:r w:rsidR="001A53E7" w:rsidRPr="003569BE">
        <w:rPr>
          <w:szCs w:val="24"/>
          <w:lang w:val="en-GB"/>
        </w:rPr>
        <w:t xml:space="preserve">in Appendix </w:t>
      </w:r>
      <w:r w:rsidR="006F36D2" w:rsidRPr="003569BE">
        <w:rPr>
          <w:szCs w:val="24"/>
          <w:lang w:val="en-GB"/>
        </w:rPr>
        <w:t>4</w:t>
      </w:r>
      <w:r w:rsidR="001A53E7" w:rsidRPr="003569BE">
        <w:rPr>
          <w:szCs w:val="24"/>
          <w:lang w:val="en-GB"/>
        </w:rPr>
        <w:t xml:space="preserve">, Table </w:t>
      </w:r>
      <w:r w:rsidR="006F36D2" w:rsidRPr="003569BE">
        <w:rPr>
          <w:szCs w:val="24"/>
          <w:lang w:val="en-GB"/>
        </w:rPr>
        <w:t>8</w:t>
      </w:r>
      <w:r w:rsidR="001A53E7" w:rsidRPr="003569BE">
        <w:rPr>
          <w:szCs w:val="24"/>
          <w:lang w:val="en-GB"/>
        </w:rPr>
        <w:t xml:space="preserve"> and Table </w:t>
      </w:r>
      <w:r w:rsidR="006F36D2" w:rsidRPr="003569BE">
        <w:rPr>
          <w:szCs w:val="24"/>
          <w:lang w:val="en-GB"/>
        </w:rPr>
        <w:t>9.</w:t>
      </w:r>
    </w:p>
    <w:tbl>
      <w:tblPr>
        <w:tblW w:w="82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325"/>
        <w:gridCol w:w="1323"/>
        <w:gridCol w:w="1456"/>
        <w:gridCol w:w="1010"/>
        <w:gridCol w:w="1010"/>
      </w:tblGrid>
      <w:tr w:rsidR="006345D5" w:rsidRPr="003569BE" w:rsidTr="001C0E8D">
        <w:trPr>
          <w:cantSplit/>
          <w:tblHeader/>
          <w:jc w:val="center"/>
        </w:trPr>
        <w:tc>
          <w:tcPr>
            <w:tcW w:w="8260" w:type="dxa"/>
            <w:gridSpan w:val="7"/>
            <w:tcBorders>
              <w:top w:val="nil"/>
              <w:left w:val="nil"/>
              <w:bottom w:val="nil"/>
              <w:right w:val="nil"/>
            </w:tcBorders>
            <w:shd w:val="clear" w:color="auto" w:fill="FFFFFF"/>
            <w:vAlign w:val="center"/>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6345D5" w:rsidRPr="003569BE" w:rsidTr="001C0E8D">
        <w:trPr>
          <w:cantSplit/>
          <w:tblHeader/>
          <w:jc w:val="cent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648" w:type="dxa"/>
            <w:gridSpan w:val="2"/>
            <w:tcBorders>
              <w:top w:val="single" w:sz="16" w:space="0" w:color="000000"/>
              <w:left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Unstandardized Coefficients</w:t>
            </w:r>
          </w:p>
        </w:tc>
        <w:tc>
          <w:tcPr>
            <w:tcW w:w="1456" w:type="dxa"/>
            <w:tcBorders>
              <w:top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6345D5" w:rsidRPr="003569BE" w:rsidTr="001C0E8D">
        <w:trPr>
          <w:cantSplit/>
          <w:tblHeader/>
          <w:jc w:val="cent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325" w:type="dxa"/>
            <w:tcBorders>
              <w:left w:val="single" w:sz="16" w:space="0" w:color="000000"/>
              <w:bottom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w:t>
            </w:r>
          </w:p>
        </w:tc>
        <w:tc>
          <w:tcPr>
            <w:tcW w:w="1323" w:type="dxa"/>
            <w:tcBorders>
              <w:bottom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w:t>
            </w:r>
          </w:p>
        </w:tc>
        <w:tc>
          <w:tcPr>
            <w:tcW w:w="1456" w:type="dxa"/>
            <w:tcBorders>
              <w:bottom w:val="single" w:sz="16" w:space="0" w:color="000000"/>
            </w:tcBorders>
            <w:shd w:val="clear" w:color="auto" w:fill="FFFFFF"/>
            <w:vAlign w:val="bottom"/>
          </w:tcPr>
          <w:p w:rsidR="006345D5" w:rsidRPr="003569BE" w:rsidRDefault="006345D5" w:rsidP="001C0E8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Beta</w:t>
            </w:r>
          </w:p>
        </w:tc>
        <w:tc>
          <w:tcPr>
            <w:tcW w:w="1010" w:type="dxa"/>
            <w:vMerge/>
            <w:tcBorders>
              <w:top w:val="single" w:sz="16" w:space="0" w:color="000000"/>
              <w:bottom w:val="single" w:sz="16" w:space="0" w:color="000000"/>
            </w:tcBorders>
            <w:shd w:val="clear" w:color="auto" w:fill="FFFFFF"/>
            <w:vAlign w:val="bottom"/>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r>
      <w:tr w:rsidR="006345D5" w:rsidRPr="003569BE" w:rsidTr="001C0E8D">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1325" w:type="dxa"/>
            <w:tcBorders>
              <w:top w:val="single" w:sz="16" w:space="0" w:color="000000"/>
              <w:left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-,010</w:t>
            </w:r>
          </w:p>
        </w:tc>
        <w:tc>
          <w:tcPr>
            <w:tcW w:w="1323" w:type="dxa"/>
            <w:tcBorders>
              <w:top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,032</w:t>
            </w:r>
          </w:p>
        </w:tc>
        <w:tc>
          <w:tcPr>
            <w:tcW w:w="1456" w:type="dxa"/>
            <w:tcBorders>
              <w:top w:val="single" w:sz="16" w:space="0" w:color="000000"/>
              <w:bottom w:val="nil"/>
            </w:tcBorders>
            <w:shd w:val="clear" w:color="auto" w:fill="FFFFFF"/>
            <w:vAlign w:val="center"/>
          </w:tcPr>
          <w:p w:rsidR="006345D5" w:rsidRPr="003569BE" w:rsidRDefault="006345D5" w:rsidP="001C0E8D">
            <w:pPr>
              <w:autoSpaceDE w:val="0"/>
              <w:autoSpaceDN w:val="0"/>
              <w:adjustRightInd w:val="0"/>
              <w:spacing w:after="0" w:line="240" w:lineRule="auto"/>
              <w:jc w:val="center"/>
              <w:rPr>
                <w:rFonts w:cs="Times New Roman"/>
                <w:szCs w:val="24"/>
                <w:lang w:val="en-GB"/>
              </w:rPr>
            </w:pPr>
          </w:p>
        </w:tc>
        <w:tc>
          <w:tcPr>
            <w:tcW w:w="1010" w:type="dxa"/>
            <w:tcBorders>
              <w:top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-,311</w:t>
            </w:r>
          </w:p>
        </w:tc>
        <w:tc>
          <w:tcPr>
            <w:tcW w:w="1010" w:type="dxa"/>
            <w:tcBorders>
              <w:top w:val="single" w:sz="16" w:space="0" w:color="000000"/>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,756</w:t>
            </w:r>
          </w:p>
        </w:tc>
      </w:tr>
      <w:tr w:rsidR="006345D5" w:rsidRPr="003569BE" w:rsidTr="001C0E8D">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6345D5"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6345D5"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6345D5" w:rsidRPr="003569BE">
              <w:rPr>
                <w:rFonts w:ascii="Arial" w:hAnsi="Arial" w:cs="Arial"/>
                <w:color w:val="000000"/>
                <w:sz w:val="18"/>
                <w:szCs w:val="18"/>
                <w:lang w:val="en-GB"/>
              </w:rPr>
              <w:t>tenure</w:t>
            </w:r>
          </w:p>
        </w:tc>
        <w:tc>
          <w:tcPr>
            <w:tcW w:w="1325" w:type="dxa"/>
            <w:tcBorders>
              <w:top w:val="nil"/>
              <w:left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,004</w:t>
            </w:r>
          </w:p>
        </w:tc>
        <w:tc>
          <w:tcPr>
            <w:tcW w:w="1323"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,002</w:t>
            </w:r>
          </w:p>
        </w:tc>
        <w:tc>
          <w:tcPr>
            <w:tcW w:w="1456"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,123</w:t>
            </w:r>
          </w:p>
        </w:tc>
        <w:tc>
          <w:tcPr>
            <w:tcW w:w="1010"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2,330</w:t>
            </w:r>
          </w:p>
        </w:tc>
        <w:tc>
          <w:tcPr>
            <w:tcW w:w="1010" w:type="dxa"/>
            <w:tcBorders>
              <w:top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,020</w:t>
            </w:r>
          </w:p>
        </w:tc>
      </w:tr>
      <w:tr w:rsidR="006345D5" w:rsidRPr="003569BE" w:rsidTr="001C0E8D">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325" w:type="dxa"/>
            <w:tcBorders>
              <w:top w:val="nil"/>
              <w:left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-,039</w:t>
            </w:r>
          </w:p>
        </w:tc>
        <w:tc>
          <w:tcPr>
            <w:tcW w:w="1323"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,027</w:t>
            </w:r>
          </w:p>
        </w:tc>
        <w:tc>
          <w:tcPr>
            <w:tcW w:w="1456"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-,075</w:t>
            </w:r>
          </w:p>
        </w:tc>
        <w:tc>
          <w:tcPr>
            <w:tcW w:w="1010"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-1,415</w:t>
            </w:r>
          </w:p>
        </w:tc>
        <w:tc>
          <w:tcPr>
            <w:tcW w:w="1010" w:type="dxa"/>
            <w:tcBorders>
              <w:top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,158</w:t>
            </w:r>
          </w:p>
        </w:tc>
      </w:tr>
      <w:tr w:rsidR="006345D5" w:rsidRPr="003569BE" w:rsidTr="001C0E8D">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325" w:type="dxa"/>
            <w:tcBorders>
              <w:top w:val="nil"/>
              <w:left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-,008</w:t>
            </w:r>
          </w:p>
        </w:tc>
        <w:tc>
          <w:tcPr>
            <w:tcW w:w="1323"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,003</w:t>
            </w:r>
          </w:p>
        </w:tc>
        <w:tc>
          <w:tcPr>
            <w:tcW w:w="1456"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-,125</w:t>
            </w:r>
          </w:p>
        </w:tc>
        <w:tc>
          <w:tcPr>
            <w:tcW w:w="1010"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-2,374</w:t>
            </w:r>
          </w:p>
        </w:tc>
        <w:tc>
          <w:tcPr>
            <w:tcW w:w="1010" w:type="dxa"/>
            <w:tcBorders>
              <w:top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,018</w:t>
            </w:r>
          </w:p>
        </w:tc>
      </w:tr>
      <w:tr w:rsidR="006345D5" w:rsidRPr="003569BE" w:rsidTr="001C0E8D">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325" w:type="dxa"/>
            <w:tcBorders>
              <w:top w:val="nil"/>
              <w:left w:val="single" w:sz="16" w:space="0" w:color="000000"/>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,032</w:t>
            </w:r>
          </w:p>
        </w:tc>
        <w:tc>
          <w:tcPr>
            <w:tcW w:w="1323"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,014</w:t>
            </w:r>
          </w:p>
        </w:tc>
        <w:tc>
          <w:tcPr>
            <w:tcW w:w="1456"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,118</w:t>
            </w:r>
          </w:p>
        </w:tc>
        <w:tc>
          <w:tcPr>
            <w:tcW w:w="1010" w:type="dxa"/>
            <w:tcBorders>
              <w:top w:val="nil"/>
              <w:bottom w:val="nil"/>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2,231</w:t>
            </w:r>
          </w:p>
        </w:tc>
        <w:tc>
          <w:tcPr>
            <w:tcW w:w="1010" w:type="dxa"/>
            <w:tcBorders>
              <w:top w:val="nil"/>
              <w:bottom w:val="nil"/>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,026</w:t>
            </w:r>
          </w:p>
        </w:tc>
      </w:tr>
      <w:tr w:rsidR="006345D5" w:rsidRPr="003569BE" w:rsidTr="001C0E8D">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6345D5" w:rsidRPr="003569BE" w:rsidRDefault="006345D5" w:rsidP="001C0E8D">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325" w:type="dxa"/>
            <w:tcBorders>
              <w:top w:val="nil"/>
              <w:left w:val="single" w:sz="16" w:space="0" w:color="000000"/>
              <w:bottom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-,018</w:t>
            </w:r>
          </w:p>
        </w:tc>
        <w:tc>
          <w:tcPr>
            <w:tcW w:w="1323" w:type="dxa"/>
            <w:tcBorders>
              <w:top w:val="nil"/>
              <w:bottom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,013</w:t>
            </w:r>
          </w:p>
        </w:tc>
        <w:tc>
          <w:tcPr>
            <w:tcW w:w="1456" w:type="dxa"/>
            <w:tcBorders>
              <w:top w:val="nil"/>
              <w:bottom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-,074</w:t>
            </w:r>
          </w:p>
        </w:tc>
        <w:tc>
          <w:tcPr>
            <w:tcW w:w="1010" w:type="dxa"/>
            <w:tcBorders>
              <w:top w:val="nil"/>
              <w:bottom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-1,406</w:t>
            </w:r>
          </w:p>
        </w:tc>
        <w:tc>
          <w:tcPr>
            <w:tcW w:w="1010" w:type="dxa"/>
            <w:tcBorders>
              <w:top w:val="nil"/>
              <w:bottom w:val="single" w:sz="16" w:space="0" w:color="000000"/>
              <w:right w:val="single" w:sz="16" w:space="0" w:color="000000"/>
            </w:tcBorders>
            <w:shd w:val="clear" w:color="auto" w:fill="FFFFFF"/>
          </w:tcPr>
          <w:p w:rsidR="006345D5" w:rsidRPr="003569BE" w:rsidRDefault="006345D5" w:rsidP="001C0E8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,161</w:t>
            </w:r>
          </w:p>
        </w:tc>
      </w:tr>
      <w:tr w:rsidR="006345D5" w:rsidRPr="003569BE" w:rsidTr="001C0E8D">
        <w:trPr>
          <w:cantSplit/>
          <w:jc w:val="center"/>
        </w:trPr>
        <w:tc>
          <w:tcPr>
            <w:tcW w:w="8260" w:type="dxa"/>
            <w:gridSpan w:val="7"/>
            <w:tcBorders>
              <w:top w:val="nil"/>
              <w:left w:val="nil"/>
              <w:bottom w:val="nil"/>
              <w:right w:val="nil"/>
            </w:tcBorders>
            <w:shd w:val="clear" w:color="auto" w:fill="FFFFFF"/>
          </w:tcPr>
          <w:p w:rsidR="006345D5" w:rsidRPr="003569BE" w:rsidRDefault="006345D5" w:rsidP="001C0E8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DA</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r>
    </w:tbl>
    <w:p w:rsidR="006345D5" w:rsidRPr="003569BE" w:rsidRDefault="006345D5" w:rsidP="006345D5">
      <w:pPr>
        <w:spacing w:line="360" w:lineRule="auto"/>
        <w:jc w:val="right"/>
        <w:rPr>
          <w:i/>
          <w:sz w:val="20"/>
          <w:szCs w:val="20"/>
          <w:lang w:val="en-GB"/>
        </w:rPr>
      </w:pPr>
      <w:r w:rsidRPr="003569BE">
        <w:rPr>
          <w:i/>
          <w:sz w:val="20"/>
          <w:szCs w:val="20"/>
          <w:lang w:val="en-GB"/>
        </w:rPr>
        <w:t>Table 10 – Coefficients</w:t>
      </w:r>
    </w:p>
    <w:p w:rsidR="002B708E" w:rsidRPr="003569BE" w:rsidRDefault="002B708E" w:rsidP="00F81422">
      <w:pPr>
        <w:spacing w:line="360" w:lineRule="auto"/>
        <w:rPr>
          <w:lang w:val="en-GB"/>
        </w:rPr>
      </w:pPr>
      <w:r w:rsidRPr="003569BE">
        <w:rPr>
          <w:lang w:val="en-GB"/>
        </w:rPr>
        <w:lastRenderedPageBreak/>
        <w:t xml:space="preserve">Based on </w:t>
      </w:r>
      <w:r w:rsidR="00BA1CA6" w:rsidRPr="003569BE">
        <w:rPr>
          <w:lang w:val="en-GB"/>
        </w:rPr>
        <w:t>T</w:t>
      </w:r>
      <w:r w:rsidR="00056453" w:rsidRPr="003569BE">
        <w:rPr>
          <w:lang w:val="en-GB"/>
        </w:rPr>
        <w:t xml:space="preserve">able 10, </w:t>
      </w:r>
      <w:r w:rsidRPr="003569BE">
        <w:rPr>
          <w:lang w:val="en-GB"/>
        </w:rPr>
        <w:t xml:space="preserve">the </w:t>
      </w:r>
      <w:r w:rsidR="00056453" w:rsidRPr="003569BE">
        <w:rPr>
          <w:lang w:val="en-GB"/>
        </w:rPr>
        <w:t xml:space="preserve">conclusion </w:t>
      </w:r>
      <w:r w:rsidR="00101B89" w:rsidRPr="003569BE">
        <w:rPr>
          <w:lang w:val="en-GB"/>
        </w:rPr>
        <w:t xml:space="preserve">regarding the first hypothesis </w:t>
      </w:r>
      <w:r w:rsidR="00056453" w:rsidRPr="003569BE">
        <w:rPr>
          <w:lang w:val="en-GB"/>
        </w:rPr>
        <w:t xml:space="preserve">can be drawn. </w:t>
      </w:r>
      <w:r w:rsidR="00C97255" w:rsidRPr="003569BE">
        <w:rPr>
          <w:lang w:val="en-GB"/>
        </w:rPr>
        <w:t xml:space="preserve">The </w:t>
      </w:r>
      <w:r w:rsidR="00D40257" w:rsidRPr="003569BE">
        <w:rPr>
          <w:rFonts w:cs="Times New Roman"/>
          <w:szCs w:val="24"/>
          <w:lang w:val="en-GB"/>
        </w:rPr>
        <w:t>β</w:t>
      </w:r>
      <w:r w:rsidR="00D40257" w:rsidRPr="003569BE">
        <w:rPr>
          <w:rFonts w:cs="Times New Roman"/>
          <w:szCs w:val="24"/>
          <w:vertAlign w:val="subscript"/>
          <w:lang w:val="en-GB"/>
        </w:rPr>
        <w:t xml:space="preserve">1 </w:t>
      </w:r>
      <w:r w:rsidR="00C97255" w:rsidRPr="003569BE">
        <w:rPr>
          <w:lang w:val="en-GB"/>
        </w:rPr>
        <w:t xml:space="preserve">coefficient of </w:t>
      </w:r>
      <w:r w:rsidR="005E460F" w:rsidRPr="003569BE">
        <w:rPr>
          <w:lang w:val="en-GB"/>
        </w:rPr>
        <w:t>0</w:t>
      </w:r>
      <w:r w:rsidR="00C97255" w:rsidRPr="003569BE">
        <w:rPr>
          <w:lang w:val="en-GB"/>
        </w:rPr>
        <w:t>,004 indicates a positive relationship between the main independent variable, i.e. audit tenure, and the dependent variable, i.e. DA</w:t>
      </w:r>
      <w:r w:rsidR="00C97255" w:rsidRPr="003569BE">
        <w:rPr>
          <w:vertAlign w:val="subscript"/>
          <w:lang w:val="en-GB"/>
        </w:rPr>
        <w:t>t</w:t>
      </w:r>
      <w:r w:rsidR="00C97255" w:rsidRPr="003569BE">
        <w:rPr>
          <w:lang w:val="en-GB"/>
        </w:rPr>
        <w:t>/A</w:t>
      </w:r>
      <w:r w:rsidR="00C97255" w:rsidRPr="003569BE">
        <w:rPr>
          <w:vertAlign w:val="subscript"/>
          <w:lang w:val="en-GB"/>
        </w:rPr>
        <w:t>t-1</w:t>
      </w:r>
      <w:r w:rsidR="009F00AC" w:rsidRPr="003569BE">
        <w:rPr>
          <w:lang w:val="en-GB"/>
        </w:rPr>
        <w:t xml:space="preserve">. In other words, </w:t>
      </w:r>
      <w:r w:rsidR="00C92867" w:rsidRPr="003569BE">
        <w:rPr>
          <w:lang w:val="en-GB"/>
        </w:rPr>
        <w:t>by the positive correlation between the length of the auditor-client relationship and the magnitude of the use of earnings management, measured by discretionary accruals</w:t>
      </w:r>
      <w:r w:rsidR="00617EC6" w:rsidRPr="003569BE">
        <w:rPr>
          <w:lang w:val="en-GB"/>
        </w:rPr>
        <w:t>,</w:t>
      </w:r>
      <w:r w:rsidR="00C92867" w:rsidRPr="003569BE">
        <w:rPr>
          <w:lang w:val="en-GB"/>
        </w:rPr>
        <w:t xml:space="preserve"> </w:t>
      </w:r>
      <w:r w:rsidR="009F00AC" w:rsidRPr="003569BE">
        <w:rPr>
          <w:lang w:val="en-GB"/>
        </w:rPr>
        <w:t>hypothesis 1 is confirmed.</w:t>
      </w:r>
      <w:r w:rsidR="00D40257" w:rsidRPr="003569BE">
        <w:rPr>
          <w:lang w:val="en-GB"/>
        </w:rPr>
        <w:t xml:space="preserve"> In addition, the p-value of </w:t>
      </w:r>
      <w:r w:rsidR="005E460F" w:rsidRPr="003569BE">
        <w:rPr>
          <w:lang w:val="en-GB"/>
        </w:rPr>
        <w:t>0</w:t>
      </w:r>
      <w:r w:rsidR="00D40257" w:rsidRPr="003569BE">
        <w:rPr>
          <w:lang w:val="en-GB"/>
        </w:rPr>
        <w:t xml:space="preserve">,020 </w:t>
      </w:r>
      <w:r w:rsidR="001C0E8D" w:rsidRPr="003569BE">
        <w:rPr>
          <w:lang w:val="en-GB"/>
        </w:rPr>
        <w:t>indicate</w:t>
      </w:r>
      <w:r w:rsidR="005E460F" w:rsidRPr="003569BE">
        <w:rPr>
          <w:lang w:val="en-GB"/>
        </w:rPr>
        <w:t>s</w:t>
      </w:r>
      <w:r w:rsidR="00D40257" w:rsidRPr="003569BE">
        <w:rPr>
          <w:lang w:val="en-GB"/>
        </w:rPr>
        <w:t xml:space="preserve"> that the </w:t>
      </w:r>
      <w:r w:rsidR="00D40257" w:rsidRPr="003569BE">
        <w:rPr>
          <w:rFonts w:cs="Times New Roman"/>
          <w:szCs w:val="24"/>
          <w:lang w:val="en-GB"/>
        </w:rPr>
        <w:t>β</w:t>
      </w:r>
      <w:r w:rsidR="00D40257" w:rsidRPr="003569BE">
        <w:rPr>
          <w:rFonts w:cs="Times New Roman"/>
          <w:szCs w:val="24"/>
          <w:vertAlign w:val="subscript"/>
          <w:lang w:val="en-GB"/>
        </w:rPr>
        <w:t>1</w:t>
      </w:r>
      <w:r w:rsidR="000A3EE2" w:rsidRPr="003569BE">
        <w:rPr>
          <w:rFonts w:cs="Times New Roman"/>
          <w:szCs w:val="24"/>
          <w:vertAlign w:val="subscript"/>
          <w:lang w:val="en-GB"/>
        </w:rPr>
        <w:t xml:space="preserve"> </w:t>
      </w:r>
      <w:r w:rsidR="000A3EE2" w:rsidRPr="003569BE">
        <w:rPr>
          <w:rFonts w:cs="Times New Roman"/>
          <w:szCs w:val="24"/>
          <w:lang w:val="en-GB"/>
        </w:rPr>
        <w:t>coefficient is statistically significant at a 5% level.</w:t>
      </w:r>
    </w:p>
    <w:p w:rsidR="00895566" w:rsidRPr="003569BE" w:rsidRDefault="00895566" w:rsidP="00CF5E60">
      <w:pPr>
        <w:pStyle w:val="Heading2"/>
        <w:numPr>
          <w:ilvl w:val="2"/>
          <w:numId w:val="6"/>
        </w:numPr>
        <w:rPr>
          <w:lang w:val="en-GB"/>
        </w:rPr>
      </w:pPr>
      <w:bookmarkStart w:id="65" w:name="_Toc396633597"/>
      <w:r w:rsidRPr="003569BE">
        <w:rPr>
          <w:lang w:val="en-GB"/>
        </w:rPr>
        <w:t>Hypothesis 2</w:t>
      </w:r>
      <w:bookmarkEnd w:id="65"/>
    </w:p>
    <w:p w:rsidR="006B3DEC" w:rsidRPr="003569BE" w:rsidRDefault="006B3DEC" w:rsidP="006B3DEC">
      <w:pPr>
        <w:spacing w:line="360" w:lineRule="auto"/>
        <w:rPr>
          <w:i/>
          <w:lang w:val="en-GB"/>
        </w:rPr>
      </w:pPr>
      <w:r w:rsidRPr="003569BE">
        <w:rPr>
          <w:i/>
          <w:lang w:val="en-GB"/>
        </w:rPr>
        <w:t>H2</w:t>
      </w:r>
    </w:p>
    <w:p w:rsidR="006B3DEC" w:rsidRPr="003569BE" w:rsidRDefault="006B3DEC" w:rsidP="006B3DEC">
      <w:pPr>
        <w:spacing w:line="360" w:lineRule="auto"/>
        <w:rPr>
          <w:i/>
          <w:lang w:val="en-GB"/>
        </w:rPr>
      </w:pPr>
      <w:r w:rsidRPr="003569BE">
        <w:rPr>
          <w:i/>
          <w:lang w:val="en-GB"/>
        </w:rPr>
        <w:t>The magnitude of the use of earnings management drops in the first year when a new auditor is appointed.</w:t>
      </w:r>
    </w:p>
    <w:p w:rsidR="00CB6B19" w:rsidRPr="003569BE" w:rsidRDefault="003E15F3" w:rsidP="006B3DEC">
      <w:pPr>
        <w:spacing w:line="360" w:lineRule="auto"/>
        <w:rPr>
          <w:lang w:val="en-GB"/>
        </w:rPr>
      </w:pPr>
      <w:r w:rsidRPr="003569BE">
        <w:rPr>
          <w:lang w:val="en-GB"/>
        </w:rPr>
        <w:t xml:space="preserve">The findings </w:t>
      </w:r>
      <w:r w:rsidR="00BD2267" w:rsidRPr="003569BE">
        <w:rPr>
          <w:lang w:val="en-GB"/>
        </w:rPr>
        <w:t xml:space="preserve">concerning hypothesis 2 </w:t>
      </w:r>
      <w:r w:rsidR="008116E7" w:rsidRPr="003569BE">
        <w:rPr>
          <w:lang w:val="en-GB"/>
        </w:rPr>
        <w:t>are presented</w:t>
      </w:r>
      <w:r w:rsidRPr="003569BE">
        <w:rPr>
          <w:lang w:val="en-GB"/>
        </w:rPr>
        <w:t xml:space="preserve"> in the</w:t>
      </w:r>
      <w:r w:rsidR="00AC1787" w:rsidRPr="003569BE">
        <w:rPr>
          <w:lang w:val="en-GB"/>
        </w:rPr>
        <w:t xml:space="preserve"> </w:t>
      </w:r>
      <w:r w:rsidR="00740172" w:rsidRPr="003569BE">
        <w:rPr>
          <w:lang w:val="en-GB"/>
        </w:rPr>
        <w:t>two charts below</w:t>
      </w:r>
      <w:r w:rsidRPr="003569BE">
        <w:rPr>
          <w:lang w:val="en-GB"/>
        </w:rPr>
        <w:t>:</w:t>
      </w:r>
    </w:p>
    <w:p w:rsidR="00223F2E" w:rsidRPr="003569BE" w:rsidRDefault="00E6466F" w:rsidP="00AB0793">
      <w:pPr>
        <w:spacing w:line="240" w:lineRule="auto"/>
        <w:jc w:val="center"/>
        <w:rPr>
          <w:lang w:val="en-GB"/>
        </w:rPr>
      </w:pPr>
      <w:r w:rsidRPr="003569BE">
        <w:rPr>
          <w:noProof/>
          <w:lang w:val="en-US"/>
        </w:rPr>
        <w:drawing>
          <wp:inline distT="0" distB="0" distL="0" distR="0">
            <wp:extent cx="5457825" cy="2847975"/>
            <wp:effectExtent l="0" t="0" r="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947749" w:rsidRPr="003569BE" w:rsidRDefault="00947749" w:rsidP="00947749">
      <w:pPr>
        <w:spacing w:line="360" w:lineRule="auto"/>
        <w:jc w:val="right"/>
        <w:rPr>
          <w:i/>
          <w:sz w:val="20"/>
          <w:szCs w:val="20"/>
          <w:lang w:val="en-GB"/>
        </w:rPr>
      </w:pPr>
      <w:r w:rsidRPr="003569BE">
        <w:rPr>
          <w:i/>
          <w:sz w:val="20"/>
          <w:szCs w:val="20"/>
          <w:lang w:val="en-GB"/>
        </w:rPr>
        <w:t>Chart 1 – Distribution of DA trends (%)</w:t>
      </w:r>
    </w:p>
    <w:p w:rsidR="004D51A7" w:rsidRPr="003569BE" w:rsidRDefault="000E4BAF" w:rsidP="00AB0793">
      <w:pPr>
        <w:spacing w:line="240" w:lineRule="auto"/>
        <w:jc w:val="center"/>
        <w:rPr>
          <w:lang w:val="en-GB"/>
        </w:rPr>
      </w:pPr>
      <w:r w:rsidRPr="000E4BAF">
        <w:rPr>
          <w:noProof/>
          <w:lang w:eastAsia="ro-RO"/>
        </w:rPr>
        <w:lastRenderedPageBreak/>
        <w:pict>
          <v:shape id="_x0000_s1045" type="#_x0000_t202" style="position:absolute;left:0;text-align:left;margin-left:10.8pt;margin-top:12.75pt;width:60.75pt;height:110.55pt;z-index:2516746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" strokecolor="white [3212]">
            <v:textbox style="mso-fit-shape-to-text:t">
              <w:txbxContent>
                <w:p w:rsidR="00401FD3" w:rsidRPr="00401FD3" w:rsidRDefault="00401FD3" w:rsidP="00401FD3">
                  <w:pPr>
                    <w:spacing w:after="0" w:line="240" w:lineRule="auto"/>
                    <w:jc w:val="center"/>
                    <w:rPr>
                      <w:sz w:val="16"/>
                      <w:szCs w:val="16"/>
                      <w:lang w:val="en-US"/>
                    </w:rPr>
                  </w:pPr>
                  <w:r w:rsidRPr="00401FD3">
                    <w:rPr>
                      <w:sz w:val="16"/>
                      <w:szCs w:val="16"/>
                      <w:lang w:val="en-US"/>
                    </w:rPr>
                    <w:t>Number of</w:t>
                  </w:r>
                  <w:r>
                    <w:rPr>
                      <w:sz w:val="16"/>
                      <w:szCs w:val="16"/>
                      <w:lang w:val="en-US"/>
                    </w:rPr>
                    <w:t xml:space="preserve"> </w:t>
                  </w:r>
                  <w:r w:rsidRPr="00401FD3">
                    <w:rPr>
                      <w:sz w:val="16"/>
                      <w:szCs w:val="16"/>
                      <w:lang w:val="en-US"/>
                    </w:rPr>
                    <w:t>rotations</w:t>
                  </w:r>
                </w:p>
              </w:txbxContent>
            </v:textbox>
          </v:shape>
        </w:pict>
      </w:r>
      <w:r w:rsidR="001D03DA" w:rsidRPr="003569BE">
        <w:rPr>
          <w:noProof/>
          <w:lang w:val="en-US"/>
        </w:rPr>
        <w:drawing>
          <wp:inline distT="0" distB="0" distL="0" distR="0">
            <wp:extent cx="5486400" cy="3200400"/>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47749" w:rsidRPr="003569BE" w:rsidRDefault="00947749" w:rsidP="00947749">
      <w:pPr>
        <w:spacing w:line="360" w:lineRule="auto"/>
        <w:jc w:val="right"/>
        <w:rPr>
          <w:i/>
          <w:sz w:val="20"/>
          <w:szCs w:val="20"/>
          <w:lang w:val="en-GB"/>
        </w:rPr>
      </w:pPr>
      <w:r w:rsidRPr="003569BE">
        <w:rPr>
          <w:i/>
          <w:sz w:val="20"/>
          <w:szCs w:val="20"/>
          <w:lang w:val="en-GB"/>
        </w:rPr>
        <w:t>Chart 2 – Distribution of DA trends</w:t>
      </w:r>
    </w:p>
    <w:p w:rsidR="00BD2267" w:rsidRPr="003569BE" w:rsidRDefault="00BD2267" w:rsidP="00E32727">
      <w:pPr>
        <w:spacing w:line="360" w:lineRule="auto"/>
        <w:rPr>
          <w:lang w:val="en-GB"/>
        </w:rPr>
      </w:pPr>
      <w:r w:rsidRPr="003569BE">
        <w:rPr>
          <w:lang w:val="en-GB"/>
        </w:rPr>
        <w:t xml:space="preserve">In order to test this hypothesis, an assessment regarding the amounts of the discretionary accruals in the years right before and </w:t>
      </w:r>
      <w:r w:rsidR="00796ED6">
        <w:rPr>
          <w:lang w:val="en-GB"/>
        </w:rPr>
        <w:t xml:space="preserve">in </w:t>
      </w:r>
      <w:r w:rsidR="003569BE">
        <w:rPr>
          <w:lang w:val="en-GB"/>
        </w:rPr>
        <w:t xml:space="preserve">the years </w:t>
      </w:r>
      <w:r w:rsidRPr="003569BE">
        <w:rPr>
          <w:lang w:val="en-GB"/>
        </w:rPr>
        <w:t>after the auditor rotation needs to be performed. The sample</w:t>
      </w:r>
      <w:r w:rsidR="005803D6" w:rsidRPr="003569BE">
        <w:rPr>
          <w:lang w:val="en-GB"/>
        </w:rPr>
        <w:t xml:space="preserve"> used in this thesis contains 35</w:t>
      </w:r>
      <w:r w:rsidRPr="003569BE">
        <w:rPr>
          <w:lang w:val="en-GB"/>
        </w:rPr>
        <w:t xml:space="preserve"> auditor rotations. In 19 cases of rotation, the amount of discretionary accruals in the first year after a new auditor has been appointed is lower than in the year before th</w:t>
      </w:r>
      <w:r w:rsidR="00C64259" w:rsidRPr="003569BE">
        <w:rPr>
          <w:lang w:val="en-GB"/>
        </w:rPr>
        <w:t>e rotation. That implies that 54,29</w:t>
      </w:r>
      <w:r w:rsidRPr="003569BE">
        <w:rPr>
          <w:lang w:val="en-GB"/>
        </w:rPr>
        <w:t>% of the rotations support the second hypo</w:t>
      </w:r>
      <w:r w:rsidR="005803D6" w:rsidRPr="003569BE">
        <w:rPr>
          <w:lang w:val="en-GB"/>
        </w:rPr>
        <w:t>thesis. On the other hand, in 1</w:t>
      </w:r>
      <w:r w:rsidR="003F0F67" w:rsidRPr="003569BE">
        <w:rPr>
          <w:lang w:val="en-GB"/>
        </w:rPr>
        <w:t>6</w:t>
      </w:r>
      <w:r w:rsidRPr="003569BE">
        <w:rPr>
          <w:lang w:val="en-GB"/>
        </w:rPr>
        <w:t xml:space="preserve"> cases of the rotation the amount of</w:t>
      </w:r>
      <w:r w:rsidR="00905D3D" w:rsidRPr="003569BE">
        <w:rPr>
          <w:lang w:val="en-GB"/>
        </w:rPr>
        <w:t xml:space="preserve"> the</w:t>
      </w:r>
      <w:r w:rsidRPr="003569BE">
        <w:rPr>
          <w:lang w:val="en-GB"/>
        </w:rPr>
        <w:t xml:space="preserve"> discretionary accruals increases in the first year after the rotation.</w:t>
      </w:r>
    </w:p>
    <w:p w:rsidR="00677614" w:rsidRPr="003569BE" w:rsidRDefault="00DE4676" w:rsidP="00BD2267">
      <w:pPr>
        <w:spacing w:line="360" w:lineRule="auto"/>
        <w:rPr>
          <w:lang w:val="en-GB"/>
        </w:rPr>
      </w:pPr>
      <w:r w:rsidRPr="003569BE">
        <w:rPr>
          <w:lang w:val="en-GB"/>
        </w:rPr>
        <w:t>Since the evidence is not very conclusive, b</w:t>
      </w:r>
      <w:r w:rsidR="00E32727" w:rsidRPr="003569BE">
        <w:rPr>
          <w:lang w:val="en-GB"/>
        </w:rPr>
        <w:t>ased on these findings, it is difficult to conclude whether hypothesis 2 can be confirmed or rejected. In addition, the assessment of this hypothesis is restricted by the limited number of rotations in the sample used in this thesis.</w:t>
      </w:r>
      <w:r w:rsidR="00891DED" w:rsidRPr="003569BE">
        <w:rPr>
          <w:lang w:val="en-GB"/>
        </w:rPr>
        <w:t xml:space="preserve"> </w:t>
      </w:r>
      <w:r w:rsidR="00F93FE7" w:rsidRPr="003569BE">
        <w:rPr>
          <w:lang w:val="en-GB"/>
        </w:rPr>
        <w:t>Consequently</w:t>
      </w:r>
      <w:r w:rsidR="00891DED" w:rsidRPr="003569BE">
        <w:rPr>
          <w:lang w:val="en-GB"/>
        </w:rPr>
        <w:t>,</w:t>
      </w:r>
      <w:r w:rsidR="00F93FE7" w:rsidRPr="003569BE">
        <w:rPr>
          <w:lang w:val="en-GB"/>
        </w:rPr>
        <w:t xml:space="preserve"> expressing an opinion regarding the impact of</w:t>
      </w:r>
      <w:r w:rsidR="00891DED" w:rsidRPr="003569BE">
        <w:rPr>
          <w:lang w:val="en-GB"/>
        </w:rPr>
        <w:t xml:space="preserve"> these inconclusive results regarding hypothesis 2 </w:t>
      </w:r>
      <w:r w:rsidR="00E81D4A" w:rsidRPr="003569BE">
        <w:rPr>
          <w:lang w:val="en-GB"/>
        </w:rPr>
        <w:t>on answering the main research question</w:t>
      </w:r>
      <w:r w:rsidR="00F93FE7" w:rsidRPr="003569BE">
        <w:rPr>
          <w:lang w:val="en-GB"/>
        </w:rPr>
        <w:t xml:space="preserve"> is restricted by the statistically insufficiency of the data</w:t>
      </w:r>
      <w:r w:rsidR="00E81D4A" w:rsidRPr="003569BE">
        <w:rPr>
          <w:lang w:val="en-GB"/>
        </w:rPr>
        <w:t xml:space="preserve">. </w:t>
      </w:r>
      <w:r w:rsidR="00F93FE7" w:rsidRPr="003569BE">
        <w:rPr>
          <w:lang w:val="en-GB"/>
        </w:rPr>
        <w:t>However, t</w:t>
      </w:r>
      <w:r w:rsidR="00E81D4A" w:rsidRPr="003569BE">
        <w:rPr>
          <w:lang w:val="en-GB"/>
        </w:rPr>
        <w:t xml:space="preserve">he management’s behaviour in a mandatory audit firm rotation setting can still be properly assessed based on the results </w:t>
      </w:r>
      <w:r w:rsidR="000B4DCC" w:rsidRPr="003569BE">
        <w:rPr>
          <w:lang w:val="en-GB"/>
        </w:rPr>
        <w:t>of</w:t>
      </w:r>
      <w:r w:rsidR="00E81D4A" w:rsidRPr="003569BE">
        <w:rPr>
          <w:lang w:val="en-GB"/>
        </w:rPr>
        <w:t xml:space="preserve"> the first hypothesis. </w:t>
      </w:r>
    </w:p>
    <w:p w:rsidR="00E1475F" w:rsidRPr="003569BE" w:rsidRDefault="00E1475F" w:rsidP="008119DC">
      <w:pPr>
        <w:pStyle w:val="Heading2"/>
        <w:numPr>
          <w:ilvl w:val="1"/>
          <w:numId w:val="6"/>
        </w:numPr>
        <w:spacing w:line="360" w:lineRule="auto"/>
        <w:rPr>
          <w:lang w:val="en-GB"/>
        </w:rPr>
      </w:pPr>
      <w:bookmarkStart w:id="66" w:name="_Toc396633598"/>
      <w:r w:rsidRPr="003569BE">
        <w:rPr>
          <w:lang w:val="en-GB"/>
        </w:rPr>
        <w:t>Comparison</w:t>
      </w:r>
      <w:r w:rsidRPr="003569BE">
        <w:rPr>
          <w:rStyle w:val="Heading2Char"/>
          <w:lang w:val="en-GB"/>
        </w:rPr>
        <w:t xml:space="preserve"> with Prior Research</w:t>
      </w:r>
      <w:bookmarkEnd w:id="66"/>
    </w:p>
    <w:p w:rsidR="00796ED6" w:rsidRDefault="00F550C9" w:rsidP="006F7641">
      <w:pPr>
        <w:spacing w:line="360" w:lineRule="auto"/>
        <w:rPr>
          <w:lang w:val="en-GB"/>
        </w:rPr>
      </w:pPr>
      <w:r w:rsidRPr="003569BE">
        <w:rPr>
          <w:lang w:val="en-GB"/>
        </w:rPr>
        <w:t xml:space="preserve">In this section, the results of the empirical research performed in this thesis, and presented before in this chapter, are compared with the results of </w:t>
      </w:r>
      <w:r w:rsidR="00C80A58" w:rsidRPr="003569BE">
        <w:rPr>
          <w:lang w:val="en-GB"/>
        </w:rPr>
        <w:t xml:space="preserve">three </w:t>
      </w:r>
      <w:r w:rsidRPr="003569BE">
        <w:rPr>
          <w:lang w:val="en-GB"/>
        </w:rPr>
        <w:t xml:space="preserve">papers </w:t>
      </w:r>
      <w:r w:rsidR="00C80A58" w:rsidRPr="003569BE">
        <w:rPr>
          <w:lang w:val="en-GB"/>
        </w:rPr>
        <w:t>from prior research: Davis et Al. (2000), Myers et Al. (2003) and Chen et Al. (2008).</w:t>
      </w:r>
      <w:r w:rsidR="00796ED6">
        <w:rPr>
          <w:lang w:val="en-GB"/>
        </w:rPr>
        <w:br w:type="page"/>
      </w:r>
    </w:p>
    <w:p w:rsidR="00CE0D18" w:rsidRPr="003569BE" w:rsidRDefault="00CE0D18" w:rsidP="00CE0D18">
      <w:pPr>
        <w:spacing w:line="360" w:lineRule="auto"/>
        <w:rPr>
          <w:lang w:val="en-GB"/>
        </w:rPr>
      </w:pPr>
    </w:p>
    <w:p w:rsidR="003E4578" w:rsidRPr="003569BE" w:rsidRDefault="003E4578" w:rsidP="00CF5E60">
      <w:pPr>
        <w:pStyle w:val="Heading2"/>
        <w:numPr>
          <w:ilvl w:val="2"/>
          <w:numId w:val="6"/>
        </w:numPr>
        <w:rPr>
          <w:lang w:val="en-GB"/>
        </w:rPr>
      </w:pPr>
      <w:bookmarkStart w:id="67" w:name="_Toc396633599"/>
      <w:r w:rsidRPr="003569BE">
        <w:rPr>
          <w:lang w:val="en-GB"/>
        </w:rPr>
        <w:t>Comparison to Davis et Al. (2000)</w:t>
      </w:r>
      <w:bookmarkEnd w:id="67"/>
    </w:p>
    <w:p w:rsidR="003B678C" w:rsidRPr="003569BE" w:rsidRDefault="00095E1F" w:rsidP="00CE0D18">
      <w:pPr>
        <w:spacing w:line="360" w:lineRule="auto"/>
        <w:rPr>
          <w:lang w:val="en-GB"/>
        </w:rPr>
      </w:pPr>
      <w:r w:rsidRPr="003569BE">
        <w:rPr>
          <w:lang w:val="en-GB"/>
        </w:rPr>
        <w:t>As signalled before in chapter 4, Davis et Al.</w:t>
      </w:r>
      <w:r w:rsidR="0038204E" w:rsidRPr="003569BE">
        <w:rPr>
          <w:lang w:val="en-GB"/>
        </w:rPr>
        <w:t xml:space="preserve"> (2000)</w:t>
      </w:r>
      <w:r w:rsidRPr="003569BE">
        <w:rPr>
          <w:lang w:val="en-GB"/>
        </w:rPr>
        <w:t xml:space="preserve"> studied the relationship between the length of the auditor tenure and the amount of </w:t>
      </w:r>
      <w:r w:rsidR="00DE4676" w:rsidRPr="003569BE">
        <w:rPr>
          <w:lang w:val="en-GB"/>
        </w:rPr>
        <w:t xml:space="preserve">the </w:t>
      </w:r>
      <w:r w:rsidRPr="003569BE">
        <w:rPr>
          <w:lang w:val="en-GB"/>
        </w:rPr>
        <w:t xml:space="preserve">discretionary accruals. </w:t>
      </w:r>
      <w:r w:rsidR="00C24ACF" w:rsidRPr="003569BE">
        <w:rPr>
          <w:lang w:val="en-GB"/>
        </w:rPr>
        <w:t xml:space="preserve">The main difference of Davis et Al. (2000) approach, compared to the approach used in this thesis, is that they </w:t>
      </w:r>
      <w:r w:rsidR="00DE4676" w:rsidRPr="003569BE">
        <w:rPr>
          <w:lang w:val="en-GB"/>
        </w:rPr>
        <w:t xml:space="preserve">use </w:t>
      </w:r>
      <w:r w:rsidR="00C24ACF" w:rsidRPr="003569BE">
        <w:rPr>
          <w:lang w:val="en-GB"/>
        </w:rPr>
        <w:t xml:space="preserve">the distinction between </w:t>
      </w:r>
      <w:r w:rsidR="00DE4676" w:rsidRPr="003569BE">
        <w:rPr>
          <w:lang w:val="en-GB"/>
        </w:rPr>
        <w:t xml:space="preserve">the </w:t>
      </w:r>
      <w:r w:rsidR="00C24ACF" w:rsidRPr="003569BE">
        <w:rPr>
          <w:lang w:val="en-GB"/>
        </w:rPr>
        <w:t xml:space="preserve">absolute and </w:t>
      </w:r>
      <w:r w:rsidR="00DE4676" w:rsidRPr="003569BE">
        <w:rPr>
          <w:lang w:val="en-GB"/>
        </w:rPr>
        <w:t xml:space="preserve">the </w:t>
      </w:r>
      <w:r w:rsidR="00C24ACF" w:rsidRPr="003569BE">
        <w:rPr>
          <w:lang w:val="en-GB"/>
        </w:rPr>
        <w:t>signed discretionary accruals, and they studied the relationship for each, individually.</w:t>
      </w:r>
      <w:r w:rsidR="009E7D71" w:rsidRPr="003569BE">
        <w:rPr>
          <w:lang w:val="en-GB"/>
        </w:rPr>
        <w:t xml:space="preserve"> Their results can be observed in </w:t>
      </w:r>
      <w:r w:rsidR="00A534F0" w:rsidRPr="003569BE">
        <w:rPr>
          <w:lang w:val="en-GB"/>
        </w:rPr>
        <w:t>T</w:t>
      </w:r>
      <w:r w:rsidR="009E7D71" w:rsidRPr="003569BE">
        <w:rPr>
          <w:lang w:val="en-GB"/>
        </w:rPr>
        <w:t xml:space="preserve">able </w:t>
      </w:r>
      <w:r w:rsidR="00A534F0" w:rsidRPr="003569BE">
        <w:rPr>
          <w:lang w:val="en-GB"/>
        </w:rPr>
        <w:t xml:space="preserve">11 </w:t>
      </w:r>
      <w:r w:rsidR="009E7D71" w:rsidRPr="003569BE">
        <w:rPr>
          <w:lang w:val="en-GB"/>
        </w:rPr>
        <w:t>below:</w:t>
      </w:r>
    </w:p>
    <w:p w:rsidR="009A6291" w:rsidRPr="003569BE" w:rsidRDefault="009A6291" w:rsidP="00CE0D18">
      <w:pPr>
        <w:spacing w:line="360" w:lineRule="auto"/>
        <w:rPr>
          <w:lang w:val="en-GB"/>
        </w:rPr>
      </w:pPr>
    </w:p>
    <w:tbl>
      <w:tblPr>
        <w:tblW w:w="8190" w:type="dxa"/>
        <w:jc w:val="center"/>
        <w:tblInd w:w="108" w:type="dxa"/>
        <w:tblLook w:val="04A0"/>
      </w:tblPr>
      <w:tblGrid>
        <w:gridCol w:w="1402"/>
        <w:gridCol w:w="380"/>
        <w:gridCol w:w="1180"/>
        <w:gridCol w:w="400"/>
        <w:gridCol w:w="1414"/>
        <w:gridCol w:w="400"/>
        <w:gridCol w:w="1200"/>
        <w:gridCol w:w="400"/>
        <w:gridCol w:w="1414"/>
      </w:tblGrid>
      <w:tr w:rsidR="009548DD" w:rsidRPr="003569BE" w:rsidTr="009A6291">
        <w:trPr>
          <w:trHeight w:val="300"/>
          <w:jc w:val="center"/>
        </w:trPr>
        <w:tc>
          <w:tcPr>
            <w:tcW w:w="8190" w:type="dxa"/>
            <w:gridSpan w:val="9"/>
            <w:vMerge w:val="restart"/>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b/>
                <w:bCs/>
                <w:color w:val="000000"/>
                <w:lang w:val="en-GB" w:eastAsia="ro-RO"/>
              </w:rPr>
            </w:pPr>
            <w:r w:rsidRPr="003569BE">
              <w:rPr>
                <w:rFonts w:eastAsia="Times New Roman" w:cs="Times New Roman"/>
                <w:b/>
                <w:bCs/>
                <w:color w:val="000000"/>
                <w:sz w:val="22"/>
                <w:lang w:val="en-GB" w:eastAsia="ro-RO"/>
              </w:rPr>
              <w:t>Absolute and Signed Discretionary Accruals Regression Results by Number of Auditors Parameters (t-statistics)</w:t>
            </w:r>
          </w:p>
        </w:tc>
      </w:tr>
      <w:tr w:rsidR="009548DD" w:rsidRPr="003569BE" w:rsidTr="009A6291">
        <w:trPr>
          <w:trHeight w:val="300"/>
          <w:jc w:val="center"/>
        </w:trPr>
        <w:tc>
          <w:tcPr>
            <w:tcW w:w="8190" w:type="dxa"/>
            <w:gridSpan w:val="9"/>
            <w:vMerge/>
            <w:tcBorders>
              <w:top w:val="nil"/>
              <w:left w:val="nil"/>
              <w:bottom w:val="nil"/>
              <w:right w:val="nil"/>
            </w:tcBorders>
            <w:vAlign w:val="center"/>
            <w:hideMark/>
          </w:tcPr>
          <w:p w:rsidR="009548DD" w:rsidRPr="003569BE" w:rsidRDefault="009548DD" w:rsidP="009548DD">
            <w:pPr>
              <w:spacing w:after="0" w:line="240" w:lineRule="auto"/>
              <w:jc w:val="left"/>
              <w:rPr>
                <w:rFonts w:eastAsia="Times New Roman" w:cs="Times New Roman"/>
                <w:b/>
                <w:bCs/>
                <w:color w:val="000000"/>
                <w:lang w:val="en-GB" w:eastAsia="ro-RO"/>
              </w:rPr>
            </w:pPr>
          </w:p>
        </w:tc>
      </w:tr>
      <w:tr w:rsidR="009548DD" w:rsidRPr="003569BE" w:rsidTr="009A6291">
        <w:trPr>
          <w:trHeight w:val="300"/>
          <w:jc w:val="center"/>
        </w:trPr>
        <w:tc>
          <w:tcPr>
            <w:tcW w:w="1402"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b/>
                <w:bCs/>
                <w:color w:val="000000"/>
                <w:lang w:val="en-GB" w:eastAsia="ro-RO"/>
              </w:rPr>
            </w:pPr>
          </w:p>
        </w:tc>
        <w:tc>
          <w:tcPr>
            <w:tcW w:w="38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2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lang w:val="en-GB" w:eastAsia="ro-RO"/>
              </w:rPr>
            </w:pP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2994" w:type="dxa"/>
            <w:gridSpan w:val="3"/>
            <w:tcBorders>
              <w:top w:val="nil"/>
              <w:left w:val="nil"/>
              <w:bottom w:val="single" w:sz="4" w:space="0" w:color="auto"/>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Single Auditor</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014" w:type="dxa"/>
            <w:gridSpan w:val="3"/>
            <w:tcBorders>
              <w:top w:val="nil"/>
              <w:left w:val="nil"/>
              <w:bottom w:val="single" w:sz="4" w:space="0" w:color="auto"/>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Multiple Auditor</w:t>
            </w:r>
          </w:p>
        </w:tc>
      </w:tr>
      <w:tr w:rsidR="009548DD" w:rsidRPr="003569BE" w:rsidTr="009A6291">
        <w:trPr>
          <w:trHeight w:val="600"/>
          <w:jc w:val="center"/>
        </w:trPr>
        <w:tc>
          <w:tcPr>
            <w:tcW w:w="1402" w:type="dxa"/>
            <w:tcBorders>
              <w:top w:val="nil"/>
              <w:left w:val="nil"/>
              <w:bottom w:val="single" w:sz="4" w:space="0" w:color="auto"/>
              <w:right w:val="nil"/>
            </w:tcBorders>
            <w:shd w:val="clear" w:color="auto" w:fill="auto"/>
            <w:noWrap/>
            <w:vAlign w:val="bottom"/>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Variables</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single" w:sz="4" w:space="0" w:color="auto"/>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Absolute D. Accruals</w:t>
            </w:r>
          </w:p>
        </w:tc>
        <w:tc>
          <w:tcPr>
            <w:tcW w:w="4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single" w:sz="4" w:space="0" w:color="auto"/>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Discretionary Accruals</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single" w:sz="4" w:space="0" w:color="auto"/>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Absolute D. Accruals</w:t>
            </w:r>
          </w:p>
        </w:tc>
        <w:tc>
          <w:tcPr>
            <w:tcW w:w="400" w:type="dxa"/>
            <w:tcBorders>
              <w:top w:val="nil"/>
              <w:left w:val="nil"/>
              <w:bottom w:val="nil"/>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single" w:sz="4" w:space="0" w:color="auto"/>
              <w:right w:val="nil"/>
            </w:tcBorders>
            <w:shd w:val="clear" w:color="auto" w:fill="auto"/>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Discretionary Accruals</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INTERCEPT</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0,153***</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0,071***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0,246***</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0,039</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(6,909)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(2,699)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(8,861)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(1,165)</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TENURE</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0,004***</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-0,002**</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-0,006*</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(4,369)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(-2,240)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(0,287)</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(-1,899)</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GCU</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-0,059*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-0,030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-0,131**</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(-1,648)</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(-0,611)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(0,006)</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(-2,419)</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CTG</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-0,044*</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-0,049*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-0,104***</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-0,123***</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(-1,818)</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(-1,663)</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(-4,049)</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(-3,545)</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BIG5</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0,060***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0,015</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0,036</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0,026</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(3,023)</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(0,651)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(1,400)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(0,858)</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ATACC</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0,590***</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0,104</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0,316***</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0,241***</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(11,465)</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(0,897)</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(4,002)</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(2,687)</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CFOP</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0,002</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-0,294***</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0,013</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-0,395***</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(0,058)</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(-4,416)</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(0,262)</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(-6,341)</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LASTYR</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-0,051</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-0,041</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(-1,302)</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(-0,904)</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FIRSTYR</w:t>
            </w: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-0,018</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-0,046</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3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(-0,638)</w:t>
            </w:r>
          </w:p>
        </w:tc>
        <w:tc>
          <w:tcPr>
            <w:tcW w:w="400"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9548D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(-1,363)</w:t>
            </w:r>
          </w:p>
        </w:tc>
      </w:tr>
      <w:tr w:rsidR="009548DD" w:rsidRPr="003569BE" w:rsidTr="009A6291">
        <w:trPr>
          <w:trHeight w:val="300"/>
          <w:jc w:val="center"/>
        </w:trPr>
        <w:tc>
          <w:tcPr>
            <w:tcW w:w="1402"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Adj R</w:t>
            </w:r>
            <w:r w:rsidRPr="003569BE">
              <w:rPr>
                <w:rFonts w:eastAsia="Times New Roman" w:cs="Times New Roman"/>
                <w:color w:val="000000"/>
                <w:sz w:val="22"/>
                <w:vertAlign w:val="superscript"/>
                <w:lang w:val="en-GB" w:eastAsia="ro-RO"/>
              </w:rPr>
              <w:t>2</w:t>
            </w:r>
          </w:p>
        </w:tc>
        <w:tc>
          <w:tcPr>
            <w:tcW w:w="38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p>
        </w:tc>
        <w:tc>
          <w:tcPr>
            <w:tcW w:w="118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0,014</w:t>
            </w:r>
          </w:p>
        </w:tc>
        <w:tc>
          <w:tcPr>
            <w:tcW w:w="40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0,005</w:t>
            </w:r>
          </w:p>
        </w:tc>
        <w:tc>
          <w:tcPr>
            <w:tcW w:w="40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p>
        </w:tc>
        <w:tc>
          <w:tcPr>
            <w:tcW w:w="120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0,004</w:t>
            </w:r>
          </w:p>
        </w:tc>
        <w:tc>
          <w:tcPr>
            <w:tcW w:w="400"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p>
        </w:tc>
        <w:tc>
          <w:tcPr>
            <w:tcW w:w="1414" w:type="dxa"/>
            <w:tcBorders>
              <w:top w:val="nil"/>
              <w:left w:val="nil"/>
              <w:bottom w:val="nil"/>
              <w:right w:val="nil"/>
            </w:tcBorders>
            <w:shd w:val="clear" w:color="auto" w:fill="auto"/>
            <w:noWrap/>
            <w:vAlign w:val="center"/>
            <w:hideMark/>
          </w:tcPr>
          <w:p w:rsidR="009548DD" w:rsidRPr="003569BE" w:rsidRDefault="009548D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0,017</w:t>
            </w:r>
          </w:p>
        </w:tc>
      </w:tr>
    </w:tbl>
    <w:p w:rsidR="00AB0793" w:rsidRPr="003569BE" w:rsidRDefault="00AB0793" w:rsidP="005C3752">
      <w:pPr>
        <w:spacing w:line="360" w:lineRule="auto"/>
        <w:jc w:val="right"/>
        <w:rPr>
          <w:i/>
          <w:sz w:val="20"/>
          <w:szCs w:val="20"/>
          <w:lang w:val="en-GB"/>
        </w:rPr>
      </w:pPr>
      <w:r w:rsidRPr="003569BE">
        <w:rPr>
          <w:i/>
          <w:sz w:val="20"/>
          <w:szCs w:val="20"/>
          <w:lang w:val="en-GB"/>
        </w:rPr>
        <w:t xml:space="preserve">Table 11 – Results of </w:t>
      </w:r>
      <w:r w:rsidR="005C3752" w:rsidRPr="003569BE">
        <w:rPr>
          <w:i/>
          <w:sz w:val="20"/>
          <w:szCs w:val="20"/>
          <w:lang w:val="en-GB"/>
        </w:rPr>
        <w:t>Davis et Al. (2000)</w:t>
      </w:r>
    </w:p>
    <w:p w:rsidR="00955042" w:rsidRPr="003569BE" w:rsidRDefault="007D1E8B" w:rsidP="00955042">
      <w:pPr>
        <w:spacing w:line="360" w:lineRule="auto"/>
        <w:rPr>
          <w:szCs w:val="24"/>
          <w:lang w:val="en-GB"/>
        </w:rPr>
      </w:pPr>
      <w:r w:rsidRPr="003569BE">
        <w:rPr>
          <w:szCs w:val="24"/>
          <w:lang w:val="en-GB"/>
        </w:rPr>
        <w:t>Another significant difference in the approaches is that Davis et Al. (2000) have split their sample in two sub-samples: one with only one auditor, i.e. no rotations during the observed period, and one with multiple auditors, i.e. at least one rotation during the observed period.</w:t>
      </w:r>
      <w:r w:rsidR="004C0351" w:rsidRPr="003569BE">
        <w:rPr>
          <w:szCs w:val="24"/>
          <w:lang w:val="en-GB"/>
        </w:rPr>
        <w:t xml:space="preserve"> In this thesis, this split was restricted by the size of the sample. Concerning the actual results</w:t>
      </w:r>
      <w:r w:rsidR="00C80CD5" w:rsidRPr="003569BE">
        <w:rPr>
          <w:szCs w:val="24"/>
          <w:lang w:val="en-GB"/>
        </w:rPr>
        <w:t xml:space="preserve">, the </w:t>
      </w:r>
      <w:r w:rsidR="00C80CD5" w:rsidRPr="003569BE">
        <w:rPr>
          <w:szCs w:val="24"/>
          <w:lang w:val="en-GB"/>
        </w:rPr>
        <w:lastRenderedPageBreak/>
        <w:t xml:space="preserve">most relevant comparison is the coefficient of the audit tenure variable in the single auditor sample for </w:t>
      </w:r>
      <w:r w:rsidR="00796ED6">
        <w:rPr>
          <w:szCs w:val="24"/>
          <w:lang w:val="en-GB"/>
        </w:rPr>
        <w:t xml:space="preserve">the </w:t>
      </w:r>
      <w:r w:rsidR="00955042" w:rsidRPr="003569BE">
        <w:rPr>
          <w:szCs w:val="24"/>
          <w:lang w:val="en-GB"/>
        </w:rPr>
        <w:t xml:space="preserve">signed </w:t>
      </w:r>
      <w:r w:rsidR="00C80CD5" w:rsidRPr="003569BE">
        <w:rPr>
          <w:szCs w:val="24"/>
          <w:lang w:val="en-GB"/>
        </w:rPr>
        <w:t xml:space="preserve">discretionary accruals. </w:t>
      </w:r>
      <w:r w:rsidR="00433E20" w:rsidRPr="003569BE">
        <w:rPr>
          <w:szCs w:val="24"/>
          <w:lang w:val="en-GB"/>
        </w:rPr>
        <w:t xml:space="preserve">The coefficient that indicates the relationship between </w:t>
      </w:r>
      <w:r w:rsidR="006670EB" w:rsidRPr="003569BE">
        <w:rPr>
          <w:szCs w:val="24"/>
          <w:lang w:val="en-GB"/>
        </w:rPr>
        <w:t xml:space="preserve">the </w:t>
      </w:r>
      <w:r w:rsidR="00433E20" w:rsidRPr="003569BE">
        <w:rPr>
          <w:szCs w:val="24"/>
          <w:lang w:val="en-GB"/>
        </w:rPr>
        <w:t xml:space="preserve">audit tenure and </w:t>
      </w:r>
      <w:r w:rsidR="006670EB" w:rsidRPr="003569BE">
        <w:rPr>
          <w:szCs w:val="24"/>
          <w:lang w:val="en-GB"/>
        </w:rPr>
        <w:t xml:space="preserve">the </w:t>
      </w:r>
      <w:r w:rsidR="00433E20" w:rsidRPr="003569BE">
        <w:rPr>
          <w:szCs w:val="24"/>
          <w:lang w:val="en-GB"/>
        </w:rPr>
        <w:t xml:space="preserve">discretionary accruals has a value of </w:t>
      </w:r>
      <w:r w:rsidR="00955042" w:rsidRPr="003569BE">
        <w:rPr>
          <w:szCs w:val="24"/>
          <w:lang w:val="en-GB"/>
        </w:rPr>
        <w:t xml:space="preserve">-0,002 in the single auditor sub-sample. This implies a negative association, which is the opposite </w:t>
      </w:r>
      <w:r w:rsidR="00796ED6">
        <w:rPr>
          <w:szCs w:val="24"/>
          <w:lang w:val="en-GB"/>
        </w:rPr>
        <w:t xml:space="preserve">of what </w:t>
      </w:r>
      <w:r w:rsidR="00955042" w:rsidRPr="003569BE">
        <w:rPr>
          <w:szCs w:val="24"/>
          <w:lang w:val="en-GB"/>
        </w:rPr>
        <w:t>this thesis has found. In addition, the re</w:t>
      </w:r>
      <w:r w:rsidR="005537B9" w:rsidRPr="003569BE">
        <w:rPr>
          <w:szCs w:val="24"/>
          <w:lang w:val="en-GB"/>
        </w:rPr>
        <w:t>sults from the multiple auditor sample indicate</w:t>
      </w:r>
      <w:r w:rsidR="00955042" w:rsidRPr="003569BE">
        <w:rPr>
          <w:szCs w:val="24"/>
          <w:lang w:val="en-GB"/>
        </w:rPr>
        <w:t xml:space="preserve"> a negative association as well, but more powerful, with a coefficient of -0,006.</w:t>
      </w:r>
    </w:p>
    <w:p w:rsidR="00955042" w:rsidRPr="003569BE" w:rsidRDefault="00955042" w:rsidP="00955042">
      <w:pPr>
        <w:spacing w:line="360" w:lineRule="auto"/>
        <w:rPr>
          <w:szCs w:val="24"/>
          <w:lang w:val="en-GB"/>
        </w:rPr>
      </w:pPr>
      <w:r w:rsidRPr="003569BE">
        <w:rPr>
          <w:szCs w:val="24"/>
          <w:lang w:val="en-GB"/>
        </w:rPr>
        <w:t xml:space="preserve">In conclusion, the results of this thesis are not in </w:t>
      </w:r>
      <w:r w:rsidR="002315FB" w:rsidRPr="003569BE">
        <w:rPr>
          <w:szCs w:val="24"/>
          <w:lang w:val="en-GB"/>
        </w:rPr>
        <w:t>conformity</w:t>
      </w:r>
      <w:r w:rsidRPr="003569BE">
        <w:rPr>
          <w:szCs w:val="24"/>
          <w:lang w:val="en-GB"/>
        </w:rPr>
        <w:t xml:space="preserve"> with the findings of Davis et Al. (2000). It is essential to </w:t>
      </w:r>
      <w:r w:rsidR="00692944" w:rsidRPr="003569BE">
        <w:rPr>
          <w:szCs w:val="24"/>
          <w:lang w:val="en-GB"/>
        </w:rPr>
        <w:t xml:space="preserve">signal </w:t>
      </w:r>
      <w:r w:rsidRPr="003569BE">
        <w:rPr>
          <w:szCs w:val="24"/>
          <w:lang w:val="en-GB"/>
        </w:rPr>
        <w:t>that the results of Davis et Al. (2000) are based on a sample from the period 1981</w:t>
      </w:r>
      <w:r w:rsidR="00796ED6">
        <w:rPr>
          <w:szCs w:val="24"/>
          <w:lang w:val="en-GB"/>
        </w:rPr>
        <w:t xml:space="preserve"> up to and included </w:t>
      </w:r>
      <w:r w:rsidRPr="003569BE">
        <w:rPr>
          <w:szCs w:val="24"/>
          <w:lang w:val="en-GB"/>
        </w:rPr>
        <w:t>1998 in a non-mandatory audit firm rotation setting.</w:t>
      </w:r>
    </w:p>
    <w:p w:rsidR="003E4578" w:rsidRPr="003569BE" w:rsidRDefault="003E4578" w:rsidP="00CF5E60">
      <w:pPr>
        <w:pStyle w:val="Heading2"/>
        <w:numPr>
          <w:ilvl w:val="2"/>
          <w:numId w:val="6"/>
        </w:numPr>
        <w:rPr>
          <w:lang w:val="en-GB"/>
        </w:rPr>
      </w:pPr>
      <w:bookmarkStart w:id="68" w:name="_Toc396633600"/>
      <w:r w:rsidRPr="003569BE">
        <w:rPr>
          <w:lang w:val="en-GB"/>
        </w:rPr>
        <w:t xml:space="preserve">Comparison </w:t>
      </w:r>
      <w:r w:rsidR="00A67441" w:rsidRPr="003569BE">
        <w:rPr>
          <w:lang w:val="en-GB"/>
        </w:rPr>
        <w:t>to</w:t>
      </w:r>
      <w:r w:rsidRPr="003569BE">
        <w:rPr>
          <w:lang w:val="en-GB"/>
        </w:rPr>
        <w:t xml:space="preserve"> Myers et Al. (2003)</w:t>
      </w:r>
      <w:bookmarkEnd w:id="68"/>
    </w:p>
    <w:p w:rsidR="003B678C" w:rsidRPr="003569BE" w:rsidRDefault="0038204E" w:rsidP="00CE0D18">
      <w:pPr>
        <w:spacing w:line="360" w:lineRule="auto"/>
        <w:rPr>
          <w:lang w:val="en-GB"/>
        </w:rPr>
      </w:pPr>
      <w:r w:rsidRPr="003569BE">
        <w:rPr>
          <w:lang w:val="en-GB"/>
        </w:rPr>
        <w:t xml:space="preserve">Myers et Al. (2003) have studied the relationship between the length of the auditor tenure and </w:t>
      </w:r>
      <w:r w:rsidR="00DA41E6" w:rsidRPr="003569BE">
        <w:rPr>
          <w:lang w:val="en-GB"/>
        </w:rPr>
        <w:t xml:space="preserve">the quality of </w:t>
      </w:r>
      <w:r w:rsidR="00DE4676" w:rsidRPr="003569BE">
        <w:rPr>
          <w:lang w:val="en-GB"/>
        </w:rPr>
        <w:t xml:space="preserve">the </w:t>
      </w:r>
      <w:r w:rsidR="004E2801" w:rsidRPr="003569BE">
        <w:rPr>
          <w:lang w:val="en-GB"/>
        </w:rPr>
        <w:t>published</w:t>
      </w:r>
      <w:r w:rsidR="00DE4676" w:rsidRPr="003569BE">
        <w:rPr>
          <w:lang w:val="en-GB"/>
        </w:rPr>
        <w:t xml:space="preserve"> </w:t>
      </w:r>
      <w:r w:rsidR="00DA41E6" w:rsidRPr="003569BE">
        <w:rPr>
          <w:lang w:val="en-GB"/>
        </w:rPr>
        <w:t>earnings</w:t>
      </w:r>
      <w:r w:rsidRPr="003569BE">
        <w:rPr>
          <w:lang w:val="en-GB"/>
        </w:rPr>
        <w:t xml:space="preserve">. </w:t>
      </w:r>
      <w:r w:rsidR="00EE08F4" w:rsidRPr="003569BE">
        <w:rPr>
          <w:lang w:val="en-GB"/>
        </w:rPr>
        <w:t xml:space="preserve">They approach the quality of </w:t>
      </w:r>
      <w:r w:rsidR="00DE4676" w:rsidRPr="003569BE">
        <w:rPr>
          <w:lang w:val="en-GB"/>
        </w:rPr>
        <w:t xml:space="preserve">the published </w:t>
      </w:r>
      <w:r w:rsidR="00EE08F4" w:rsidRPr="003569BE">
        <w:rPr>
          <w:lang w:val="en-GB"/>
        </w:rPr>
        <w:t xml:space="preserve">earnings by measuring it through the amount of </w:t>
      </w:r>
      <w:r w:rsidR="00DE4676" w:rsidRPr="003569BE">
        <w:rPr>
          <w:lang w:val="en-GB"/>
        </w:rPr>
        <w:t xml:space="preserve">the </w:t>
      </w:r>
      <w:r w:rsidR="00EE08F4" w:rsidRPr="003569BE">
        <w:rPr>
          <w:lang w:val="en-GB"/>
        </w:rPr>
        <w:t xml:space="preserve">discretionary accruals, as used in this thesis. </w:t>
      </w:r>
      <w:r w:rsidRPr="003569BE">
        <w:rPr>
          <w:lang w:val="en-GB"/>
        </w:rPr>
        <w:t xml:space="preserve">The main difference of </w:t>
      </w:r>
      <w:r w:rsidR="00A849CC" w:rsidRPr="003569BE">
        <w:rPr>
          <w:lang w:val="en-GB"/>
        </w:rPr>
        <w:t>Myers et Al. (2003</w:t>
      </w:r>
      <w:r w:rsidRPr="003569BE">
        <w:rPr>
          <w:lang w:val="en-GB"/>
        </w:rPr>
        <w:t xml:space="preserve">) approach, compared to the approach used in this thesis, is that they </w:t>
      </w:r>
      <w:r w:rsidR="00DE4676" w:rsidRPr="003569BE">
        <w:rPr>
          <w:lang w:val="en-GB"/>
        </w:rPr>
        <w:t xml:space="preserve">in addition </w:t>
      </w:r>
      <w:r w:rsidR="000A7429" w:rsidRPr="003569BE">
        <w:rPr>
          <w:lang w:val="en-GB"/>
        </w:rPr>
        <w:t xml:space="preserve">used current accruals as a proxy for </w:t>
      </w:r>
      <w:r w:rsidR="00DE4676" w:rsidRPr="003569BE">
        <w:rPr>
          <w:lang w:val="en-GB"/>
        </w:rPr>
        <w:t xml:space="preserve">the quality of the published </w:t>
      </w:r>
      <w:r w:rsidR="000A7429" w:rsidRPr="003569BE">
        <w:rPr>
          <w:lang w:val="en-GB"/>
        </w:rPr>
        <w:t>earnings. T</w:t>
      </w:r>
      <w:r w:rsidRPr="003569BE">
        <w:rPr>
          <w:lang w:val="en-GB"/>
        </w:rPr>
        <w:t>hey s</w:t>
      </w:r>
      <w:r w:rsidR="000A7429" w:rsidRPr="003569BE">
        <w:rPr>
          <w:lang w:val="en-GB"/>
        </w:rPr>
        <w:t xml:space="preserve">tudied the relationship for </w:t>
      </w:r>
      <w:r w:rsidR="008E050D" w:rsidRPr="003569BE">
        <w:rPr>
          <w:lang w:val="en-GB"/>
        </w:rPr>
        <w:t xml:space="preserve">the </w:t>
      </w:r>
      <w:r w:rsidR="000A7429" w:rsidRPr="003569BE">
        <w:rPr>
          <w:lang w:val="en-GB"/>
        </w:rPr>
        <w:t>current accruals and</w:t>
      </w:r>
      <w:r w:rsidR="00276DBA" w:rsidRPr="003569BE">
        <w:rPr>
          <w:lang w:val="en-GB"/>
        </w:rPr>
        <w:t xml:space="preserve"> the</w:t>
      </w:r>
      <w:r w:rsidR="000A7429" w:rsidRPr="003569BE">
        <w:rPr>
          <w:lang w:val="en-GB"/>
        </w:rPr>
        <w:t xml:space="preserve"> discretionary accruals,</w:t>
      </w:r>
      <w:r w:rsidRPr="003569BE">
        <w:rPr>
          <w:lang w:val="en-GB"/>
        </w:rPr>
        <w:t xml:space="preserve"> individually. Their results can be observed in Table </w:t>
      </w:r>
      <w:r w:rsidR="0031178B" w:rsidRPr="003569BE">
        <w:rPr>
          <w:lang w:val="en-GB"/>
        </w:rPr>
        <w:t>12</w:t>
      </w:r>
      <w:r w:rsidRPr="003569BE">
        <w:rPr>
          <w:lang w:val="en-GB"/>
        </w:rPr>
        <w:t xml:space="preserve"> below:</w:t>
      </w:r>
    </w:p>
    <w:tbl>
      <w:tblPr>
        <w:tblW w:w="6814" w:type="dxa"/>
        <w:jc w:val="center"/>
        <w:tblLook w:val="04A0"/>
      </w:tblPr>
      <w:tblGrid>
        <w:gridCol w:w="1786"/>
        <w:gridCol w:w="222"/>
        <w:gridCol w:w="2431"/>
        <w:gridCol w:w="460"/>
        <w:gridCol w:w="1915"/>
      </w:tblGrid>
      <w:tr w:rsidR="0094734D" w:rsidRPr="003569BE" w:rsidTr="0094734D">
        <w:trPr>
          <w:trHeight w:val="300"/>
          <w:jc w:val="center"/>
        </w:trPr>
        <w:tc>
          <w:tcPr>
            <w:tcW w:w="4439" w:type="dxa"/>
            <w:gridSpan w:val="3"/>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b/>
                <w:bCs/>
                <w:color w:val="000000"/>
                <w:lang w:val="en-GB" w:eastAsia="ro-RO"/>
              </w:rPr>
            </w:pPr>
            <w:r w:rsidRPr="003569BE">
              <w:rPr>
                <w:rFonts w:eastAsia="Times New Roman" w:cs="Times New Roman"/>
                <w:b/>
                <w:bCs/>
                <w:color w:val="000000"/>
                <w:sz w:val="22"/>
                <w:lang w:val="en-GB" w:eastAsia="ro-RO"/>
              </w:rPr>
              <w:t>Panel A: Absolute Value Measures</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b/>
                <w:bCs/>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r>
      <w:tr w:rsidR="0094734D" w:rsidRPr="003569BE" w:rsidTr="0094734D">
        <w:trPr>
          <w:trHeight w:val="300"/>
          <w:jc w:val="center"/>
        </w:trPr>
        <w:tc>
          <w:tcPr>
            <w:tcW w:w="1786" w:type="dxa"/>
            <w:tcBorders>
              <w:top w:val="nil"/>
              <w:left w:val="nil"/>
              <w:bottom w:val="single" w:sz="4" w:space="0" w:color="auto"/>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b/>
                <w:bCs/>
                <w:color w:val="000000"/>
                <w:lang w:val="en-GB" w:eastAsia="ro-RO"/>
              </w:rPr>
            </w:pPr>
            <w:r w:rsidRPr="003569BE">
              <w:rPr>
                <w:rFonts w:eastAsia="Times New Roman" w:cs="Times New Roman"/>
                <w:b/>
                <w:bCs/>
                <w:color w:val="000000"/>
                <w:sz w:val="22"/>
                <w:lang w:val="en-GB" w:eastAsia="ro-RO"/>
              </w:rPr>
              <w:t>Variable</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b/>
                <w:bCs/>
                <w:color w:val="000000"/>
                <w:lang w:val="en-GB" w:eastAsia="ro-RO"/>
              </w:rPr>
            </w:pPr>
          </w:p>
        </w:tc>
        <w:tc>
          <w:tcPr>
            <w:tcW w:w="2431" w:type="dxa"/>
            <w:tcBorders>
              <w:top w:val="nil"/>
              <w:left w:val="nil"/>
              <w:bottom w:val="single" w:sz="4" w:space="0" w:color="auto"/>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b/>
                <w:color w:val="000000"/>
                <w:lang w:val="en-GB" w:eastAsia="ro-RO"/>
              </w:rPr>
            </w:pPr>
            <w:r w:rsidRPr="003569BE">
              <w:rPr>
                <w:rFonts w:eastAsia="Times New Roman" w:cs="Times New Roman"/>
                <w:b/>
                <w:color w:val="000000"/>
                <w:sz w:val="22"/>
                <w:lang w:val="en-GB" w:eastAsia="ro-RO"/>
              </w:rPr>
              <w:t>Discretionary Accruals</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single" w:sz="4" w:space="0" w:color="auto"/>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b/>
                <w:color w:val="000000"/>
                <w:lang w:val="en-GB" w:eastAsia="ro-RO"/>
              </w:rPr>
            </w:pPr>
            <w:r w:rsidRPr="003569BE">
              <w:rPr>
                <w:rFonts w:eastAsia="Times New Roman" w:cs="Times New Roman"/>
                <w:b/>
                <w:color w:val="000000"/>
                <w:sz w:val="22"/>
                <w:lang w:val="en-GB" w:eastAsia="ro-RO"/>
              </w:rPr>
              <w:t>Current Accruals</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Intercept</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0,19275</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0,25324</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Tenure|</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-0,00037</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-0,00142</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[0,0041]</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[0,0004]</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Age</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-0,00038</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-0,00393</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[0,0121]</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Size</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-0,01148</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-0,01032</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Industry Growth</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-0,00305</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0,00432</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[0,2348]</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[0,5807]</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Cash Flow</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-0,05453</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-0,18027</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[&lt; 0,0001]</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Auditor Type</w:t>
            </w: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-0,00356</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0,01283</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222"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left"/>
              <w:rPr>
                <w:rFonts w:eastAsia="Times New Roman" w:cs="Times New Roman"/>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[0,0146]</w:t>
            </w:r>
          </w:p>
        </w:tc>
        <w:tc>
          <w:tcPr>
            <w:tcW w:w="460"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94734D">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[0,0039]</w:t>
            </w:r>
          </w:p>
        </w:tc>
      </w:tr>
      <w:tr w:rsidR="0094734D" w:rsidRPr="003569BE" w:rsidTr="0094734D">
        <w:trPr>
          <w:trHeight w:val="300"/>
          <w:jc w:val="center"/>
        </w:trPr>
        <w:tc>
          <w:tcPr>
            <w:tcW w:w="1786" w:type="dxa"/>
            <w:tcBorders>
              <w:top w:val="nil"/>
              <w:left w:val="nil"/>
              <w:bottom w:val="nil"/>
              <w:right w:val="nil"/>
            </w:tcBorders>
            <w:shd w:val="clear" w:color="auto" w:fill="auto"/>
            <w:noWrap/>
            <w:vAlign w:val="bottom"/>
            <w:hideMark/>
          </w:tcPr>
          <w:p w:rsidR="0094734D" w:rsidRPr="003569BE" w:rsidRDefault="00796ED6" w:rsidP="0069585E">
            <w:pPr>
              <w:spacing w:after="0" w:line="36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N</w:t>
            </w:r>
          </w:p>
        </w:tc>
        <w:tc>
          <w:tcPr>
            <w:tcW w:w="222" w:type="dxa"/>
            <w:tcBorders>
              <w:top w:val="nil"/>
              <w:left w:val="nil"/>
              <w:bottom w:val="nil"/>
              <w:right w:val="nil"/>
            </w:tcBorders>
            <w:shd w:val="clear" w:color="auto" w:fill="auto"/>
            <w:noWrap/>
            <w:vAlign w:val="bottom"/>
            <w:hideMark/>
          </w:tcPr>
          <w:p w:rsidR="0094734D" w:rsidRPr="003569BE" w:rsidRDefault="0094734D" w:rsidP="0069585E">
            <w:pPr>
              <w:spacing w:after="0" w:line="360" w:lineRule="auto"/>
              <w:jc w:val="center"/>
              <w:rPr>
                <w:rFonts w:eastAsia="Times New Roman" w:cs="Times New Roman"/>
                <w:color w:val="000000"/>
                <w:lang w:val="en-GB" w:eastAsia="ro-RO"/>
              </w:rPr>
            </w:pPr>
          </w:p>
        </w:tc>
        <w:tc>
          <w:tcPr>
            <w:tcW w:w="2431" w:type="dxa"/>
            <w:tcBorders>
              <w:top w:val="nil"/>
              <w:left w:val="nil"/>
              <w:bottom w:val="nil"/>
              <w:right w:val="nil"/>
            </w:tcBorders>
            <w:shd w:val="clear" w:color="auto" w:fill="auto"/>
            <w:noWrap/>
            <w:vAlign w:val="bottom"/>
            <w:hideMark/>
          </w:tcPr>
          <w:p w:rsidR="0094734D" w:rsidRPr="003569BE" w:rsidRDefault="0094734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41.250</w:t>
            </w:r>
          </w:p>
        </w:tc>
        <w:tc>
          <w:tcPr>
            <w:tcW w:w="460" w:type="dxa"/>
            <w:tcBorders>
              <w:top w:val="nil"/>
              <w:left w:val="nil"/>
              <w:bottom w:val="nil"/>
              <w:right w:val="nil"/>
            </w:tcBorders>
            <w:shd w:val="clear" w:color="auto" w:fill="auto"/>
            <w:noWrap/>
            <w:vAlign w:val="bottom"/>
            <w:hideMark/>
          </w:tcPr>
          <w:p w:rsidR="0094734D" w:rsidRPr="003569BE" w:rsidRDefault="0094734D" w:rsidP="0069585E">
            <w:pPr>
              <w:spacing w:after="0" w:line="360" w:lineRule="auto"/>
              <w:jc w:val="center"/>
              <w:rPr>
                <w:rFonts w:eastAsia="Times New Roman" w:cs="Times New Roman"/>
                <w:color w:val="000000"/>
                <w:lang w:val="en-GB" w:eastAsia="ro-RO"/>
              </w:rPr>
            </w:pPr>
          </w:p>
        </w:tc>
        <w:tc>
          <w:tcPr>
            <w:tcW w:w="1915" w:type="dxa"/>
            <w:tcBorders>
              <w:top w:val="nil"/>
              <w:left w:val="nil"/>
              <w:bottom w:val="nil"/>
              <w:right w:val="nil"/>
            </w:tcBorders>
            <w:shd w:val="clear" w:color="auto" w:fill="auto"/>
            <w:noWrap/>
            <w:vAlign w:val="bottom"/>
            <w:hideMark/>
          </w:tcPr>
          <w:p w:rsidR="0094734D" w:rsidRPr="003569BE" w:rsidRDefault="0094734D"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41.250</w:t>
            </w:r>
          </w:p>
        </w:tc>
      </w:tr>
    </w:tbl>
    <w:p w:rsidR="005D1AD0" w:rsidRPr="003569BE" w:rsidRDefault="005D1AD0" w:rsidP="005D1AD0">
      <w:pPr>
        <w:spacing w:line="360" w:lineRule="auto"/>
        <w:jc w:val="right"/>
        <w:rPr>
          <w:i/>
          <w:sz w:val="20"/>
          <w:szCs w:val="20"/>
          <w:lang w:val="en-GB"/>
        </w:rPr>
      </w:pPr>
      <w:r w:rsidRPr="003569BE">
        <w:rPr>
          <w:i/>
          <w:sz w:val="20"/>
          <w:szCs w:val="20"/>
          <w:lang w:val="en-GB"/>
        </w:rPr>
        <w:t>Table 12 – Results of Myers et Al. (2003)</w:t>
      </w:r>
    </w:p>
    <w:p w:rsidR="00AF1F45" w:rsidRPr="003569BE" w:rsidRDefault="006B1629" w:rsidP="00AF1F45">
      <w:pPr>
        <w:spacing w:line="360" w:lineRule="auto"/>
        <w:rPr>
          <w:lang w:val="en-GB"/>
        </w:rPr>
      </w:pPr>
      <w:r w:rsidRPr="003569BE">
        <w:rPr>
          <w:szCs w:val="24"/>
          <w:lang w:val="en-GB"/>
        </w:rPr>
        <w:lastRenderedPageBreak/>
        <w:t>Based on</w:t>
      </w:r>
      <w:r w:rsidR="00CE514E" w:rsidRPr="003569BE">
        <w:rPr>
          <w:szCs w:val="24"/>
          <w:lang w:val="en-GB"/>
        </w:rPr>
        <w:t xml:space="preserve"> the results </w:t>
      </w:r>
      <w:r w:rsidR="00EF7DD3" w:rsidRPr="003569BE">
        <w:rPr>
          <w:szCs w:val="24"/>
          <w:lang w:val="en-GB"/>
        </w:rPr>
        <w:t xml:space="preserve">in </w:t>
      </w:r>
      <w:r w:rsidR="00DE4676" w:rsidRPr="003569BE">
        <w:rPr>
          <w:szCs w:val="24"/>
          <w:lang w:val="en-GB"/>
        </w:rPr>
        <w:t xml:space="preserve">the </w:t>
      </w:r>
      <w:r w:rsidR="00CE514E" w:rsidRPr="003569BE">
        <w:rPr>
          <w:szCs w:val="24"/>
          <w:lang w:val="en-GB"/>
        </w:rPr>
        <w:t xml:space="preserve">table </w:t>
      </w:r>
      <w:r w:rsidR="004E2801" w:rsidRPr="003569BE">
        <w:rPr>
          <w:szCs w:val="24"/>
          <w:lang w:val="en-GB"/>
        </w:rPr>
        <w:t>before</w:t>
      </w:r>
      <w:r w:rsidR="009F61AC" w:rsidRPr="003569BE">
        <w:rPr>
          <w:szCs w:val="24"/>
          <w:lang w:val="en-GB"/>
        </w:rPr>
        <w:t>, the findings of Myers et Al. (2003)</w:t>
      </w:r>
      <w:r w:rsidR="00257435" w:rsidRPr="003569BE">
        <w:rPr>
          <w:szCs w:val="24"/>
          <w:lang w:val="en-GB"/>
        </w:rPr>
        <w:t xml:space="preserve"> </w:t>
      </w:r>
      <w:r w:rsidR="004E2801" w:rsidRPr="003569BE">
        <w:rPr>
          <w:szCs w:val="24"/>
          <w:lang w:val="en-GB"/>
        </w:rPr>
        <w:t xml:space="preserve">concerning the amount of the discretionary accruals </w:t>
      </w:r>
      <w:r w:rsidR="00257435" w:rsidRPr="003569BE">
        <w:rPr>
          <w:szCs w:val="24"/>
          <w:lang w:val="en-GB"/>
        </w:rPr>
        <w:t xml:space="preserve">indicate an opposite relationship compared to the results of this thesis. The coefficient that indicates the association between </w:t>
      </w:r>
      <w:r w:rsidR="004E2801" w:rsidRPr="003569BE">
        <w:rPr>
          <w:szCs w:val="24"/>
          <w:lang w:val="en-GB"/>
        </w:rPr>
        <w:t xml:space="preserve">the </w:t>
      </w:r>
      <w:r w:rsidR="00257435" w:rsidRPr="003569BE">
        <w:rPr>
          <w:szCs w:val="24"/>
          <w:lang w:val="en-GB"/>
        </w:rPr>
        <w:t xml:space="preserve">audit tenure and </w:t>
      </w:r>
      <w:r w:rsidR="004E2801" w:rsidRPr="003569BE">
        <w:rPr>
          <w:szCs w:val="24"/>
          <w:lang w:val="en-GB"/>
        </w:rPr>
        <w:t xml:space="preserve">the </w:t>
      </w:r>
      <w:r w:rsidR="00257435" w:rsidRPr="003569BE">
        <w:rPr>
          <w:szCs w:val="24"/>
          <w:lang w:val="en-GB"/>
        </w:rPr>
        <w:t>discretionary accruals is negative, i.e. -0,00037. That implies that the length of the audit</w:t>
      </w:r>
      <w:r w:rsidR="00B82F69" w:rsidRPr="003569BE">
        <w:rPr>
          <w:szCs w:val="24"/>
          <w:lang w:val="en-GB"/>
        </w:rPr>
        <w:t>or</w:t>
      </w:r>
      <w:r w:rsidR="00257435" w:rsidRPr="003569BE">
        <w:rPr>
          <w:szCs w:val="24"/>
          <w:lang w:val="en-GB"/>
        </w:rPr>
        <w:t xml:space="preserve">-client relationship has a negative effect on the amount of </w:t>
      </w:r>
      <w:r w:rsidR="004E2801" w:rsidRPr="003569BE">
        <w:rPr>
          <w:szCs w:val="24"/>
          <w:lang w:val="en-GB"/>
        </w:rPr>
        <w:t xml:space="preserve">the </w:t>
      </w:r>
      <w:r w:rsidR="00257435" w:rsidRPr="003569BE">
        <w:rPr>
          <w:szCs w:val="24"/>
          <w:lang w:val="en-GB"/>
        </w:rPr>
        <w:t xml:space="preserve">discretionary accruals. </w:t>
      </w:r>
      <w:r w:rsidR="00086F3A" w:rsidRPr="003569BE">
        <w:rPr>
          <w:szCs w:val="24"/>
          <w:lang w:val="en-GB"/>
        </w:rPr>
        <w:t xml:space="preserve">However, it is essential to notice that the effect is less powerful than the effect found in this thesis. </w:t>
      </w:r>
      <w:r w:rsidR="00756F73" w:rsidRPr="003569BE">
        <w:rPr>
          <w:szCs w:val="24"/>
          <w:lang w:val="en-GB"/>
        </w:rPr>
        <w:t xml:space="preserve">A possible explanation for the difference in the results relies on the setting used in the tests. While this thesis tests this relationship in a real MAFR setting, Myers et Al. (2003) use a sample from US, </w:t>
      </w:r>
      <w:r w:rsidR="00446776" w:rsidRPr="003569BE">
        <w:rPr>
          <w:szCs w:val="24"/>
          <w:lang w:val="en-GB"/>
        </w:rPr>
        <w:t xml:space="preserve">in which </w:t>
      </w:r>
      <w:r w:rsidR="00756F73" w:rsidRPr="003569BE">
        <w:rPr>
          <w:szCs w:val="24"/>
          <w:lang w:val="en-GB"/>
        </w:rPr>
        <w:t>mandatory rotation is not implemented.</w:t>
      </w:r>
      <w:r w:rsidR="00BE7705" w:rsidRPr="003569BE">
        <w:rPr>
          <w:szCs w:val="24"/>
          <w:lang w:val="en-GB"/>
        </w:rPr>
        <w:t xml:space="preserve"> However, it is interesting to notice that these findings </w:t>
      </w:r>
      <w:r w:rsidR="00FC1779" w:rsidRPr="003569BE">
        <w:rPr>
          <w:szCs w:val="24"/>
          <w:lang w:val="en-GB"/>
        </w:rPr>
        <w:t xml:space="preserve">are in </w:t>
      </w:r>
      <w:r w:rsidR="000D767B" w:rsidRPr="003569BE">
        <w:rPr>
          <w:szCs w:val="24"/>
          <w:lang w:val="en-GB"/>
        </w:rPr>
        <w:t>conformity</w:t>
      </w:r>
      <w:r w:rsidR="00FC1779" w:rsidRPr="003569BE">
        <w:rPr>
          <w:szCs w:val="24"/>
          <w:lang w:val="en-GB"/>
        </w:rPr>
        <w:t xml:space="preserve"> with</w:t>
      </w:r>
      <w:r w:rsidR="00BE7705" w:rsidRPr="003569BE">
        <w:rPr>
          <w:szCs w:val="24"/>
          <w:lang w:val="en-GB"/>
        </w:rPr>
        <w:t xml:space="preserve"> the </w:t>
      </w:r>
      <w:r w:rsidR="00FC1779" w:rsidRPr="003569BE">
        <w:rPr>
          <w:szCs w:val="24"/>
          <w:lang w:val="en-GB"/>
        </w:rPr>
        <w:t>findings of Davis et Al. (2000);</w:t>
      </w:r>
      <w:r w:rsidR="00BE7705" w:rsidRPr="003569BE">
        <w:rPr>
          <w:szCs w:val="24"/>
          <w:lang w:val="en-GB"/>
        </w:rPr>
        <w:t xml:space="preserve"> they both use</w:t>
      </w:r>
      <w:r w:rsidR="00695E47" w:rsidRPr="003569BE">
        <w:rPr>
          <w:szCs w:val="24"/>
          <w:lang w:val="en-GB"/>
        </w:rPr>
        <w:t xml:space="preserve">d </w:t>
      </w:r>
      <w:r w:rsidR="00E73B88" w:rsidRPr="003569BE">
        <w:rPr>
          <w:szCs w:val="24"/>
          <w:lang w:val="en-GB"/>
        </w:rPr>
        <w:t xml:space="preserve">the same setting: the US, and, to some extent, a </w:t>
      </w:r>
      <w:r w:rsidR="00695E47" w:rsidRPr="003569BE">
        <w:rPr>
          <w:szCs w:val="24"/>
          <w:lang w:val="en-GB"/>
        </w:rPr>
        <w:t>similar sample period: 1988</w:t>
      </w:r>
      <w:r w:rsidR="00796ED6">
        <w:rPr>
          <w:szCs w:val="24"/>
          <w:lang w:val="en-GB"/>
        </w:rPr>
        <w:t xml:space="preserve"> up to and included </w:t>
      </w:r>
      <w:r w:rsidR="00695E47" w:rsidRPr="003569BE">
        <w:rPr>
          <w:szCs w:val="24"/>
          <w:lang w:val="en-GB"/>
        </w:rPr>
        <w:t>2000</w:t>
      </w:r>
      <w:r w:rsidR="00E73B88" w:rsidRPr="003569BE">
        <w:rPr>
          <w:szCs w:val="24"/>
          <w:lang w:val="en-GB"/>
        </w:rPr>
        <w:t>.</w:t>
      </w:r>
      <w:r w:rsidR="004777C6" w:rsidRPr="003569BE">
        <w:rPr>
          <w:lang w:val="en-GB"/>
        </w:rPr>
        <w:t xml:space="preserve"> </w:t>
      </w:r>
    </w:p>
    <w:p w:rsidR="003E4578" w:rsidRPr="003569BE" w:rsidRDefault="003E4578" w:rsidP="00CF5E60">
      <w:pPr>
        <w:pStyle w:val="Heading2"/>
        <w:numPr>
          <w:ilvl w:val="2"/>
          <w:numId w:val="6"/>
        </w:numPr>
        <w:rPr>
          <w:lang w:val="en-GB"/>
        </w:rPr>
      </w:pPr>
      <w:bookmarkStart w:id="69" w:name="_Toc396633601"/>
      <w:r w:rsidRPr="003569BE">
        <w:rPr>
          <w:lang w:val="en-GB"/>
        </w:rPr>
        <w:t>Comparison to Chen et Al. (2008)</w:t>
      </w:r>
      <w:bookmarkEnd w:id="69"/>
      <w:r w:rsidR="00796ED6">
        <w:rPr>
          <w:lang w:val="en-GB"/>
        </w:rPr>
        <w:t xml:space="preserve"> </w:t>
      </w:r>
    </w:p>
    <w:p w:rsidR="003B678C" w:rsidRPr="003569BE" w:rsidRDefault="00C50748" w:rsidP="00CE0D18">
      <w:pPr>
        <w:spacing w:line="360" w:lineRule="auto"/>
        <w:rPr>
          <w:lang w:val="en-GB"/>
        </w:rPr>
      </w:pPr>
      <w:r w:rsidRPr="003569BE">
        <w:rPr>
          <w:lang w:val="en-GB"/>
        </w:rPr>
        <w:t xml:space="preserve">Chen et Al. (2008) have the studied the same relationship as Myers et Al. (2008): the effect </w:t>
      </w:r>
      <w:r w:rsidR="004E2801" w:rsidRPr="003569BE">
        <w:rPr>
          <w:lang w:val="en-GB"/>
        </w:rPr>
        <w:t xml:space="preserve">the </w:t>
      </w:r>
      <w:r w:rsidRPr="003569BE">
        <w:rPr>
          <w:lang w:val="en-GB"/>
        </w:rPr>
        <w:t>audit firm tenure has on the quality of the published ea</w:t>
      </w:r>
      <w:r w:rsidR="00812950" w:rsidRPr="003569BE">
        <w:rPr>
          <w:lang w:val="en-GB"/>
        </w:rPr>
        <w:t xml:space="preserve">rnings, using the discretionary accruals as a proxy for </w:t>
      </w:r>
      <w:r w:rsidR="00975950" w:rsidRPr="003569BE">
        <w:rPr>
          <w:lang w:val="en-GB"/>
        </w:rPr>
        <w:t xml:space="preserve">the </w:t>
      </w:r>
      <w:r w:rsidR="004E2801" w:rsidRPr="003569BE">
        <w:rPr>
          <w:lang w:val="en-GB"/>
        </w:rPr>
        <w:t xml:space="preserve">quality of the published </w:t>
      </w:r>
      <w:r w:rsidR="00812950" w:rsidRPr="003569BE">
        <w:rPr>
          <w:lang w:val="en-GB"/>
        </w:rPr>
        <w:t xml:space="preserve">earnings. </w:t>
      </w:r>
      <w:r w:rsidR="00110E89" w:rsidRPr="003569BE">
        <w:rPr>
          <w:lang w:val="en-GB"/>
        </w:rPr>
        <w:t>The main difference in the approach of Chen et Al. (2008) compared to the approach used in this thesis is that</w:t>
      </w:r>
      <w:r w:rsidR="005207BD" w:rsidRPr="003569BE">
        <w:rPr>
          <w:lang w:val="en-GB"/>
        </w:rPr>
        <w:t>, for testing the association audit firm tenure – the amount of discretionary accruals,</w:t>
      </w:r>
      <w:r w:rsidR="00110E89" w:rsidRPr="003569BE">
        <w:rPr>
          <w:lang w:val="en-GB"/>
        </w:rPr>
        <w:t xml:space="preserve"> </w:t>
      </w:r>
      <w:r w:rsidR="00796ED6">
        <w:rPr>
          <w:lang w:val="en-GB"/>
        </w:rPr>
        <w:t xml:space="preserve">in their model </w:t>
      </w:r>
      <w:r w:rsidR="00110E89" w:rsidRPr="003569BE">
        <w:rPr>
          <w:lang w:val="en-GB"/>
        </w:rPr>
        <w:t xml:space="preserve">they added </w:t>
      </w:r>
      <w:r w:rsidR="00975950" w:rsidRPr="003569BE">
        <w:rPr>
          <w:lang w:val="en-GB"/>
        </w:rPr>
        <w:t xml:space="preserve">the </w:t>
      </w:r>
      <w:r w:rsidR="00110E89" w:rsidRPr="003569BE">
        <w:rPr>
          <w:lang w:val="en-GB"/>
        </w:rPr>
        <w:t xml:space="preserve">partner tenure as a control variable. Their results </w:t>
      </w:r>
      <w:r w:rsidR="00975950" w:rsidRPr="003569BE">
        <w:rPr>
          <w:lang w:val="en-GB"/>
        </w:rPr>
        <w:t>are presented</w:t>
      </w:r>
      <w:r w:rsidR="00110E89" w:rsidRPr="003569BE">
        <w:rPr>
          <w:lang w:val="en-GB"/>
        </w:rPr>
        <w:t xml:space="preserve"> in Table 13 below:</w:t>
      </w:r>
    </w:p>
    <w:tbl>
      <w:tblPr>
        <w:tblW w:w="6840" w:type="dxa"/>
        <w:jc w:val="center"/>
        <w:tblLook w:val="04A0"/>
      </w:tblPr>
      <w:tblGrid>
        <w:gridCol w:w="2144"/>
        <w:gridCol w:w="271"/>
        <w:gridCol w:w="1079"/>
        <w:gridCol w:w="271"/>
        <w:gridCol w:w="1078"/>
        <w:gridCol w:w="271"/>
        <w:gridCol w:w="1078"/>
        <w:gridCol w:w="271"/>
        <w:gridCol w:w="976"/>
      </w:tblGrid>
      <w:tr w:rsidR="0069585E" w:rsidRPr="003569BE" w:rsidTr="0069585E">
        <w:trPr>
          <w:trHeight w:val="705"/>
          <w:jc w:val="center"/>
        </w:trPr>
        <w:tc>
          <w:tcPr>
            <w:tcW w:w="6840" w:type="dxa"/>
            <w:gridSpan w:val="9"/>
            <w:tcBorders>
              <w:top w:val="nil"/>
              <w:left w:val="nil"/>
              <w:bottom w:val="single" w:sz="4" w:space="0" w:color="auto"/>
              <w:right w:val="nil"/>
            </w:tcBorders>
            <w:shd w:val="clear" w:color="auto" w:fill="auto"/>
            <w:vAlign w:val="bottom"/>
            <w:hideMark/>
          </w:tcPr>
          <w:p w:rsidR="0069585E" w:rsidRPr="003569BE" w:rsidRDefault="0069585E" w:rsidP="0069585E">
            <w:pPr>
              <w:spacing w:after="0" w:line="240" w:lineRule="auto"/>
              <w:jc w:val="right"/>
              <w:rPr>
                <w:rFonts w:eastAsia="Times New Roman" w:cs="Times New Roman"/>
                <w:i/>
                <w:iCs/>
                <w:color w:val="000000"/>
                <w:lang w:val="en-GB" w:eastAsia="ro-RO"/>
              </w:rPr>
            </w:pPr>
            <w:r w:rsidRPr="003569BE">
              <w:rPr>
                <w:rFonts w:eastAsia="Times New Roman" w:cs="Times New Roman"/>
                <w:i/>
                <w:iCs/>
                <w:color w:val="000000"/>
                <w:sz w:val="22"/>
                <w:lang w:val="en-GB" w:eastAsia="ro-RO"/>
              </w:rPr>
              <w:t>DiscAccr = β</w:t>
            </w:r>
            <w:r w:rsidRPr="003569BE">
              <w:rPr>
                <w:rFonts w:eastAsia="Times New Roman" w:cs="Times New Roman"/>
                <w:i/>
                <w:iCs/>
                <w:color w:val="000000"/>
                <w:sz w:val="22"/>
                <w:vertAlign w:val="subscript"/>
                <w:lang w:val="en-GB" w:eastAsia="ro-RO"/>
              </w:rPr>
              <w:t>0</w:t>
            </w:r>
            <w:r w:rsidRPr="003569BE">
              <w:rPr>
                <w:rFonts w:eastAsia="Times New Roman" w:cs="Times New Roman"/>
                <w:i/>
                <w:iCs/>
                <w:color w:val="000000"/>
                <w:sz w:val="22"/>
                <w:lang w:val="en-GB" w:eastAsia="ro-RO"/>
              </w:rPr>
              <w:t xml:space="preserve"> + β</w:t>
            </w:r>
            <w:r w:rsidRPr="003569BE">
              <w:rPr>
                <w:rFonts w:eastAsia="Times New Roman" w:cs="Times New Roman"/>
                <w:i/>
                <w:iCs/>
                <w:color w:val="000000"/>
                <w:sz w:val="22"/>
                <w:vertAlign w:val="subscript"/>
                <w:lang w:val="en-GB" w:eastAsia="ro-RO"/>
              </w:rPr>
              <w:t xml:space="preserve"> 1</w:t>
            </w:r>
            <w:r w:rsidRPr="003569BE">
              <w:rPr>
                <w:rFonts w:eastAsia="Times New Roman" w:cs="Times New Roman"/>
                <w:i/>
                <w:iCs/>
                <w:color w:val="000000"/>
                <w:sz w:val="22"/>
                <w:lang w:val="en-GB" w:eastAsia="ro-RO"/>
              </w:rPr>
              <w:t>PT + β</w:t>
            </w:r>
            <w:r w:rsidRPr="003569BE">
              <w:rPr>
                <w:rFonts w:eastAsia="Times New Roman" w:cs="Times New Roman"/>
                <w:i/>
                <w:iCs/>
                <w:color w:val="000000"/>
                <w:sz w:val="22"/>
                <w:vertAlign w:val="subscript"/>
                <w:lang w:val="en-GB" w:eastAsia="ro-RO"/>
              </w:rPr>
              <w:t>2</w:t>
            </w:r>
            <w:r w:rsidRPr="003569BE">
              <w:rPr>
                <w:rFonts w:eastAsia="Times New Roman" w:cs="Times New Roman"/>
                <w:i/>
                <w:iCs/>
                <w:color w:val="000000"/>
                <w:sz w:val="22"/>
                <w:lang w:val="en-GB" w:eastAsia="ro-RO"/>
              </w:rPr>
              <w:t>FT +β</w:t>
            </w:r>
            <w:r w:rsidRPr="003569BE">
              <w:rPr>
                <w:rFonts w:eastAsia="Times New Roman" w:cs="Times New Roman"/>
                <w:i/>
                <w:iCs/>
                <w:color w:val="000000"/>
                <w:sz w:val="22"/>
                <w:vertAlign w:val="subscript"/>
                <w:lang w:val="en-GB" w:eastAsia="ro-RO"/>
              </w:rPr>
              <w:t>3</w:t>
            </w:r>
            <w:r w:rsidRPr="003569BE">
              <w:rPr>
                <w:rFonts w:eastAsia="Times New Roman" w:cs="Times New Roman"/>
                <w:i/>
                <w:iCs/>
                <w:color w:val="000000"/>
                <w:sz w:val="22"/>
                <w:lang w:val="en-GB" w:eastAsia="ro-RO"/>
              </w:rPr>
              <w:t>ΒIG5 + β</w:t>
            </w:r>
            <w:r w:rsidRPr="003569BE">
              <w:rPr>
                <w:rFonts w:eastAsia="Times New Roman" w:cs="Times New Roman"/>
                <w:i/>
                <w:iCs/>
                <w:color w:val="000000"/>
                <w:sz w:val="22"/>
                <w:vertAlign w:val="subscript"/>
                <w:lang w:val="en-GB" w:eastAsia="ro-RO"/>
              </w:rPr>
              <w:t>4</w:t>
            </w:r>
            <w:r w:rsidRPr="003569BE">
              <w:rPr>
                <w:rFonts w:eastAsia="Times New Roman" w:cs="Times New Roman"/>
                <w:i/>
                <w:iCs/>
                <w:color w:val="000000"/>
                <w:sz w:val="22"/>
                <w:lang w:val="en-GB" w:eastAsia="ro-RO"/>
              </w:rPr>
              <w:t>AGE + β</w:t>
            </w:r>
            <w:r w:rsidRPr="003569BE">
              <w:rPr>
                <w:rFonts w:eastAsia="Times New Roman" w:cs="Times New Roman"/>
                <w:i/>
                <w:iCs/>
                <w:color w:val="000000"/>
                <w:sz w:val="22"/>
                <w:vertAlign w:val="subscript"/>
                <w:lang w:val="en-GB" w:eastAsia="ro-RO"/>
              </w:rPr>
              <w:t>5</w:t>
            </w:r>
            <w:r w:rsidRPr="003569BE">
              <w:rPr>
                <w:rFonts w:eastAsia="Times New Roman" w:cs="Times New Roman"/>
                <w:i/>
                <w:iCs/>
                <w:color w:val="000000"/>
                <w:sz w:val="22"/>
                <w:lang w:val="en-GB" w:eastAsia="ro-RO"/>
              </w:rPr>
              <w:t>SIZE + β</w:t>
            </w:r>
            <w:r w:rsidRPr="003569BE">
              <w:rPr>
                <w:rFonts w:eastAsia="Times New Roman" w:cs="Times New Roman"/>
                <w:i/>
                <w:iCs/>
                <w:color w:val="000000"/>
                <w:sz w:val="22"/>
                <w:vertAlign w:val="subscript"/>
                <w:lang w:val="en-GB" w:eastAsia="ro-RO"/>
              </w:rPr>
              <w:t>6</w:t>
            </w:r>
            <w:r w:rsidRPr="003569BE">
              <w:rPr>
                <w:rFonts w:eastAsia="Times New Roman" w:cs="Times New Roman"/>
                <w:i/>
                <w:iCs/>
                <w:color w:val="000000"/>
                <w:sz w:val="22"/>
                <w:lang w:val="en-GB" w:eastAsia="ro-RO"/>
              </w:rPr>
              <w:t>GROW + β</w:t>
            </w:r>
            <w:r w:rsidRPr="003569BE">
              <w:rPr>
                <w:rFonts w:eastAsia="Times New Roman" w:cs="Times New Roman"/>
                <w:i/>
                <w:iCs/>
                <w:color w:val="000000"/>
                <w:sz w:val="22"/>
                <w:vertAlign w:val="subscript"/>
                <w:lang w:val="en-GB" w:eastAsia="ro-RO"/>
              </w:rPr>
              <w:t>7</w:t>
            </w:r>
            <w:r w:rsidRPr="003569BE">
              <w:rPr>
                <w:rFonts w:eastAsia="Times New Roman" w:cs="Times New Roman"/>
                <w:i/>
                <w:iCs/>
                <w:color w:val="000000"/>
                <w:sz w:val="22"/>
                <w:lang w:val="en-GB" w:eastAsia="ro-RO"/>
              </w:rPr>
              <w:t>CFO + δ·Year + γ·Industry + ε</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right"/>
              <w:rPr>
                <w:rFonts w:eastAsia="Times New Roman" w:cs="Times New Roman"/>
                <w:i/>
                <w:iCs/>
                <w:color w:val="000000"/>
                <w:lang w:val="en-GB" w:eastAsia="ro-RO"/>
              </w:rPr>
            </w:pP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lang w:val="en-GB" w:eastAsia="ro-RO"/>
              </w:rPr>
            </w:pPr>
          </w:p>
        </w:tc>
        <w:tc>
          <w:tcPr>
            <w:tcW w:w="4574" w:type="dxa"/>
            <w:gridSpan w:val="7"/>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i/>
                <w:iCs/>
                <w:color w:val="000000"/>
                <w:lang w:val="en-GB" w:eastAsia="ro-RO"/>
              </w:rPr>
            </w:pPr>
            <w:r w:rsidRPr="003569BE">
              <w:rPr>
                <w:rFonts w:eastAsia="Times New Roman" w:cs="Times New Roman"/>
                <w:i/>
                <w:iCs/>
                <w:color w:val="000000"/>
                <w:sz w:val="22"/>
                <w:lang w:val="en-GB" w:eastAsia="ro-RO"/>
              </w:rPr>
              <w:t>DiscAccr =*</w:t>
            </w:r>
          </w:p>
        </w:tc>
      </w:tr>
      <w:tr w:rsidR="0069585E" w:rsidRPr="003569BE" w:rsidTr="0069585E">
        <w:trPr>
          <w:trHeight w:val="300"/>
          <w:jc w:val="center"/>
        </w:trPr>
        <w:tc>
          <w:tcPr>
            <w:tcW w:w="2144"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Variable</w:t>
            </w:r>
          </w:p>
        </w:tc>
        <w:tc>
          <w:tcPr>
            <w:tcW w:w="122"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color w:val="000000"/>
                <w:lang w:val="en-GB" w:eastAsia="ro-RO"/>
              </w:rPr>
            </w:pPr>
            <w:r w:rsidRPr="003569BE">
              <w:rPr>
                <w:rFonts w:eastAsia="Times New Roman" w:cs="Times New Roman"/>
                <w:color w:val="000000"/>
                <w:sz w:val="22"/>
                <w:lang w:val="en-GB" w:eastAsia="ro-RO"/>
              </w:rPr>
              <w:t> </w:t>
            </w:r>
          </w:p>
        </w:tc>
        <w:tc>
          <w:tcPr>
            <w:tcW w:w="1079"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|DA|</w:t>
            </w:r>
          </w:p>
        </w:tc>
        <w:tc>
          <w:tcPr>
            <w:tcW w:w="121"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 </w:t>
            </w:r>
          </w:p>
        </w:tc>
        <w:tc>
          <w:tcPr>
            <w:tcW w:w="1078"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DA</w:t>
            </w:r>
          </w:p>
        </w:tc>
        <w:tc>
          <w:tcPr>
            <w:tcW w:w="121"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 </w:t>
            </w:r>
          </w:p>
        </w:tc>
        <w:tc>
          <w:tcPr>
            <w:tcW w:w="1078"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DA+</w:t>
            </w:r>
          </w:p>
        </w:tc>
        <w:tc>
          <w:tcPr>
            <w:tcW w:w="121"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 </w:t>
            </w:r>
          </w:p>
        </w:tc>
        <w:tc>
          <w:tcPr>
            <w:tcW w:w="976" w:type="dxa"/>
            <w:tcBorders>
              <w:top w:val="nil"/>
              <w:left w:val="nil"/>
              <w:bottom w:val="single" w:sz="4" w:space="0" w:color="auto"/>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DA-</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r w:rsidRPr="003569BE">
              <w:rPr>
                <w:rFonts w:eastAsia="Times New Roman" w:cs="Times New Roman"/>
                <w:i/>
                <w:iCs/>
                <w:color w:val="000000"/>
                <w:sz w:val="22"/>
                <w:lang w:val="en-GB" w:eastAsia="ro-RO"/>
              </w:rPr>
              <w:t>PT</w:t>
            </w: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-0,0006</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0,0002</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-0,002</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0,0009</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(-1,78)</w:t>
            </w:r>
            <w:r w:rsidR="00FB6518" w:rsidRPr="003569BE">
              <w:rPr>
                <w:rFonts w:eastAsia="Times New Roman" w:cs="Times New Roman"/>
                <w:color w:val="000000"/>
                <w:sz w:val="22"/>
                <w:vertAlign w:val="superscript"/>
                <w:lang w:val="en-GB" w:eastAsia="ro-RO"/>
              </w:rPr>
              <w:t>§</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(0,39)</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(-1,47)</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(0,49)</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r w:rsidRPr="003569BE">
              <w:rPr>
                <w:rFonts w:eastAsia="Times New Roman" w:cs="Times New Roman"/>
                <w:i/>
                <w:iCs/>
                <w:color w:val="000000"/>
                <w:sz w:val="22"/>
                <w:lang w:val="en-GB" w:eastAsia="ro-RO"/>
              </w:rPr>
              <w:t>FT</w:t>
            </w: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-0,0008</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-0,0002</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-0,0011</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0,0018</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(-2,23)</w:t>
            </w:r>
            <w:r w:rsidR="00FB6518" w:rsidRPr="003569BE">
              <w:rPr>
                <w:rFonts w:eastAsia="Times New Roman" w:cs="Times New Roman"/>
                <w:color w:val="000000"/>
                <w:sz w:val="22"/>
                <w:vertAlign w:val="superscript"/>
                <w:lang w:val="en-GB" w:eastAsia="ro-RO"/>
              </w:rPr>
              <w:t>‡</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(-0,51)</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(-0,79)</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(0,93)</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r w:rsidRPr="003569BE">
              <w:rPr>
                <w:rFonts w:eastAsia="Times New Roman" w:cs="Times New Roman"/>
                <w:i/>
                <w:iCs/>
                <w:color w:val="000000"/>
                <w:sz w:val="22"/>
                <w:lang w:val="en-GB" w:eastAsia="ro-RO"/>
              </w:rPr>
              <w:t>PT+FT (b1 + b2)</w:t>
            </w: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-0,0014</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-0,0000</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-0,0033</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0,0027</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(-4,73)</w:t>
            </w:r>
            <w:r w:rsidR="00FB6518" w:rsidRPr="003569BE">
              <w:rPr>
                <w:rFonts w:eastAsia="Times New Roman" w:cs="Times New Roman"/>
                <w:color w:val="000000"/>
                <w:sz w:val="22"/>
                <w:vertAlign w:val="superscript"/>
                <w:lang w:val="en-GB" w:eastAsia="ro-RO"/>
              </w:rPr>
              <w:t>†</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(-0,12)</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(-2,85)</w:t>
            </w:r>
            <w:r w:rsidR="00FB6518" w:rsidRPr="003569BE">
              <w:rPr>
                <w:rFonts w:eastAsia="Times New Roman" w:cs="Times New Roman"/>
                <w:color w:val="000000"/>
                <w:sz w:val="22"/>
                <w:vertAlign w:val="superscript"/>
                <w:lang w:val="en-GB" w:eastAsia="ro-RO"/>
              </w:rPr>
              <w:t>†</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(1,74)</w:t>
            </w:r>
            <w:r w:rsidR="00FB6518" w:rsidRPr="003569BE">
              <w:rPr>
                <w:rFonts w:eastAsia="Times New Roman" w:cs="Times New Roman"/>
                <w:color w:val="000000"/>
                <w:sz w:val="22"/>
                <w:vertAlign w:val="superscript"/>
                <w:lang w:val="en-GB" w:eastAsia="ro-RO"/>
              </w:rPr>
              <w:t>§</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r w:rsidRPr="003569BE">
              <w:rPr>
                <w:rFonts w:eastAsia="Times New Roman" w:cs="Times New Roman"/>
                <w:i/>
                <w:iCs/>
                <w:color w:val="000000"/>
                <w:sz w:val="22"/>
                <w:lang w:val="en-GB" w:eastAsia="ro-RO"/>
              </w:rPr>
              <w:t>Adjusted R</w:t>
            </w:r>
            <w:r w:rsidRPr="003569BE">
              <w:rPr>
                <w:rFonts w:eastAsia="Times New Roman" w:cs="Times New Roman"/>
                <w:i/>
                <w:iCs/>
                <w:color w:val="000000"/>
                <w:sz w:val="22"/>
                <w:vertAlign w:val="superscript"/>
                <w:lang w:val="en-GB" w:eastAsia="ro-RO"/>
              </w:rPr>
              <w:t>2</w:t>
            </w: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left"/>
              <w:rPr>
                <w:rFonts w:eastAsia="Times New Roman" w:cs="Times New Roman"/>
                <w:i/>
                <w:iCs/>
                <w:color w:val="000000"/>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0,1991</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0,4543</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24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w:t>
            </w:r>
          </w:p>
        </w:tc>
      </w:tr>
      <w:tr w:rsidR="0069585E" w:rsidRPr="003569BE" w:rsidTr="0069585E">
        <w:trPr>
          <w:trHeight w:val="300"/>
          <w:jc w:val="center"/>
        </w:trPr>
        <w:tc>
          <w:tcPr>
            <w:tcW w:w="2144"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left"/>
              <w:rPr>
                <w:rFonts w:eastAsia="Times New Roman" w:cs="Times New Roman"/>
                <w:i/>
                <w:iCs/>
                <w:color w:val="000000"/>
                <w:lang w:val="en-GB" w:eastAsia="ro-RO"/>
              </w:rPr>
            </w:pPr>
            <w:r w:rsidRPr="003569BE">
              <w:rPr>
                <w:rFonts w:eastAsia="Times New Roman" w:cs="Times New Roman"/>
                <w:i/>
                <w:iCs/>
                <w:color w:val="000000"/>
                <w:sz w:val="22"/>
                <w:lang w:val="en-GB" w:eastAsia="ro-RO"/>
              </w:rPr>
              <w:t>Number of obs.</w:t>
            </w:r>
          </w:p>
        </w:tc>
        <w:tc>
          <w:tcPr>
            <w:tcW w:w="122"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left"/>
              <w:rPr>
                <w:rFonts w:eastAsia="Times New Roman" w:cs="Times New Roman"/>
                <w:i/>
                <w:iCs/>
                <w:color w:val="000000"/>
                <w:lang w:val="en-GB" w:eastAsia="ro-RO"/>
              </w:rPr>
            </w:pPr>
          </w:p>
        </w:tc>
        <w:tc>
          <w:tcPr>
            <w:tcW w:w="1079"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5</w:t>
            </w:r>
            <w:r w:rsidR="00FB6518" w:rsidRPr="003569BE">
              <w:rPr>
                <w:rFonts w:eastAsia="Times New Roman" w:cs="Times New Roman"/>
                <w:color w:val="000000"/>
                <w:sz w:val="22"/>
                <w:lang w:val="en-GB" w:eastAsia="ro-RO"/>
              </w:rPr>
              <w:t>.</w:t>
            </w:r>
            <w:r w:rsidRPr="003569BE">
              <w:rPr>
                <w:rFonts w:eastAsia="Times New Roman" w:cs="Times New Roman"/>
                <w:color w:val="000000"/>
                <w:sz w:val="22"/>
                <w:lang w:val="en-GB" w:eastAsia="ro-RO"/>
              </w:rPr>
              <w:t>213</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5</w:t>
            </w:r>
            <w:r w:rsidR="00FB6518" w:rsidRPr="003569BE">
              <w:rPr>
                <w:rFonts w:eastAsia="Times New Roman" w:cs="Times New Roman"/>
                <w:color w:val="000000"/>
                <w:sz w:val="22"/>
                <w:lang w:val="en-GB" w:eastAsia="ro-RO"/>
              </w:rPr>
              <w:t>.</w:t>
            </w:r>
            <w:r w:rsidRPr="003569BE">
              <w:rPr>
                <w:rFonts w:eastAsia="Times New Roman" w:cs="Times New Roman"/>
                <w:color w:val="000000"/>
                <w:sz w:val="22"/>
                <w:lang w:val="en-GB" w:eastAsia="ro-RO"/>
              </w:rPr>
              <w:t>213</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p>
        </w:tc>
        <w:tc>
          <w:tcPr>
            <w:tcW w:w="1078"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w:t>
            </w:r>
            <w:r w:rsidR="00FB6518" w:rsidRPr="003569BE">
              <w:rPr>
                <w:rFonts w:eastAsia="Times New Roman" w:cs="Times New Roman"/>
                <w:color w:val="000000"/>
                <w:sz w:val="22"/>
                <w:lang w:val="en-GB" w:eastAsia="ro-RO"/>
              </w:rPr>
              <w:t>.</w:t>
            </w:r>
            <w:r w:rsidRPr="003569BE">
              <w:rPr>
                <w:rFonts w:eastAsia="Times New Roman" w:cs="Times New Roman"/>
                <w:color w:val="000000"/>
                <w:sz w:val="22"/>
                <w:lang w:val="en-GB" w:eastAsia="ro-RO"/>
              </w:rPr>
              <w:t>595</w:t>
            </w:r>
          </w:p>
        </w:tc>
        <w:tc>
          <w:tcPr>
            <w:tcW w:w="121"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p>
        </w:tc>
        <w:tc>
          <w:tcPr>
            <w:tcW w:w="976" w:type="dxa"/>
            <w:tcBorders>
              <w:top w:val="nil"/>
              <w:left w:val="nil"/>
              <w:bottom w:val="nil"/>
              <w:right w:val="nil"/>
            </w:tcBorders>
            <w:shd w:val="clear" w:color="auto" w:fill="auto"/>
            <w:noWrap/>
            <w:vAlign w:val="bottom"/>
            <w:hideMark/>
          </w:tcPr>
          <w:p w:rsidR="0069585E" w:rsidRPr="003569BE" w:rsidRDefault="0069585E" w:rsidP="0069585E">
            <w:pPr>
              <w:spacing w:after="0" w:line="360" w:lineRule="auto"/>
              <w:jc w:val="center"/>
              <w:rPr>
                <w:rFonts w:eastAsia="Times New Roman" w:cs="Times New Roman"/>
                <w:color w:val="000000"/>
                <w:lang w:val="en-GB" w:eastAsia="ro-RO"/>
              </w:rPr>
            </w:pPr>
            <w:r w:rsidRPr="003569BE">
              <w:rPr>
                <w:rFonts w:eastAsia="Times New Roman" w:cs="Times New Roman"/>
                <w:color w:val="000000"/>
                <w:sz w:val="22"/>
                <w:lang w:val="en-GB" w:eastAsia="ro-RO"/>
              </w:rPr>
              <w:t>2</w:t>
            </w:r>
            <w:r w:rsidR="00FB6518" w:rsidRPr="003569BE">
              <w:rPr>
                <w:rFonts w:eastAsia="Times New Roman" w:cs="Times New Roman"/>
                <w:color w:val="000000"/>
                <w:sz w:val="22"/>
                <w:lang w:val="en-GB" w:eastAsia="ro-RO"/>
              </w:rPr>
              <w:t>.</w:t>
            </w:r>
            <w:r w:rsidRPr="003569BE">
              <w:rPr>
                <w:rFonts w:eastAsia="Times New Roman" w:cs="Times New Roman"/>
                <w:color w:val="000000"/>
                <w:sz w:val="22"/>
                <w:lang w:val="en-GB" w:eastAsia="ro-RO"/>
              </w:rPr>
              <w:t>618</w:t>
            </w:r>
          </w:p>
        </w:tc>
      </w:tr>
    </w:tbl>
    <w:p w:rsidR="008060B2" w:rsidRPr="003569BE" w:rsidRDefault="008060B2" w:rsidP="008060B2">
      <w:pPr>
        <w:spacing w:line="360" w:lineRule="auto"/>
        <w:jc w:val="right"/>
        <w:rPr>
          <w:i/>
          <w:sz w:val="20"/>
          <w:szCs w:val="20"/>
          <w:lang w:val="en-GB"/>
        </w:rPr>
      </w:pPr>
      <w:r w:rsidRPr="003569BE">
        <w:rPr>
          <w:i/>
          <w:sz w:val="20"/>
          <w:szCs w:val="20"/>
          <w:lang w:val="en-GB"/>
        </w:rPr>
        <w:t>Table 13 – Results of Chen et Al. (2008)</w:t>
      </w:r>
    </w:p>
    <w:p w:rsidR="00EC71A4" w:rsidRPr="003569BE" w:rsidRDefault="003D5A75" w:rsidP="00EC71A4">
      <w:pPr>
        <w:spacing w:line="360" w:lineRule="auto"/>
        <w:rPr>
          <w:szCs w:val="24"/>
          <w:lang w:val="en-GB"/>
        </w:rPr>
      </w:pPr>
      <w:r w:rsidRPr="003569BE">
        <w:rPr>
          <w:szCs w:val="24"/>
          <w:lang w:val="en-GB"/>
        </w:rPr>
        <w:t xml:space="preserve">The variable of interest for the assessment of Chen’s et Al. (2008) results is audit firm tenure (FT). </w:t>
      </w:r>
      <w:r w:rsidR="00086F3A" w:rsidRPr="003569BE">
        <w:rPr>
          <w:szCs w:val="24"/>
          <w:lang w:val="en-GB"/>
        </w:rPr>
        <w:t>A negative</w:t>
      </w:r>
      <w:r w:rsidR="008F7EB3" w:rsidRPr="003569BE">
        <w:rPr>
          <w:szCs w:val="24"/>
          <w:lang w:val="en-GB"/>
        </w:rPr>
        <w:t xml:space="preserve"> coefficient with the value – 0,</w:t>
      </w:r>
      <w:r w:rsidR="00086F3A" w:rsidRPr="003569BE">
        <w:rPr>
          <w:szCs w:val="24"/>
          <w:lang w:val="en-GB"/>
        </w:rPr>
        <w:t>0002</w:t>
      </w:r>
      <w:r w:rsidR="00E75F50" w:rsidRPr="003569BE">
        <w:rPr>
          <w:szCs w:val="24"/>
          <w:lang w:val="en-GB"/>
        </w:rPr>
        <w:t xml:space="preserve"> </w:t>
      </w:r>
      <w:r w:rsidR="00E661C4" w:rsidRPr="003569BE">
        <w:rPr>
          <w:szCs w:val="24"/>
          <w:lang w:val="en-GB"/>
        </w:rPr>
        <w:t>exist</w:t>
      </w:r>
      <w:r w:rsidR="00697FDC" w:rsidRPr="003569BE">
        <w:rPr>
          <w:szCs w:val="24"/>
          <w:lang w:val="en-GB"/>
        </w:rPr>
        <w:t>s</w:t>
      </w:r>
      <w:r w:rsidR="00E75F50" w:rsidRPr="003569BE">
        <w:rPr>
          <w:szCs w:val="24"/>
          <w:lang w:val="en-GB"/>
        </w:rPr>
        <w:t xml:space="preserve">, which indicates a negative association between </w:t>
      </w:r>
      <w:r w:rsidR="004E2801" w:rsidRPr="003569BE">
        <w:rPr>
          <w:szCs w:val="24"/>
          <w:lang w:val="en-GB"/>
        </w:rPr>
        <w:t xml:space="preserve">the </w:t>
      </w:r>
      <w:r w:rsidR="00E75F50" w:rsidRPr="003569BE">
        <w:rPr>
          <w:szCs w:val="24"/>
          <w:lang w:val="en-GB"/>
        </w:rPr>
        <w:t xml:space="preserve">audit firm tenure and the amount of </w:t>
      </w:r>
      <w:r w:rsidR="004E2801" w:rsidRPr="003569BE">
        <w:rPr>
          <w:szCs w:val="24"/>
          <w:lang w:val="en-GB"/>
        </w:rPr>
        <w:t xml:space="preserve">the </w:t>
      </w:r>
      <w:r w:rsidR="00E75F50" w:rsidRPr="003569BE">
        <w:rPr>
          <w:szCs w:val="24"/>
          <w:lang w:val="en-GB"/>
        </w:rPr>
        <w:t>discretionary accruals (DA).</w:t>
      </w:r>
      <w:r w:rsidR="00A213BE" w:rsidRPr="003569BE">
        <w:rPr>
          <w:szCs w:val="24"/>
          <w:lang w:val="en-GB"/>
        </w:rPr>
        <w:t xml:space="preserve"> </w:t>
      </w:r>
      <w:r w:rsidR="00A213BE" w:rsidRPr="003569BE">
        <w:rPr>
          <w:szCs w:val="24"/>
          <w:lang w:val="en-GB"/>
        </w:rPr>
        <w:lastRenderedPageBreak/>
        <w:t xml:space="preserve">These results are in </w:t>
      </w:r>
      <w:r w:rsidR="004E2801" w:rsidRPr="003569BE">
        <w:rPr>
          <w:szCs w:val="24"/>
          <w:lang w:val="en-GB"/>
        </w:rPr>
        <w:t xml:space="preserve">conformity </w:t>
      </w:r>
      <w:r w:rsidR="00A213BE" w:rsidRPr="003569BE">
        <w:rPr>
          <w:szCs w:val="24"/>
          <w:lang w:val="en-GB"/>
        </w:rPr>
        <w:t>with the results of Myers et Al. (2003), suggesting that the longer the auditor-client relationship, the lower the magnitude of the use of earnings management. However, it is essential to notice that the effect is weaker than the effect found in this thesis.</w:t>
      </w:r>
      <w:r w:rsidR="00F57CB5" w:rsidRPr="003569BE">
        <w:rPr>
          <w:szCs w:val="24"/>
          <w:lang w:val="en-GB"/>
        </w:rPr>
        <w:t xml:space="preserve"> A possible explanation for the difference in the results relies on the setting used in Chen et Al. (2008) tests. The Taiwan setting does not have a mandatory audit firm rotation rule implemented, which could explain the difference in the management’s behaviour. </w:t>
      </w:r>
      <w:r w:rsidR="000210D8" w:rsidRPr="003569BE">
        <w:rPr>
          <w:szCs w:val="24"/>
          <w:lang w:val="en-GB"/>
        </w:rPr>
        <w:t>Moreover, the Taiwanese setting implies certain specific characteristics which could have an impact on the results.</w:t>
      </w:r>
    </w:p>
    <w:p w:rsidR="00BF1961" w:rsidRPr="003569BE" w:rsidRDefault="002E3E34" w:rsidP="00CF5E60">
      <w:pPr>
        <w:pStyle w:val="Heading2"/>
        <w:numPr>
          <w:ilvl w:val="1"/>
          <w:numId w:val="6"/>
        </w:numPr>
        <w:spacing w:line="360" w:lineRule="auto"/>
        <w:rPr>
          <w:lang w:val="en-GB"/>
        </w:rPr>
      </w:pPr>
      <w:bookmarkStart w:id="70" w:name="_Toc396633602"/>
      <w:r w:rsidRPr="003569BE">
        <w:rPr>
          <w:lang w:val="en-GB"/>
        </w:rPr>
        <w:t>Summary</w:t>
      </w:r>
      <w:bookmarkEnd w:id="70"/>
    </w:p>
    <w:p w:rsidR="00CE0D18" w:rsidRPr="003569BE" w:rsidRDefault="00782493" w:rsidP="00CE0D18">
      <w:pPr>
        <w:spacing w:line="360" w:lineRule="auto"/>
        <w:rPr>
          <w:lang w:val="en-GB"/>
        </w:rPr>
      </w:pPr>
      <w:r w:rsidRPr="003569BE">
        <w:rPr>
          <w:lang w:val="en-GB"/>
        </w:rPr>
        <w:t xml:space="preserve">In this chapter, the results of the empirical research have been presented. First, the estimation process for </w:t>
      </w:r>
      <w:r w:rsidR="001E1FB0">
        <w:rPr>
          <w:lang w:val="en-GB"/>
        </w:rPr>
        <w:t xml:space="preserve">the </w:t>
      </w:r>
      <w:r w:rsidRPr="003569BE">
        <w:rPr>
          <w:lang w:val="en-GB"/>
        </w:rPr>
        <w:t xml:space="preserve">discretionary accruals using the performance matched model by Kothari et Al. (2005) has been presented. Next, the results regarding the hypotheses have been displayed. The findings confirm the first hypothesis, which suggests a significant positive correlation between the length of the audit tenure and the magnitude of the use of earnings management, measured by </w:t>
      </w:r>
      <w:r w:rsidR="004E2801" w:rsidRPr="003569BE">
        <w:rPr>
          <w:lang w:val="en-GB"/>
        </w:rPr>
        <w:t xml:space="preserve">the </w:t>
      </w:r>
      <w:r w:rsidRPr="003569BE">
        <w:rPr>
          <w:lang w:val="en-GB"/>
        </w:rPr>
        <w:t>discretionary accruals.</w:t>
      </w:r>
      <w:r w:rsidR="00697FDC" w:rsidRPr="003569BE">
        <w:rPr>
          <w:lang w:val="en-GB"/>
        </w:rPr>
        <w:t xml:space="preserve"> Since the findings were not very conclusive,</w:t>
      </w:r>
      <w:r w:rsidRPr="003569BE">
        <w:rPr>
          <w:lang w:val="en-GB"/>
        </w:rPr>
        <w:t xml:space="preserve"> </w:t>
      </w:r>
      <w:r w:rsidR="00697FDC" w:rsidRPr="003569BE">
        <w:rPr>
          <w:lang w:val="en-GB"/>
        </w:rPr>
        <w:t>t</w:t>
      </w:r>
      <w:r w:rsidR="00A60B7E" w:rsidRPr="003569BE">
        <w:rPr>
          <w:lang w:val="en-GB"/>
        </w:rPr>
        <w:t>he second hypothesis was neither confirmed nor rejected,. Consequently, in order to assess whether the amount of discretionary accruals consistently drops in the first year after the auditor rotation compared to the previous year, further investigations using more extensive data is required.</w:t>
      </w:r>
      <w:r w:rsidR="00030422" w:rsidRPr="003569BE">
        <w:rPr>
          <w:lang w:val="en-GB"/>
        </w:rPr>
        <w:t xml:space="preserve"> Finally, a comparative assessment of these findings related to prior research has been commented.</w:t>
      </w:r>
    </w:p>
    <w:p w:rsidR="00B83405" w:rsidRPr="003569BE" w:rsidRDefault="00B83405" w:rsidP="00CE0D18">
      <w:pPr>
        <w:spacing w:line="360" w:lineRule="auto"/>
        <w:rPr>
          <w:lang w:val="en-GB"/>
        </w:rPr>
      </w:pPr>
      <w:r w:rsidRPr="003569BE">
        <w:rPr>
          <w:lang w:val="en-GB"/>
        </w:rPr>
        <w:t xml:space="preserve">In the next chapter, the </w:t>
      </w:r>
      <w:r w:rsidR="009A7AA6" w:rsidRPr="003569BE">
        <w:rPr>
          <w:lang w:val="en-GB"/>
        </w:rPr>
        <w:t>concluding remarks</w:t>
      </w:r>
      <w:r w:rsidRPr="003569BE">
        <w:rPr>
          <w:lang w:val="en-GB"/>
        </w:rPr>
        <w:t xml:space="preserve"> of this thesis will be presented.</w:t>
      </w:r>
    </w:p>
    <w:p w:rsidR="00BF1961" w:rsidRPr="003569BE" w:rsidRDefault="00BF1961" w:rsidP="00BF1961">
      <w:pPr>
        <w:rPr>
          <w:rFonts w:eastAsiaTheme="majorEastAsia" w:cstheme="majorBidi"/>
          <w:color w:val="2E74B5" w:themeColor="accent1" w:themeShade="BF"/>
          <w:sz w:val="26"/>
          <w:szCs w:val="26"/>
          <w:lang w:val="en-GB"/>
        </w:rPr>
      </w:pPr>
      <w:r w:rsidRPr="003569BE">
        <w:rPr>
          <w:lang w:val="en-GB"/>
        </w:rPr>
        <w:br w:type="page"/>
      </w:r>
    </w:p>
    <w:p w:rsidR="009E3651" w:rsidRPr="003569BE" w:rsidRDefault="009E3651" w:rsidP="00CF5E60">
      <w:pPr>
        <w:pStyle w:val="Heading1"/>
        <w:numPr>
          <w:ilvl w:val="0"/>
          <w:numId w:val="6"/>
        </w:numPr>
        <w:spacing w:line="360" w:lineRule="auto"/>
        <w:rPr>
          <w:lang w:val="en-GB"/>
        </w:rPr>
      </w:pPr>
      <w:bookmarkStart w:id="71" w:name="_Toc396633603"/>
      <w:r w:rsidRPr="003569BE">
        <w:rPr>
          <w:lang w:val="en-GB"/>
        </w:rPr>
        <w:lastRenderedPageBreak/>
        <w:t>Conclusions</w:t>
      </w:r>
      <w:bookmarkEnd w:id="71"/>
    </w:p>
    <w:p w:rsidR="002E1650" w:rsidRPr="003569BE" w:rsidRDefault="002E1650" w:rsidP="002E1650">
      <w:pPr>
        <w:spacing w:line="360" w:lineRule="auto"/>
        <w:rPr>
          <w:rFonts w:cs="Times New Roman"/>
          <w:i/>
          <w:szCs w:val="24"/>
          <w:lang w:val="en-GB"/>
        </w:rPr>
      </w:pPr>
      <w:r w:rsidRPr="003569BE">
        <w:rPr>
          <w:lang w:val="en-GB"/>
        </w:rPr>
        <w:t xml:space="preserve">This chapter answers the last research sub-question of this thesis: </w:t>
      </w:r>
      <w:r w:rsidRPr="003569BE">
        <w:rPr>
          <w:rFonts w:cs="Times New Roman"/>
          <w:i/>
          <w:szCs w:val="24"/>
          <w:lang w:val="en-GB"/>
        </w:rPr>
        <w:t>“Which conclusions are derived from the analysis of the statistical results and the comparison with results of prior research?”.</w:t>
      </w:r>
    </w:p>
    <w:p w:rsidR="001F3630" w:rsidRPr="003569BE" w:rsidRDefault="003F1F9C" w:rsidP="0013168E">
      <w:pPr>
        <w:tabs>
          <w:tab w:val="left" w:pos="7186"/>
        </w:tabs>
        <w:spacing w:line="360" w:lineRule="auto"/>
        <w:rPr>
          <w:lang w:val="en-GB"/>
        </w:rPr>
      </w:pPr>
      <w:r w:rsidRPr="003569BE">
        <w:rPr>
          <w:lang w:val="en-GB"/>
        </w:rPr>
        <w:t xml:space="preserve">In this chapter, the concluding remarks of this thesis will be presented. </w:t>
      </w:r>
      <w:r w:rsidR="00345B03" w:rsidRPr="003569BE">
        <w:rPr>
          <w:lang w:val="en-GB"/>
        </w:rPr>
        <w:t>In addition</w:t>
      </w:r>
      <w:r w:rsidRPr="003569BE">
        <w:rPr>
          <w:lang w:val="en-GB"/>
        </w:rPr>
        <w:t xml:space="preserve">, comments on the limitations of this </w:t>
      </w:r>
      <w:r w:rsidR="001E1FB0">
        <w:rPr>
          <w:lang w:val="en-GB"/>
        </w:rPr>
        <w:t xml:space="preserve">thesis </w:t>
      </w:r>
      <w:r w:rsidRPr="003569BE">
        <w:rPr>
          <w:lang w:val="en-GB"/>
        </w:rPr>
        <w:t xml:space="preserve">will be presented. Finally, recommendations for future research will be </w:t>
      </w:r>
      <w:r w:rsidR="0013168E" w:rsidRPr="003569BE">
        <w:rPr>
          <w:lang w:val="en-GB"/>
        </w:rPr>
        <w:t>presented</w:t>
      </w:r>
      <w:r w:rsidRPr="003569BE">
        <w:rPr>
          <w:lang w:val="en-GB"/>
        </w:rPr>
        <w:t>.</w:t>
      </w:r>
    </w:p>
    <w:p w:rsidR="00942E4A" w:rsidRPr="003569BE" w:rsidRDefault="001F3630" w:rsidP="001F3630">
      <w:pPr>
        <w:pStyle w:val="Heading2"/>
        <w:numPr>
          <w:ilvl w:val="1"/>
          <w:numId w:val="6"/>
        </w:numPr>
        <w:spacing w:line="360" w:lineRule="auto"/>
        <w:rPr>
          <w:lang w:val="en-GB"/>
        </w:rPr>
      </w:pPr>
      <w:bookmarkStart w:id="72" w:name="_Toc396633604"/>
      <w:r w:rsidRPr="003569BE">
        <w:rPr>
          <w:lang w:val="en-GB"/>
        </w:rPr>
        <w:t>Concluding R</w:t>
      </w:r>
      <w:r w:rsidR="00444C0F" w:rsidRPr="003569BE">
        <w:rPr>
          <w:lang w:val="en-GB"/>
        </w:rPr>
        <w:t>emarks</w:t>
      </w:r>
      <w:bookmarkEnd w:id="72"/>
    </w:p>
    <w:p w:rsidR="00345B03" w:rsidRPr="003569BE" w:rsidRDefault="00345B03" w:rsidP="009A1A61">
      <w:pPr>
        <w:spacing w:line="360" w:lineRule="auto"/>
        <w:rPr>
          <w:lang w:val="en-GB"/>
        </w:rPr>
      </w:pPr>
      <w:r w:rsidRPr="003569BE">
        <w:rPr>
          <w:lang w:val="en-GB"/>
        </w:rPr>
        <w:t>To summarize the findings of this thesis, significant evidence has bee</w:t>
      </w:r>
      <w:r w:rsidR="003A284A" w:rsidRPr="003569BE">
        <w:rPr>
          <w:lang w:val="en-GB"/>
        </w:rPr>
        <w:t>n found to support hypothesis 1. The empirical tests indicate a</w:t>
      </w:r>
      <w:r w:rsidRPr="003569BE">
        <w:rPr>
          <w:lang w:val="en-GB"/>
        </w:rPr>
        <w:t xml:space="preserve"> positive correlation between </w:t>
      </w:r>
      <w:r w:rsidR="001E1FB0">
        <w:rPr>
          <w:lang w:val="en-GB"/>
        </w:rPr>
        <w:t xml:space="preserve">the </w:t>
      </w:r>
      <w:r w:rsidRPr="003569BE">
        <w:rPr>
          <w:lang w:val="en-GB"/>
        </w:rPr>
        <w:t>audit firm tenure and the magnitude of the use of earnings management in a mandatory audit firm rotation</w:t>
      </w:r>
      <w:r w:rsidR="00614D2B" w:rsidRPr="003569BE">
        <w:rPr>
          <w:lang w:val="en-GB"/>
        </w:rPr>
        <w:t xml:space="preserve"> setting</w:t>
      </w:r>
      <w:r w:rsidR="003A284A" w:rsidRPr="003569BE">
        <w:rPr>
          <w:lang w:val="en-GB"/>
        </w:rPr>
        <w:t xml:space="preserve">. </w:t>
      </w:r>
      <w:r w:rsidR="00614D2B" w:rsidRPr="003569BE">
        <w:rPr>
          <w:rFonts w:cs="Times New Roman"/>
          <w:szCs w:val="24"/>
          <w:lang w:val="en-GB"/>
        </w:rPr>
        <w:t xml:space="preserve">These findings regarding hypothesis 1 answer the biggest part of the main research question of this thesis and implies that, in a mandatory audit firm rotation setting, managers engage more in earnings management when the length of the auditor-client relationship is </w:t>
      </w:r>
      <w:r w:rsidR="001E1FB0">
        <w:rPr>
          <w:rFonts w:cs="Times New Roman"/>
          <w:szCs w:val="24"/>
          <w:lang w:val="en-GB"/>
        </w:rPr>
        <w:t>longer</w:t>
      </w:r>
      <w:r w:rsidR="00614D2B" w:rsidRPr="003569BE">
        <w:rPr>
          <w:rFonts w:cs="Times New Roman"/>
          <w:szCs w:val="24"/>
          <w:lang w:val="en-GB"/>
        </w:rPr>
        <w:t>. In other wor</w:t>
      </w:r>
      <w:r w:rsidR="008809BE" w:rsidRPr="003569BE">
        <w:rPr>
          <w:rFonts w:cs="Times New Roman"/>
          <w:szCs w:val="24"/>
          <w:lang w:val="en-GB"/>
        </w:rPr>
        <w:t xml:space="preserve">ds, </w:t>
      </w:r>
      <w:r w:rsidR="00894D93" w:rsidRPr="003569BE">
        <w:rPr>
          <w:rFonts w:cs="Times New Roman"/>
          <w:szCs w:val="24"/>
          <w:lang w:val="en-GB"/>
        </w:rPr>
        <w:t>it can be concluded that the implementation of the mandatory audit firm rotation has a significant impact on the management’s behaviour in terms of the use of earnings management. That is, by imposing a limited period for retaining the same auditor, managers tend to engage less in the use of earnings management</w:t>
      </w:r>
      <w:r w:rsidR="00614D2B" w:rsidRPr="003569BE">
        <w:rPr>
          <w:rFonts w:cs="Times New Roman"/>
          <w:szCs w:val="24"/>
          <w:lang w:val="en-GB"/>
        </w:rPr>
        <w:t>.</w:t>
      </w:r>
    </w:p>
    <w:p w:rsidR="001F3630" w:rsidRPr="003569BE" w:rsidRDefault="00345B03" w:rsidP="009A1A61">
      <w:pPr>
        <w:spacing w:line="360" w:lineRule="auto"/>
        <w:rPr>
          <w:lang w:val="en-GB"/>
        </w:rPr>
      </w:pPr>
      <w:r w:rsidRPr="003569BE">
        <w:rPr>
          <w:lang w:val="en-GB"/>
        </w:rPr>
        <w:t>Concerning hypothesis 2, on the other hand, the evidence is inconclusive, which implies that a proper assessment of this hypothesis is restricted. Consequently,</w:t>
      </w:r>
      <w:r w:rsidR="004F6E16" w:rsidRPr="003569BE">
        <w:rPr>
          <w:lang w:val="en-GB"/>
        </w:rPr>
        <w:t xml:space="preserve"> since the findings rely on a small collection of 70 observations in which rotations of the auditors can be analysed, i.e. 35 rotations,</w:t>
      </w:r>
      <w:r w:rsidRPr="003569BE">
        <w:rPr>
          <w:lang w:val="en-GB"/>
        </w:rPr>
        <w:t xml:space="preserve"> hypothesis 2 cannot be either accepted, or rejected</w:t>
      </w:r>
      <w:r w:rsidR="00576B75" w:rsidRPr="003569BE">
        <w:rPr>
          <w:lang w:val="en-GB"/>
        </w:rPr>
        <w:t>,.</w:t>
      </w:r>
      <w:r w:rsidR="00A33257" w:rsidRPr="003569BE">
        <w:rPr>
          <w:lang w:val="en-GB"/>
        </w:rPr>
        <w:t xml:space="preserve"> Based on this sub-sample, the findings regarding hypothesis two suggest that in 5</w:t>
      </w:r>
      <w:r w:rsidR="004F6E16" w:rsidRPr="003569BE">
        <w:rPr>
          <w:lang w:val="en-GB"/>
        </w:rPr>
        <w:t>4</w:t>
      </w:r>
      <w:r w:rsidR="00A33257" w:rsidRPr="003569BE">
        <w:rPr>
          <w:lang w:val="en-GB"/>
        </w:rPr>
        <w:t>,</w:t>
      </w:r>
      <w:r w:rsidR="004F6E16" w:rsidRPr="003569BE">
        <w:rPr>
          <w:lang w:val="en-GB"/>
        </w:rPr>
        <w:t>29</w:t>
      </w:r>
      <w:r w:rsidR="00A33257" w:rsidRPr="003569BE">
        <w:rPr>
          <w:lang w:val="en-GB"/>
        </w:rPr>
        <w:t xml:space="preserve">% of the cases, the amount of </w:t>
      </w:r>
      <w:r w:rsidR="001E1FB0">
        <w:rPr>
          <w:lang w:val="en-GB"/>
        </w:rPr>
        <w:t xml:space="preserve">the </w:t>
      </w:r>
      <w:r w:rsidR="00A33257" w:rsidRPr="003569BE">
        <w:rPr>
          <w:lang w:val="en-GB"/>
        </w:rPr>
        <w:t xml:space="preserve">discretionary accruals drops, compared to the year before the rotation. That is, managers engage less in earnings management in the first year after a new auditor has been appointed. This supports, to a certain extent, the assumption that a ‘fresh’ auditor would impose more restrictions in the flexibility of managers when it comes to manipulating </w:t>
      </w:r>
      <w:r w:rsidR="000108BC" w:rsidRPr="003569BE">
        <w:rPr>
          <w:lang w:val="en-GB"/>
        </w:rPr>
        <w:t xml:space="preserve">the </w:t>
      </w:r>
      <w:r w:rsidR="00A33257" w:rsidRPr="003569BE">
        <w:rPr>
          <w:lang w:val="en-GB"/>
        </w:rPr>
        <w:t xml:space="preserve">discretionary accruals. </w:t>
      </w:r>
      <w:r w:rsidR="00957D86" w:rsidRPr="003569BE">
        <w:rPr>
          <w:lang w:val="en-GB"/>
        </w:rPr>
        <w:t xml:space="preserve">However, due to the limited number of </w:t>
      </w:r>
      <w:r w:rsidR="001E1FB0">
        <w:rPr>
          <w:lang w:val="en-GB"/>
        </w:rPr>
        <w:t xml:space="preserve">the </w:t>
      </w:r>
      <w:r w:rsidR="00957D86" w:rsidRPr="003569BE">
        <w:rPr>
          <w:lang w:val="en-GB"/>
        </w:rPr>
        <w:t xml:space="preserve">observations regarding this effect, the findings are difficult to generalize, and consequently, a proper conclusion concerning hypothesis 2 cannot be drawn. Further comments regarding this situation are </w:t>
      </w:r>
      <w:r w:rsidR="00F85AD7" w:rsidRPr="003569BE">
        <w:rPr>
          <w:lang w:val="en-GB"/>
        </w:rPr>
        <w:t>presented</w:t>
      </w:r>
      <w:r w:rsidR="00957D86" w:rsidRPr="003569BE">
        <w:rPr>
          <w:lang w:val="en-GB"/>
        </w:rPr>
        <w:t xml:space="preserve"> in the next sections of this chapter.</w:t>
      </w:r>
    </w:p>
    <w:p w:rsidR="0038436E" w:rsidRPr="003569BE" w:rsidRDefault="001913C0" w:rsidP="009A1A61">
      <w:pPr>
        <w:spacing w:line="360" w:lineRule="auto"/>
        <w:rPr>
          <w:lang w:val="en-GB"/>
        </w:rPr>
      </w:pPr>
      <w:r w:rsidRPr="003569BE">
        <w:rPr>
          <w:lang w:val="en-GB"/>
        </w:rPr>
        <w:lastRenderedPageBreak/>
        <w:t>Comparing the findings of this thesis with the results from prior research, i.e. Davis et Al. (2000), Myers et Al. (2003) and Chen et Al. (2008), it is interesting to notice that, while the three papers from prior research indicate a negative association between</w:t>
      </w:r>
      <w:r w:rsidR="00D22C96" w:rsidRPr="003569BE">
        <w:rPr>
          <w:lang w:val="en-GB"/>
        </w:rPr>
        <w:t xml:space="preserve"> the</w:t>
      </w:r>
      <w:r w:rsidRPr="003569BE">
        <w:rPr>
          <w:lang w:val="en-GB"/>
        </w:rPr>
        <w:t xml:space="preserve"> audit tenure and the amount of discretionary accruals, the findings of this thesis suggest the contrary: a significant positive association. </w:t>
      </w:r>
      <w:r w:rsidR="002E1650" w:rsidRPr="003569BE">
        <w:rPr>
          <w:lang w:val="en-GB"/>
        </w:rPr>
        <w:t xml:space="preserve">Considering that the three papers </w:t>
      </w:r>
      <w:r w:rsidR="00D22C96" w:rsidRPr="003569BE">
        <w:rPr>
          <w:lang w:val="en-GB"/>
        </w:rPr>
        <w:t>signalled</w:t>
      </w:r>
      <w:r w:rsidR="002E1650" w:rsidRPr="003569BE">
        <w:rPr>
          <w:lang w:val="en-GB"/>
        </w:rPr>
        <w:t xml:space="preserve"> before tested this relationship in non-mandatory rotation environments, i.e. the US and Taiwan, the assumption is that the mandatory audit firm rotation setting used in this thesis, i.e. Italy, had a significant impact on the results.</w:t>
      </w:r>
      <w:r w:rsidR="00402335" w:rsidRPr="003569BE">
        <w:rPr>
          <w:lang w:val="en-GB"/>
        </w:rPr>
        <w:t xml:space="preserve"> That is, the MAFR setting causes a change in the behaviour of the management in terms of</w:t>
      </w:r>
      <w:r w:rsidR="003A4D37" w:rsidRPr="003569BE">
        <w:rPr>
          <w:lang w:val="en-GB"/>
        </w:rPr>
        <w:t xml:space="preserve"> the use of</w:t>
      </w:r>
      <w:r w:rsidR="00402335" w:rsidRPr="003569BE">
        <w:rPr>
          <w:lang w:val="en-GB"/>
        </w:rPr>
        <w:t xml:space="preserve"> earnings management, when compared to the management’s behaviour in </w:t>
      </w:r>
      <w:r w:rsidR="001E1FB0">
        <w:rPr>
          <w:lang w:val="en-GB"/>
        </w:rPr>
        <w:t xml:space="preserve">the </w:t>
      </w:r>
      <w:r w:rsidR="00402335" w:rsidRPr="003569BE">
        <w:rPr>
          <w:lang w:val="en-GB"/>
        </w:rPr>
        <w:t xml:space="preserve">non-mandatory systems. Hence, the main research question is answered: </w:t>
      </w:r>
      <w:r w:rsidR="00214575" w:rsidRPr="003569BE">
        <w:rPr>
          <w:lang w:val="en-GB"/>
        </w:rPr>
        <w:t xml:space="preserve">in a MAFR setting, managers tend to engage more in earnings management when </w:t>
      </w:r>
      <w:r w:rsidR="001E1FB0">
        <w:rPr>
          <w:lang w:val="en-GB"/>
        </w:rPr>
        <w:t xml:space="preserve">the </w:t>
      </w:r>
      <w:r w:rsidR="00214575" w:rsidRPr="003569BE">
        <w:rPr>
          <w:lang w:val="en-GB"/>
        </w:rPr>
        <w:t>audit tenure increases.</w:t>
      </w:r>
    </w:p>
    <w:p w:rsidR="00D26A0E" w:rsidRPr="003569BE" w:rsidRDefault="00D26A0E" w:rsidP="00B80CB2">
      <w:pPr>
        <w:spacing w:line="360" w:lineRule="auto"/>
        <w:rPr>
          <w:rFonts w:cs="Times New Roman"/>
          <w:szCs w:val="24"/>
          <w:lang w:val="en-GB"/>
        </w:rPr>
      </w:pPr>
      <w:r w:rsidRPr="003569BE">
        <w:rPr>
          <w:rFonts w:cs="Times New Roman"/>
          <w:szCs w:val="24"/>
          <w:lang w:val="en-GB"/>
        </w:rPr>
        <w:t xml:space="preserve">Compared to the existing scientific literature regarding the mandatory audit firm rotation, this thesis </w:t>
      </w:r>
      <w:r w:rsidR="00B80CB2" w:rsidRPr="003569BE">
        <w:rPr>
          <w:rFonts w:cs="Times New Roman"/>
          <w:szCs w:val="24"/>
          <w:lang w:val="en-GB"/>
        </w:rPr>
        <w:t>has two main advantages</w:t>
      </w:r>
      <w:r w:rsidR="005F1F42" w:rsidRPr="003569BE">
        <w:rPr>
          <w:rFonts w:cs="Times New Roman"/>
          <w:szCs w:val="24"/>
          <w:lang w:val="en-GB"/>
        </w:rPr>
        <w:t xml:space="preserve">, which </w:t>
      </w:r>
      <w:r w:rsidR="001E1FB0">
        <w:rPr>
          <w:rFonts w:cs="Times New Roman"/>
          <w:szCs w:val="24"/>
          <w:lang w:val="en-GB"/>
        </w:rPr>
        <w:t xml:space="preserve">present </w:t>
      </w:r>
      <w:r w:rsidR="005F1F42" w:rsidRPr="003569BE">
        <w:rPr>
          <w:rFonts w:cs="Times New Roman"/>
          <w:szCs w:val="24"/>
          <w:lang w:val="en-GB"/>
        </w:rPr>
        <w:t>a significant contribution to the academic literature</w:t>
      </w:r>
      <w:r w:rsidR="004247B1" w:rsidRPr="003569BE">
        <w:rPr>
          <w:rFonts w:cs="Times New Roman"/>
          <w:szCs w:val="24"/>
          <w:lang w:val="en-GB"/>
        </w:rPr>
        <w:t xml:space="preserve"> in this topic</w:t>
      </w:r>
      <w:r w:rsidR="005F1F42" w:rsidRPr="003569BE">
        <w:rPr>
          <w:rFonts w:cs="Times New Roman"/>
          <w:szCs w:val="24"/>
          <w:lang w:val="en-GB"/>
        </w:rPr>
        <w:t>.</w:t>
      </w:r>
      <w:r w:rsidR="00B80CB2" w:rsidRPr="003569BE">
        <w:rPr>
          <w:rFonts w:cs="Times New Roman"/>
          <w:szCs w:val="24"/>
          <w:lang w:val="en-GB"/>
        </w:rPr>
        <w:t xml:space="preserve"> First, t</w:t>
      </w:r>
      <w:r w:rsidRPr="003569BE">
        <w:rPr>
          <w:rFonts w:cs="Times New Roman"/>
          <w:szCs w:val="24"/>
          <w:lang w:val="en-GB"/>
        </w:rPr>
        <w:t>he majority of the</w:t>
      </w:r>
      <w:r w:rsidR="00B80CB2" w:rsidRPr="003569BE">
        <w:rPr>
          <w:rFonts w:cs="Times New Roman"/>
          <w:szCs w:val="24"/>
          <w:lang w:val="en-GB"/>
        </w:rPr>
        <w:t xml:space="preserve"> existing</w:t>
      </w:r>
      <w:r w:rsidRPr="003569BE">
        <w:rPr>
          <w:rFonts w:cs="Times New Roman"/>
          <w:szCs w:val="24"/>
          <w:lang w:val="en-GB"/>
        </w:rPr>
        <w:t xml:space="preserve"> empirical papers try to assess the effectiveness of a mandatory audit firm rotation rule or to provide an understanding of the auditor’s behaviour in a MAFR setting. However, this is not the </w:t>
      </w:r>
      <w:r w:rsidR="00B80CB2" w:rsidRPr="003569BE">
        <w:rPr>
          <w:rFonts w:cs="Times New Roman"/>
          <w:szCs w:val="24"/>
          <w:lang w:val="en-GB"/>
        </w:rPr>
        <w:t>object</w:t>
      </w:r>
      <w:r w:rsidRPr="003569BE">
        <w:rPr>
          <w:rFonts w:cs="Times New Roman"/>
          <w:szCs w:val="24"/>
          <w:lang w:val="en-GB"/>
        </w:rPr>
        <w:t xml:space="preserve"> of this thesis. This </w:t>
      </w:r>
      <w:r w:rsidR="00B80CB2" w:rsidRPr="003569BE">
        <w:rPr>
          <w:rFonts w:cs="Times New Roman"/>
          <w:szCs w:val="24"/>
          <w:lang w:val="en-GB"/>
        </w:rPr>
        <w:t xml:space="preserve">thesis </w:t>
      </w:r>
      <w:r w:rsidRPr="003569BE">
        <w:rPr>
          <w:rFonts w:cs="Times New Roman"/>
          <w:szCs w:val="24"/>
          <w:lang w:val="en-GB"/>
        </w:rPr>
        <w:t>provide</w:t>
      </w:r>
      <w:r w:rsidR="00B80CB2" w:rsidRPr="003569BE">
        <w:rPr>
          <w:rFonts w:cs="Times New Roman"/>
          <w:szCs w:val="24"/>
          <w:lang w:val="en-GB"/>
        </w:rPr>
        <w:t>s with</w:t>
      </w:r>
      <w:r w:rsidRPr="003569BE">
        <w:rPr>
          <w:rFonts w:cs="Times New Roman"/>
          <w:szCs w:val="24"/>
          <w:lang w:val="en-GB"/>
        </w:rPr>
        <w:t xml:space="preserve"> a better understanding of the management’s behaviour in terms of the use of earnings management in the context of the mandatory audit firm rotation.</w:t>
      </w:r>
      <w:r w:rsidR="00B80CB2" w:rsidRPr="003569BE">
        <w:rPr>
          <w:rFonts w:cs="Times New Roman"/>
          <w:szCs w:val="24"/>
          <w:lang w:val="en-GB"/>
        </w:rPr>
        <w:t xml:space="preserve"> </w:t>
      </w:r>
    </w:p>
    <w:p w:rsidR="00D26A0E" w:rsidRPr="003569BE" w:rsidRDefault="00B225C8" w:rsidP="00D26A0E">
      <w:pPr>
        <w:spacing w:line="360" w:lineRule="auto"/>
        <w:rPr>
          <w:rFonts w:cs="Times New Roman"/>
          <w:szCs w:val="24"/>
          <w:lang w:val="en-GB"/>
        </w:rPr>
      </w:pPr>
      <w:r w:rsidRPr="003569BE">
        <w:rPr>
          <w:rFonts w:cs="Times New Roman"/>
          <w:szCs w:val="24"/>
          <w:lang w:val="en-GB"/>
        </w:rPr>
        <w:t>Second, w</w:t>
      </w:r>
      <w:r w:rsidR="00D26A0E" w:rsidRPr="003569BE">
        <w:rPr>
          <w:rFonts w:cs="Times New Roman"/>
          <w:szCs w:val="24"/>
          <w:lang w:val="en-GB"/>
        </w:rPr>
        <w:t xml:space="preserve">hile most papers </w:t>
      </w:r>
      <w:r w:rsidR="00424F35">
        <w:rPr>
          <w:rFonts w:cs="Times New Roman"/>
          <w:szCs w:val="24"/>
          <w:lang w:val="en-GB"/>
        </w:rPr>
        <w:t>concerning</w:t>
      </w:r>
      <w:r w:rsidR="001E1FB0">
        <w:rPr>
          <w:rFonts w:cs="Times New Roman"/>
          <w:szCs w:val="24"/>
          <w:lang w:val="en-GB"/>
        </w:rPr>
        <w:t xml:space="preserve"> the </w:t>
      </w:r>
      <w:r w:rsidR="00D26A0E" w:rsidRPr="003569BE">
        <w:rPr>
          <w:rFonts w:cs="Times New Roman"/>
          <w:szCs w:val="24"/>
          <w:lang w:val="en-GB"/>
        </w:rPr>
        <w:t>mandatory audit firm rotation are based on settings in which mandatory rotation is not in place, this thesis test</w:t>
      </w:r>
      <w:r w:rsidR="00326398" w:rsidRPr="003569BE">
        <w:rPr>
          <w:rFonts w:cs="Times New Roman"/>
          <w:szCs w:val="24"/>
          <w:lang w:val="en-GB"/>
        </w:rPr>
        <w:t>s</w:t>
      </w:r>
      <w:r w:rsidR="00D26A0E" w:rsidRPr="003569BE">
        <w:rPr>
          <w:rFonts w:cs="Times New Roman"/>
          <w:szCs w:val="24"/>
          <w:lang w:val="en-GB"/>
        </w:rPr>
        <w:t xml:space="preserve"> the relationship in a real MAFR setting.</w:t>
      </w:r>
    </w:p>
    <w:p w:rsidR="004622E5" w:rsidRPr="003569BE" w:rsidRDefault="004622E5" w:rsidP="00D26A0E">
      <w:pPr>
        <w:spacing w:line="360" w:lineRule="auto"/>
        <w:rPr>
          <w:lang w:val="en-GB"/>
        </w:rPr>
      </w:pPr>
      <w:r w:rsidRPr="003569BE">
        <w:rPr>
          <w:rFonts w:cs="Times New Roman"/>
          <w:szCs w:val="24"/>
          <w:lang w:val="en-GB"/>
        </w:rPr>
        <w:t>In addition, by showing evidence to support the claims of the advocates of mandatory audit firm rotation, this thesis contributes to the debate surrounding the MAFR rule.</w:t>
      </w:r>
      <w:r w:rsidR="007B1781" w:rsidRPr="003569BE">
        <w:rPr>
          <w:rFonts w:cs="Times New Roman"/>
          <w:szCs w:val="24"/>
          <w:lang w:val="en-GB"/>
        </w:rPr>
        <w:t xml:space="preserve"> Consequently, it could emerge as a springboard for future research in this field, and appeal to more attention from researchers to this topic.</w:t>
      </w:r>
    </w:p>
    <w:p w:rsidR="00942E4A" w:rsidRPr="003569BE" w:rsidRDefault="00942E4A" w:rsidP="001F3630">
      <w:pPr>
        <w:pStyle w:val="Heading2"/>
        <w:numPr>
          <w:ilvl w:val="1"/>
          <w:numId w:val="6"/>
        </w:numPr>
        <w:spacing w:line="360" w:lineRule="auto"/>
        <w:rPr>
          <w:lang w:val="en-GB"/>
        </w:rPr>
      </w:pPr>
      <w:bookmarkStart w:id="73" w:name="_Toc396633605"/>
      <w:r w:rsidRPr="003569BE">
        <w:rPr>
          <w:lang w:val="en-GB"/>
        </w:rPr>
        <w:t>Limitations</w:t>
      </w:r>
      <w:bookmarkEnd w:id="73"/>
    </w:p>
    <w:p w:rsidR="00E24A98" w:rsidRPr="003569BE" w:rsidRDefault="00C5602A" w:rsidP="00611F57">
      <w:pPr>
        <w:tabs>
          <w:tab w:val="left" w:pos="7186"/>
        </w:tabs>
        <w:spacing w:line="360" w:lineRule="auto"/>
        <w:rPr>
          <w:rFonts w:cs="Times New Roman"/>
          <w:szCs w:val="24"/>
          <w:lang w:val="en-GB"/>
        </w:rPr>
      </w:pPr>
      <w:r w:rsidRPr="003569BE">
        <w:rPr>
          <w:lang w:val="en-GB"/>
        </w:rPr>
        <w:t xml:space="preserve">The main limitation concerning this thesis relies on the assumption that </w:t>
      </w:r>
      <w:r w:rsidRPr="003569BE">
        <w:rPr>
          <w:rFonts w:cs="Times New Roman"/>
          <w:szCs w:val="24"/>
          <w:lang w:val="en-GB"/>
        </w:rPr>
        <w:t>management can employ two types of earnings management</w:t>
      </w:r>
      <w:r w:rsidRPr="003569BE">
        <w:rPr>
          <w:lang w:val="en-GB"/>
        </w:rPr>
        <w:t>: accrual based earnings management and real earnings management.</w:t>
      </w:r>
      <w:r w:rsidR="00FF077B" w:rsidRPr="003569BE">
        <w:rPr>
          <w:lang w:val="en-GB"/>
        </w:rPr>
        <w:t xml:space="preserve"> Most of the times,</w:t>
      </w:r>
      <w:r w:rsidR="00424F35" w:rsidRPr="00424F35">
        <w:t xml:space="preserve"> </w:t>
      </w:r>
      <w:r w:rsidR="00424F35" w:rsidRPr="00424F35">
        <w:rPr>
          <w:lang w:val="en-GB"/>
        </w:rPr>
        <w:t>when managing the published earnings</w:t>
      </w:r>
      <w:r w:rsidR="00FF077B" w:rsidRPr="003569BE">
        <w:rPr>
          <w:lang w:val="en-GB"/>
        </w:rPr>
        <w:t xml:space="preserve"> managers use both approaches. </w:t>
      </w:r>
      <w:r w:rsidR="00E24A98" w:rsidRPr="003569BE">
        <w:rPr>
          <w:lang w:val="en-GB"/>
        </w:rPr>
        <w:t xml:space="preserve">Because real earnings management is difficult, if not impossible, to detect, in this thesis the use of accrual earnings management is investigated. </w:t>
      </w:r>
      <w:r w:rsidR="006C156B" w:rsidRPr="003569BE">
        <w:rPr>
          <w:lang w:val="en-GB"/>
        </w:rPr>
        <w:t xml:space="preserve">Since real </w:t>
      </w:r>
      <w:r w:rsidR="006C156B" w:rsidRPr="003569BE">
        <w:rPr>
          <w:lang w:val="en-GB"/>
        </w:rPr>
        <w:lastRenderedPageBreak/>
        <w:t>earnings management is not included in this thesis’s model, t</w:t>
      </w:r>
      <w:r w:rsidR="00E24A98" w:rsidRPr="003569BE">
        <w:rPr>
          <w:lang w:val="en-GB"/>
        </w:rPr>
        <w:t xml:space="preserve">his implies a certain limitation concerning this thesis,. </w:t>
      </w:r>
      <w:r w:rsidR="00611F57" w:rsidRPr="003569BE">
        <w:rPr>
          <w:lang w:val="en-GB"/>
        </w:rPr>
        <w:t xml:space="preserve">In addition, </w:t>
      </w:r>
      <w:r w:rsidR="00E24A98" w:rsidRPr="003569BE">
        <w:rPr>
          <w:rFonts w:cs="Times New Roman"/>
          <w:szCs w:val="24"/>
          <w:lang w:val="en-GB"/>
        </w:rPr>
        <w:t xml:space="preserve">Graham et Al. (2005) found that managers, in order to manage the reported earnings, prefer to manipulate the real activities rather than manipulating the accruals </w:t>
      </w:r>
      <w:sdt>
        <w:sdtPr>
          <w:rPr>
            <w:rFonts w:cs="Times New Roman"/>
            <w:szCs w:val="24"/>
            <w:lang w:val="en-GB"/>
          </w:rPr>
          <w:id w:val="1263805999"/>
          <w:citation/>
        </w:sdtPr>
        <w:sdtContent>
          <w:r w:rsidR="000E4BAF" w:rsidRPr="003569BE">
            <w:rPr>
              <w:rFonts w:cs="Times New Roman"/>
              <w:szCs w:val="24"/>
              <w:lang w:val="en-GB"/>
            </w:rPr>
            <w:fldChar w:fldCharType="begin"/>
          </w:r>
          <w:r w:rsidR="00E24A98" w:rsidRPr="003569BE">
            <w:rPr>
              <w:rFonts w:cs="Times New Roman"/>
              <w:szCs w:val="24"/>
              <w:lang w:val="en-GB"/>
            </w:rPr>
            <w:instrText xml:space="preserve"> CITATION Gra05 \l 1033 </w:instrText>
          </w:r>
          <w:r w:rsidR="000E4BAF" w:rsidRPr="003569BE">
            <w:rPr>
              <w:rFonts w:cs="Times New Roman"/>
              <w:szCs w:val="24"/>
              <w:lang w:val="en-GB"/>
            </w:rPr>
            <w:fldChar w:fldCharType="separate"/>
          </w:r>
          <w:r w:rsidR="008F7EB3" w:rsidRPr="003569BE">
            <w:rPr>
              <w:rFonts w:cs="Times New Roman"/>
              <w:noProof/>
              <w:szCs w:val="24"/>
              <w:lang w:val="en-GB"/>
            </w:rPr>
            <w:t>(Graham, Harvey, &amp; Rajgopal, 2005)</w:t>
          </w:r>
          <w:r w:rsidR="000E4BAF" w:rsidRPr="003569BE">
            <w:rPr>
              <w:rFonts w:cs="Times New Roman"/>
              <w:szCs w:val="24"/>
              <w:lang w:val="en-GB"/>
            </w:rPr>
            <w:fldChar w:fldCharType="end"/>
          </w:r>
        </w:sdtContent>
      </w:sdt>
      <w:r w:rsidR="00E24A98" w:rsidRPr="003569BE">
        <w:rPr>
          <w:rFonts w:cs="Times New Roman"/>
          <w:szCs w:val="24"/>
          <w:lang w:val="en-GB"/>
        </w:rPr>
        <w:t xml:space="preserve">. </w:t>
      </w:r>
      <w:r w:rsidR="007F063D" w:rsidRPr="003569BE">
        <w:rPr>
          <w:rFonts w:cs="Times New Roman"/>
          <w:szCs w:val="24"/>
          <w:lang w:val="en-GB"/>
        </w:rPr>
        <w:t>Consequently, this situation could have a consequence on the results of this thesis.</w:t>
      </w:r>
    </w:p>
    <w:p w:rsidR="00AF068D" w:rsidRPr="003569BE" w:rsidRDefault="00B57703" w:rsidP="009A1A61">
      <w:pPr>
        <w:tabs>
          <w:tab w:val="left" w:pos="7186"/>
        </w:tabs>
        <w:spacing w:line="360" w:lineRule="auto"/>
        <w:rPr>
          <w:lang w:val="en-GB"/>
        </w:rPr>
      </w:pPr>
      <w:r w:rsidRPr="003569BE">
        <w:rPr>
          <w:lang w:val="en-GB"/>
        </w:rPr>
        <w:t xml:space="preserve">Since the model used in this thesis for measuring </w:t>
      </w:r>
      <w:r w:rsidR="00424F35">
        <w:rPr>
          <w:lang w:val="en-GB"/>
        </w:rPr>
        <w:t xml:space="preserve">the </w:t>
      </w:r>
      <w:r w:rsidRPr="003569BE">
        <w:rPr>
          <w:lang w:val="en-GB"/>
        </w:rPr>
        <w:t>discretionary accruals, i.e. the performance matched model by Kothari et Al. (2005), involves estimates, a</w:t>
      </w:r>
      <w:r w:rsidR="001D1936" w:rsidRPr="003569BE">
        <w:rPr>
          <w:lang w:val="en-GB"/>
        </w:rPr>
        <w:t>nother limitation arises from the c</w:t>
      </w:r>
      <w:r w:rsidR="00AF068D" w:rsidRPr="003569BE">
        <w:rPr>
          <w:lang w:val="en-GB"/>
        </w:rPr>
        <w:t xml:space="preserve">onstruct validity </w:t>
      </w:r>
      <w:r w:rsidR="001D1936" w:rsidRPr="003569BE">
        <w:rPr>
          <w:lang w:val="en-GB"/>
        </w:rPr>
        <w:t xml:space="preserve">issues regarding the measurement of </w:t>
      </w:r>
      <w:r w:rsidR="00D44A5B" w:rsidRPr="003569BE">
        <w:rPr>
          <w:lang w:val="en-GB"/>
        </w:rPr>
        <w:t xml:space="preserve">the </w:t>
      </w:r>
      <w:r w:rsidR="001D1936" w:rsidRPr="003569BE">
        <w:rPr>
          <w:lang w:val="en-GB"/>
        </w:rPr>
        <w:t xml:space="preserve">discretionary </w:t>
      </w:r>
      <w:r w:rsidR="00AF068D" w:rsidRPr="003569BE">
        <w:rPr>
          <w:lang w:val="en-GB"/>
        </w:rPr>
        <w:t>accruals</w:t>
      </w:r>
      <w:r w:rsidR="00863352" w:rsidRPr="003569BE">
        <w:rPr>
          <w:lang w:val="en-GB"/>
        </w:rPr>
        <w:t>.</w:t>
      </w:r>
      <w:r w:rsidR="00E72A16" w:rsidRPr="003569BE">
        <w:rPr>
          <w:lang w:val="en-GB"/>
        </w:rPr>
        <w:t xml:space="preserve"> </w:t>
      </w:r>
    </w:p>
    <w:p w:rsidR="00C5602A" w:rsidRPr="003569BE" w:rsidRDefault="00F51AD9" w:rsidP="009A1A61">
      <w:pPr>
        <w:spacing w:line="360" w:lineRule="auto"/>
        <w:rPr>
          <w:lang w:val="en-GB"/>
        </w:rPr>
      </w:pPr>
      <w:r w:rsidRPr="003569BE">
        <w:rPr>
          <w:lang w:val="en-GB"/>
        </w:rPr>
        <w:t>In addition, c</w:t>
      </w:r>
      <w:r w:rsidR="00C5602A" w:rsidRPr="003569BE">
        <w:rPr>
          <w:lang w:val="en-GB"/>
        </w:rPr>
        <w:t>orrelated omitted variables</w:t>
      </w:r>
      <w:r w:rsidRPr="003569BE">
        <w:rPr>
          <w:lang w:val="en-GB"/>
        </w:rPr>
        <w:t xml:space="preserve"> could exist, other than the ones included in the model as control variables, i.e. firm size, sales growth, leverage and the existence of a loss in the prior year.</w:t>
      </w:r>
    </w:p>
    <w:p w:rsidR="00490A9E" w:rsidRPr="003569BE" w:rsidRDefault="00490A9E" w:rsidP="009A1A61">
      <w:pPr>
        <w:spacing w:line="360" w:lineRule="auto"/>
        <w:rPr>
          <w:lang w:val="en-GB"/>
        </w:rPr>
      </w:pPr>
      <w:r w:rsidRPr="003569BE">
        <w:rPr>
          <w:lang w:val="en-GB"/>
        </w:rPr>
        <w:t>Finally,</w:t>
      </w:r>
      <w:r w:rsidR="00B669DE" w:rsidRPr="003569BE">
        <w:rPr>
          <w:lang w:val="en-GB"/>
        </w:rPr>
        <w:t xml:space="preserve"> since the observations which experienced auditor rotations were limited,</w:t>
      </w:r>
      <w:r w:rsidRPr="003569BE">
        <w:rPr>
          <w:lang w:val="en-GB"/>
        </w:rPr>
        <w:t xml:space="preserve"> a limitation has arisen from testing hypothesis 2. The inconclusive evidence regarding this hypothesis causes a drawback of this </w:t>
      </w:r>
      <w:r w:rsidR="005F6363" w:rsidRPr="003569BE">
        <w:rPr>
          <w:lang w:val="en-GB"/>
        </w:rPr>
        <w:t>thesis.</w:t>
      </w:r>
      <w:r w:rsidRPr="003569BE">
        <w:rPr>
          <w:lang w:val="en-GB"/>
        </w:rPr>
        <w:t xml:space="preserve"> </w:t>
      </w:r>
    </w:p>
    <w:p w:rsidR="001F3630" w:rsidRPr="003569BE" w:rsidRDefault="001F3630" w:rsidP="001F3630">
      <w:pPr>
        <w:pStyle w:val="Heading2"/>
        <w:numPr>
          <w:ilvl w:val="1"/>
          <w:numId w:val="6"/>
        </w:numPr>
        <w:spacing w:line="360" w:lineRule="auto"/>
        <w:rPr>
          <w:lang w:val="en-GB"/>
        </w:rPr>
      </w:pPr>
      <w:bookmarkStart w:id="74" w:name="_Toc396633606"/>
      <w:r w:rsidRPr="003569BE">
        <w:rPr>
          <w:lang w:val="en-GB"/>
        </w:rPr>
        <w:t xml:space="preserve">Recommendations for </w:t>
      </w:r>
      <w:r w:rsidR="00942E4A" w:rsidRPr="003569BE">
        <w:rPr>
          <w:lang w:val="en-GB"/>
        </w:rPr>
        <w:t xml:space="preserve">Future </w:t>
      </w:r>
      <w:r w:rsidRPr="003569BE">
        <w:rPr>
          <w:lang w:val="en-GB"/>
        </w:rPr>
        <w:t>R</w:t>
      </w:r>
      <w:r w:rsidR="00942E4A" w:rsidRPr="003569BE">
        <w:rPr>
          <w:lang w:val="en-GB"/>
        </w:rPr>
        <w:t>esearch</w:t>
      </w:r>
      <w:bookmarkEnd w:id="74"/>
    </w:p>
    <w:p w:rsidR="00AE31BF" w:rsidRPr="003569BE" w:rsidRDefault="00AE31BF" w:rsidP="007756E6">
      <w:pPr>
        <w:spacing w:line="360" w:lineRule="auto"/>
        <w:rPr>
          <w:lang w:val="en-GB"/>
        </w:rPr>
      </w:pPr>
      <w:r w:rsidRPr="003569BE">
        <w:rPr>
          <w:lang w:val="en-GB"/>
        </w:rPr>
        <w:t>Probably the most important recommendation for future research is to address real earnings management in addition to</w:t>
      </w:r>
      <w:r w:rsidR="002843E6" w:rsidRPr="003569BE">
        <w:rPr>
          <w:lang w:val="en-GB"/>
        </w:rPr>
        <w:t xml:space="preserve"> the</w:t>
      </w:r>
      <w:r w:rsidRPr="003569BE">
        <w:rPr>
          <w:lang w:val="en-GB"/>
        </w:rPr>
        <w:t xml:space="preserve"> ac</w:t>
      </w:r>
      <w:r w:rsidR="0087287E" w:rsidRPr="003569BE">
        <w:rPr>
          <w:lang w:val="en-GB"/>
        </w:rPr>
        <w:t xml:space="preserve">crual based earnings management in the studies related to this topic. As </w:t>
      </w:r>
      <w:r w:rsidR="002843E6" w:rsidRPr="003569BE">
        <w:rPr>
          <w:lang w:val="en-GB"/>
        </w:rPr>
        <w:t>signalled</w:t>
      </w:r>
      <w:r w:rsidR="0087287E" w:rsidRPr="003569BE">
        <w:rPr>
          <w:lang w:val="en-GB"/>
        </w:rPr>
        <w:t xml:space="preserve"> before, </w:t>
      </w:r>
      <w:r w:rsidR="00521FCD" w:rsidRPr="003569BE">
        <w:rPr>
          <w:lang w:val="en-GB"/>
        </w:rPr>
        <w:t xml:space="preserve">including </w:t>
      </w:r>
      <w:r w:rsidR="0087287E" w:rsidRPr="003569BE">
        <w:rPr>
          <w:lang w:val="en-GB"/>
        </w:rPr>
        <w:t>real earnings management can h</w:t>
      </w:r>
      <w:r w:rsidR="00521FCD" w:rsidRPr="003569BE">
        <w:rPr>
          <w:lang w:val="en-GB"/>
        </w:rPr>
        <w:t xml:space="preserve">ave an essential impact in the research of this field, and could improve the validity of the academic research when studying the use of earnings management. </w:t>
      </w:r>
    </w:p>
    <w:p w:rsidR="00D55DC5" w:rsidRPr="003569BE" w:rsidRDefault="00D55DC5" w:rsidP="007756E6">
      <w:pPr>
        <w:spacing w:line="360" w:lineRule="auto"/>
        <w:rPr>
          <w:lang w:val="en-GB"/>
        </w:rPr>
      </w:pPr>
      <w:r w:rsidRPr="003569BE">
        <w:rPr>
          <w:lang w:val="en-GB"/>
        </w:rPr>
        <w:t>Another recommendation addresses the results of this thesis regarding hypothesis 2. This hypothes</w:t>
      </w:r>
      <w:r w:rsidR="003569BE">
        <w:rPr>
          <w:lang w:val="en-GB"/>
        </w:rPr>
        <w:t>i</w:t>
      </w:r>
      <w:r w:rsidRPr="003569BE">
        <w:rPr>
          <w:lang w:val="en-GB"/>
        </w:rPr>
        <w:t xml:space="preserve">s tested whether the amount of </w:t>
      </w:r>
      <w:r w:rsidR="00424F35">
        <w:rPr>
          <w:lang w:val="en-GB"/>
        </w:rPr>
        <w:t xml:space="preserve">the </w:t>
      </w:r>
      <w:r w:rsidRPr="003569BE">
        <w:rPr>
          <w:lang w:val="en-GB"/>
        </w:rPr>
        <w:t>discretionary accruals drops in the first year after an auditor rotation. A proper conclusion regarding this effect would significantly contribute to the understanding of the management’s behaviour in a mandatory audit firm rotation setting. Consequently, the recommendation is to investigate this effect using more extensive data in order to be able to form a reliable conclusion about the magnitude of the use of earnings management in the first year after a new auditor was appointed.</w:t>
      </w:r>
    </w:p>
    <w:p w:rsidR="00E24A98" w:rsidRPr="003569BE" w:rsidRDefault="00E24A98" w:rsidP="009A1A61">
      <w:pPr>
        <w:spacing w:line="360" w:lineRule="auto"/>
        <w:rPr>
          <w:lang w:val="en-GB"/>
        </w:rPr>
      </w:pPr>
    </w:p>
    <w:p w:rsidR="00437CEF" w:rsidRPr="003569BE" w:rsidRDefault="00437CEF" w:rsidP="00EC655F">
      <w:pPr>
        <w:pStyle w:val="Heading2"/>
        <w:spacing w:line="360" w:lineRule="auto"/>
        <w:rPr>
          <w:lang w:val="en-GB"/>
        </w:rPr>
      </w:pPr>
      <w:r w:rsidRPr="003569BE">
        <w:rPr>
          <w:lang w:val="en-GB"/>
        </w:rPr>
        <w:br w:type="page"/>
      </w:r>
    </w:p>
    <w:bookmarkStart w:id="75" w:name="_Toc396633607" w:displacedByCustomXml="next"/>
    <w:sdt>
      <w:sdtPr>
        <w:rPr>
          <w:rFonts w:asciiTheme="minorHAnsi" w:eastAsiaTheme="minorHAnsi" w:hAnsiTheme="minorHAnsi" w:cs="Times New Roman"/>
          <w:color w:val="auto"/>
          <w:sz w:val="24"/>
          <w:szCs w:val="24"/>
          <w:lang w:val="en-GB"/>
        </w:rPr>
        <w:id w:val="344605539"/>
        <w:docPartObj>
          <w:docPartGallery w:val="Bibliographies"/>
          <w:docPartUnique/>
        </w:docPartObj>
      </w:sdtPr>
      <w:sdtEndPr>
        <w:rPr>
          <w:rFonts w:ascii="Times New Roman" w:hAnsi="Times New Roman"/>
        </w:rPr>
      </w:sdtEndPr>
      <w:sdtContent>
        <w:p w:rsidR="004C6AD5" w:rsidRPr="003569BE" w:rsidRDefault="00F747B8" w:rsidP="00007CB9">
          <w:pPr>
            <w:pStyle w:val="Heading1"/>
            <w:spacing w:line="360" w:lineRule="auto"/>
            <w:rPr>
              <w:lang w:val="en-GB"/>
            </w:rPr>
          </w:pPr>
          <w:r w:rsidRPr="003569BE">
            <w:rPr>
              <w:lang w:val="en-GB"/>
            </w:rPr>
            <w:t>References</w:t>
          </w:r>
          <w:bookmarkEnd w:id="75"/>
        </w:p>
        <w:sdt>
          <w:sdtPr>
            <w:rPr>
              <w:rFonts w:cs="Times New Roman"/>
              <w:szCs w:val="24"/>
              <w:lang w:val="en-GB"/>
            </w:rPr>
            <w:id w:val="-573587230"/>
            <w:bibliography/>
          </w:sdtPr>
          <w:sdtContent>
            <w:p w:rsidR="008F7EB3" w:rsidRPr="003569BE" w:rsidRDefault="000E4BAF" w:rsidP="008F7EB3">
              <w:pPr>
                <w:pStyle w:val="Bibliography"/>
                <w:ind w:left="720" w:hanging="720"/>
                <w:rPr>
                  <w:noProof/>
                  <w:lang w:val="en-GB"/>
                </w:rPr>
              </w:pPr>
              <w:r w:rsidRPr="003569BE">
                <w:rPr>
                  <w:rFonts w:cs="Times New Roman"/>
                  <w:b/>
                  <w:bCs/>
                  <w:noProof/>
                  <w:lang w:val="en-GB"/>
                </w:rPr>
                <w:fldChar w:fldCharType="begin"/>
              </w:r>
              <w:r w:rsidR="00A534A2" w:rsidRPr="003569BE">
                <w:rPr>
                  <w:rFonts w:cs="Times New Roman"/>
                  <w:b/>
                  <w:bCs/>
                  <w:noProof/>
                  <w:lang w:val="en-GB"/>
                </w:rPr>
                <w:instrText xml:space="preserve"> BIBLIOGRAPHY \l 1048 </w:instrText>
              </w:r>
              <w:r w:rsidRPr="003569BE">
                <w:rPr>
                  <w:rFonts w:cs="Times New Roman"/>
                  <w:b/>
                  <w:bCs/>
                  <w:noProof/>
                  <w:lang w:val="en-GB"/>
                </w:rPr>
                <w:fldChar w:fldCharType="separate"/>
              </w:r>
              <w:r w:rsidR="008F7EB3" w:rsidRPr="003569BE">
                <w:rPr>
                  <w:noProof/>
                  <w:lang w:val="en-GB"/>
                </w:rPr>
                <w:t xml:space="preserve">Accountancynieuws. (2014, May 14). </w:t>
              </w:r>
              <w:r w:rsidR="008F7EB3" w:rsidRPr="003569BE">
                <w:rPr>
                  <w:i/>
                  <w:iCs/>
                  <w:noProof/>
                  <w:lang w:val="en-GB"/>
                </w:rPr>
                <w:t>www.accountancynieuws.nl</w:t>
              </w:r>
              <w:r w:rsidR="008F7EB3" w:rsidRPr="003569BE">
                <w:rPr>
                  <w:noProof/>
                  <w:lang w:val="en-GB"/>
                </w:rPr>
                <w:t>. Retrieved from Accountancynieuws: http://www.accountancynieuws.nl/actueel/accountancymarkt/verplichte-accountantsroulatie-bij-oob-s.133876.lynkx#.U99gu_mSySo</w:t>
              </w:r>
            </w:p>
            <w:p w:rsidR="008F7EB3" w:rsidRPr="003569BE" w:rsidRDefault="008F7EB3" w:rsidP="008F7EB3">
              <w:pPr>
                <w:pStyle w:val="Bibliography"/>
                <w:ind w:left="720" w:hanging="720"/>
                <w:rPr>
                  <w:noProof/>
                  <w:lang w:val="en-GB"/>
                </w:rPr>
              </w:pPr>
              <w:r w:rsidRPr="003569BE">
                <w:rPr>
                  <w:noProof/>
                  <w:lang w:val="en-GB"/>
                </w:rPr>
                <w:t xml:space="preserve">Arya, A., Glover, J., &amp; Sunder, S. (1998). Earnings Management and the Revelation Principle. </w:t>
              </w:r>
              <w:r w:rsidRPr="003569BE">
                <w:rPr>
                  <w:i/>
                  <w:iCs/>
                  <w:noProof/>
                  <w:lang w:val="en-GB"/>
                </w:rPr>
                <w:t>Review of Accounting Studies</w:t>
              </w:r>
              <w:r w:rsidRPr="003569BE">
                <w:rPr>
                  <w:noProof/>
                  <w:lang w:val="en-GB"/>
                </w:rPr>
                <w:t>, 7-34.</w:t>
              </w:r>
            </w:p>
            <w:p w:rsidR="008F7EB3" w:rsidRPr="003569BE" w:rsidRDefault="008F7EB3" w:rsidP="008F7EB3">
              <w:pPr>
                <w:pStyle w:val="Bibliography"/>
                <w:ind w:left="720" w:hanging="720"/>
                <w:rPr>
                  <w:noProof/>
                  <w:lang w:val="en-GB"/>
                </w:rPr>
              </w:pPr>
              <w:r w:rsidRPr="003569BE">
                <w:rPr>
                  <w:noProof/>
                  <w:lang w:val="en-GB"/>
                </w:rPr>
                <w:t xml:space="preserve">Becker, C., Defond, M., Jiambalvo, J., &amp; Subramanyam, K. (1998). The Effect of Audit Quality on Earnings Management. </w:t>
              </w:r>
              <w:r w:rsidRPr="003569BE">
                <w:rPr>
                  <w:i/>
                  <w:iCs/>
                  <w:noProof/>
                  <w:lang w:val="en-GB"/>
                </w:rPr>
                <w:t>Contemporary Accounting Research</w:t>
              </w:r>
              <w:r w:rsidRPr="003569BE">
                <w:rPr>
                  <w:noProof/>
                  <w:lang w:val="en-GB"/>
                </w:rPr>
                <w:t>, 1-24.</w:t>
              </w:r>
            </w:p>
            <w:p w:rsidR="008F7EB3" w:rsidRPr="003569BE" w:rsidRDefault="008F7EB3" w:rsidP="008F7EB3">
              <w:pPr>
                <w:pStyle w:val="Bibliography"/>
                <w:ind w:left="720" w:hanging="720"/>
                <w:rPr>
                  <w:noProof/>
                  <w:lang w:val="en-GB"/>
                </w:rPr>
              </w:pPr>
              <w:r w:rsidRPr="003569BE">
                <w:rPr>
                  <w:noProof/>
                  <w:lang w:val="en-GB"/>
                </w:rPr>
                <w:t xml:space="preserve">Beneish, M. (1997). Detecting GAAP violation: implications for assessing earnings management among firms with extreme financial performance. </w:t>
              </w:r>
              <w:r w:rsidRPr="003569BE">
                <w:rPr>
                  <w:i/>
                  <w:iCs/>
                  <w:noProof/>
                  <w:lang w:val="en-GB"/>
                </w:rPr>
                <w:t>Journal of Accounting and Public Policy</w:t>
              </w:r>
              <w:r w:rsidRPr="003569BE">
                <w:rPr>
                  <w:noProof/>
                  <w:lang w:val="en-GB"/>
                </w:rPr>
                <w:t>, 271–309.</w:t>
              </w:r>
            </w:p>
            <w:p w:rsidR="008F7EB3" w:rsidRPr="003569BE" w:rsidRDefault="008F7EB3" w:rsidP="008F7EB3">
              <w:pPr>
                <w:pStyle w:val="Bibliography"/>
                <w:ind w:left="720" w:hanging="720"/>
                <w:rPr>
                  <w:noProof/>
                  <w:lang w:val="en-GB"/>
                </w:rPr>
              </w:pPr>
              <w:r w:rsidRPr="003569BE">
                <w:rPr>
                  <w:noProof/>
                  <w:lang w:val="en-GB"/>
                </w:rPr>
                <w:t xml:space="preserve">Butler, M., Leone, A., &amp; Willenborg, M. (2004). An Empirical Analysis of Auditor Reporting and its Association with Abnormal Accruals. </w:t>
              </w:r>
              <w:r w:rsidRPr="003569BE">
                <w:rPr>
                  <w:i/>
                  <w:iCs/>
                  <w:noProof/>
                  <w:lang w:val="en-GB"/>
                </w:rPr>
                <w:t>Journal of Accounting and Economics</w:t>
              </w:r>
              <w:r w:rsidRPr="003569BE">
                <w:rPr>
                  <w:noProof/>
                  <w:lang w:val="en-GB"/>
                </w:rPr>
                <w:t>, 139-165.</w:t>
              </w:r>
            </w:p>
            <w:p w:rsidR="008F7EB3" w:rsidRPr="003569BE" w:rsidRDefault="008F7EB3" w:rsidP="008F7EB3">
              <w:pPr>
                <w:pStyle w:val="Bibliography"/>
                <w:ind w:left="720" w:hanging="720"/>
                <w:rPr>
                  <w:noProof/>
                  <w:lang w:val="en-GB"/>
                </w:rPr>
              </w:pPr>
              <w:r w:rsidRPr="003569BE">
                <w:rPr>
                  <w:noProof/>
                  <w:lang w:val="en-GB"/>
                </w:rPr>
                <w:t xml:space="preserve">Cameran, M., Merlotti, E., &amp; DiVincenzo, D. (2005). The Audit Firm Rotation Rule: A Review of the Literature. </w:t>
              </w:r>
              <w:r w:rsidRPr="003569BE">
                <w:rPr>
                  <w:i/>
                  <w:iCs/>
                  <w:noProof/>
                  <w:lang w:val="en-GB"/>
                </w:rPr>
                <w:t>SDA Bocconi Research Paper</w:t>
              </w:r>
              <w:r w:rsidRPr="003569BE">
                <w:rPr>
                  <w:noProof/>
                  <w:lang w:val="en-GB"/>
                </w:rPr>
                <w:t>, Available at: http://papers.ssrn.com/sol3/papers.cfm?abstract_id=825404.</w:t>
              </w:r>
            </w:p>
            <w:p w:rsidR="008F7EB3" w:rsidRPr="003569BE" w:rsidRDefault="008F7EB3" w:rsidP="008F7EB3">
              <w:pPr>
                <w:pStyle w:val="Bibliography"/>
                <w:ind w:left="720" w:hanging="720"/>
                <w:rPr>
                  <w:noProof/>
                  <w:lang w:val="en-GB"/>
                </w:rPr>
              </w:pPr>
              <w:r w:rsidRPr="003569BE">
                <w:rPr>
                  <w:noProof/>
                  <w:lang w:val="en-GB"/>
                </w:rPr>
                <w:t xml:space="preserve">Cameran, M., Prencipe, A., &amp; Trombetta, M. (2012). Mandatory Audit Firm Rotation and Audit Quality: Evidence from the Italian Setting. </w:t>
              </w:r>
              <w:r w:rsidRPr="003569BE">
                <w:rPr>
                  <w:i/>
                  <w:iCs/>
                  <w:noProof/>
                  <w:lang w:val="en-GB"/>
                </w:rPr>
                <w:t>Available at: http://www.uam.es/otros/catedraccc/docs/prencipe.pdf</w:t>
              </w:r>
              <w:r w:rsidRPr="003569BE">
                <w:rPr>
                  <w:noProof/>
                  <w:lang w:val="en-GB"/>
                </w:rPr>
                <w:t>.</w:t>
              </w:r>
            </w:p>
            <w:p w:rsidR="008F7EB3" w:rsidRPr="003569BE" w:rsidRDefault="008F7EB3" w:rsidP="008F7EB3">
              <w:pPr>
                <w:pStyle w:val="Bibliography"/>
                <w:ind w:left="720" w:hanging="720"/>
                <w:rPr>
                  <w:noProof/>
                  <w:lang w:val="en-GB"/>
                </w:rPr>
              </w:pPr>
              <w:r w:rsidRPr="003569BE">
                <w:rPr>
                  <w:noProof/>
                  <w:lang w:val="en-GB"/>
                </w:rPr>
                <w:t xml:space="preserve">Chen, C., Lin, C., &amp; Lin, Y. (2008). Audit Partner Tenure, Audit Firm Tenure, and Discretionary Accruals: Does Long Auditor Tenure Impair Earnings Quality? </w:t>
              </w:r>
              <w:r w:rsidRPr="003569BE">
                <w:rPr>
                  <w:i/>
                  <w:iCs/>
                  <w:noProof/>
                  <w:lang w:val="en-GB"/>
                </w:rPr>
                <w:t>Contemporary Accounting Research</w:t>
              </w:r>
              <w:r w:rsidRPr="003569BE">
                <w:rPr>
                  <w:noProof/>
                  <w:lang w:val="en-GB"/>
                </w:rPr>
                <w:t>, 415-445.</w:t>
              </w:r>
            </w:p>
            <w:p w:rsidR="008F7EB3" w:rsidRPr="003569BE" w:rsidRDefault="008F7EB3" w:rsidP="008F7EB3">
              <w:pPr>
                <w:pStyle w:val="Bibliography"/>
                <w:ind w:left="720" w:hanging="720"/>
                <w:rPr>
                  <w:noProof/>
                  <w:lang w:val="en-GB"/>
                </w:rPr>
              </w:pPr>
              <w:r w:rsidRPr="003569BE">
                <w:rPr>
                  <w:noProof/>
                  <w:lang w:val="en-GB"/>
                </w:rPr>
                <w:t xml:space="preserve">Cohen, D., &amp; Zarowin, P. (2010). Accrual-based and real earnings management activities around seasoned equity offerings. </w:t>
              </w:r>
              <w:r w:rsidRPr="003569BE">
                <w:rPr>
                  <w:i/>
                  <w:iCs/>
                  <w:noProof/>
                  <w:lang w:val="en-GB"/>
                </w:rPr>
                <w:t>Journal of Accounting and Economics</w:t>
              </w:r>
              <w:r w:rsidRPr="003569BE">
                <w:rPr>
                  <w:noProof/>
                  <w:lang w:val="en-GB"/>
                </w:rPr>
                <w:t>, 2-19.</w:t>
              </w:r>
            </w:p>
            <w:p w:rsidR="008F7EB3" w:rsidRPr="003569BE" w:rsidRDefault="008F7EB3" w:rsidP="008F7EB3">
              <w:pPr>
                <w:pStyle w:val="Bibliography"/>
                <w:ind w:left="720" w:hanging="720"/>
                <w:rPr>
                  <w:noProof/>
                  <w:lang w:val="en-GB"/>
                </w:rPr>
              </w:pPr>
              <w:r w:rsidRPr="003569BE">
                <w:rPr>
                  <w:noProof/>
                  <w:lang w:val="en-GB"/>
                </w:rPr>
                <w:t xml:space="preserve">Cohen, D., Dey, A., &amp; Lys, T. (2008). Real and Accrual Based Earnings Management in the Pre and Post Sarbanes Oxley Periods. </w:t>
              </w:r>
              <w:r w:rsidRPr="003569BE">
                <w:rPr>
                  <w:i/>
                  <w:iCs/>
                  <w:noProof/>
                  <w:lang w:val="en-GB"/>
                </w:rPr>
                <w:t>The Accounting Review</w:t>
              </w:r>
              <w:r w:rsidRPr="003569BE">
                <w:rPr>
                  <w:noProof/>
                  <w:lang w:val="en-GB"/>
                </w:rPr>
                <w:t>, 757-787.</w:t>
              </w:r>
            </w:p>
            <w:p w:rsidR="008F7EB3" w:rsidRPr="003569BE" w:rsidRDefault="008F7EB3" w:rsidP="008F7EB3">
              <w:pPr>
                <w:pStyle w:val="Bibliography"/>
                <w:ind w:left="720" w:hanging="720"/>
                <w:rPr>
                  <w:noProof/>
                  <w:lang w:val="en-GB"/>
                </w:rPr>
              </w:pPr>
              <w:r w:rsidRPr="003569BE">
                <w:rPr>
                  <w:noProof/>
                  <w:lang w:val="en-GB"/>
                </w:rPr>
                <w:t xml:space="preserve">Collins, D., &amp; Hribar, P. (2002). Errors in Estimating Accruals: Implications for Empirical Research. </w:t>
              </w:r>
              <w:r w:rsidRPr="003569BE">
                <w:rPr>
                  <w:i/>
                  <w:iCs/>
                  <w:noProof/>
                  <w:lang w:val="en-GB"/>
                </w:rPr>
                <w:t>Journal of Acccounting and Research</w:t>
              </w:r>
              <w:r w:rsidRPr="003569BE">
                <w:rPr>
                  <w:noProof/>
                  <w:lang w:val="en-GB"/>
                </w:rPr>
                <w:t>, 105-134.</w:t>
              </w:r>
            </w:p>
            <w:p w:rsidR="008F7EB3" w:rsidRPr="003569BE" w:rsidRDefault="008F7EB3" w:rsidP="008F7EB3">
              <w:pPr>
                <w:pStyle w:val="Bibliography"/>
                <w:ind w:left="720" w:hanging="720"/>
                <w:rPr>
                  <w:noProof/>
                  <w:lang w:val="en-GB"/>
                </w:rPr>
              </w:pPr>
              <w:r w:rsidRPr="003569BE">
                <w:rPr>
                  <w:noProof/>
                  <w:lang w:val="en-GB"/>
                </w:rPr>
                <w:t xml:space="preserve">Davis, L., Soo, B., &amp; Trompeter, G. (2000). Auditor Tenure, Auditor Independence and Earnings Management. </w:t>
              </w:r>
              <w:r w:rsidRPr="003569BE">
                <w:rPr>
                  <w:i/>
                  <w:iCs/>
                  <w:noProof/>
                  <w:lang w:val="en-GB"/>
                </w:rPr>
                <w:t>Available at: http://aaahq.org/audit/midyear/01midyear/papers/soo.pdf</w:t>
              </w:r>
              <w:r w:rsidRPr="003569BE">
                <w:rPr>
                  <w:noProof/>
                  <w:lang w:val="en-GB"/>
                </w:rPr>
                <w:t>.</w:t>
              </w:r>
            </w:p>
            <w:p w:rsidR="008F7EB3" w:rsidRPr="003569BE" w:rsidRDefault="008F7EB3" w:rsidP="008F7EB3">
              <w:pPr>
                <w:pStyle w:val="Bibliography"/>
                <w:ind w:left="720" w:hanging="720"/>
                <w:rPr>
                  <w:noProof/>
                  <w:lang w:val="en-GB"/>
                </w:rPr>
              </w:pPr>
              <w:r w:rsidRPr="003569BE">
                <w:rPr>
                  <w:noProof/>
                  <w:lang w:val="en-GB"/>
                </w:rPr>
                <w:t>Davis, L., Soo, B., &amp; Trompeter, G. (2000). Auditor Tenure, Auditor Independence and Earnings Management. Available at: http://aaahq.org/audit/midyear/01midyear/papers/soo.pdf.</w:t>
              </w:r>
            </w:p>
            <w:p w:rsidR="008F7EB3" w:rsidRPr="003569BE" w:rsidRDefault="008F7EB3" w:rsidP="008F7EB3">
              <w:pPr>
                <w:pStyle w:val="Bibliography"/>
                <w:ind w:left="720" w:hanging="720"/>
                <w:rPr>
                  <w:noProof/>
                  <w:lang w:val="en-GB"/>
                </w:rPr>
              </w:pPr>
              <w:r w:rsidRPr="003569BE">
                <w:rPr>
                  <w:noProof/>
                  <w:lang w:val="en-GB"/>
                </w:rPr>
                <w:t xml:space="preserve">DeAngelo, L. (1981). Auditor Size and Audit Quality. </w:t>
              </w:r>
              <w:r w:rsidRPr="003569BE">
                <w:rPr>
                  <w:i/>
                  <w:iCs/>
                  <w:noProof/>
                  <w:lang w:val="en-GB"/>
                </w:rPr>
                <w:t>Journal of Accounting and Economics</w:t>
              </w:r>
              <w:r w:rsidRPr="003569BE">
                <w:rPr>
                  <w:noProof/>
                  <w:lang w:val="en-GB"/>
                </w:rPr>
                <w:t>, 183-199.</w:t>
              </w:r>
            </w:p>
            <w:p w:rsidR="008F7EB3" w:rsidRPr="003569BE" w:rsidRDefault="008F7EB3" w:rsidP="008F7EB3">
              <w:pPr>
                <w:pStyle w:val="Bibliography"/>
                <w:ind w:left="720" w:hanging="720"/>
                <w:rPr>
                  <w:noProof/>
                  <w:lang w:val="en-GB"/>
                </w:rPr>
              </w:pPr>
              <w:r w:rsidRPr="003569BE">
                <w:rPr>
                  <w:noProof/>
                  <w:lang w:val="en-GB"/>
                </w:rPr>
                <w:lastRenderedPageBreak/>
                <w:t xml:space="preserve">DeAngelo, L. (1986). Accounting Numbers as Market Valuation Substitutes: A Study of Management Buyouts of Public Stockholders. </w:t>
              </w:r>
              <w:r w:rsidRPr="003569BE">
                <w:rPr>
                  <w:i/>
                  <w:iCs/>
                  <w:noProof/>
                  <w:lang w:val="en-GB"/>
                </w:rPr>
                <w:t>The Accounting Review</w:t>
              </w:r>
              <w:r w:rsidRPr="003569BE">
                <w:rPr>
                  <w:noProof/>
                  <w:lang w:val="en-GB"/>
                </w:rPr>
                <w:t>, 400-420.</w:t>
              </w:r>
            </w:p>
            <w:p w:rsidR="008F7EB3" w:rsidRPr="003569BE" w:rsidRDefault="008F7EB3" w:rsidP="008F7EB3">
              <w:pPr>
                <w:pStyle w:val="Bibliography"/>
                <w:ind w:left="720" w:hanging="720"/>
                <w:rPr>
                  <w:noProof/>
                  <w:lang w:val="en-GB"/>
                </w:rPr>
              </w:pPr>
              <w:r w:rsidRPr="003569BE">
                <w:rPr>
                  <w:noProof/>
                  <w:lang w:val="en-GB"/>
                </w:rPr>
                <w:t xml:space="preserve">Dechow, P., &amp; Skinner, D. (2000). Earnings Management: Reconciling the Views of Accounting Academics, Practitioners, and Regulators. </w:t>
              </w:r>
              <w:r w:rsidRPr="003569BE">
                <w:rPr>
                  <w:i/>
                  <w:iCs/>
                  <w:noProof/>
                  <w:lang w:val="en-GB"/>
                </w:rPr>
                <w:t>Accounting Horizons</w:t>
              </w:r>
              <w:r w:rsidRPr="003569BE">
                <w:rPr>
                  <w:noProof/>
                  <w:lang w:val="en-GB"/>
                </w:rPr>
                <w:t>, 235-250.</w:t>
              </w:r>
            </w:p>
            <w:p w:rsidR="008F7EB3" w:rsidRPr="003569BE" w:rsidRDefault="008F7EB3" w:rsidP="008F7EB3">
              <w:pPr>
                <w:pStyle w:val="Bibliography"/>
                <w:ind w:left="720" w:hanging="720"/>
                <w:rPr>
                  <w:noProof/>
                  <w:lang w:val="en-GB"/>
                </w:rPr>
              </w:pPr>
              <w:r w:rsidRPr="003569BE">
                <w:rPr>
                  <w:noProof/>
                  <w:lang w:val="en-GB"/>
                </w:rPr>
                <w:t xml:space="preserve">Dechow, P., Richardson, S., &amp; Tuna, I. (2003). Why are earnings kinky? An examination of the earnings management explanation. </w:t>
              </w:r>
              <w:r w:rsidRPr="003569BE">
                <w:rPr>
                  <w:i/>
                  <w:iCs/>
                  <w:noProof/>
                  <w:lang w:val="en-GB"/>
                </w:rPr>
                <w:t>Review of Accounting Studies</w:t>
              </w:r>
              <w:r w:rsidRPr="003569BE">
                <w:rPr>
                  <w:noProof/>
                  <w:lang w:val="en-GB"/>
                </w:rPr>
                <w:t>, 355-384.</w:t>
              </w:r>
            </w:p>
            <w:p w:rsidR="008F7EB3" w:rsidRPr="003569BE" w:rsidRDefault="008F7EB3" w:rsidP="008F7EB3">
              <w:pPr>
                <w:pStyle w:val="Bibliography"/>
                <w:ind w:left="720" w:hanging="720"/>
                <w:rPr>
                  <w:noProof/>
                  <w:lang w:val="en-GB"/>
                </w:rPr>
              </w:pPr>
              <w:r w:rsidRPr="003569BE">
                <w:rPr>
                  <w:noProof/>
                  <w:lang w:val="en-GB"/>
                </w:rPr>
                <w:t xml:space="preserve">Dechow, P., Sweeney, A., &amp; Sloan, R. (1995). Detecting earnings management. </w:t>
              </w:r>
              <w:r w:rsidRPr="003569BE">
                <w:rPr>
                  <w:i/>
                  <w:iCs/>
                  <w:noProof/>
                  <w:lang w:val="en-GB"/>
                </w:rPr>
                <w:t>The Accouting Review</w:t>
              </w:r>
              <w:r w:rsidRPr="003569BE">
                <w:rPr>
                  <w:noProof/>
                  <w:lang w:val="en-GB"/>
                </w:rPr>
                <w:t>, 193-225.</w:t>
              </w:r>
            </w:p>
            <w:p w:rsidR="008F7EB3" w:rsidRPr="003569BE" w:rsidRDefault="008F7EB3" w:rsidP="008F7EB3">
              <w:pPr>
                <w:pStyle w:val="Bibliography"/>
                <w:ind w:left="720" w:hanging="720"/>
                <w:rPr>
                  <w:noProof/>
                  <w:lang w:val="en-GB"/>
                </w:rPr>
              </w:pPr>
              <w:r w:rsidRPr="003569BE">
                <w:rPr>
                  <w:noProof/>
                  <w:lang w:val="en-GB"/>
                </w:rPr>
                <w:t xml:space="preserve">Deegan, C., &amp; Unerman, J. (2011). </w:t>
              </w:r>
              <w:r w:rsidRPr="003569BE">
                <w:rPr>
                  <w:i/>
                  <w:iCs/>
                  <w:noProof/>
                  <w:lang w:val="en-GB"/>
                </w:rPr>
                <w:t>Financial Accounting Theory.</w:t>
              </w:r>
              <w:r w:rsidRPr="003569BE">
                <w:rPr>
                  <w:noProof/>
                  <w:lang w:val="en-GB"/>
                </w:rPr>
                <w:t xml:space="preserve"> Maidenhead, Berkshire, United Kindom: McGraw-Hill Education.</w:t>
              </w:r>
            </w:p>
            <w:p w:rsidR="008F7EB3" w:rsidRPr="003569BE" w:rsidRDefault="008F7EB3" w:rsidP="008F7EB3">
              <w:pPr>
                <w:pStyle w:val="Bibliography"/>
                <w:ind w:left="720" w:hanging="720"/>
                <w:rPr>
                  <w:noProof/>
                  <w:lang w:val="en-GB"/>
                </w:rPr>
              </w:pPr>
              <w:r w:rsidRPr="003569BE">
                <w:rPr>
                  <w:noProof/>
                  <w:lang w:val="en-GB"/>
                </w:rPr>
                <w:t xml:space="preserve">Deis, D., &amp; Giroux, G. (1992). Determinants of Audit Quality in the Public Sector. </w:t>
              </w:r>
              <w:r w:rsidRPr="003569BE">
                <w:rPr>
                  <w:i/>
                  <w:iCs/>
                  <w:noProof/>
                  <w:lang w:val="en-GB"/>
                </w:rPr>
                <w:t>The Accounting Review</w:t>
              </w:r>
              <w:r w:rsidRPr="003569BE">
                <w:rPr>
                  <w:noProof/>
                  <w:lang w:val="en-GB"/>
                </w:rPr>
                <w:t>, 462-479.</w:t>
              </w:r>
            </w:p>
            <w:p w:rsidR="008F7EB3" w:rsidRPr="003569BE" w:rsidRDefault="008F7EB3" w:rsidP="008F7EB3">
              <w:pPr>
                <w:pStyle w:val="Bibliography"/>
                <w:ind w:left="720" w:hanging="720"/>
                <w:rPr>
                  <w:noProof/>
                  <w:lang w:val="en-GB"/>
                </w:rPr>
              </w:pPr>
              <w:r w:rsidRPr="003569BE">
                <w:rPr>
                  <w:noProof/>
                  <w:lang w:val="en-GB"/>
                </w:rPr>
                <w:t xml:space="preserve">European Commission. (2011). </w:t>
              </w:r>
              <w:r w:rsidRPr="003569BE">
                <w:rPr>
                  <w:i/>
                  <w:iCs/>
                  <w:noProof/>
                  <w:lang w:val="en-GB"/>
                </w:rPr>
                <w:t>Proposal for a Regulation of the European Parliament and of the council on specific requirements regarding statutory audits of public-interest entities.</w:t>
              </w:r>
              <w:r w:rsidRPr="003569BE">
                <w:rPr>
                  <w:noProof/>
                  <w:lang w:val="en-GB"/>
                </w:rPr>
                <w:t xml:space="preserve"> Available at: http://ec.europa.eu/internal_market/auditing/docs/reform/regulation_en.pdf: European Commission.</w:t>
              </w:r>
            </w:p>
            <w:p w:rsidR="008F7EB3" w:rsidRPr="003569BE" w:rsidRDefault="008F7EB3" w:rsidP="008F7EB3">
              <w:pPr>
                <w:pStyle w:val="Bibliography"/>
                <w:ind w:left="720" w:hanging="720"/>
                <w:rPr>
                  <w:noProof/>
                  <w:lang w:val="en-GB"/>
                </w:rPr>
              </w:pPr>
              <w:r w:rsidRPr="003569BE">
                <w:rPr>
                  <w:noProof/>
                  <w:lang w:val="en-GB"/>
                </w:rPr>
                <w:t xml:space="preserve">GAO. (2003). </w:t>
              </w:r>
              <w:r w:rsidRPr="003569BE">
                <w:rPr>
                  <w:i/>
                  <w:iCs/>
                  <w:noProof/>
                  <w:lang w:val="en-GB"/>
                </w:rPr>
                <w:t>Required Study on the Potential Effectss of Mandatory Audit Firm Rotation.</w:t>
              </w:r>
              <w:r w:rsidRPr="003569BE">
                <w:rPr>
                  <w:noProof/>
                  <w:lang w:val="en-GB"/>
                </w:rPr>
                <w:t xml:space="preserve"> Available at: http://www.gao.gov/assets/250/240736.pdf: General Accounting Office.</w:t>
              </w:r>
            </w:p>
            <w:p w:rsidR="008F7EB3" w:rsidRPr="003569BE" w:rsidRDefault="008F7EB3" w:rsidP="008F7EB3">
              <w:pPr>
                <w:pStyle w:val="Bibliography"/>
                <w:ind w:left="720" w:hanging="720"/>
                <w:rPr>
                  <w:noProof/>
                  <w:lang w:val="en-GB"/>
                </w:rPr>
              </w:pPr>
              <w:r w:rsidRPr="003569BE">
                <w:rPr>
                  <w:noProof/>
                  <w:lang w:val="en-GB"/>
                </w:rPr>
                <w:t xml:space="preserve">GAO. (2008). </w:t>
              </w:r>
              <w:r w:rsidRPr="003569BE">
                <w:rPr>
                  <w:i/>
                  <w:iCs/>
                  <w:noProof/>
                  <w:lang w:val="en-GB"/>
                </w:rPr>
                <w:t>Continued concentration in audit market for large public companies does not call for immediate action.</w:t>
              </w:r>
              <w:r w:rsidRPr="003569BE">
                <w:rPr>
                  <w:noProof/>
                  <w:lang w:val="en-GB"/>
                </w:rPr>
                <w:t xml:space="preserve"> Available at: http://www.gao.gov/assets/280/270953.pdf: Government Accountability Office.</w:t>
              </w:r>
            </w:p>
            <w:p w:rsidR="008F7EB3" w:rsidRPr="003569BE" w:rsidRDefault="008F7EB3" w:rsidP="008F7EB3">
              <w:pPr>
                <w:pStyle w:val="Bibliography"/>
                <w:ind w:left="720" w:hanging="720"/>
                <w:rPr>
                  <w:noProof/>
                  <w:lang w:val="en-GB"/>
                </w:rPr>
              </w:pPr>
              <w:r w:rsidRPr="003569BE">
                <w:rPr>
                  <w:noProof/>
                  <w:lang w:val="en-GB"/>
                </w:rPr>
                <w:t xml:space="preserve">Gordon, T., &amp; Porter, J. (2009). Reading and Understanding Academic Research in Accounting: A Guide for Students. </w:t>
              </w:r>
              <w:r w:rsidRPr="003569BE">
                <w:rPr>
                  <w:i/>
                  <w:iCs/>
                  <w:noProof/>
                  <w:lang w:val="en-GB"/>
                </w:rPr>
                <w:t>Global Perspectives on Accounting Education</w:t>
              </w:r>
              <w:r w:rsidRPr="003569BE">
                <w:rPr>
                  <w:noProof/>
                  <w:lang w:val="en-GB"/>
                </w:rPr>
                <w:t>, 25-45.</w:t>
              </w:r>
            </w:p>
            <w:p w:rsidR="008F7EB3" w:rsidRPr="003569BE" w:rsidRDefault="008F7EB3" w:rsidP="008F7EB3">
              <w:pPr>
                <w:pStyle w:val="Bibliography"/>
                <w:ind w:left="720" w:hanging="720"/>
                <w:rPr>
                  <w:noProof/>
                  <w:lang w:val="en-GB"/>
                </w:rPr>
              </w:pPr>
              <w:r w:rsidRPr="003569BE">
                <w:rPr>
                  <w:noProof/>
                  <w:lang w:val="en-GB"/>
                </w:rPr>
                <w:t xml:space="preserve">Graham, J., Harvey, C., &amp; Rajgopal, S. (2005). The economic implications of corporate financial reporting. </w:t>
              </w:r>
              <w:r w:rsidRPr="003569BE">
                <w:rPr>
                  <w:i/>
                  <w:iCs/>
                  <w:noProof/>
                  <w:lang w:val="en-GB"/>
                </w:rPr>
                <w:t>Journal of Accounting and Economics</w:t>
              </w:r>
              <w:r w:rsidRPr="003569BE">
                <w:rPr>
                  <w:noProof/>
                  <w:lang w:val="en-GB"/>
                </w:rPr>
                <w:t>, 3-73.</w:t>
              </w:r>
            </w:p>
            <w:p w:rsidR="008F7EB3" w:rsidRPr="003569BE" w:rsidRDefault="008F7EB3" w:rsidP="008F7EB3">
              <w:pPr>
                <w:pStyle w:val="Bibliography"/>
                <w:ind w:left="720" w:hanging="720"/>
                <w:rPr>
                  <w:noProof/>
                  <w:lang w:val="en-GB"/>
                </w:rPr>
              </w:pPr>
              <w:r w:rsidRPr="003569BE">
                <w:rPr>
                  <w:noProof/>
                  <w:lang w:val="en-GB"/>
                </w:rPr>
                <w:t xml:space="preserve">Healey. (2004, March 12). The Best Safeguard Against Financial Scandal. </w:t>
              </w:r>
              <w:r w:rsidRPr="003569BE">
                <w:rPr>
                  <w:i/>
                  <w:iCs/>
                  <w:noProof/>
                  <w:lang w:val="en-GB"/>
                </w:rPr>
                <w:t>Financial Times</w:t>
              </w:r>
              <w:r w:rsidRPr="003569BE">
                <w:rPr>
                  <w:noProof/>
                  <w:lang w:val="en-GB"/>
                </w:rPr>
                <w:t>, p. 15.</w:t>
              </w:r>
            </w:p>
            <w:p w:rsidR="008F7EB3" w:rsidRPr="003569BE" w:rsidRDefault="008F7EB3" w:rsidP="008F7EB3">
              <w:pPr>
                <w:pStyle w:val="Bibliography"/>
                <w:ind w:left="720" w:hanging="720"/>
                <w:rPr>
                  <w:noProof/>
                  <w:lang w:val="en-GB"/>
                </w:rPr>
              </w:pPr>
              <w:r w:rsidRPr="003569BE">
                <w:rPr>
                  <w:noProof/>
                  <w:lang w:val="en-GB"/>
                </w:rPr>
                <w:t xml:space="preserve">Healey, T., &amp; Kim, Y. (2003). The Benefits of Mandatory Auditor Rotation. </w:t>
              </w:r>
              <w:r w:rsidRPr="003569BE">
                <w:rPr>
                  <w:i/>
                  <w:iCs/>
                  <w:noProof/>
                  <w:lang w:val="en-GB"/>
                </w:rPr>
                <w:t>Regulation 26</w:t>
              </w:r>
              <w:r w:rsidRPr="003569BE">
                <w:rPr>
                  <w:noProof/>
                  <w:lang w:val="en-GB"/>
                </w:rPr>
                <w:t>, 10.</w:t>
              </w:r>
            </w:p>
            <w:p w:rsidR="008F7EB3" w:rsidRPr="003569BE" w:rsidRDefault="008F7EB3" w:rsidP="008F7EB3">
              <w:pPr>
                <w:pStyle w:val="Bibliography"/>
                <w:ind w:left="720" w:hanging="720"/>
                <w:rPr>
                  <w:noProof/>
                  <w:lang w:val="en-GB"/>
                </w:rPr>
              </w:pPr>
              <w:r w:rsidRPr="003569BE">
                <w:rPr>
                  <w:noProof/>
                  <w:lang w:val="en-GB"/>
                </w:rPr>
                <w:t xml:space="preserve">Healy, P. (1985). The Impact of Bonus Schemes on the Selection of Accounting Principles. </w:t>
              </w:r>
              <w:r w:rsidRPr="003569BE">
                <w:rPr>
                  <w:i/>
                  <w:iCs/>
                  <w:noProof/>
                  <w:lang w:val="en-GB"/>
                </w:rPr>
                <w:t>Journal of Accounting and Economics</w:t>
              </w:r>
              <w:r w:rsidRPr="003569BE">
                <w:rPr>
                  <w:noProof/>
                  <w:lang w:val="en-GB"/>
                </w:rPr>
                <w:t>, 85-107.</w:t>
              </w:r>
            </w:p>
            <w:p w:rsidR="008F7EB3" w:rsidRPr="003569BE" w:rsidRDefault="008F7EB3" w:rsidP="008F7EB3">
              <w:pPr>
                <w:pStyle w:val="Bibliography"/>
                <w:ind w:left="720" w:hanging="720"/>
                <w:rPr>
                  <w:noProof/>
                  <w:lang w:val="en-GB"/>
                </w:rPr>
              </w:pPr>
              <w:r w:rsidRPr="003569BE">
                <w:rPr>
                  <w:noProof/>
                  <w:lang w:val="en-GB"/>
                </w:rPr>
                <w:t xml:space="preserve">Healy, P., &amp; Whalen, J. (1999). A review of the earnings management literature and its implications for standard setting. </w:t>
              </w:r>
              <w:r w:rsidRPr="003569BE">
                <w:rPr>
                  <w:i/>
                  <w:iCs/>
                  <w:noProof/>
                  <w:lang w:val="en-GB"/>
                </w:rPr>
                <w:t>Accounting Horizons 13</w:t>
              </w:r>
              <w:r w:rsidRPr="003569BE">
                <w:rPr>
                  <w:noProof/>
                  <w:lang w:val="en-GB"/>
                </w:rPr>
                <w:t>, 365-383.</w:t>
              </w:r>
            </w:p>
            <w:p w:rsidR="008F7EB3" w:rsidRPr="003569BE" w:rsidRDefault="008F7EB3" w:rsidP="008F7EB3">
              <w:pPr>
                <w:pStyle w:val="Bibliography"/>
                <w:ind w:left="720" w:hanging="720"/>
                <w:rPr>
                  <w:noProof/>
                  <w:lang w:val="en-GB"/>
                </w:rPr>
              </w:pPr>
              <w:r w:rsidRPr="003569BE">
                <w:rPr>
                  <w:noProof/>
                  <w:lang w:val="en-GB"/>
                </w:rPr>
                <w:t xml:space="preserve">Jackson, A., Moldrich, M., &amp; Roebuck, P. (2008). Mandatory Audit Firm Rotation and Audit Quality. </w:t>
              </w:r>
              <w:r w:rsidRPr="003569BE">
                <w:rPr>
                  <w:i/>
                  <w:iCs/>
                  <w:noProof/>
                  <w:lang w:val="en-GB"/>
                </w:rPr>
                <w:t>Managerial Auditing Journal</w:t>
              </w:r>
              <w:r w:rsidRPr="003569BE">
                <w:rPr>
                  <w:noProof/>
                  <w:lang w:val="en-GB"/>
                </w:rPr>
                <w:t>, 420-437.</w:t>
              </w:r>
            </w:p>
            <w:p w:rsidR="008F7EB3" w:rsidRPr="003569BE" w:rsidRDefault="008F7EB3" w:rsidP="008F7EB3">
              <w:pPr>
                <w:pStyle w:val="Bibliography"/>
                <w:ind w:left="720" w:hanging="720"/>
                <w:rPr>
                  <w:noProof/>
                  <w:lang w:val="en-GB"/>
                </w:rPr>
              </w:pPr>
              <w:r w:rsidRPr="003569BE">
                <w:rPr>
                  <w:noProof/>
                  <w:lang w:val="en-GB"/>
                </w:rPr>
                <w:lastRenderedPageBreak/>
                <w:t xml:space="preserve">Jensen, M., &amp; Meckling, W. (1976). Theory of the Firm: Managerial Behavior, Agency Costs and Ownership Structure. </w:t>
              </w:r>
              <w:r w:rsidRPr="003569BE">
                <w:rPr>
                  <w:i/>
                  <w:iCs/>
                  <w:noProof/>
                  <w:lang w:val="en-GB"/>
                </w:rPr>
                <w:t>Journal of Financial Economics</w:t>
              </w:r>
              <w:r w:rsidRPr="003569BE">
                <w:rPr>
                  <w:noProof/>
                  <w:lang w:val="en-GB"/>
                </w:rPr>
                <w:t>, 305-360.</w:t>
              </w:r>
            </w:p>
            <w:p w:rsidR="008F7EB3" w:rsidRPr="003569BE" w:rsidRDefault="008F7EB3" w:rsidP="008F7EB3">
              <w:pPr>
                <w:pStyle w:val="Bibliography"/>
                <w:ind w:left="720" w:hanging="720"/>
                <w:rPr>
                  <w:noProof/>
                  <w:lang w:val="en-GB"/>
                </w:rPr>
              </w:pPr>
              <w:r w:rsidRPr="003569BE">
                <w:rPr>
                  <w:noProof/>
                  <w:lang w:val="en-GB"/>
                </w:rPr>
                <w:t xml:space="preserve">Jones, J. (1991). Earnings Management During Import Relief Investigations. </w:t>
              </w:r>
              <w:r w:rsidRPr="003569BE">
                <w:rPr>
                  <w:i/>
                  <w:iCs/>
                  <w:noProof/>
                  <w:lang w:val="en-GB"/>
                </w:rPr>
                <w:t>Journal of Accounting Research</w:t>
              </w:r>
              <w:r w:rsidRPr="003569BE">
                <w:rPr>
                  <w:noProof/>
                  <w:lang w:val="en-GB"/>
                </w:rPr>
                <w:t>, 193-228.</w:t>
              </w:r>
            </w:p>
            <w:p w:rsidR="008F7EB3" w:rsidRPr="003569BE" w:rsidRDefault="008F7EB3" w:rsidP="008F7EB3">
              <w:pPr>
                <w:pStyle w:val="Bibliography"/>
                <w:ind w:left="720" w:hanging="720"/>
                <w:rPr>
                  <w:noProof/>
                  <w:lang w:val="en-GB"/>
                </w:rPr>
              </w:pPr>
              <w:r w:rsidRPr="003569BE">
                <w:rPr>
                  <w:noProof/>
                  <w:lang w:val="en-GB"/>
                </w:rPr>
                <w:t xml:space="preserve">Kothari, S. (2001). Capital Market Research in Accountin. </w:t>
              </w:r>
              <w:r w:rsidRPr="003569BE">
                <w:rPr>
                  <w:i/>
                  <w:iCs/>
                  <w:noProof/>
                  <w:lang w:val="en-GB"/>
                </w:rPr>
                <w:t>Journal of Accounting and Economics</w:t>
              </w:r>
              <w:r w:rsidRPr="003569BE">
                <w:rPr>
                  <w:noProof/>
                  <w:lang w:val="en-GB"/>
                </w:rPr>
                <w:t>, 105-231.</w:t>
              </w:r>
            </w:p>
            <w:p w:rsidR="008F7EB3" w:rsidRPr="003569BE" w:rsidRDefault="008F7EB3" w:rsidP="008F7EB3">
              <w:pPr>
                <w:pStyle w:val="Bibliography"/>
                <w:ind w:left="720" w:hanging="720"/>
                <w:rPr>
                  <w:noProof/>
                  <w:lang w:val="en-GB"/>
                </w:rPr>
              </w:pPr>
              <w:r w:rsidRPr="003569BE">
                <w:rPr>
                  <w:noProof/>
                  <w:lang w:val="en-GB"/>
                </w:rPr>
                <w:t xml:space="preserve">Kothari, S., Leone, A., &amp; Wasley, C. (2005). Performance Matched Discretionary Accruals Measures. </w:t>
              </w:r>
              <w:r w:rsidRPr="003569BE">
                <w:rPr>
                  <w:i/>
                  <w:iCs/>
                  <w:noProof/>
                  <w:lang w:val="en-GB"/>
                </w:rPr>
                <w:t>Journal of Accounting and Economics</w:t>
              </w:r>
              <w:r w:rsidRPr="003569BE">
                <w:rPr>
                  <w:noProof/>
                  <w:lang w:val="en-GB"/>
                </w:rPr>
                <w:t>, 163-197.</w:t>
              </w:r>
            </w:p>
            <w:p w:rsidR="008F7EB3" w:rsidRPr="003569BE" w:rsidRDefault="008F7EB3" w:rsidP="008F7EB3">
              <w:pPr>
                <w:pStyle w:val="Bibliography"/>
                <w:ind w:left="720" w:hanging="720"/>
                <w:rPr>
                  <w:noProof/>
                  <w:lang w:val="en-GB"/>
                </w:rPr>
              </w:pPr>
              <w:r w:rsidRPr="003569BE">
                <w:rPr>
                  <w:noProof/>
                  <w:lang w:val="en-GB"/>
                </w:rPr>
                <w:t xml:space="preserve">Li, S., McDowell, E., &amp; Moore, E. (2008). Accrual Based Earnings Management, Real Transactions Manipulation and Expectations Management: U.S. and International Evidence. </w:t>
              </w:r>
              <w:r w:rsidRPr="003569BE">
                <w:rPr>
                  <w:i/>
                  <w:iCs/>
                  <w:noProof/>
                  <w:lang w:val="en-GB"/>
                </w:rPr>
                <w:t>Journal of Global Business Management</w:t>
              </w:r>
              <w:r w:rsidRPr="003569BE">
                <w:rPr>
                  <w:noProof/>
                  <w:lang w:val="en-GB"/>
                </w:rPr>
                <w:t>, Available at: http://www.jgbm.org/page/32%20Sherry%20Fang%20Li.pdf.</w:t>
              </w:r>
            </w:p>
            <w:p w:rsidR="008F7EB3" w:rsidRPr="003569BE" w:rsidRDefault="008F7EB3" w:rsidP="008F7EB3">
              <w:pPr>
                <w:pStyle w:val="Bibliography"/>
                <w:ind w:left="720" w:hanging="720"/>
                <w:rPr>
                  <w:noProof/>
                  <w:lang w:val="en-GB"/>
                </w:rPr>
              </w:pPr>
              <w:r w:rsidRPr="003569BE">
                <w:rPr>
                  <w:noProof/>
                  <w:lang w:val="en-GB"/>
                </w:rPr>
                <w:t xml:space="preserve">Libby, R. (1981). </w:t>
              </w:r>
              <w:r w:rsidRPr="003569BE">
                <w:rPr>
                  <w:i/>
                  <w:iCs/>
                  <w:noProof/>
                  <w:lang w:val="en-GB"/>
                </w:rPr>
                <w:t>Accounting and Human Information Processing: Theory and Applications.</w:t>
              </w:r>
              <w:r w:rsidRPr="003569BE">
                <w:rPr>
                  <w:noProof/>
                  <w:lang w:val="en-GB"/>
                </w:rPr>
                <w:t xml:space="preserve"> University of Michigan: Prentice-Hall.</w:t>
              </w:r>
            </w:p>
            <w:p w:rsidR="008F7EB3" w:rsidRPr="003569BE" w:rsidRDefault="008F7EB3" w:rsidP="008F7EB3">
              <w:pPr>
                <w:pStyle w:val="Bibliography"/>
                <w:ind w:left="720" w:hanging="720"/>
                <w:rPr>
                  <w:noProof/>
                  <w:lang w:val="en-GB"/>
                </w:rPr>
              </w:pPr>
              <w:r w:rsidRPr="003569BE">
                <w:rPr>
                  <w:noProof/>
                  <w:lang w:val="en-GB"/>
                </w:rPr>
                <w:t xml:space="preserve">McKee, T. (2005). </w:t>
              </w:r>
              <w:r w:rsidRPr="003569BE">
                <w:rPr>
                  <w:i/>
                  <w:iCs/>
                  <w:noProof/>
                  <w:lang w:val="en-GB"/>
                </w:rPr>
                <w:t>Earnings Management: an executive perspective.</w:t>
              </w:r>
              <w:r w:rsidRPr="003569BE">
                <w:rPr>
                  <w:noProof/>
                  <w:lang w:val="en-GB"/>
                </w:rPr>
                <w:t xml:space="preserve"> Stamford, Connecticut, United States of America: Division of Thomson Learning.</w:t>
              </w:r>
            </w:p>
            <w:p w:rsidR="008F7EB3" w:rsidRPr="003569BE" w:rsidRDefault="008F7EB3" w:rsidP="008F7EB3">
              <w:pPr>
                <w:pStyle w:val="Bibliography"/>
                <w:ind w:left="720" w:hanging="720"/>
                <w:rPr>
                  <w:noProof/>
                  <w:lang w:val="en-GB"/>
                </w:rPr>
              </w:pPr>
              <w:r w:rsidRPr="003569BE">
                <w:rPr>
                  <w:noProof/>
                  <w:lang w:val="en-GB"/>
                </w:rPr>
                <w:t xml:space="preserve">McNichols. (2002). Discussion of the Quality of Accruals and Earnings: The Role of Accrual Estimation Errors. </w:t>
              </w:r>
              <w:r w:rsidRPr="003569BE">
                <w:rPr>
                  <w:i/>
                  <w:iCs/>
                  <w:noProof/>
                  <w:lang w:val="en-GB"/>
                </w:rPr>
                <w:t>The Accounting Review</w:t>
              </w:r>
              <w:r w:rsidRPr="003569BE">
                <w:rPr>
                  <w:noProof/>
                  <w:lang w:val="en-GB"/>
                </w:rPr>
                <w:t>, 61-69.</w:t>
              </w:r>
            </w:p>
            <w:p w:rsidR="008F7EB3" w:rsidRPr="003569BE" w:rsidRDefault="008F7EB3" w:rsidP="008F7EB3">
              <w:pPr>
                <w:pStyle w:val="Bibliography"/>
                <w:ind w:left="720" w:hanging="720"/>
                <w:rPr>
                  <w:noProof/>
                  <w:lang w:val="en-GB"/>
                </w:rPr>
              </w:pPr>
              <w:r w:rsidRPr="003569BE">
                <w:rPr>
                  <w:noProof/>
                  <w:lang w:val="en-GB"/>
                </w:rPr>
                <w:t xml:space="preserve">McNichols, M., &amp; Wilson, G. (1988). Evidence of Earnings Management from the Provision for Bad Debts. </w:t>
              </w:r>
              <w:r w:rsidRPr="003569BE">
                <w:rPr>
                  <w:i/>
                  <w:iCs/>
                  <w:noProof/>
                  <w:lang w:val="en-GB"/>
                </w:rPr>
                <w:t>Journal of Accounting Research</w:t>
              </w:r>
              <w:r w:rsidRPr="003569BE">
                <w:rPr>
                  <w:noProof/>
                  <w:lang w:val="en-GB"/>
                </w:rPr>
                <w:t>, 1-31.</w:t>
              </w:r>
            </w:p>
            <w:p w:rsidR="008F7EB3" w:rsidRPr="003569BE" w:rsidRDefault="008F7EB3" w:rsidP="008F7EB3">
              <w:pPr>
                <w:pStyle w:val="Bibliography"/>
                <w:ind w:left="720" w:hanging="720"/>
                <w:rPr>
                  <w:noProof/>
                  <w:lang w:val="en-GB"/>
                </w:rPr>
              </w:pPr>
              <w:r w:rsidRPr="003569BE">
                <w:rPr>
                  <w:noProof/>
                  <w:lang w:val="en-GB"/>
                </w:rPr>
                <w:t xml:space="preserve">Myers, J., Myers, L., &amp; Omer, T. (2003). Exploring the Term of the Auditor-Client Relationship and the Quality of Earnings: A Case for Mandatory Auditor Rotation? </w:t>
              </w:r>
              <w:r w:rsidRPr="003569BE">
                <w:rPr>
                  <w:i/>
                  <w:iCs/>
                  <w:noProof/>
                  <w:lang w:val="en-GB"/>
                </w:rPr>
                <w:t>The Accounting Review</w:t>
              </w:r>
              <w:r w:rsidRPr="003569BE">
                <w:rPr>
                  <w:noProof/>
                  <w:lang w:val="en-GB"/>
                </w:rPr>
                <w:t>, 779-799.</w:t>
              </w:r>
            </w:p>
            <w:p w:rsidR="008F7EB3" w:rsidRPr="003569BE" w:rsidRDefault="008F7EB3" w:rsidP="008F7EB3">
              <w:pPr>
                <w:pStyle w:val="Bibliography"/>
                <w:ind w:left="720" w:hanging="720"/>
                <w:rPr>
                  <w:noProof/>
                  <w:lang w:val="en-GB"/>
                </w:rPr>
              </w:pPr>
              <w:r w:rsidRPr="003569BE">
                <w:rPr>
                  <w:noProof/>
                  <w:lang w:val="en-GB"/>
                </w:rPr>
                <w:t xml:space="preserve">PCAOB. (2011). </w:t>
              </w:r>
              <w:r w:rsidRPr="003569BE">
                <w:rPr>
                  <w:i/>
                  <w:iCs/>
                  <w:noProof/>
                  <w:lang w:val="en-GB"/>
                </w:rPr>
                <w:t>Concept Release on Auditor Independence and Audit Firm Rotation (PCAOB Release No. 2011-006, August 16, 2011; PCAOB Rulemaking Docket Matter No. 37).</w:t>
              </w:r>
              <w:r w:rsidRPr="003569BE">
                <w:rPr>
                  <w:noProof/>
                  <w:lang w:val="en-GB"/>
                </w:rPr>
                <w:t xml:space="preserve"> Available at: http://pcaobus.org/Rules/Rulemaking/Docket037/Release_2011-006.pdf: Public Company Accounting Oversight Board.</w:t>
              </w:r>
            </w:p>
            <w:p w:rsidR="008F7EB3" w:rsidRPr="003569BE" w:rsidRDefault="008F7EB3" w:rsidP="008F7EB3">
              <w:pPr>
                <w:pStyle w:val="Bibliography"/>
                <w:ind w:left="720" w:hanging="720"/>
                <w:rPr>
                  <w:noProof/>
                  <w:lang w:val="en-GB"/>
                </w:rPr>
              </w:pPr>
              <w:r w:rsidRPr="003569BE">
                <w:rPr>
                  <w:noProof/>
                  <w:lang w:val="en-GB"/>
                </w:rPr>
                <w:t xml:space="preserve">Raiborn, C., Schorg, C., &amp; Massoud, M. (2006). Should Auditor Rotation Be Mandatory? </w:t>
              </w:r>
              <w:r w:rsidRPr="003569BE">
                <w:rPr>
                  <w:i/>
                  <w:iCs/>
                  <w:noProof/>
                  <w:lang w:val="en-GB"/>
                </w:rPr>
                <w:t>Journal of Corporate Accounting &amp; Finance</w:t>
              </w:r>
              <w:r w:rsidRPr="003569BE">
                <w:rPr>
                  <w:noProof/>
                  <w:lang w:val="en-GB"/>
                </w:rPr>
                <w:t>, 37-49.</w:t>
              </w:r>
            </w:p>
            <w:p w:rsidR="008F7EB3" w:rsidRPr="003569BE" w:rsidRDefault="008F7EB3" w:rsidP="008F7EB3">
              <w:pPr>
                <w:pStyle w:val="Bibliography"/>
                <w:ind w:left="720" w:hanging="720"/>
                <w:rPr>
                  <w:noProof/>
                  <w:lang w:val="en-GB"/>
                </w:rPr>
              </w:pPr>
              <w:r w:rsidRPr="003569BE">
                <w:rPr>
                  <w:noProof/>
                  <w:lang w:val="en-GB"/>
                </w:rPr>
                <w:t xml:space="preserve">Roychowdhury, S. (2006). Earnings management trough real activities manipulation. </w:t>
              </w:r>
              <w:r w:rsidRPr="003569BE">
                <w:rPr>
                  <w:i/>
                  <w:iCs/>
                  <w:noProof/>
                  <w:lang w:val="en-GB"/>
                </w:rPr>
                <w:t>Journal of Accounting and Economics</w:t>
              </w:r>
              <w:r w:rsidRPr="003569BE">
                <w:rPr>
                  <w:noProof/>
                  <w:lang w:val="en-GB"/>
                </w:rPr>
                <w:t>, 335-370.</w:t>
              </w:r>
            </w:p>
            <w:p w:rsidR="008F7EB3" w:rsidRPr="003569BE" w:rsidRDefault="008F7EB3" w:rsidP="008F7EB3">
              <w:pPr>
                <w:pStyle w:val="Bibliography"/>
                <w:ind w:left="720" w:hanging="720"/>
                <w:rPr>
                  <w:noProof/>
                  <w:lang w:val="en-GB"/>
                </w:rPr>
              </w:pPr>
              <w:r w:rsidRPr="003569BE">
                <w:rPr>
                  <w:noProof/>
                  <w:lang w:val="en-GB"/>
                </w:rPr>
                <w:t xml:space="preserve">Ruiz-Barbadillo, E., Gomez-Aguilar, N., &amp; Carrera, N. (2009). Does Mandatory Audit Firm Rotation Enhance Auditor Independence? Evidence from Spain. </w:t>
              </w:r>
              <w:r w:rsidRPr="003569BE">
                <w:rPr>
                  <w:i/>
                  <w:iCs/>
                  <w:noProof/>
                  <w:lang w:val="en-GB"/>
                </w:rPr>
                <w:t>Auditing: A Journal of Practice &amp; Theory</w:t>
              </w:r>
              <w:r w:rsidRPr="003569BE">
                <w:rPr>
                  <w:noProof/>
                  <w:lang w:val="en-GB"/>
                </w:rPr>
                <w:t>, 113-135.</w:t>
              </w:r>
            </w:p>
            <w:p w:rsidR="008F7EB3" w:rsidRPr="003569BE" w:rsidRDefault="008F7EB3" w:rsidP="008F7EB3">
              <w:pPr>
                <w:pStyle w:val="Bibliography"/>
                <w:ind w:left="720" w:hanging="720"/>
                <w:rPr>
                  <w:noProof/>
                  <w:lang w:val="en-GB"/>
                </w:rPr>
              </w:pPr>
              <w:r w:rsidRPr="003569BE">
                <w:rPr>
                  <w:noProof/>
                  <w:lang w:val="en-GB"/>
                </w:rPr>
                <w:t xml:space="preserve">Schipper, K. (1989). Commentary on earnings management. </w:t>
              </w:r>
              <w:r w:rsidRPr="003569BE">
                <w:rPr>
                  <w:i/>
                  <w:iCs/>
                  <w:noProof/>
                  <w:lang w:val="en-GB"/>
                </w:rPr>
                <w:t>Accounting Horizons</w:t>
              </w:r>
              <w:r w:rsidRPr="003569BE">
                <w:rPr>
                  <w:noProof/>
                  <w:lang w:val="en-GB"/>
                </w:rPr>
                <w:t>, 91-102.</w:t>
              </w:r>
            </w:p>
            <w:p w:rsidR="008F7EB3" w:rsidRPr="003569BE" w:rsidRDefault="008F7EB3" w:rsidP="008F7EB3">
              <w:pPr>
                <w:pStyle w:val="Bibliography"/>
                <w:ind w:left="720" w:hanging="720"/>
                <w:rPr>
                  <w:noProof/>
                  <w:lang w:val="en-GB"/>
                </w:rPr>
              </w:pPr>
              <w:r w:rsidRPr="003569BE">
                <w:rPr>
                  <w:noProof/>
                  <w:lang w:val="en-GB"/>
                </w:rPr>
                <w:t xml:space="preserve">Scott, W. (2014). </w:t>
              </w:r>
              <w:r w:rsidRPr="003569BE">
                <w:rPr>
                  <w:i/>
                  <w:iCs/>
                  <w:noProof/>
                  <w:lang w:val="en-GB"/>
                </w:rPr>
                <w:t>Financial Accounting Theory.</w:t>
              </w:r>
              <w:r w:rsidRPr="003569BE">
                <w:rPr>
                  <w:noProof/>
                  <w:lang w:val="en-GB"/>
                </w:rPr>
                <w:t xml:space="preserve"> Harlow, UK: Pearson Education Limited.</w:t>
              </w:r>
            </w:p>
            <w:p w:rsidR="008F7EB3" w:rsidRPr="003569BE" w:rsidRDefault="008F7EB3" w:rsidP="008F7EB3">
              <w:pPr>
                <w:pStyle w:val="Bibliography"/>
                <w:ind w:left="720" w:hanging="720"/>
                <w:rPr>
                  <w:noProof/>
                  <w:lang w:val="en-GB"/>
                </w:rPr>
              </w:pPr>
              <w:r w:rsidRPr="003569BE">
                <w:rPr>
                  <w:noProof/>
                  <w:lang w:val="en-GB"/>
                </w:rPr>
                <w:t xml:space="preserve">Shapiro, S. (2005). Agency Theory. </w:t>
              </w:r>
              <w:r w:rsidRPr="003569BE">
                <w:rPr>
                  <w:i/>
                  <w:iCs/>
                  <w:noProof/>
                  <w:lang w:val="en-GB"/>
                </w:rPr>
                <w:t>Annual Review of Sociology</w:t>
              </w:r>
              <w:r w:rsidRPr="003569BE">
                <w:rPr>
                  <w:noProof/>
                  <w:lang w:val="en-GB"/>
                </w:rPr>
                <w:t>, 263-284.</w:t>
              </w:r>
            </w:p>
            <w:p w:rsidR="008F7EB3" w:rsidRPr="003569BE" w:rsidRDefault="008F7EB3" w:rsidP="008F7EB3">
              <w:pPr>
                <w:pStyle w:val="Bibliography"/>
                <w:ind w:left="720" w:hanging="720"/>
                <w:rPr>
                  <w:noProof/>
                  <w:lang w:val="en-GB"/>
                </w:rPr>
              </w:pPr>
              <w:r w:rsidRPr="005E0BD9">
                <w:rPr>
                  <w:noProof/>
                  <w:lang w:val="nl-NL"/>
                </w:rPr>
                <w:lastRenderedPageBreak/>
                <w:t xml:space="preserve">Staten-Generaal, E. K. (2012). </w:t>
              </w:r>
              <w:r w:rsidRPr="005E0BD9">
                <w:rPr>
                  <w:i/>
                  <w:iCs/>
                  <w:noProof/>
                  <w:lang w:val="nl-NL"/>
                </w:rPr>
                <w:t>Wet op accountantsberoep</w:t>
              </w:r>
              <w:r w:rsidRPr="005E0BD9">
                <w:rPr>
                  <w:noProof/>
                  <w:lang w:val="nl-NL"/>
                </w:rPr>
                <w:t xml:space="preserve">. </w:t>
              </w:r>
              <w:r w:rsidRPr="003569BE">
                <w:rPr>
                  <w:noProof/>
                  <w:lang w:val="en-GB"/>
                </w:rPr>
                <w:t>Retrieved from www.eerstekamer.nl: http://www.eerstekamer.nl/wetsvoorstel/33025_wet_op_het_accountantsberoep#p1</w:t>
              </w:r>
            </w:p>
            <w:p w:rsidR="008F7EB3" w:rsidRPr="003569BE" w:rsidRDefault="008F7EB3" w:rsidP="008F7EB3">
              <w:pPr>
                <w:pStyle w:val="Bibliography"/>
                <w:ind w:left="720" w:hanging="720"/>
                <w:rPr>
                  <w:noProof/>
                  <w:lang w:val="en-GB"/>
                </w:rPr>
              </w:pPr>
              <w:r w:rsidRPr="003569BE">
                <w:rPr>
                  <w:noProof/>
                  <w:lang w:val="en-GB"/>
                </w:rPr>
                <w:t xml:space="preserve">The European Parliament and the Council of the European Union. (2006). </w:t>
              </w:r>
              <w:r w:rsidRPr="003569BE">
                <w:rPr>
                  <w:i/>
                  <w:iCs/>
                  <w:noProof/>
                  <w:lang w:val="en-GB"/>
                </w:rPr>
                <w:t>DIRECTIVE 2006/43/EC OF THE EUROPEAN PARLIAMENT AND OF THE COUNCIL on statutory audits of annual accounts and consolidated accounts.</w:t>
              </w:r>
              <w:r w:rsidRPr="003569BE">
                <w:rPr>
                  <w:noProof/>
                  <w:lang w:val="en-GB"/>
                </w:rPr>
                <w:t xml:space="preserve"> Available at: http://eur-lex.europa.eu/legal-content/EN/TXT/PDF/?uri=CELEX:32006L0043&amp;from=EN: Official Journal of the European Union.</w:t>
              </w:r>
            </w:p>
            <w:p w:rsidR="008F7EB3" w:rsidRPr="003569BE" w:rsidRDefault="008F7EB3" w:rsidP="008F7EB3">
              <w:pPr>
                <w:pStyle w:val="Bibliography"/>
                <w:ind w:left="720" w:hanging="720"/>
                <w:rPr>
                  <w:noProof/>
                  <w:lang w:val="en-GB"/>
                </w:rPr>
              </w:pPr>
              <w:r w:rsidRPr="003569BE">
                <w:rPr>
                  <w:noProof/>
                  <w:lang w:val="en-GB"/>
                </w:rPr>
                <w:t xml:space="preserve">Watts, R., &amp; Zimmerman, J. (1978). Towards a positive theory of the determination of accounting standards. </w:t>
              </w:r>
              <w:r w:rsidRPr="003569BE">
                <w:rPr>
                  <w:i/>
                  <w:iCs/>
                  <w:noProof/>
                  <w:lang w:val="en-GB"/>
                </w:rPr>
                <w:t>The Accounting Review</w:t>
              </w:r>
              <w:r w:rsidRPr="003569BE">
                <w:rPr>
                  <w:noProof/>
                  <w:lang w:val="en-GB"/>
                </w:rPr>
                <w:t>, 112-134.</w:t>
              </w:r>
            </w:p>
            <w:p w:rsidR="008F7EB3" w:rsidRPr="003569BE" w:rsidRDefault="008F7EB3" w:rsidP="008F7EB3">
              <w:pPr>
                <w:pStyle w:val="Bibliography"/>
                <w:ind w:left="720" w:hanging="720"/>
                <w:rPr>
                  <w:noProof/>
                  <w:lang w:val="en-GB"/>
                </w:rPr>
              </w:pPr>
              <w:r w:rsidRPr="003569BE">
                <w:rPr>
                  <w:noProof/>
                  <w:lang w:val="en-GB"/>
                </w:rPr>
                <w:t xml:space="preserve">Xu, R., Taylor, G., &amp; Dugan, M. (2007). Review of Real Earnings Management Literature. </w:t>
              </w:r>
              <w:r w:rsidRPr="003569BE">
                <w:rPr>
                  <w:i/>
                  <w:iCs/>
                  <w:noProof/>
                  <w:lang w:val="en-GB"/>
                </w:rPr>
                <w:t>Journal of Accounting Literature</w:t>
              </w:r>
              <w:r w:rsidRPr="003569BE">
                <w:rPr>
                  <w:noProof/>
                  <w:lang w:val="en-GB"/>
                </w:rPr>
                <w:t>, 195-228.</w:t>
              </w:r>
            </w:p>
            <w:p w:rsidR="004C6AD5" w:rsidRPr="003569BE" w:rsidRDefault="000E4BAF" w:rsidP="008F7EB3">
              <w:pPr>
                <w:spacing w:line="360" w:lineRule="auto"/>
                <w:rPr>
                  <w:rFonts w:cs="Times New Roman"/>
                  <w:szCs w:val="24"/>
                  <w:lang w:val="en-GB"/>
                </w:rPr>
              </w:pPr>
              <w:r w:rsidRPr="003569BE">
                <w:rPr>
                  <w:rFonts w:cs="Times New Roman"/>
                  <w:b/>
                  <w:bCs/>
                  <w:noProof/>
                  <w:lang w:val="en-GB"/>
                </w:rPr>
                <w:fldChar w:fldCharType="end"/>
              </w:r>
            </w:p>
          </w:sdtContent>
        </w:sdt>
      </w:sdtContent>
    </w:sdt>
    <w:p w:rsidR="0001594B" w:rsidRPr="003569BE" w:rsidRDefault="0001594B">
      <w:pPr>
        <w:rPr>
          <w:rFonts w:eastAsiaTheme="majorEastAsia" w:cstheme="majorBidi"/>
          <w:color w:val="2E74B5" w:themeColor="accent1" w:themeShade="BF"/>
          <w:sz w:val="32"/>
          <w:szCs w:val="32"/>
          <w:lang w:val="en-GB"/>
        </w:rPr>
      </w:pPr>
      <w:r w:rsidRPr="003569BE">
        <w:rPr>
          <w:lang w:val="en-GB"/>
        </w:rPr>
        <w:br w:type="page"/>
      </w:r>
    </w:p>
    <w:p w:rsidR="00CB0BC7" w:rsidRPr="003569BE" w:rsidRDefault="003262E5" w:rsidP="003262E5">
      <w:pPr>
        <w:pStyle w:val="Heading1"/>
        <w:rPr>
          <w:lang w:val="en-GB"/>
        </w:rPr>
      </w:pPr>
      <w:bookmarkStart w:id="76" w:name="_Toc396633608"/>
      <w:r w:rsidRPr="003569BE">
        <w:rPr>
          <w:lang w:val="en-GB"/>
        </w:rPr>
        <w:lastRenderedPageBreak/>
        <w:t>Appendices</w:t>
      </w:r>
      <w:bookmarkEnd w:id="76"/>
    </w:p>
    <w:p w:rsidR="003262E5" w:rsidRPr="003569BE" w:rsidRDefault="003262E5" w:rsidP="00B83808">
      <w:pPr>
        <w:pStyle w:val="Heading2"/>
        <w:rPr>
          <w:lang w:val="en-GB"/>
        </w:rPr>
      </w:pPr>
      <w:bookmarkStart w:id="77" w:name="_Toc396633609"/>
      <w:r w:rsidRPr="003569BE">
        <w:rPr>
          <w:lang w:val="en-GB"/>
        </w:rPr>
        <w:t>Appendix 1: Summary t</w:t>
      </w:r>
      <w:bookmarkStart w:id="78" w:name="_GoBack"/>
      <w:bookmarkEnd w:id="78"/>
      <w:r w:rsidRPr="003569BE">
        <w:rPr>
          <w:lang w:val="en-GB"/>
        </w:rPr>
        <w:t>able of the literature review</w:t>
      </w:r>
      <w:bookmarkEnd w:id="77"/>
    </w:p>
    <w:tbl>
      <w:tblPr>
        <w:tblStyle w:val="TableGrid"/>
        <w:tblW w:w="9322" w:type="dxa"/>
        <w:jc w:val="center"/>
        <w:tblLayout w:type="fixed"/>
        <w:tblLook w:val="04A0"/>
      </w:tblPr>
      <w:tblGrid>
        <w:gridCol w:w="401"/>
        <w:gridCol w:w="2968"/>
        <w:gridCol w:w="856"/>
        <w:gridCol w:w="1270"/>
        <w:gridCol w:w="3266"/>
        <w:gridCol w:w="561"/>
      </w:tblGrid>
      <w:tr w:rsidR="00A1189E" w:rsidRPr="003569BE" w:rsidTr="00E559B1">
        <w:trPr>
          <w:gridAfter w:val="1"/>
          <w:wAfter w:w="561" w:type="dxa"/>
          <w:cantSplit/>
          <w:trHeight w:val="2411"/>
          <w:jc w:val="center"/>
        </w:trPr>
        <w:tc>
          <w:tcPr>
            <w:tcW w:w="401" w:type="dxa"/>
            <w:textDirection w:val="btLr"/>
          </w:tcPr>
          <w:p w:rsidR="00A1189E" w:rsidRPr="003569BE" w:rsidRDefault="00A1189E" w:rsidP="007B1B40">
            <w:pPr>
              <w:ind w:left="113" w:right="113"/>
              <w:jc w:val="center"/>
              <w:rPr>
                <w:sz w:val="20"/>
                <w:szCs w:val="20"/>
                <w:lang w:val="en-GB"/>
              </w:rPr>
            </w:pPr>
            <w:r w:rsidRPr="003569BE">
              <w:rPr>
                <w:rFonts w:cs="Times New Roman"/>
                <w:bCs/>
                <w:sz w:val="20"/>
                <w:szCs w:val="20"/>
                <w:lang w:val="en-GB"/>
              </w:rPr>
              <w:t>Outcomes</w:t>
            </w:r>
          </w:p>
        </w:tc>
        <w:tc>
          <w:tcPr>
            <w:tcW w:w="3824"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 xml:space="preserve">No conclusive evidence regarding the correlation between the economic dependence and the probability of issuing a going-concern audit report both periods. </w:t>
            </w:r>
          </w:p>
          <w:p w:rsidR="00A1189E" w:rsidRPr="003569BE" w:rsidRDefault="00A1189E" w:rsidP="00A1189E">
            <w:pPr>
              <w:ind w:left="113" w:right="113"/>
              <w:jc w:val="left"/>
              <w:rPr>
                <w:sz w:val="20"/>
                <w:szCs w:val="20"/>
                <w:lang w:val="en-GB"/>
              </w:rPr>
            </w:pPr>
            <w:r w:rsidRPr="003569BE">
              <w:rPr>
                <w:sz w:val="20"/>
                <w:szCs w:val="20"/>
                <w:lang w:val="en-GB"/>
              </w:rPr>
              <w:t xml:space="preserve">Significant evidence showing a positive effect </w:t>
            </w:r>
            <w:r w:rsidR="003569BE" w:rsidRPr="003569BE">
              <w:rPr>
                <w:sz w:val="20"/>
                <w:szCs w:val="20"/>
                <w:lang w:val="en-GB"/>
              </w:rPr>
              <w:t>those auditors</w:t>
            </w:r>
            <w:r w:rsidRPr="003569BE">
              <w:rPr>
                <w:sz w:val="20"/>
                <w:szCs w:val="20"/>
                <w:lang w:val="en-GB"/>
              </w:rPr>
              <w:t>’ incentives to maintain reputation have on the probability of issuing going-concern opinions in the post-mandatory rotation period.</w:t>
            </w:r>
          </w:p>
        </w:tc>
        <w:tc>
          <w:tcPr>
            <w:tcW w:w="4536"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When using the first measure, i.e. the propensity of issuing a going concern opinion, the findings indicate a positive correlation between audit tenure and audit quality.</w:t>
            </w:r>
          </w:p>
          <w:p w:rsidR="00A1189E" w:rsidRPr="003569BE" w:rsidRDefault="00A1189E" w:rsidP="00A1189E">
            <w:pPr>
              <w:ind w:left="113" w:right="113"/>
              <w:jc w:val="left"/>
              <w:rPr>
                <w:sz w:val="20"/>
                <w:szCs w:val="20"/>
                <w:lang w:val="en-GB"/>
              </w:rPr>
            </w:pPr>
            <w:r w:rsidRPr="003569BE">
              <w:rPr>
                <w:sz w:val="20"/>
                <w:szCs w:val="20"/>
                <w:lang w:val="en-GB"/>
              </w:rPr>
              <w:t>When using the second measure, i.e. discretionary accruals, evidence show no association between audit tenure and audit quality.</w:t>
            </w:r>
          </w:p>
        </w:tc>
      </w:tr>
      <w:tr w:rsidR="00A1189E" w:rsidRPr="003569BE" w:rsidTr="00E559B1">
        <w:trPr>
          <w:gridAfter w:val="1"/>
          <w:wAfter w:w="561" w:type="dxa"/>
          <w:cantSplit/>
          <w:trHeight w:val="2402"/>
          <w:jc w:val="center"/>
        </w:trPr>
        <w:tc>
          <w:tcPr>
            <w:tcW w:w="401" w:type="dxa"/>
            <w:textDirection w:val="btLr"/>
          </w:tcPr>
          <w:p w:rsidR="00A1189E" w:rsidRPr="003569BE" w:rsidRDefault="00A1189E" w:rsidP="007B1B40">
            <w:pPr>
              <w:ind w:left="113" w:right="113"/>
              <w:jc w:val="center"/>
              <w:rPr>
                <w:sz w:val="20"/>
                <w:szCs w:val="20"/>
                <w:lang w:val="en-GB"/>
              </w:rPr>
            </w:pPr>
            <w:r w:rsidRPr="003569BE">
              <w:rPr>
                <w:rFonts w:cs="Times New Roman"/>
                <w:bCs/>
                <w:sz w:val="20"/>
                <w:szCs w:val="20"/>
                <w:lang w:val="en-GB"/>
              </w:rPr>
              <w:t>Methodology</w:t>
            </w:r>
          </w:p>
        </w:tc>
        <w:tc>
          <w:tcPr>
            <w:tcW w:w="3824" w:type="dxa"/>
            <w:gridSpan w:val="2"/>
            <w:textDirection w:val="btLr"/>
          </w:tcPr>
          <w:p w:rsidR="00A1189E" w:rsidRPr="003569BE" w:rsidRDefault="00A1189E" w:rsidP="00A1189E">
            <w:pPr>
              <w:ind w:left="113" w:right="113"/>
              <w:jc w:val="left"/>
              <w:rPr>
                <w:sz w:val="20"/>
                <w:szCs w:val="20"/>
                <w:lang w:val="en-GB"/>
              </w:rPr>
            </w:pPr>
            <w:r w:rsidRPr="003569BE">
              <w:rPr>
                <w:rFonts w:cs="Times New Roman"/>
                <w:bCs/>
                <w:sz w:val="20"/>
                <w:szCs w:val="20"/>
                <w:lang w:val="en-GB"/>
              </w:rPr>
              <w:t>Regression analysis that explores the propensity of the going concern opinions in two periods: mandatory rotation period and post-mandatory rotation period.</w:t>
            </w:r>
          </w:p>
        </w:tc>
        <w:tc>
          <w:tcPr>
            <w:tcW w:w="4536"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Audit quality is measured using two proxies: the propensity of a going concern opinion being issued by the auditor, and discretionary accruals. Regarding the first measure, a model that includes the client’s financial risk, liabilities to assets ratio, net cash flow and other ratios as variables, is used. Concerning the discretionary accruals, they are estimated using the performance-matched modified Jones model.</w:t>
            </w:r>
          </w:p>
        </w:tc>
      </w:tr>
      <w:tr w:rsidR="00A1189E" w:rsidRPr="003569BE" w:rsidTr="00E559B1">
        <w:trPr>
          <w:gridAfter w:val="1"/>
          <w:wAfter w:w="561" w:type="dxa"/>
          <w:cantSplit/>
          <w:trHeight w:val="2408"/>
          <w:jc w:val="center"/>
        </w:trPr>
        <w:tc>
          <w:tcPr>
            <w:tcW w:w="401" w:type="dxa"/>
            <w:textDirection w:val="btLr"/>
          </w:tcPr>
          <w:p w:rsidR="00A1189E" w:rsidRPr="003569BE" w:rsidRDefault="00A1189E" w:rsidP="007B1B40">
            <w:pPr>
              <w:ind w:left="113" w:right="113"/>
              <w:jc w:val="center"/>
              <w:rPr>
                <w:sz w:val="20"/>
                <w:szCs w:val="20"/>
                <w:lang w:val="en-GB"/>
              </w:rPr>
            </w:pPr>
            <w:r w:rsidRPr="003569BE">
              <w:rPr>
                <w:rFonts w:cs="Times New Roman"/>
                <w:bCs/>
                <w:sz w:val="20"/>
                <w:szCs w:val="20"/>
                <w:lang w:val="en-GB"/>
              </w:rPr>
              <w:t>Data sources</w:t>
            </w:r>
          </w:p>
        </w:tc>
        <w:tc>
          <w:tcPr>
            <w:tcW w:w="3824"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Database of the Spanish Securities and Exchange Commission (Comisio´n Nacional del Mercado de Valores, CNMV).</w:t>
            </w:r>
          </w:p>
        </w:tc>
        <w:tc>
          <w:tcPr>
            <w:tcW w:w="4536" w:type="dxa"/>
            <w:gridSpan w:val="2"/>
            <w:textDirection w:val="btLr"/>
          </w:tcPr>
          <w:p w:rsidR="00A1189E" w:rsidRPr="003569BE" w:rsidRDefault="00A1189E" w:rsidP="00A1189E">
            <w:pPr>
              <w:ind w:left="113" w:right="113"/>
              <w:jc w:val="left"/>
              <w:rPr>
                <w:rFonts w:cs="Times New Roman"/>
                <w:bCs/>
                <w:sz w:val="20"/>
                <w:szCs w:val="20"/>
                <w:lang w:val="en-GB"/>
              </w:rPr>
            </w:pPr>
            <w:r w:rsidRPr="003569BE">
              <w:rPr>
                <w:rFonts w:cs="Times New Roman"/>
                <w:bCs/>
                <w:sz w:val="20"/>
                <w:szCs w:val="20"/>
                <w:lang w:val="en-GB"/>
              </w:rPr>
              <w:t>Craswell’s “Who audits Australia” database, ASX website, Aspect Huntley’s DatAnalysis, Connect 4, Thompson’s SDC Platinum New Issues Database, CRIF.</w:t>
            </w:r>
          </w:p>
          <w:p w:rsidR="00A1189E" w:rsidRPr="003569BE" w:rsidRDefault="00A1189E" w:rsidP="00A1189E">
            <w:pPr>
              <w:ind w:left="113" w:right="113"/>
              <w:jc w:val="left"/>
              <w:rPr>
                <w:rFonts w:cs="Times New Roman"/>
                <w:bCs/>
                <w:sz w:val="20"/>
                <w:szCs w:val="20"/>
                <w:lang w:val="en-GB"/>
              </w:rPr>
            </w:pPr>
            <w:r w:rsidRPr="003569BE">
              <w:rPr>
                <w:rFonts w:cs="Times New Roman"/>
                <w:bCs/>
                <w:sz w:val="20"/>
                <w:szCs w:val="20"/>
                <w:lang w:val="en-GB"/>
              </w:rPr>
              <w:t>Missing data manually collected from other relevant sources.</w:t>
            </w:r>
          </w:p>
        </w:tc>
      </w:tr>
      <w:tr w:rsidR="00A1189E" w:rsidRPr="003569BE" w:rsidTr="00E559B1">
        <w:trPr>
          <w:gridAfter w:val="1"/>
          <w:wAfter w:w="561" w:type="dxa"/>
          <w:cantSplit/>
          <w:trHeight w:val="2401"/>
          <w:jc w:val="center"/>
        </w:trPr>
        <w:tc>
          <w:tcPr>
            <w:tcW w:w="401" w:type="dxa"/>
            <w:textDirection w:val="btLr"/>
          </w:tcPr>
          <w:p w:rsidR="00A1189E" w:rsidRPr="003569BE" w:rsidRDefault="00A1189E" w:rsidP="007B1B40">
            <w:pPr>
              <w:ind w:left="113" w:right="113"/>
              <w:jc w:val="center"/>
              <w:rPr>
                <w:sz w:val="20"/>
                <w:szCs w:val="20"/>
                <w:lang w:val="en-GB"/>
              </w:rPr>
            </w:pPr>
            <w:r w:rsidRPr="003569BE">
              <w:rPr>
                <w:rFonts w:cs="Times New Roman"/>
                <w:bCs/>
                <w:sz w:val="20"/>
                <w:szCs w:val="20"/>
                <w:lang w:val="en-GB"/>
              </w:rPr>
              <w:t>Sample</w:t>
            </w:r>
          </w:p>
        </w:tc>
        <w:tc>
          <w:tcPr>
            <w:tcW w:w="3824"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1326 financial distressed firms from Spain from the period 1991-2000, with a total of 3.119 firm year observations. Companies from the financial services and insurance industry, as well as already in liquidation companies, were excluded from the sample.</w:t>
            </w:r>
          </w:p>
        </w:tc>
        <w:tc>
          <w:tcPr>
            <w:tcW w:w="4536" w:type="dxa"/>
            <w:gridSpan w:val="2"/>
            <w:textDirection w:val="btLr"/>
          </w:tcPr>
          <w:p w:rsidR="00A1189E" w:rsidRPr="003569BE" w:rsidRDefault="00A1189E" w:rsidP="00A1189E">
            <w:pPr>
              <w:ind w:left="113" w:right="113"/>
              <w:jc w:val="left"/>
              <w:rPr>
                <w:sz w:val="20"/>
                <w:szCs w:val="20"/>
                <w:lang w:val="en-GB"/>
              </w:rPr>
            </w:pPr>
            <w:r w:rsidRPr="003569BE">
              <w:rPr>
                <w:rFonts w:cs="Times New Roman"/>
                <w:bCs/>
                <w:sz w:val="20"/>
                <w:szCs w:val="20"/>
                <w:lang w:val="en-GB"/>
              </w:rPr>
              <w:t>205 auditor switches in Australian public listed ASX companies from the period 1995-2003, with a total of 1.750 firm year observations. Companies from the financial sector, companies reporting in foreign currencies, and companies with incomplete data were excluded from the sample.</w:t>
            </w:r>
          </w:p>
        </w:tc>
      </w:tr>
      <w:tr w:rsidR="00A1189E" w:rsidRPr="003569BE" w:rsidTr="00E559B1">
        <w:trPr>
          <w:gridAfter w:val="1"/>
          <w:wAfter w:w="561" w:type="dxa"/>
          <w:cantSplit/>
          <w:trHeight w:val="1552"/>
          <w:jc w:val="center"/>
        </w:trPr>
        <w:tc>
          <w:tcPr>
            <w:tcW w:w="401" w:type="dxa"/>
            <w:textDirection w:val="btLr"/>
          </w:tcPr>
          <w:p w:rsidR="00A1189E" w:rsidRPr="003569BE" w:rsidRDefault="00A1189E" w:rsidP="007B1B40">
            <w:pPr>
              <w:ind w:left="113" w:right="113"/>
              <w:jc w:val="center"/>
              <w:rPr>
                <w:sz w:val="20"/>
                <w:szCs w:val="20"/>
                <w:lang w:val="en-GB"/>
              </w:rPr>
            </w:pPr>
            <w:r w:rsidRPr="003569BE">
              <w:rPr>
                <w:rFonts w:cs="Times New Roman"/>
                <w:bCs/>
                <w:sz w:val="20"/>
                <w:szCs w:val="20"/>
                <w:lang w:val="en-GB"/>
              </w:rPr>
              <w:t>Subject</w:t>
            </w:r>
          </w:p>
        </w:tc>
        <w:tc>
          <w:tcPr>
            <w:tcW w:w="3824"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The effect mandatory audit firm rotation has on the independence of the auditor.</w:t>
            </w:r>
          </w:p>
        </w:tc>
        <w:tc>
          <w:tcPr>
            <w:tcW w:w="4536" w:type="dxa"/>
            <w:gridSpan w:val="2"/>
            <w:textDirection w:val="btLr"/>
          </w:tcPr>
          <w:p w:rsidR="00A1189E" w:rsidRPr="003569BE" w:rsidRDefault="00A1189E" w:rsidP="00A1189E">
            <w:pPr>
              <w:ind w:left="113" w:right="113"/>
              <w:jc w:val="left"/>
              <w:rPr>
                <w:sz w:val="20"/>
                <w:szCs w:val="20"/>
                <w:lang w:val="en-GB"/>
              </w:rPr>
            </w:pPr>
            <w:r w:rsidRPr="003569BE">
              <w:rPr>
                <w:rFonts w:cs="Times New Roman"/>
                <w:bCs/>
                <w:sz w:val="20"/>
                <w:szCs w:val="20"/>
                <w:lang w:val="en-GB"/>
              </w:rPr>
              <w:t>The effect of the tenure in auditor-client relationship on the quality of audit.</w:t>
            </w:r>
          </w:p>
        </w:tc>
      </w:tr>
      <w:tr w:rsidR="00A1189E" w:rsidRPr="003569BE" w:rsidTr="00E559B1">
        <w:trPr>
          <w:gridAfter w:val="1"/>
          <w:wAfter w:w="561" w:type="dxa"/>
          <w:cantSplit/>
          <w:trHeight w:val="1559"/>
          <w:jc w:val="center"/>
        </w:trPr>
        <w:tc>
          <w:tcPr>
            <w:tcW w:w="401" w:type="dxa"/>
            <w:textDirection w:val="btLr"/>
          </w:tcPr>
          <w:p w:rsidR="00A1189E" w:rsidRPr="003569BE" w:rsidRDefault="00A1189E" w:rsidP="007B1B40">
            <w:pPr>
              <w:ind w:left="113" w:right="113"/>
              <w:jc w:val="center"/>
              <w:rPr>
                <w:sz w:val="20"/>
                <w:szCs w:val="20"/>
                <w:lang w:val="en-GB"/>
              </w:rPr>
            </w:pPr>
            <w:r w:rsidRPr="003569BE">
              <w:rPr>
                <w:sz w:val="20"/>
                <w:szCs w:val="20"/>
                <w:lang w:val="en-GB"/>
              </w:rPr>
              <w:t>Authors</w:t>
            </w:r>
          </w:p>
        </w:tc>
        <w:tc>
          <w:tcPr>
            <w:tcW w:w="3824" w:type="dxa"/>
            <w:gridSpan w:val="2"/>
            <w:textDirection w:val="btLr"/>
          </w:tcPr>
          <w:p w:rsidR="00A1189E" w:rsidRPr="003569BE" w:rsidRDefault="00A1189E" w:rsidP="00A1189E">
            <w:pPr>
              <w:ind w:left="113" w:right="113"/>
              <w:jc w:val="left"/>
              <w:rPr>
                <w:rFonts w:cs="Times New Roman"/>
                <w:noProof/>
                <w:sz w:val="20"/>
                <w:szCs w:val="20"/>
                <w:lang w:val="en-GB"/>
              </w:rPr>
            </w:pPr>
            <w:r w:rsidRPr="003569BE">
              <w:rPr>
                <w:rFonts w:cs="Times New Roman"/>
                <w:noProof/>
                <w:sz w:val="20"/>
                <w:szCs w:val="20"/>
                <w:lang w:val="en-GB"/>
              </w:rPr>
              <w:t xml:space="preserve">Ruiz-Barbadillo, Gomez-Aguilar </w:t>
            </w:r>
          </w:p>
          <w:p w:rsidR="00A1189E" w:rsidRPr="003569BE" w:rsidRDefault="00A1189E" w:rsidP="00A1189E">
            <w:pPr>
              <w:ind w:left="113" w:right="113"/>
              <w:jc w:val="left"/>
              <w:rPr>
                <w:sz w:val="20"/>
                <w:szCs w:val="20"/>
                <w:lang w:val="en-GB"/>
              </w:rPr>
            </w:pPr>
            <w:r w:rsidRPr="003569BE">
              <w:rPr>
                <w:rFonts w:cs="Times New Roman"/>
                <w:noProof/>
                <w:sz w:val="20"/>
                <w:szCs w:val="20"/>
                <w:lang w:val="en-GB"/>
              </w:rPr>
              <w:t>&amp; Carrera (2008)</w:t>
            </w:r>
          </w:p>
        </w:tc>
        <w:tc>
          <w:tcPr>
            <w:tcW w:w="4536" w:type="dxa"/>
            <w:gridSpan w:val="2"/>
            <w:textDirection w:val="btLr"/>
          </w:tcPr>
          <w:p w:rsidR="00A1189E" w:rsidRPr="003569BE" w:rsidRDefault="00A1189E" w:rsidP="00A1189E">
            <w:pPr>
              <w:ind w:left="113" w:right="113"/>
              <w:jc w:val="left"/>
              <w:rPr>
                <w:sz w:val="20"/>
                <w:szCs w:val="20"/>
                <w:lang w:val="en-GB"/>
              </w:rPr>
            </w:pPr>
            <w:r w:rsidRPr="003569BE">
              <w:rPr>
                <w:sz w:val="20"/>
                <w:szCs w:val="20"/>
                <w:lang w:val="en-GB"/>
              </w:rPr>
              <w:t xml:space="preserve">Jackson, Moldrich </w:t>
            </w:r>
          </w:p>
          <w:p w:rsidR="00A1189E" w:rsidRPr="003569BE" w:rsidRDefault="00A1189E" w:rsidP="00A1189E">
            <w:pPr>
              <w:ind w:left="113" w:right="113"/>
              <w:jc w:val="left"/>
              <w:rPr>
                <w:sz w:val="20"/>
                <w:szCs w:val="20"/>
                <w:lang w:val="en-GB"/>
              </w:rPr>
            </w:pPr>
            <w:r w:rsidRPr="003569BE">
              <w:rPr>
                <w:sz w:val="20"/>
                <w:szCs w:val="20"/>
                <w:lang w:val="en-GB"/>
              </w:rPr>
              <w:t>&amp; Roebuck (2009)</w:t>
            </w:r>
          </w:p>
        </w:tc>
      </w:tr>
      <w:tr w:rsidR="00871883" w:rsidRPr="003569BE" w:rsidTr="009A6E7F">
        <w:tblPrEx>
          <w:jc w:val="left"/>
        </w:tblPrEx>
        <w:trPr>
          <w:trHeight w:val="2551"/>
        </w:trPr>
        <w:tc>
          <w:tcPr>
            <w:tcW w:w="401" w:type="dxa"/>
            <w:textDirection w:val="btLr"/>
          </w:tcPr>
          <w:p w:rsidR="00871883" w:rsidRPr="003569BE" w:rsidRDefault="00871883" w:rsidP="009910B2">
            <w:pPr>
              <w:ind w:left="113" w:right="113"/>
              <w:jc w:val="center"/>
              <w:rPr>
                <w:sz w:val="20"/>
                <w:szCs w:val="20"/>
                <w:lang w:val="en-GB"/>
              </w:rPr>
            </w:pPr>
            <w:r w:rsidRPr="003569BE">
              <w:rPr>
                <w:rFonts w:cs="Times New Roman"/>
                <w:bCs/>
                <w:sz w:val="20"/>
                <w:szCs w:val="20"/>
                <w:lang w:val="en-GB"/>
              </w:rPr>
              <w:lastRenderedPageBreak/>
              <w:t>Outcomes</w:t>
            </w:r>
          </w:p>
        </w:tc>
        <w:tc>
          <w:tcPr>
            <w:tcW w:w="2968" w:type="dxa"/>
            <w:textDirection w:val="btLr"/>
          </w:tcPr>
          <w:p w:rsidR="00871883" w:rsidRPr="003569BE" w:rsidRDefault="00871883" w:rsidP="009910B2">
            <w:pPr>
              <w:ind w:left="113" w:right="113"/>
              <w:jc w:val="left"/>
              <w:rPr>
                <w:sz w:val="20"/>
                <w:szCs w:val="20"/>
                <w:lang w:val="en-GB"/>
              </w:rPr>
            </w:pPr>
            <w:r w:rsidRPr="003569BE">
              <w:rPr>
                <w:sz w:val="20"/>
                <w:szCs w:val="20"/>
                <w:lang w:val="en-GB"/>
              </w:rPr>
              <w:t>Audit quality has the tendency to be higher in the years preceding the mandatory rotation, i.e. when auditor tenure is longer. The investors’ perception of the quality of audit follows the same trend as the actual audit quality, tending to be higher in the last years of the engagement.</w:t>
            </w:r>
          </w:p>
        </w:tc>
        <w:tc>
          <w:tcPr>
            <w:tcW w:w="2126" w:type="dxa"/>
            <w:gridSpan w:val="2"/>
            <w:textDirection w:val="btLr"/>
          </w:tcPr>
          <w:p w:rsidR="00871883" w:rsidRPr="003569BE" w:rsidRDefault="00871883" w:rsidP="009910B2">
            <w:pPr>
              <w:ind w:left="113" w:right="113"/>
              <w:jc w:val="left"/>
              <w:rPr>
                <w:sz w:val="20"/>
                <w:szCs w:val="20"/>
                <w:lang w:val="en-GB"/>
              </w:rPr>
            </w:pPr>
            <w:r w:rsidRPr="003569BE">
              <w:rPr>
                <w:rFonts w:cs="Times New Roman"/>
                <w:bCs/>
                <w:sz w:val="20"/>
                <w:szCs w:val="20"/>
                <w:lang w:val="en-GB"/>
              </w:rPr>
              <w:t>The tests reveal that companies audited by non-BigSix auditors encounter significantly larger amounts of discretionary accruals, i.e.  1.5% of assets higher.</w:t>
            </w:r>
          </w:p>
        </w:tc>
        <w:tc>
          <w:tcPr>
            <w:tcW w:w="3827" w:type="dxa"/>
            <w:gridSpan w:val="2"/>
            <w:textDirection w:val="btLr"/>
          </w:tcPr>
          <w:p w:rsidR="00871883" w:rsidRPr="003569BE" w:rsidRDefault="00C51BFB" w:rsidP="009910B2">
            <w:pPr>
              <w:ind w:left="113" w:right="113"/>
              <w:jc w:val="left"/>
              <w:rPr>
                <w:sz w:val="20"/>
                <w:szCs w:val="20"/>
                <w:lang w:val="en-GB"/>
              </w:rPr>
            </w:pPr>
            <w:r w:rsidRPr="003569BE">
              <w:rPr>
                <w:rFonts w:cs="Times New Roman"/>
                <w:bCs/>
                <w:sz w:val="20"/>
                <w:szCs w:val="20"/>
                <w:lang w:val="en-GB"/>
              </w:rPr>
              <w:t>Positive association between auditor tenure and absolute discretionary accruals and negative association between auditor tenure and absolute forecast errors. Negative association between auditor tenure and signed discretionary accruals and positive association between auditor tenure and signed forecast errors.</w:t>
            </w:r>
          </w:p>
        </w:tc>
      </w:tr>
      <w:tr w:rsidR="00871883" w:rsidRPr="003569BE" w:rsidTr="009A6E7F">
        <w:tblPrEx>
          <w:jc w:val="left"/>
        </w:tblPrEx>
        <w:trPr>
          <w:trHeight w:val="3239"/>
        </w:trPr>
        <w:tc>
          <w:tcPr>
            <w:tcW w:w="401" w:type="dxa"/>
            <w:textDirection w:val="btLr"/>
          </w:tcPr>
          <w:p w:rsidR="00871883" w:rsidRPr="003569BE" w:rsidRDefault="00871883" w:rsidP="009910B2">
            <w:pPr>
              <w:ind w:left="113" w:right="113"/>
              <w:jc w:val="center"/>
              <w:rPr>
                <w:sz w:val="20"/>
                <w:szCs w:val="20"/>
                <w:lang w:val="en-GB"/>
              </w:rPr>
            </w:pPr>
            <w:r w:rsidRPr="003569BE">
              <w:rPr>
                <w:rFonts w:cs="Times New Roman"/>
                <w:bCs/>
                <w:sz w:val="20"/>
                <w:szCs w:val="20"/>
                <w:lang w:val="en-GB"/>
              </w:rPr>
              <w:t>Methodology</w:t>
            </w:r>
          </w:p>
        </w:tc>
        <w:tc>
          <w:tcPr>
            <w:tcW w:w="2968" w:type="dxa"/>
            <w:textDirection w:val="btLr"/>
          </w:tcPr>
          <w:p w:rsidR="00871883" w:rsidRPr="003569BE" w:rsidRDefault="00871883" w:rsidP="009910B2">
            <w:pPr>
              <w:ind w:left="113" w:right="113"/>
              <w:jc w:val="left"/>
              <w:rPr>
                <w:sz w:val="20"/>
                <w:szCs w:val="20"/>
                <w:lang w:val="en-GB"/>
              </w:rPr>
            </w:pPr>
            <w:r w:rsidRPr="003569BE">
              <w:rPr>
                <w:rFonts w:cs="Times New Roman"/>
                <w:bCs/>
                <w:sz w:val="20"/>
                <w:szCs w:val="20"/>
                <w:lang w:val="en-GB"/>
              </w:rPr>
              <w:t>In order to assess how audit quality varies over the engagement of the auditor in a real mandatory audit firm rotation setting, audit quality is measured by using abnormal working capital accruals as a proxy. Additional analysis is performed by the researchers, testing for the effect mandatory audit firm rotation has on the perceived audit quality, using the earnings response coefficient as a proxy.</w:t>
            </w:r>
          </w:p>
        </w:tc>
        <w:tc>
          <w:tcPr>
            <w:tcW w:w="2126" w:type="dxa"/>
            <w:gridSpan w:val="2"/>
            <w:textDirection w:val="btLr"/>
          </w:tcPr>
          <w:p w:rsidR="00871883" w:rsidRPr="003569BE" w:rsidRDefault="00871883" w:rsidP="009910B2">
            <w:pPr>
              <w:ind w:left="113" w:right="113"/>
              <w:jc w:val="left"/>
              <w:rPr>
                <w:sz w:val="20"/>
                <w:szCs w:val="20"/>
                <w:lang w:val="en-GB"/>
              </w:rPr>
            </w:pPr>
            <w:r w:rsidRPr="003569BE">
              <w:rPr>
                <w:sz w:val="20"/>
                <w:szCs w:val="20"/>
                <w:lang w:val="en-GB"/>
              </w:rPr>
              <w:t>The tool used for detecting and measuring the use of earnings management is the cross-sectional version of the Jones model for estimating discretionary accruals. Consequently, a multivariate analysis is performed for testing the hypothesis.</w:t>
            </w:r>
          </w:p>
        </w:tc>
        <w:tc>
          <w:tcPr>
            <w:tcW w:w="3827" w:type="dxa"/>
            <w:gridSpan w:val="2"/>
            <w:textDirection w:val="btLr"/>
          </w:tcPr>
          <w:p w:rsidR="00871883" w:rsidRPr="003569BE" w:rsidRDefault="00C51BFB" w:rsidP="009910B2">
            <w:pPr>
              <w:ind w:left="113" w:right="113"/>
              <w:jc w:val="left"/>
              <w:rPr>
                <w:sz w:val="20"/>
                <w:szCs w:val="20"/>
                <w:lang w:val="en-GB"/>
              </w:rPr>
            </w:pPr>
            <w:r w:rsidRPr="003569BE">
              <w:rPr>
                <w:sz w:val="20"/>
                <w:szCs w:val="20"/>
                <w:lang w:val="en-GB"/>
              </w:rPr>
              <w:t>The use of earnings management is measured through discretionary accruals, estimated with a modified version of the Jones model. Concerning the ability of the managers to meet the analysts’ forecasts, a model is design for measuring the forecast error, by including the forecast horizon, the number of analysts, and the forecast dispersion as variables. Two types of tests are performed: tests addressing absolute discretionary accruals and absolute forecast errors, and tests addressing signed discretionary accruals and signed forecast errors.</w:t>
            </w:r>
          </w:p>
        </w:tc>
      </w:tr>
      <w:tr w:rsidR="00871883" w:rsidRPr="003569BE" w:rsidTr="009A6E7F">
        <w:tblPrEx>
          <w:jc w:val="left"/>
        </w:tblPrEx>
        <w:trPr>
          <w:trHeight w:val="2264"/>
        </w:trPr>
        <w:tc>
          <w:tcPr>
            <w:tcW w:w="401" w:type="dxa"/>
            <w:textDirection w:val="btLr"/>
          </w:tcPr>
          <w:p w:rsidR="00871883" w:rsidRPr="003569BE" w:rsidRDefault="00871883" w:rsidP="009910B2">
            <w:pPr>
              <w:ind w:left="113" w:right="113"/>
              <w:jc w:val="center"/>
              <w:rPr>
                <w:sz w:val="20"/>
                <w:szCs w:val="20"/>
                <w:lang w:val="en-GB"/>
              </w:rPr>
            </w:pPr>
            <w:r w:rsidRPr="003569BE">
              <w:rPr>
                <w:rFonts w:cs="Times New Roman"/>
                <w:bCs/>
                <w:sz w:val="20"/>
                <w:szCs w:val="20"/>
                <w:lang w:val="en-GB"/>
              </w:rPr>
              <w:t>Data sources</w:t>
            </w:r>
          </w:p>
        </w:tc>
        <w:tc>
          <w:tcPr>
            <w:tcW w:w="2968" w:type="dxa"/>
            <w:textDirection w:val="btLr"/>
          </w:tcPr>
          <w:p w:rsidR="00871883" w:rsidRPr="003569BE" w:rsidRDefault="00871883" w:rsidP="009910B2">
            <w:pPr>
              <w:ind w:left="113" w:right="113"/>
              <w:jc w:val="left"/>
              <w:rPr>
                <w:sz w:val="20"/>
                <w:szCs w:val="20"/>
                <w:lang w:val="en-GB"/>
              </w:rPr>
            </w:pPr>
            <w:r w:rsidRPr="003569BE">
              <w:rPr>
                <w:sz w:val="20"/>
                <w:szCs w:val="20"/>
                <w:lang w:val="en-GB"/>
              </w:rPr>
              <w:t>Calepino dell’azionista, Aida database, Taccuino dell’azionista, a publication edited by Il Sole 24 Ore, the most popular economic and financial publication in Italy.</w:t>
            </w:r>
          </w:p>
        </w:tc>
        <w:tc>
          <w:tcPr>
            <w:tcW w:w="2126" w:type="dxa"/>
            <w:gridSpan w:val="2"/>
            <w:textDirection w:val="btLr"/>
          </w:tcPr>
          <w:p w:rsidR="00871883" w:rsidRPr="003569BE" w:rsidRDefault="00871883" w:rsidP="009910B2">
            <w:pPr>
              <w:ind w:left="113" w:right="113"/>
              <w:jc w:val="left"/>
              <w:rPr>
                <w:rFonts w:cs="Times New Roman"/>
                <w:bCs/>
                <w:sz w:val="20"/>
                <w:szCs w:val="20"/>
                <w:lang w:val="en-GB"/>
              </w:rPr>
            </w:pPr>
            <w:r w:rsidRPr="003569BE">
              <w:rPr>
                <w:rFonts w:cs="Times New Roman"/>
                <w:bCs/>
                <w:sz w:val="20"/>
                <w:szCs w:val="20"/>
                <w:lang w:val="en-GB"/>
              </w:rPr>
              <w:t>Compustat database</w:t>
            </w:r>
          </w:p>
        </w:tc>
        <w:tc>
          <w:tcPr>
            <w:tcW w:w="3827" w:type="dxa"/>
            <w:gridSpan w:val="2"/>
            <w:textDirection w:val="btLr"/>
          </w:tcPr>
          <w:p w:rsidR="00761BA3" w:rsidRPr="003569BE" w:rsidRDefault="00761BA3" w:rsidP="00761BA3">
            <w:pPr>
              <w:ind w:left="113" w:right="113"/>
              <w:jc w:val="left"/>
              <w:rPr>
                <w:rFonts w:cs="Times New Roman"/>
                <w:bCs/>
                <w:sz w:val="20"/>
                <w:szCs w:val="20"/>
                <w:lang w:val="en-GB"/>
              </w:rPr>
            </w:pPr>
            <w:r w:rsidRPr="003569BE">
              <w:rPr>
                <w:rFonts w:cs="Times New Roman"/>
                <w:bCs/>
                <w:sz w:val="20"/>
                <w:szCs w:val="20"/>
                <w:lang w:val="en-GB"/>
              </w:rPr>
              <w:t>Compustat database</w:t>
            </w:r>
          </w:p>
          <w:p w:rsidR="00761BA3" w:rsidRPr="003569BE" w:rsidRDefault="00761BA3" w:rsidP="00761BA3">
            <w:pPr>
              <w:ind w:left="113" w:right="113"/>
              <w:jc w:val="left"/>
              <w:rPr>
                <w:rFonts w:cs="Times New Roman"/>
                <w:bCs/>
                <w:sz w:val="20"/>
                <w:szCs w:val="20"/>
                <w:lang w:val="en-GB"/>
              </w:rPr>
            </w:pPr>
            <w:r w:rsidRPr="003569BE">
              <w:rPr>
                <w:rFonts w:cs="Times New Roman"/>
                <w:bCs/>
                <w:sz w:val="20"/>
                <w:szCs w:val="20"/>
                <w:lang w:val="en-GB"/>
              </w:rPr>
              <w:t>LEXIS/NEXIS</w:t>
            </w:r>
          </w:p>
          <w:p w:rsidR="00761BA3" w:rsidRPr="003569BE" w:rsidRDefault="00761BA3" w:rsidP="00761BA3">
            <w:pPr>
              <w:ind w:left="113" w:right="113"/>
              <w:jc w:val="left"/>
              <w:rPr>
                <w:rFonts w:cs="Times New Roman"/>
                <w:bCs/>
                <w:sz w:val="20"/>
                <w:szCs w:val="20"/>
                <w:lang w:val="en-GB"/>
              </w:rPr>
            </w:pPr>
            <w:r w:rsidRPr="003569BE">
              <w:rPr>
                <w:rFonts w:cs="Times New Roman"/>
                <w:bCs/>
                <w:sz w:val="20"/>
                <w:szCs w:val="20"/>
                <w:lang w:val="en-GB"/>
              </w:rPr>
              <w:t>NAARS</w:t>
            </w:r>
          </w:p>
          <w:p w:rsidR="00871883" w:rsidRPr="003569BE" w:rsidRDefault="00761BA3" w:rsidP="00761BA3">
            <w:pPr>
              <w:ind w:left="113" w:right="113"/>
              <w:jc w:val="left"/>
              <w:rPr>
                <w:rFonts w:cs="Times New Roman"/>
                <w:bCs/>
                <w:sz w:val="20"/>
                <w:szCs w:val="20"/>
                <w:lang w:val="en-GB"/>
              </w:rPr>
            </w:pPr>
            <w:r w:rsidRPr="003569BE">
              <w:rPr>
                <w:rFonts w:cs="Times New Roman"/>
                <w:bCs/>
                <w:sz w:val="20"/>
                <w:szCs w:val="20"/>
                <w:lang w:val="en-GB"/>
              </w:rPr>
              <w:t>I/B/E/S</w:t>
            </w:r>
          </w:p>
        </w:tc>
      </w:tr>
      <w:tr w:rsidR="00871883" w:rsidRPr="003569BE" w:rsidTr="009A6E7F">
        <w:tblPrEx>
          <w:jc w:val="left"/>
        </w:tblPrEx>
        <w:trPr>
          <w:trHeight w:val="2665"/>
        </w:trPr>
        <w:tc>
          <w:tcPr>
            <w:tcW w:w="401" w:type="dxa"/>
            <w:textDirection w:val="btLr"/>
          </w:tcPr>
          <w:p w:rsidR="00871883" w:rsidRPr="003569BE" w:rsidRDefault="00871883" w:rsidP="009910B2">
            <w:pPr>
              <w:ind w:left="113" w:right="113"/>
              <w:jc w:val="center"/>
              <w:rPr>
                <w:sz w:val="20"/>
                <w:szCs w:val="20"/>
                <w:lang w:val="en-GB"/>
              </w:rPr>
            </w:pPr>
            <w:r w:rsidRPr="003569BE">
              <w:rPr>
                <w:rFonts w:cs="Times New Roman"/>
                <w:bCs/>
                <w:sz w:val="20"/>
                <w:szCs w:val="20"/>
                <w:lang w:val="en-GB"/>
              </w:rPr>
              <w:t>Sample</w:t>
            </w:r>
          </w:p>
        </w:tc>
        <w:tc>
          <w:tcPr>
            <w:tcW w:w="2968" w:type="dxa"/>
            <w:textDirection w:val="btLr"/>
          </w:tcPr>
          <w:p w:rsidR="00871883" w:rsidRPr="003569BE" w:rsidRDefault="00871883" w:rsidP="009910B2">
            <w:pPr>
              <w:ind w:left="113" w:right="113"/>
              <w:jc w:val="left"/>
              <w:rPr>
                <w:sz w:val="20"/>
                <w:szCs w:val="20"/>
                <w:lang w:val="en-GB"/>
              </w:rPr>
            </w:pPr>
            <w:r w:rsidRPr="003569BE">
              <w:rPr>
                <w:sz w:val="20"/>
                <w:szCs w:val="20"/>
                <w:lang w:val="en-GB"/>
              </w:rPr>
              <w:t>171 non-financial Italian companies listed at the Milan Stock Exchange from the period 1985-2004, with a total of 1.184 firm year observations.</w:t>
            </w:r>
          </w:p>
        </w:tc>
        <w:tc>
          <w:tcPr>
            <w:tcW w:w="2126" w:type="dxa"/>
            <w:gridSpan w:val="2"/>
            <w:textDirection w:val="btLr"/>
          </w:tcPr>
          <w:p w:rsidR="00871883" w:rsidRPr="003569BE" w:rsidRDefault="00871883" w:rsidP="009910B2">
            <w:pPr>
              <w:ind w:left="113" w:right="113"/>
              <w:jc w:val="left"/>
              <w:rPr>
                <w:sz w:val="20"/>
                <w:szCs w:val="20"/>
                <w:lang w:val="en-GB"/>
              </w:rPr>
            </w:pPr>
            <w:r w:rsidRPr="003569BE">
              <w:rPr>
                <w:rFonts w:cs="Times New Roman"/>
                <w:bCs/>
                <w:sz w:val="20"/>
                <w:szCs w:val="20"/>
                <w:lang w:val="en-GB"/>
              </w:rPr>
              <w:t>A total of 12.558 firm year observation from the US, 9.035 with BigSix auditors and 1.846 with non-BigSix auditors. Financial entities and utility companies are excluded from the sample.</w:t>
            </w:r>
          </w:p>
        </w:tc>
        <w:tc>
          <w:tcPr>
            <w:tcW w:w="3827" w:type="dxa"/>
            <w:gridSpan w:val="2"/>
            <w:textDirection w:val="btLr"/>
          </w:tcPr>
          <w:p w:rsidR="00871883" w:rsidRPr="003569BE" w:rsidRDefault="00B65093" w:rsidP="009910B2">
            <w:pPr>
              <w:ind w:left="113" w:right="113"/>
              <w:jc w:val="left"/>
              <w:rPr>
                <w:sz w:val="20"/>
                <w:szCs w:val="20"/>
                <w:lang w:val="en-GB"/>
              </w:rPr>
            </w:pPr>
            <w:r w:rsidRPr="003569BE">
              <w:rPr>
                <w:rFonts w:cs="Times New Roman"/>
                <w:bCs/>
                <w:sz w:val="20"/>
                <w:szCs w:val="20"/>
                <w:lang w:val="en-GB"/>
              </w:rPr>
              <w:t>846 firms from the period 1981-1998, with a total of 12.892 firm year observations, divided in two sub-samples: 585 firms that did not change their auditors during the observed period, and 261 firms that changed their auditors at least once. Companies from the financial and service sectors are excluded from the sample.</w:t>
            </w:r>
          </w:p>
        </w:tc>
      </w:tr>
      <w:tr w:rsidR="00871883" w:rsidRPr="003569BE" w:rsidTr="009A6E7F">
        <w:tblPrEx>
          <w:jc w:val="left"/>
        </w:tblPrEx>
        <w:trPr>
          <w:trHeight w:val="1552"/>
        </w:trPr>
        <w:tc>
          <w:tcPr>
            <w:tcW w:w="401" w:type="dxa"/>
            <w:textDirection w:val="btLr"/>
          </w:tcPr>
          <w:p w:rsidR="00871883" w:rsidRPr="003569BE" w:rsidRDefault="00871883" w:rsidP="009910B2">
            <w:pPr>
              <w:ind w:left="113" w:right="113"/>
              <w:jc w:val="center"/>
              <w:rPr>
                <w:sz w:val="20"/>
                <w:szCs w:val="20"/>
                <w:lang w:val="en-GB"/>
              </w:rPr>
            </w:pPr>
            <w:r w:rsidRPr="003569BE">
              <w:rPr>
                <w:rFonts w:cs="Times New Roman"/>
                <w:bCs/>
                <w:sz w:val="20"/>
                <w:szCs w:val="20"/>
                <w:lang w:val="en-GB"/>
              </w:rPr>
              <w:t>Subject</w:t>
            </w:r>
          </w:p>
        </w:tc>
        <w:tc>
          <w:tcPr>
            <w:tcW w:w="2968" w:type="dxa"/>
            <w:textDirection w:val="btLr"/>
          </w:tcPr>
          <w:p w:rsidR="00871883" w:rsidRPr="003569BE" w:rsidRDefault="00871883" w:rsidP="009910B2">
            <w:pPr>
              <w:ind w:left="113" w:right="113"/>
              <w:jc w:val="left"/>
              <w:rPr>
                <w:sz w:val="20"/>
                <w:szCs w:val="20"/>
                <w:lang w:val="en-GB"/>
              </w:rPr>
            </w:pPr>
            <w:r w:rsidRPr="003569BE">
              <w:rPr>
                <w:rFonts w:cs="Times New Roman"/>
                <w:bCs/>
                <w:sz w:val="20"/>
                <w:szCs w:val="20"/>
                <w:lang w:val="en-GB"/>
              </w:rPr>
              <w:t>The effect of mandatory audit firm rotation on the quality of audit.</w:t>
            </w:r>
          </w:p>
        </w:tc>
        <w:tc>
          <w:tcPr>
            <w:tcW w:w="2126" w:type="dxa"/>
            <w:gridSpan w:val="2"/>
            <w:textDirection w:val="btLr"/>
          </w:tcPr>
          <w:p w:rsidR="00871883" w:rsidRPr="003569BE" w:rsidRDefault="00871883" w:rsidP="009910B2">
            <w:pPr>
              <w:ind w:left="113" w:right="113"/>
              <w:jc w:val="left"/>
              <w:rPr>
                <w:sz w:val="20"/>
                <w:szCs w:val="20"/>
                <w:lang w:val="en-GB"/>
              </w:rPr>
            </w:pPr>
            <w:r w:rsidRPr="003569BE">
              <w:rPr>
                <w:rFonts w:cs="Times New Roman"/>
                <w:bCs/>
                <w:sz w:val="20"/>
                <w:szCs w:val="20"/>
                <w:lang w:val="en-GB"/>
              </w:rPr>
              <w:t>The effect of the quality of audit on the use of earnings management.</w:t>
            </w:r>
          </w:p>
        </w:tc>
        <w:tc>
          <w:tcPr>
            <w:tcW w:w="3827" w:type="dxa"/>
            <w:gridSpan w:val="2"/>
            <w:textDirection w:val="btLr"/>
          </w:tcPr>
          <w:p w:rsidR="00871883" w:rsidRPr="003569BE" w:rsidRDefault="00B65093" w:rsidP="009910B2">
            <w:pPr>
              <w:ind w:left="113" w:right="113"/>
              <w:jc w:val="left"/>
              <w:rPr>
                <w:sz w:val="20"/>
                <w:szCs w:val="20"/>
                <w:lang w:val="en-GB"/>
              </w:rPr>
            </w:pPr>
            <w:r w:rsidRPr="003569BE">
              <w:rPr>
                <w:rFonts w:cs="Times New Roman"/>
                <w:bCs/>
                <w:sz w:val="20"/>
                <w:szCs w:val="20"/>
                <w:lang w:val="en-GB"/>
              </w:rPr>
              <w:t>The effect of the length of the auditor tenure on the magnitude of the use of earnings management.</w:t>
            </w:r>
          </w:p>
        </w:tc>
      </w:tr>
      <w:tr w:rsidR="00871883" w:rsidRPr="003569BE" w:rsidTr="009A6E7F">
        <w:tblPrEx>
          <w:jc w:val="left"/>
        </w:tblPrEx>
        <w:trPr>
          <w:trHeight w:val="1559"/>
        </w:trPr>
        <w:tc>
          <w:tcPr>
            <w:tcW w:w="401" w:type="dxa"/>
            <w:textDirection w:val="btLr"/>
          </w:tcPr>
          <w:p w:rsidR="00871883" w:rsidRPr="003569BE" w:rsidRDefault="00871883" w:rsidP="009910B2">
            <w:pPr>
              <w:ind w:left="113" w:right="113"/>
              <w:jc w:val="center"/>
              <w:rPr>
                <w:sz w:val="20"/>
                <w:szCs w:val="20"/>
                <w:lang w:val="en-GB"/>
              </w:rPr>
            </w:pPr>
            <w:r w:rsidRPr="003569BE">
              <w:rPr>
                <w:sz w:val="20"/>
                <w:szCs w:val="20"/>
                <w:lang w:val="en-GB"/>
              </w:rPr>
              <w:t>Authors</w:t>
            </w:r>
          </w:p>
        </w:tc>
        <w:tc>
          <w:tcPr>
            <w:tcW w:w="2968" w:type="dxa"/>
            <w:textDirection w:val="btLr"/>
          </w:tcPr>
          <w:p w:rsidR="00761BA3" w:rsidRPr="003569BE" w:rsidRDefault="00761BA3" w:rsidP="00761BA3">
            <w:pPr>
              <w:ind w:left="113" w:right="113"/>
              <w:jc w:val="left"/>
              <w:rPr>
                <w:sz w:val="20"/>
                <w:szCs w:val="20"/>
                <w:lang w:val="en-GB"/>
              </w:rPr>
            </w:pPr>
            <w:r w:rsidRPr="003569BE">
              <w:rPr>
                <w:sz w:val="20"/>
                <w:szCs w:val="20"/>
                <w:lang w:val="en-GB"/>
              </w:rPr>
              <w:t xml:space="preserve">Cameran, Prencipe </w:t>
            </w:r>
          </w:p>
          <w:p w:rsidR="00871883" w:rsidRPr="003569BE" w:rsidRDefault="00761BA3" w:rsidP="00761BA3">
            <w:pPr>
              <w:ind w:left="113" w:right="113"/>
              <w:jc w:val="left"/>
              <w:rPr>
                <w:sz w:val="20"/>
                <w:szCs w:val="20"/>
                <w:lang w:val="en-GB"/>
              </w:rPr>
            </w:pPr>
            <w:r w:rsidRPr="003569BE">
              <w:rPr>
                <w:sz w:val="20"/>
                <w:szCs w:val="20"/>
                <w:lang w:val="en-GB"/>
              </w:rPr>
              <w:t>&amp; Trombetta (2012)</w:t>
            </w:r>
          </w:p>
        </w:tc>
        <w:tc>
          <w:tcPr>
            <w:tcW w:w="2126" w:type="dxa"/>
            <w:gridSpan w:val="2"/>
            <w:textDirection w:val="btLr"/>
          </w:tcPr>
          <w:p w:rsidR="00761BA3" w:rsidRPr="003569BE" w:rsidRDefault="00761BA3" w:rsidP="00761BA3">
            <w:pPr>
              <w:ind w:left="113" w:right="113"/>
              <w:jc w:val="left"/>
              <w:rPr>
                <w:sz w:val="20"/>
                <w:szCs w:val="20"/>
                <w:lang w:val="en-GB"/>
              </w:rPr>
            </w:pPr>
            <w:r w:rsidRPr="003569BE">
              <w:rPr>
                <w:sz w:val="20"/>
                <w:szCs w:val="20"/>
                <w:lang w:val="en-GB"/>
              </w:rPr>
              <w:t>Becker, DeFond,</w:t>
            </w:r>
          </w:p>
          <w:p w:rsidR="00761BA3" w:rsidRPr="003569BE" w:rsidRDefault="00761BA3" w:rsidP="00761BA3">
            <w:pPr>
              <w:ind w:left="113" w:right="113"/>
              <w:jc w:val="left"/>
              <w:rPr>
                <w:sz w:val="20"/>
                <w:szCs w:val="20"/>
                <w:lang w:val="en-GB"/>
              </w:rPr>
            </w:pPr>
            <w:r w:rsidRPr="003569BE">
              <w:rPr>
                <w:sz w:val="20"/>
                <w:szCs w:val="20"/>
                <w:lang w:val="en-GB"/>
              </w:rPr>
              <w:t xml:space="preserve">Jiambalvo </w:t>
            </w:r>
          </w:p>
          <w:p w:rsidR="00871883" w:rsidRPr="003569BE" w:rsidRDefault="00761BA3" w:rsidP="00761BA3">
            <w:pPr>
              <w:ind w:left="113" w:right="113"/>
              <w:jc w:val="left"/>
              <w:rPr>
                <w:sz w:val="20"/>
                <w:szCs w:val="20"/>
                <w:lang w:val="en-GB"/>
              </w:rPr>
            </w:pPr>
            <w:r w:rsidRPr="003569BE">
              <w:rPr>
                <w:sz w:val="20"/>
                <w:szCs w:val="20"/>
                <w:lang w:val="en-GB"/>
              </w:rPr>
              <w:t>&amp; Subramanyam (1998)</w:t>
            </w:r>
          </w:p>
        </w:tc>
        <w:tc>
          <w:tcPr>
            <w:tcW w:w="3827" w:type="dxa"/>
            <w:gridSpan w:val="2"/>
            <w:textDirection w:val="btLr"/>
          </w:tcPr>
          <w:p w:rsidR="00761BA3" w:rsidRPr="003569BE" w:rsidRDefault="00761BA3" w:rsidP="00761BA3">
            <w:pPr>
              <w:ind w:left="113" w:right="113"/>
              <w:jc w:val="left"/>
              <w:rPr>
                <w:sz w:val="20"/>
                <w:szCs w:val="20"/>
                <w:lang w:val="en-GB"/>
              </w:rPr>
            </w:pPr>
            <w:r w:rsidRPr="003569BE">
              <w:rPr>
                <w:sz w:val="20"/>
                <w:szCs w:val="20"/>
                <w:lang w:val="en-GB"/>
              </w:rPr>
              <w:t>Davis, Soo</w:t>
            </w:r>
          </w:p>
          <w:p w:rsidR="00871883" w:rsidRPr="003569BE" w:rsidRDefault="00761BA3" w:rsidP="00761BA3">
            <w:pPr>
              <w:ind w:left="113" w:right="113"/>
              <w:jc w:val="left"/>
              <w:rPr>
                <w:sz w:val="20"/>
                <w:szCs w:val="20"/>
                <w:lang w:val="en-GB"/>
              </w:rPr>
            </w:pPr>
            <w:r w:rsidRPr="003569BE">
              <w:rPr>
                <w:sz w:val="20"/>
                <w:szCs w:val="20"/>
                <w:lang w:val="en-GB"/>
              </w:rPr>
              <w:t>&amp; Trompeter (2000)</w:t>
            </w:r>
          </w:p>
        </w:tc>
      </w:tr>
      <w:tr w:rsidR="0021378C" w:rsidRPr="003569BE" w:rsidTr="00E559B1">
        <w:trPr>
          <w:gridAfter w:val="1"/>
          <w:wAfter w:w="561" w:type="dxa"/>
          <w:cantSplit/>
          <w:trHeight w:val="2411"/>
          <w:jc w:val="center"/>
        </w:trPr>
        <w:tc>
          <w:tcPr>
            <w:tcW w:w="401" w:type="dxa"/>
            <w:textDirection w:val="btLr"/>
          </w:tcPr>
          <w:p w:rsidR="0021378C" w:rsidRPr="003569BE" w:rsidRDefault="0021378C" w:rsidP="00576B75">
            <w:pPr>
              <w:ind w:left="113" w:right="113"/>
              <w:jc w:val="center"/>
              <w:rPr>
                <w:sz w:val="20"/>
                <w:szCs w:val="20"/>
                <w:lang w:val="en-GB"/>
              </w:rPr>
            </w:pPr>
            <w:r w:rsidRPr="003569BE">
              <w:rPr>
                <w:rFonts w:cs="Times New Roman"/>
                <w:bCs/>
                <w:sz w:val="20"/>
                <w:szCs w:val="20"/>
                <w:lang w:val="en-GB"/>
              </w:rPr>
              <w:lastRenderedPageBreak/>
              <w:t>Outcomes</w:t>
            </w:r>
          </w:p>
        </w:tc>
        <w:tc>
          <w:tcPr>
            <w:tcW w:w="3824"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Negative association between the auditor tenure and the dispersion of the current and the discretionary accruals.</w:t>
            </w:r>
          </w:p>
        </w:tc>
        <w:tc>
          <w:tcPr>
            <w:tcW w:w="4536" w:type="dxa"/>
            <w:gridSpan w:val="2"/>
            <w:textDirection w:val="btLr"/>
          </w:tcPr>
          <w:p w:rsidR="00761BA3" w:rsidRPr="003569BE" w:rsidRDefault="00761BA3" w:rsidP="00761BA3">
            <w:pPr>
              <w:ind w:left="113" w:right="113"/>
              <w:jc w:val="left"/>
              <w:rPr>
                <w:sz w:val="20"/>
                <w:szCs w:val="20"/>
                <w:lang w:val="en-GB"/>
              </w:rPr>
            </w:pPr>
            <w:r w:rsidRPr="003569BE">
              <w:rPr>
                <w:sz w:val="20"/>
                <w:szCs w:val="20"/>
                <w:lang w:val="en-GB"/>
              </w:rPr>
              <w:t>Negative correlation between the audit partner tenure and the level of the discretionary accruals.</w:t>
            </w:r>
          </w:p>
          <w:p w:rsidR="0021378C" w:rsidRPr="003569BE" w:rsidRDefault="00761BA3" w:rsidP="00761BA3">
            <w:pPr>
              <w:ind w:left="113" w:right="113"/>
              <w:jc w:val="left"/>
              <w:rPr>
                <w:sz w:val="20"/>
                <w:szCs w:val="20"/>
                <w:lang w:val="en-GB"/>
              </w:rPr>
            </w:pPr>
            <w:r w:rsidRPr="003569BE">
              <w:rPr>
                <w:sz w:val="20"/>
                <w:szCs w:val="20"/>
                <w:lang w:val="en-GB"/>
              </w:rPr>
              <w:t>Negative correlation between the audit firm tenure and the level of the discretionary accruals, after controlling for partner tenure.</w:t>
            </w:r>
          </w:p>
        </w:tc>
      </w:tr>
      <w:tr w:rsidR="0021378C" w:rsidRPr="003569BE" w:rsidTr="00E559B1">
        <w:trPr>
          <w:gridAfter w:val="1"/>
          <w:wAfter w:w="561" w:type="dxa"/>
          <w:cantSplit/>
          <w:trHeight w:val="2402"/>
          <w:jc w:val="center"/>
        </w:trPr>
        <w:tc>
          <w:tcPr>
            <w:tcW w:w="401" w:type="dxa"/>
            <w:textDirection w:val="btLr"/>
          </w:tcPr>
          <w:p w:rsidR="0021378C" w:rsidRPr="003569BE" w:rsidRDefault="0021378C" w:rsidP="00576B75">
            <w:pPr>
              <w:ind w:left="113" w:right="113"/>
              <w:jc w:val="center"/>
              <w:rPr>
                <w:sz w:val="20"/>
                <w:szCs w:val="20"/>
                <w:lang w:val="en-GB"/>
              </w:rPr>
            </w:pPr>
            <w:r w:rsidRPr="003569BE">
              <w:rPr>
                <w:rFonts w:cs="Times New Roman"/>
                <w:bCs/>
                <w:sz w:val="20"/>
                <w:szCs w:val="20"/>
                <w:lang w:val="en-GB"/>
              </w:rPr>
              <w:t>Methodology</w:t>
            </w:r>
          </w:p>
        </w:tc>
        <w:tc>
          <w:tcPr>
            <w:tcW w:w="3824"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Two proxies are used for measuring the earnings quality, current accruals and discretionary accruals. Both univariate and multivariate tests are performed for testing the hypotheses.</w:t>
            </w:r>
          </w:p>
        </w:tc>
        <w:tc>
          <w:tcPr>
            <w:tcW w:w="4536"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Discretionary accruals are measured using a cross-sectional version of the modified Jones model. Two hypotheses are tested, one regarding the effect of partner tenure, and one regarding the effect of audit firm tenure, after controlling for the partner tenure. Models are designed for testing these hypotheses, including the age of the company, its size and growth, as variables.</w:t>
            </w:r>
          </w:p>
        </w:tc>
      </w:tr>
      <w:tr w:rsidR="0021378C" w:rsidRPr="003569BE" w:rsidTr="00E559B1">
        <w:trPr>
          <w:gridAfter w:val="1"/>
          <w:wAfter w:w="561" w:type="dxa"/>
          <w:cantSplit/>
          <w:trHeight w:val="2408"/>
          <w:jc w:val="center"/>
        </w:trPr>
        <w:tc>
          <w:tcPr>
            <w:tcW w:w="401" w:type="dxa"/>
            <w:textDirection w:val="btLr"/>
          </w:tcPr>
          <w:p w:rsidR="0021378C" w:rsidRPr="003569BE" w:rsidRDefault="0021378C" w:rsidP="00576B75">
            <w:pPr>
              <w:ind w:left="113" w:right="113"/>
              <w:jc w:val="center"/>
              <w:rPr>
                <w:sz w:val="20"/>
                <w:szCs w:val="20"/>
                <w:lang w:val="en-GB"/>
              </w:rPr>
            </w:pPr>
            <w:r w:rsidRPr="003569BE">
              <w:rPr>
                <w:rFonts w:cs="Times New Roman"/>
                <w:bCs/>
                <w:sz w:val="20"/>
                <w:szCs w:val="20"/>
                <w:lang w:val="en-GB"/>
              </w:rPr>
              <w:t>Data sources</w:t>
            </w:r>
          </w:p>
        </w:tc>
        <w:tc>
          <w:tcPr>
            <w:tcW w:w="3824"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Compustat database.</w:t>
            </w:r>
          </w:p>
        </w:tc>
        <w:tc>
          <w:tcPr>
            <w:tcW w:w="4536" w:type="dxa"/>
            <w:gridSpan w:val="2"/>
            <w:textDirection w:val="btLr"/>
          </w:tcPr>
          <w:p w:rsidR="0021378C" w:rsidRPr="003569BE" w:rsidRDefault="00761BA3" w:rsidP="00576B75">
            <w:pPr>
              <w:ind w:left="113" w:right="113"/>
              <w:jc w:val="left"/>
              <w:rPr>
                <w:rFonts w:cs="Times New Roman"/>
                <w:bCs/>
                <w:sz w:val="20"/>
                <w:szCs w:val="20"/>
                <w:lang w:val="en-GB"/>
              </w:rPr>
            </w:pPr>
            <w:r w:rsidRPr="003569BE">
              <w:rPr>
                <w:rFonts w:cs="Times New Roman"/>
                <w:bCs/>
                <w:sz w:val="20"/>
                <w:szCs w:val="20"/>
                <w:lang w:val="en-GB"/>
              </w:rPr>
              <w:t>Taiwan Economic Journal (TEJ) database</w:t>
            </w:r>
          </w:p>
        </w:tc>
      </w:tr>
      <w:tr w:rsidR="0021378C" w:rsidRPr="003569BE" w:rsidTr="00E559B1">
        <w:trPr>
          <w:gridAfter w:val="1"/>
          <w:wAfter w:w="561" w:type="dxa"/>
          <w:cantSplit/>
          <w:trHeight w:val="2401"/>
          <w:jc w:val="center"/>
        </w:trPr>
        <w:tc>
          <w:tcPr>
            <w:tcW w:w="401" w:type="dxa"/>
            <w:textDirection w:val="btLr"/>
          </w:tcPr>
          <w:p w:rsidR="0021378C" w:rsidRPr="003569BE" w:rsidRDefault="0021378C" w:rsidP="00576B75">
            <w:pPr>
              <w:ind w:left="113" w:right="113"/>
              <w:jc w:val="center"/>
              <w:rPr>
                <w:sz w:val="20"/>
                <w:szCs w:val="20"/>
                <w:lang w:val="en-GB"/>
              </w:rPr>
            </w:pPr>
            <w:r w:rsidRPr="003569BE">
              <w:rPr>
                <w:rFonts w:cs="Times New Roman"/>
                <w:bCs/>
                <w:sz w:val="20"/>
                <w:szCs w:val="20"/>
                <w:lang w:val="en-GB"/>
              </w:rPr>
              <w:t>Sample</w:t>
            </w:r>
          </w:p>
        </w:tc>
        <w:tc>
          <w:tcPr>
            <w:tcW w:w="3824"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42.302 firm year observations from the US from the period 1988-2000.</w:t>
            </w:r>
          </w:p>
        </w:tc>
        <w:tc>
          <w:tcPr>
            <w:tcW w:w="4536"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888 Taiwanese companies from the period 1990-2001, with a total of 5.213 firm year observations. Items that have an initial public offering in the current or previous year are excluded from the sample.</w:t>
            </w:r>
          </w:p>
        </w:tc>
      </w:tr>
      <w:tr w:rsidR="0021378C" w:rsidRPr="003569BE" w:rsidTr="00E559B1">
        <w:trPr>
          <w:gridAfter w:val="1"/>
          <w:wAfter w:w="561" w:type="dxa"/>
          <w:cantSplit/>
          <w:trHeight w:val="1552"/>
          <w:jc w:val="center"/>
        </w:trPr>
        <w:tc>
          <w:tcPr>
            <w:tcW w:w="401" w:type="dxa"/>
            <w:textDirection w:val="btLr"/>
          </w:tcPr>
          <w:p w:rsidR="0021378C" w:rsidRPr="003569BE" w:rsidRDefault="0021378C" w:rsidP="00576B75">
            <w:pPr>
              <w:ind w:left="113" w:right="113"/>
              <w:jc w:val="center"/>
              <w:rPr>
                <w:sz w:val="20"/>
                <w:szCs w:val="20"/>
                <w:lang w:val="en-GB"/>
              </w:rPr>
            </w:pPr>
            <w:r w:rsidRPr="003569BE">
              <w:rPr>
                <w:rFonts w:cs="Times New Roman"/>
                <w:bCs/>
                <w:sz w:val="20"/>
                <w:szCs w:val="20"/>
                <w:lang w:val="en-GB"/>
              </w:rPr>
              <w:t>Subject</w:t>
            </w:r>
          </w:p>
        </w:tc>
        <w:tc>
          <w:tcPr>
            <w:tcW w:w="3824"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The effect of the auditor-client relationship in terms of tenure on the quality of earnings.</w:t>
            </w:r>
          </w:p>
        </w:tc>
        <w:tc>
          <w:tcPr>
            <w:tcW w:w="4536" w:type="dxa"/>
            <w:gridSpan w:val="2"/>
            <w:textDirection w:val="btLr"/>
          </w:tcPr>
          <w:p w:rsidR="0021378C" w:rsidRPr="003569BE" w:rsidRDefault="00761BA3" w:rsidP="00576B75">
            <w:pPr>
              <w:ind w:left="113" w:right="113"/>
              <w:jc w:val="left"/>
              <w:rPr>
                <w:sz w:val="20"/>
                <w:szCs w:val="20"/>
                <w:lang w:val="en-GB"/>
              </w:rPr>
            </w:pPr>
            <w:r w:rsidRPr="003569BE">
              <w:rPr>
                <w:sz w:val="20"/>
                <w:szCs w:val="20"/>
                <w:lang w:val="en-GB"/>
              </w:rPr>
              <w:t>The effect of audit firm tenure on the quality of the published earnings.</w:t>
            </w:r>
          </w:p>
        </w:tc>
      </w:tr>
      <w:tr w:rsidR="0021378C" w:rsidRPr="003569BE" w:rsidTr="00E559B1">
        <w:trPr>
          <w:gridAfter w:val="1"/>
          <w:wAfter w:w="561" w:type="dxa"/>
          <w:cantSplit/>
          <w:trHeight w:val="1559"/>
          <w:jc w:val="center"/>
        </w:trPr>
        <w:tc>
          <w:tcPr>
            <w:tcW w:w="401" w:type="dxa"/>
            <w:textDirection w:val="btLr"/>
          </w:tcPr>
          <w:p w:rsidR="0021378C" w:rsidRPr="003569BE" w:rsidRDefault="0021378C" w:rsidP="00576B75">
            <w:pPr>
              <w:ind w:left="113" w:right="113"/>
              <w:jc w:val="center"/>
              <w:rPr>
                <w:sz w:val="20"/>
                <w:szCs w:val="20"/>
                <w:lang w:val="en-GB"/>
              </w:rPr>
            </w:pPr>
            <w:r w:rsidRPr="003569BE">
              <w:rPr>
                <w:sz w:val="20"/>
                <w:szCs w:val="20"/>
                <w:lang w:val="en-GB"/>
              </w:rPr>
              <w:t>Authors</w:t>
            </w:r>
          </w:p>
        </w:tc>
        <w:tc>
          <w:tcPr>
            <w:tcW w:w="3824" w:type="dxa"/>
            <w:gridSpan w:val="2"/>
            <w:textDirection w:val="btLr"/>
          </w:tcPr>
          <w:p w:rsidR="0021378C" w:rsidRPr="003569BE" w:rsidRDefault="0021378C" w:rsidP="00576B75">
            <w:pPr>
              <w:ind w:left="113" w:right="113"/>
              <w:jc w:val="left"/>
              <w:rPr>
                <w:sz w:val="20"/>
                <w:szCs w:val="20"/>
                <w:lang w:val="en-GB"/>
              </w:rPr>
            </w:pPr>
            <w:r w:rsidRPr="003569BE">
              <w:rPr>
                <w:sz w:val="20"/>
                <w:szCs w:val="20"/>
                <w:lang w:val="en-GB"/>
              </w:rPr>
              <w:t>Myers, Myers &amp; Omer (2003)</w:t>
            </w:r>
          </w:p>
        </w:tc>
        <w:tc>
          <w:tcPr>
            <w:tcW w:w="4536" w:type="dxa"/>
            <w:gridSpan w:val="2"/>
            <w:textDirection w:val="btLr"/>
          </w:tcPr>
          <w:p w:rsidR="00761BA3" w:rsidRPr="003569BE" w:rsidRDefault="00761BA3" w:rsidP="00761BA3">
            <w:pPr>
              <w:ind w:left="113" w:right="113"/>
              <w:jc w:val="left"/>
              <w:rPr>
                <w:sz w:val="20"/>
                <w:szCs w:val="20"/>
                <w:lang w:val="en-GB"/>
              </w:rPr>
            </w:pPr>
            <w:r w:rsidRPr="003569BE">
              <w:rPr>
                <w:sz w:val="20"/>
                <w:szCs w:val="20"/>
                <w:lang w:val="en-GB"/>
              </w:rPr>
              <w:t>Chen, Lin, &amp; Lin</w:t>
            </w:r>
          </w:p>
          <w:p w:rsidR="0021378C" w:rsidRPr="003569BE" w:rsidRDefault="00761BA3" w:rsidP="00761BA3">
            <w:pPr>
              <w:ind w:left="113" w:right="113"/>
              <w:jc w:val="left"/>
              <w:rPr>
                <w:sz w:val="20"/>
                <w:szCs w:val="20"/>
                <w:lang w:val="en-GB"/>
              </w:rPr>
            </w:pPr>
            <w:r w:rsidRPr="003569BE">
              <w:rPr>
                <w:sz w:val="20"/>
                <w:szCs w:val="20"/>
                <w:lang w:val="en-GB"/>
              </w:rPr>
              <w:t>(2008)</w:t>
            </w:r>
          </w:p>
        </w:tc>
      </w:tr>
    </w:tbl>
    <w:p w:rsidR="007B1B40" w:rsidRPr="003569BE" w:rsidRDefault="007B1B40" w:rsidP="007B1B40">
      <w:pPr>
        <w:rPr>
          <w:lang w:val="en-GB"/>
        </w:rPr>
      </w:pPr>
    </w:p>
    <w:p w:rsidR="007B1B40" w:rsidRPr="003569BE" w:rsidRDefault="007B1B40" w:rsidP="007B1B40">
      <w:pPr>
        <w:rPr>
          <w:lang w:val="en-GB"/>
        </w:rPr>
      </w:pPr>
    </w:p>
    <w:p w:rsidR="00CB0BC7" w:rsidRPr="003569BE" w:rsidRDefault="0085059C" w:rsidP="0085059C">
      <w:pPr>
        <w:pStyle w:val="Heading2"/>
        <w:rPr>
          <w:rFonts w:cs="Times New Roman"/>
          <w:lang w:val="en-GB"/>
        </w:rPr>
      </w:pPr>
      <w:bookmarkStart w:id="79" w:name="_Toc396633610"/>
      <w:r w:rsidRPr="003569BE">
        <w:rPr>
          <w:lang w:val="en-GB"/>
        </w:rPr>
        <w:lastRenderedPageBreak/>
        <w:t>Appendix</w:t>
      </w:r>
      <w:r w:rsidRPr="003569BE">
        <w:rPr>
          <w:rFonts w:cs="Times New Roman"/>
          <w:lang w:val="en-GB"/>
        </w:rPr>
        <w:t xml:space="preserve"> 2: </w:t>
      </w:r>
      <w:r w:rsidR="00D77AD6" w:rsidRPr="003569BE">
        <w:rPr>
          <w:rFonts w:cs="Times New Roman"/>
          <w:lang w:val="en-GB"/>
        </w:rPr>
        <w:t>Sample Information</w:t>
      </w:r>
      <w:bookmarkEnd w:id="79"/>
    </w:p>
    <w:p w:rsidR="00D77AD6" w:rsidRPr="003569BE" w:rsidRDefault="00D77AD6" w:rsidP="00D77AD6">
      <w:pPr>
        <w:pStyle w:val="Heading2"/>
        <w:ind w:firstLine="708"/>
        <w:rPr>
          <w:sz w:val="24"/>
          <w:szCs w:val="24"/>
          <w:lang w:val="en-GB"/>
        </w:rPr>
      </w:pPr>
      <w:bookmarkStart w:id="80" w:name="_Toc396633611"/>
      <w:r w:rsidRPr="003569BE">
        <w:rPr>
          <w:rFonts w:cs="Times New Roman"/>
          <w:sz w:val="24"/>
          <w:szCs w:val="24"/>
          <w:lang w:val="en-GB"/>
        </w:rPr>
        <w:t>Appendix</w:t>
      </w:r>
      <w:r w:rsidRPr="003569BE">
        <w:rPr>
          <w:sz w:val="24"/>
          <w:szCs w:val="24"/>
          <w:lang w:val="en-GB"/>
        </w:rPr>
        <w:t xml:space="preserve"> 2.1:</w:t>
      </w:r>
      <w:r w:rsidRPr="003569BE">
        <w:rPr>
          <w:lang w:val="en-GB"/>
        </w:rPr>
        <w:t xml:space="preserve"> </w:t>
      </w:r>
      <w:r w:rsidRPr="003569BE">
        <w:rPr>
          <w:sz w:val="24"/>
          <w:szCs w:val="24"/>
          <w:lang w:val="en-GB"/>
        </w:rPr>
        <w:t>Sample description</w:t>
      </w:r>
      <w:bookmarkEnd w:id="80"/>
    </w:p>
    <w:tbl>
      <w:tblPr>
        <w:tblStyle w:val="LightShading-Accent5"/>
        <w:tblW w:w="0" w:type="auto"/>
        <w:tblLook w:val="04A0"/>
      </w:tblPr>
      <w:tblGrid>
        <w:gridCol w:w="4644"/>
        <w:gridCol w:w="4644"/>
      </w:tblGrid>
      <w:tr w:rsidR="007A0FA1" w:rsidRPr="003569BE" w:rsidTr="003569BE">
        <w:trPr>
          <w:cnfStyle w:val="100000000000"/>
        </w:trPr>
        <w:tc>
          <w:tcPr>
            <w:cnfStyle w:val="001000000000"/>
            <w:tcW w:w="4644" w:type="dxa"/>
            <w:shd w:val="clear" w:color="auto" w:fill="FFFFFF" w:themeFill="background1"/>
          </w:tcPr>
          <w:p w:rsidR="007A0FA1" w:rsidRPr="003569BE" w:rsidRDefault="007A0FA1" w:rsidP="003569BE">
            <w:pPr>
              <w:jc w:val="center"/>
              <w:rPr>
                <w:szCs w:val="24"/>
                <w:lang w:val="en-GB"/>
              </w:rPr>
            </w:pPr>
          </w:p>
        </w:tc>
        <w:tc>
          <w:tcPr>
            <w:tcW w:w="4644" w:type="dxa"/>
          </w:tcPr>
          <w:p w:rsidR="007A0FA1" w:rsidRPr="003569BE" w:rsidRDefault="007A0FA1" w:rsidP="003569BE">
            <w:pPr>
              <w:jc w:val="center"/>
              <w:cnfStyle w:val="100000000000"/>
              <w:rPr>
                <w:b w:val="0"/>
                <w:i/>
                <w:szCs w:val="24"/>
                <w:lang w:val="en-GB"/>
              </w:rPr>
            </w:pPr>
            <w:r w:rsidRPr="003569BE">
              <w:rPr>
                <w:b w:val="0"/>
                <w:i/>
                <w:szCs w:val="24"/>
                <w:lang w:val="en-GB"/>
              </w:rPr>
              <w:t>Firm-year observations</w:t>
            </w:r>
          </w:p>
        </w:tc>
      </w:tr>
      <w:tr w:rsidR="007A0FA1" w:rsidRPr="003569BE" w:rsidTr="003569BE">
        <w:trPr>
          <w:cnfStyle w:val="000000100000"/>
        </w:trPr>
        <w:tc>
          <w:tcPr>
            <w:cnfStyle w:val="001000000000"/>
            <w:tcW w:w="4644" w:type="dxa"/>
            <w:shd w:val="clear" w:color="auto" w:fill="FFFFFF" w:themeFill="background1"/>
          </w:tcPr>
          <w:p w:rsidR="007A0FA1" w:rsidRPr="003569BE" w:rsidRDefault="007A0FA1" w:rsidP="003569BE">
            <w:pPr>
              <w:jc w:val="center"/>
              <w:rPr>
                <w:b w:val="0"/>
                <w:szCs w:val="24"/>
                <w:lang w:val="en-GB"/>
              </w:rPr>
            </w:pPr>
            <w:r w:rsidRPr="003569BE">
              <w:rPr>
                <w:b w:val="0"/>
                <w:szCs w:val="24"/>
                <w:lang w:val="en-GB"/>
              </w:rPr>
              <w:t>Original sample</w:t>
            </w:r>
          </w:p>
        </w:tc>
        <w:tc>
          <w:tcPr>
            <w:tcW w:w="4644" w:type="dxa"/>
            <w:shd w:val="clear" w:color="auto" w:fill="FFFFFF" w:themeFill="background1"/>
          </w:tcPr>
          <w:p w:rsidR="007A0FA1" w:rsidRPr="003569BE" w:rsidRDefault="009274A3" w:rsidP="003569BE">
            <w:pPr>
              <w:jc w:val="center"/>
              <w:cnfStyle w:val="000000100000"/>
              <w:rPr>
                <w:szCs w:val="24"/>
                <w:lang w:val="en-GB"/>
              </w:rPr>
            </w:pPr>
            <w:r>
              <w:rPr>
                <w:szCs w:val="24"/>
                <w:lang w:val="en-GB"/>
              </w:rPr>
              <w:t xml:space="preserve">  835</w:t>
            </w:r>
          </w:p>
        </w:tc>
      </w:tr>
      <w:tr w:rsidR="007A0FA1" w:rsidRPr="003569BE" w:rsidTr="003569BE">
        <w:tc>
          <w:tcPr>
            <w:cnfStyle w:val="001000000000"/>
            <w:tcW w:w="4644" w:type="dxa"/>
            <w:shd w:val="clear" w:color="auto" w:fill="FFFFFF" w:themeFill="background1"/>
          </w:tcPr>
          <w:p w:rsidR="007A0FA1" w:rsidRPr="003569BE" w:rsidRDefault="007A0FA1" w:rsidP="003569BE">
            <w:pPr>
              <w:jc w:val="center"/>
              <w:rPr>
                <w:b w:val="0"/>
                <w:szCs w:val="24"/>
                <w:lang w:val="en-GB"/>
              </w:rPr>
            </w:pPr>
            <w:r w:rsidRPr="003569BE">
              <w:rPr>
                <w:b w:val="0"/>
                <w:szCs w:val="24"/>
                <w:lang w:val="en-GB"/>
              </w:rPr>
              <w:t>Financial sector excluded</w:t>
            </w:r>
          </w:p>
        </w:tc>
        <w:tc>
          <w:tcPr>
            <w:tcW w:w="4644" w:type="dxa"/>
            <w:shd w:val="clear" w:color="auto" w:fill="FFFFFF" w:themeFill="background1"/>
          </w:tcPr>
          <w:p w:rsidR="007A0FA1" w:rsidRPr="003569BE" w:rsidRDefault="007A0FA1" w:rsidP="003569BE">
            <w:pPr>
              <w:jc w:val="center"/>
              <w:cnfStyle w:val="000000000000"/>
              <w:rPr>
                <w:szCs w:val="24"/>
                <w:lang w:val="en-GB"/>
              </w:rPr>
            </w:pPr>
            <w:r w:rsidRPr="003569BE">
              <w:rPr>
                <w:szCs w:val="24"/>
                <w:lang w:val="en-GB"/>
              </w:rPr>
              <w:t>-360</w:t>
            </w:r>
          </w:p>
        </w:tc>
      </w:tr>
      <w:tr w:rsidR="007A0FA1" w:rsidRPr="003569BE" w:rsidTr="003569BE">
        <w:trPr>
          <w:cnfStyle w:val="000000100000"/>
        </w:trPr>
        <w:tc>
          <w:tcPr>
            <w:cnfStyle w:val="001000000000"/>
            <w:tcW w:w="4644" w:type="dxa"/>
            <w:tcBorders>
              <w:bottom w:val="single" w:sz="4" w:space="0" w:color="2E74B5" w:themeColor="accent1" w:themeShade="BF"/>
            </w:tcBorders>
            <w:shd w:val="clear" w:color="auto" w:fill="FFFFFF" w:themeFill="background1"/>
          </w:tcPr>
          <w:p w:rsidR="007A0FA1" w:rsidRPr="003569BE" w:rsidRDefault="007A0FA1" w:rsidP="003569BE">
            <w:pPr>
              <w:jc w:val="center"/>
              <w:rPr>
                <w:b w:val="0"/>
                <w:szCs w:val="24"/>
                <w:lang w:val="en-GB"/>
              </w:rPr>
            </w:pPr>
            <w:r w:rsidRPr="003569BE">
              <w:rPr>
                <w:b w:val="0"/>
                <w:szCs w:val="24"/>
                <w:lang w:val="en-GB"/>
              </w:rPr>
              <w:t>Unavailable data excluded</w:t>
            </w:r>
          </w:p>
        </w:tc>
        <w:tc>
          <w:tcPr>
            <w:tcW w:w="4644" w:type="dxa"/>
            <w:tcBorders>
              <w:bottom w:val="single" w:sz="4" w:space="0" w:color="2E74B5" w:themeColor="accent1" w:themeShade="BF"/>
            </w:tcBorders>
            <w:shd w:val="clear" w:color="auto" w:fill="FFFFFF" w:themeFill="background1"/>
          </w:tcPr>
          <w:p w:rsidR="007A0FA1" w:rsidRPr="003569BE" w:rsidRDefault="007A0FA1" w:rsidP="003569BE">
            <w:pPr>
              <w:jc w:val="center"/>
              <w:cnfStyle w:val="000000100000"/>
              <w:rPr>
                <w:szCs w:val="24"/>
                <w:lang w:val="en-GB"/>
              </w:rPr>
            </w:pPr>
            <w:r w:rsidRPr="003569BE">
              <w:rPr>
                <w:szCs w:val="24"/>
                <w:lang w:val="en-GB"/>
              </w:rPr>
              <w:t>-111</w:t>
            </w:r>
          </w:p>
        </w:tc>
      </w:tr>
      <w:tr w:rsidR="007A0FA1" w:rsidRPr="003569BE" w:rsidTr="003569BE">
        <w:tc>
          <w:tcPr>
            <w:cnfStyle w:val="001000000000"/>
            <w:tcW w:w="4644" w:type="dxa"/>
            <w:tcBorders>
              <w:top w:val="single" w:sz="4" w:space="0" w:color="2E74B5" w:themeColor="accent1" w:themeShade="BF"/>
            </w:tcBorders>
            <w:shd w:val="clear" w:color="auto" w:fill="FFFFFF" w:themeFill="background1"/>
          </w:tcPr>
          <w:p w:rsidR="007A0FA1" w:rsidRPr="003569BE" w:rsidRDefault="007A0FA1" w:rsidP="003569BE">
            <w:pPr>
              <w:jc w:val="center"/>
              <w:rPr>
                <w:szCs w:val="24"/>
                <w:lang w:val="en-GB"/>
              </w:rPr>
            </w:pPr>
            <w:r w:rsidRPr="003569BE">
              <w:rPr>
                <w:szCs w:val="24"/>
                <w:lang w:val="en-GB"/>
              </w:rPr>
              <w:t>FINAL SAMPLE</w:t>
            </w:r>
          </w:p>
        </w:tc>
        <w:tc>
          <w:tcPr>
            <w:tcW w:w="4644" w:type="dxa"/>
            <w:tcBorders>
              <w:top w:val="single" w:sz="4" w:space="0" w:color="2E74B5" w:themeColor="accent1" w:themeShade="BF"/>
            </w:tcBorders>
            <w:shd w:val="clear" w:color="auto" w:fill="FFFFFF" w:themeFill="background1"/>
          </w:tcPr>
          <w:p w:rsidR="007A0FA1" w:rsidRPr="003569BE" w:rsidRDefault="009274A3" w:rsidP="003569BE">
            <w:pPr>
              <w:jc w:val="center"/>
              <w:cnfStyle w:val="000000000000"/>
              <w:rPr>
                <w:b/>
                <w:szCs w:val="24"/>
                <w:lang w:val="en-GB"/>
              </w:rPr>
            </w:pPr>
            <w:r>
              <w:rPr>
                <w:b/>
                <w:szCs w:val="24"/>
                <w:lang w:val="en-GB"/>
              </w:rPr>
              <w:t xml:space="preserve">  364</w:t>
            </w:r>
          </w:p>
        </w:tc>
      </w:tr>
    </w:tbl>
    <w:p w:rsidR="007A0FA1" w:rsidRPr="003569BE" w:rsidRDefault="007A0FA1" w:rsidP="007A0FA1">
      <w:pPr>
        <w:spacing w:line="360" w:lineRule="auto"/>
        <w:jc w:val="right"/>
        <w:rPr>
          <w:i/>
          <w:sz w:val="20"/>
          <w:szCs w:val="20"/>
          <w:lang w:val="en-GB"/>
        </w:rPr>
      </w:pPr>
      <w:r w:rsidRPr="003569BE">
        <w:rPr>
          <w:i/>
          <w:sz w:val="20"/>
          <w:szCs w:val="20"/>
          <w:lang w:val="en-GB"/>
        </w:rPr>
        <w:t>Table 1 – Sample Description</w:t>
      </w:r>
    </w:p>
    <w:tbl>
      <w:tblPr>
        <w:tblStyle w:val="LightShading-Accent5"/>
        <w:tblW w:w="0" w:type="auto"/>
        <w:tblLook w:val="04A0"/>
      </w:tblPr>
      <w:tblGrid>
        <w:gridCol w:w="4644"/>
        <w:gridCol w:w="4644"/>
      </w:tblGrid>
      <w:tr w:rsidR="0097176F" w:rsidRPr="003569BE" w:rsidTr="001C0E8D">
        <w:trPr>
          <w:cnfStyle w:val="100000000000"/>
        </w:trPr>
        <w:tc>
          <w:tcPr>
            <w:cnfStyle w:val="001000000000"/>
            <w:tcW w:w="4644" w:type="dxa"/>
            <w:shd w:val="clear" w:color="auto" w:fill="FFFFFF" w:themeFill="background1"/>
          </w:tcPr>
          <w:p w:rsidR="0097176F" w:rsidRPr="003569BE" w:rsidRDefault="0097176F" w:rsidP="001C0E8D">
            <w:pPr>
              <w:jc w:val="center"/>
              <w:rPr>
                <w:szCs w:val="24"/>
                <w:lang w:val="en-GB"/>
              </w:rPr>
            </w:pPr>
          </w:p>
        </w:tc>
        <w:tc>
          <w:tcPr>
            <w:tcW w:w="4644" w:type="dxa"/>
          </w:tcPr>
          <w:p w:rsidR="0097176F" w:rsidRPr="003569BE" w:rsidRDefault="0097176F" w:rsidP="001C0E8D">
            <w:pPr>
              <w:jc w:val="center"/>
              <w:cnfStyle w:val="100000000000"/>
              <w:rPr>
                <w:b w:val="0"/>
                <w:i/>
                <w:szCs w:val="24"/>
                <w:lang w:val="en-GB"/>
              </w:rPr>
            </w:pPr>
            <w:r w:rsidRPr="003569BE">
              <w:rPr>
                <w:b w:val="0"/>
                <w:i/>
                <w:szCs w:val="24"/>
                <w:lang w:val="en-GB"/>
              </w:rPr>
              <w:t>Firm-year observations</w:t>
            </w:r>
          </w:p>
        </w:tc>
      </w:tr>
      <w:tr w:rsidR="00C74ECB" w:rsidRPr="003569BE" w:rsidTr="001C0E8D">
        <w:trPr>
          <w:cnfStyle w:val="000000100000"/>
        </w:trPr>
        <w:tc>
          <w:tcPr>
            <w:cnfStyle w:val="001000000000"/>
            <w:tcW w:w="4644" w:type="dxa"/>
            <w:shd w:val="clear" w:color="auto" w:fill="FFFFFF" w:themeFill="background1"/>
          </w:tcPr>
          <w:p w:rsidR="00C74ECB" w:rsidRPr="003569BE" w:rsidRDefault="00C74ECB" w:rsidP="001C0E8D">
            <w:pPr>
              <w:jc w:val="center"/>
              <w:rPr>
                <w:b w:val="0"/>
                <w:szCs w:val="24"/>
                <w:lang w:val="en-GB"/>
              </w:rPr>
            </w:pPr>
            <w:r w:rsidRPr="003569BE">
              <w:rPr>
                <w:b w:val="0"/>
                <w:szCs w:val="24"/>
                <w:lang w:val="en-GB"/>
              </w:rPr>
              <w:t>Original sample</w:t>
            </w:r>
          </w:p>
        </w:tc>
        <w:tc>
          <w:tcPr>
            <w:tcW w:w="4644" w:type="dxa"/>
            <w:shd w:val="clear" w:color="auto" w:fill="FFFFFF" w:themeFill="background1"/>
          </w:tcPr>
          <w:p w:rsidR="00C74ECB" w:rsidRPr="003569BE" w:rsidRDefault="009274A3" w:rsidP="001C0E8D">
            <w:pPr>
              <w:jc w:val="center"/>
              <w:cnfStyle w:val="000000100000"/>
              <w:rPr>
                <w:szCs w:val="24"/>
                <w:lang w:val="en-GB"/>
              </w:rPr>
            </w:pPr>
            <w:r>
              <w:rPr>
                <w:szCs w:val="24"/>
                <w:lang w:val="en-GB"/>
              </w:rPr>
              <w:t xml:space="preserve">  835</w:t>
            </w:r>
          </w:p>
        </w:tc>
      </w:tr>
      <w:tr w:rsidR="00C74ECB" w:rsidRPr="003569BE" w:rsidTr="001C0E8D">
        <w:tc>
          <w:tcPr>
            <w:cnfStyle w:val="001000000000"/>
            <w:tcW w:w="4644" w:type="dxa"/>
            <w:shd w:val="clear" w:color="auto" w:fill="FFFFFF" w:themeFill="background1"/>
          </w:tcPr>
          <w:p w:rsidR="00C74ECB" w:rsidRPr="003569BE" w:rsidRDefault="00C74ECB" w:rsidP="001C0E8D">
            <w:pPr>
              <w:jc w:val="center"/>
              <w:rPr>
                <w:b w:val="0"/>
                <w:szCs w:val="24"/>
                <w:lang w:val="en-GB"/>
              </w:rPr>
            </w:pPr>
            <w:r w:rsidRPr="003569BE">
              <w:rPr>
                <w:b w:val="0"/>
                <w:szCs w:val="24"/>
                <w:lang w:val="en-GB"/>
              </w:rPr>
              <w:t>Financial sector excluded</w:t>
            </w:r>
          </w:p>
        </w:tc>
        <w:tc>
          <w:tcPr>
            <w:tcW w:w="4644" w:type="dxa"/>
            <w:shd w:val="clear" w:color="auto" w:fill="FFFFFF" w:themeFill="background1"/>
          </w:tcPr>
          <w:p w:rsidR="00C74ECB" w:rsidRPr="003569BE" w:rsidRDefault="00C74ECB" w:rsidP="001C0E8D">
            <w:pPr>
              <w:jc w:val="center"/>
              <w:cnfStyle w:val="000000000000"/>
              <w:rPr>
                <w:szCs w:val="24"/>
                <w:lang w:val="en-GB"/>
              </w:rPr>
            </w:pPr>
            <w:r w:rsidRPr="003569BE">
              <w:rPr>
                <w:szCs w:val="24"/>
                <w:lang w:val="en-GB"/>
              </w:rPr>
              <w:t>-360</w:t>
            </w:r>
          </w:p>
        </w:tc>
      </w:tr>
      <w:tr w:rsidR="00C74ECB" w:rsidRPr="003569BE" w:rsidTr="00F4557B">
        <w:trPr>
          <w:cnfStyle w:val="000000100000"/>
        </w:trPr>
        <w:tc>
          <w:tcPr>
            <w:cnfStyle w:val="001000000000"/>
            <w:tcW w:w="4644" w:type="dxa"/>
            <w:tcBorders>
              <w:bottom w:val="single" w:sz="4" w:space="0" w:color="FFFFFF" w:themeColor="background1"/>
            </w:tcBorders>
            <w:shd w:val="clear" w:color="auto" w:fill="FFFFFF" w:themeFill="background1"/>
          </w:tcPr>
          <w:p w:rsidR="00C74ECB" w:rsidRPr="003569BE" w:rsidRDefault="00C74ECB" w:rsidP="001C0E8D">
            <w:pPr>
              <w:jc w:val="center"/>
              <w:rPr>
                <w:b w:val="0"/>
                <w:szCs w:val="24"/>
                <w:lang w:val="en-GB"/>
              </w:rPr>
            </w:pPr>
            <w:r w:rsidRPr="003569BE">
              <w:rPr>
                <w:b w:val="0"/>
                <w:szCs w:val="24"/>
                <w:lang w:val="en-GB"/>
              </w:rPr>
              <w:t>Unavailable data excluded</w:t>
            </w:r>
          </w:p>
        </w:tc>
        <w:tc>
          <w:tcPr>
            <w:tcW w:w="4644" w:type="dxa"/>
            <w:tcBorders>
              <w:bottom w:val="single" w:sz="4" w:space="0" w:color="FFFFFF" w:themeColor="background1"/>
            </w:tcBorders>
            <w:shd w:val="clear" w:color="auto" w:fill="FFFFFF" w:themeFill="background1"/>
          </w:tcPr>
          <w:p w:rsidR="00C74ECB" w:rsidRPr="003569BE" w:rsidRDefault="00C74ECB" w:rsidP="001C0E8D">
            <w:pPr>
              <w:jc w:val="center"/>
              <w:cnfStyle w:val="000000100000"/>
              <w:rPr>
                <w:szCs w:val="24"/>
                <w:lang w:val="en-GB"/>
              </w:rPr>
            </w:pPr>
            <w:r w:rsidRPr="003569BE">
              <w:rPr>
                <w:szCs w:val="24"/>
                <w:lang w:val="en-GB"/>
              </w:rPr>
              <w:t>-111</w:t>
            </w:r>
          </w:p>
        </w:tc>
      </w:tr>
      <w:tr w:rsidR="009274A3" w:rsidRPr="003569BE" w:rsidTr="00F4557B">
        <w:tc>
          <w:tcPr>
            <w:cnfStyle w:val="001000000000"/>
            <w:tcW w:w="4644" w:type="dxa"/>
            <w:tcBorders>
              <w:top w:val="single" w:sz="4" w:space="0" w:color="FFFFFF" w:themeColor="background1"/>
            </w:tcBorders>
            <w:shd w:val="clear" w:color="auto" w:fill="FFFFFF" w:themeFill="background1"/>
          </w:tcPr>
          <w:p w:rsidR="009274A3" w:rsidRPr="009274A3" w:rsidRDefault="009274A3" w:rsidP="001C0E8D">
            <w:pPr>
              <w:jc w:val="center"/>
              <w:rPr>
                <w:b w:val="0"/>
                <w:szCs w:val="24"/>
                <w:lang w:val="en-GB"/>
              </w:rPr>
            </w:pPr>
            <w:r>
              <w:rPr>
                <w:b w:val="0"/>
                <w:szCs w:val="24"/>
                <w:lang w:val="en-GB"/>
              </w:rPr>
              <w:t>Other data excluded</w:t>
            </w:r>
          </w:p>
        </w:tc>
        <w:tc>
          <w:tcPr>
            <w:tcW w:w="4644" w:type="dxa"/>
            <w:tcBorders>
              <w:top w:val="single" w:sz="4" w:space="0" w:color="FFFFFF" w:themeColor="background1"/>
            </w:tcBorders>
          </w:tcPr>
          <w:p w:rsidR="009274A3" w:rsidRPr="003569BE" w:rsidRDefault="009274A3" w:rsidP="001C0E8D">
            <w:pPr>
              <w:jc w:val="center"/>
              <w:cnfStyle w:val="000000000000"/>
              <w:rPr>
                <w:szCs w:val="24"/>
                <w:lang w:val="en-GB"/>
              </w:rPr>
            </w:pPr>
            <w:r>
              <w:rPr>
                <w:szCs w:val="24"/>
                <w:lang w:val="en-GB"/>
              </w:rPr>
              <w:t>-1</w:t>
            </w:r>
          </w:p>
        </w:tc>
      </w:tr>
      <w:tr w:rsidR="00F4557B" w:rsidRPr="003569BE" w:rsidTr="009274A3">
        <w:trPr>
          <w:cnfStyle w:val="000000100000"/>
        </w:trPr>
        <w:tc>
          <w:tcPr>
            <w:cnfStyle w:val="001000000000"/>
            <w:tcW w:w="4644" w:type="dxa"/>
            <w:tcBorders>
              <w:top w:val="single" w:sz="4" w:space="0" w:color="FFFFFF" w:themeColor="background1"/>
            </w:tcBorders>
            <w:shd w:val="clear" w:color="auto" w:fill="FFFFFF" w:themeFill="background1"/>
          </w:tcPr>
          <w:p w:rsidR="00F4557B" w:rsidRPr="003569BE" w:rsidRDefault="000B68EC" w:rsidP="001C0E8D">
            <w:pPr>
              <w:jc w:val="center"/>
              <w:rPr>
                <w:b w:val="0"/>
                <w:szCs w:val="24"/>
                <w:lang w:val="en-GB"/>
              </w:rPr>
            </w:pPr>
            <w:r w:rsidRPr="003569BE">
              <w:rPr>
                <w:b w:val="0"/>
                <w:szCs w:val="24"/>
                <w:lang w:val="en-GB"/>
              </w:rPr>
              <w:t>Outliers excluded</w:t>
            </w:r>
          </w:p>
        </w:tc>
        <w:tc>
          <w:tcPr>
            <w:tcW w:w="4644" w:type="dxa"/>
            <w:tcBorders>
              <w:top w:val="single" w:sz="4" w:space="0" w:color="FFFFFF" w:themeColor="background1"/>
            </w:tcBorders>
            <w:shd w:val="clear" w:color="auto" w:fill="FFFFFF" w:themeFill="background1"/>
          </w:tcPr>
          <w:p w:rsidR="00F4557B" w:rsidRPr="003569BE" w:rsidRDefault="000B68EC" w:rsidP="001C0E8D">
            <w:pPr>
              <w:jc w:val="center"/>
              <w:cnfStyle w:val="000000100000"/>
              <w:rPr>
                <w:szCs w:val="24"/>
                <w:lang w:val="en-GB"/>
              </w:rPr>
            </w:pPr>
            <w:r w:rsidRPr="003569BE">
              <w:rPr>
                <w:szCs w:val="24"/>
                <w:lang w:val="en-GB"/>
              </w:rPr>
              <w:t>-6</w:t>
            </w:r>
          </w:p>
        </w:tc>
      </w:tr>
      <w:tr w:rsidR="0097176F" w:rsidRPr="003569BE" w:rsidTr="000B68EC">
        <w:tc>
          <w:tcPr>
            <w:cnfStyle w:val="001000000000"/>
            <w:tcW w:w="4644" w:type="dxa"/>
            <w:tcBorders>
              <w:top w:val="single" w:sz="2" w:space="0" w:color="5B9BD5" w:themeColor="accent1"/>
            </w:tcBorders>
            <w:shd w:val="clear" w:color="auto" w:fill="FFFFFF" w:themeFill="background1"/>
          </w:tcPr>
          <w:p w:rsidR="0097176F" w:rsidRPr="003569BE" w:rsidRDefault="0097176F" w:rsidP="001C0E8D">
            <w:pPr>
              <w:jc w:val="center"/>
              <w:rPr>
                <w:szCs w:val="24"/>
                <w:lang w:val="en-GB"/>
              </w:rPr>
            </w:pPr>
            <w:r w:rsidRPr="003569BE">
              <w:rPr>
                <w:szCs w:val="24"/>
                <w:lang w:val="en-GB"/>
              </w:rPr>
              <w:t>FINAL SAMPLE</w:t>
            </w:r>
          </w:p>
        </w:tc>
        <w:tc>
          <w:tcPr>
            <w:tcW w:w="4644" w:type="dxa"/>
            <w:tcBorders>
              <w:top w:val="single" w:sz="2" w:space="0" w:color="5B9BD5" w:themeColor="accent1"/>
            </w:tcBorders>
            <w:shd w:val="clear" w:color="auto" w:fill="FFFFFF" w:themeFill="background1"/>
          </w:tcPr>
          <w:p w:rsidR="0097176F" w:rsidRPr="003569BE" w:rsidRDefault="0097176F" w:rsidP="001C0E8D">
            <w:pPr>
              <w:jc w:val="center"/>
              <w:cnfStyle w:val="000000000000"/>
              <w:rPr>
                <w:b/>
                <w:szCs w:val="24"/>
                <w:lang w:val="en-GB"/>
              </w:rPr>
            </w:pPr>
            <w:r w:rsidRPr="003569BE">
              <w:rPr>
                <w:b/>
                <w:szCs w:val="24"/>
                <w:lang w:val="en-GB"/>
              </w:rPr>
              <w:t xml:space="preserve">  357</w:t>
            </w:r>
          </w:p>
        </w:tc>
      </w:tr>
    </w:tbl>
    <w:p w:rsidR="0097176F" w:rsidRPr="003569BE" w:rsidRDefault="0097176F" w:rsidP="0097176F">
      <w:pPr>
        <w:spacing w:line="360" w:lineRule="auto"/>
        <w:jc w:val="right"/>
        <w:rPr>
          <w:i/>
          <w:sz w:val="20"/>
          <w:szCs w:val="20"/>
          <w:lang w:val="en-GB"/>
        </w:rPr>
      </w:pPr>
      <w:r w:rsidRPr="003569BE">
        <w:rPr>
          <w:i/>
          <w:sz w:val="20"/>
          <w:szCs w:val="20"/>
          <w:lang w:val="en-GB"/>
        </w:rPr>
        <w:t>Table</w:t>
      </w:r>
      <w:r w:rsidR="0064006D" w:rsidRPr="003569BE">
        <w:rPr>
          <w:i/>
          <w:sz w:val="20"/>
          <w:szCs w:val="20"/>
          <w:lang w:val="en-GB"/>
        </w:rPr>
        <w:t xml:space="preserve"> 1b</w:t>
      </w:r>
      <w:r w:rsidRPr="003569BE">
        <w:rPr>
          <w:i/>
          <w:sz w:val="20"/>
          <w:szCs w:val="20"/>
          <w:lang w:val="en-GB"/>
        </w:rPr>
        <w:t xml:space="preserve"> – Sample Description</w:t>
      </w:r>
      <w:r w:rsidR="0064006D" w:rsidRPr="003569BE">
        <w:rPr>
          <w:i/>
          <w:sz w:val="20"/>
          <w:szCs w:val="20"/>
          <w:lang w:val="en-GB"/>
        </w:rPr>
        <w:t xml:space="preserve"> After Eliminating the Outliers</w:t>
      </w:r>
    </w:p>
    <w:p w:rsidR="00536489" w:rsidRPr="003569BE" w:rsidRDefault="00027982" w:rsidP="00536489">
      <w:pPr>
        <w:pStyle w:val="Heading2"/>
        <w:ind w:firstLine="708"/>
        <w:rPr>
          <w:rFonts w:cs="Times New Roman"/>
          <w:sz w:val="24"/>
          <w:szCs w:val="24"/>
          <w:lang w:val="en-GB"/>
        </w:rPr>
      </w:pPr>
      <w:bookmarkStart w:id="81" w:name="_Toc396633612"/>
      <w:r w:rsidRPr="003569BE">
        <w:rPr>
          <w:rFonts w:cs="Times New Roman"/>
          <w:sz w:val="24"/>
          <w:szCs w:val="24"/>
          <w:lang w:val="en-GB"/>
        </w:rPr>
        <w:t xml:space="preserve">Appendix 2.2: </w:t>
      </w:r>
      <w:r w:rsidR="00AA5C44" w:rsidRPr="003569BE">
        <w:rPr>
          <w:rFonts w:cs="Times New Roman"/>
          <w:sz w:val="24"/>
          <w:szCs w:val="24"/>
          <w:lang w:val="en-GB"/>
        </w:rPr>
        <w:t xml:space="preserve">Auditors’ </w:t>
      </w:r>
      <w:r w:rsidR="00512A27" w:rsidRPr="003569BE">
        <w:rPr>
          <w:rFonts w:cs="Times New Roman"/>
          <w:sz w:val="24"/>
          <w:szCs w:val="24"/>
          <w:lang w:val="en-GB"/>
        </w:rPr>
        <w:t>distribution</w:t>
      </w:r>
      <w:r w:rsidR="001A094C" w:rsidRPr="003569BE">
        <w:rPr>
          <w:rFonts w:cs="Times New Roman"/>
          <w:sz w:val="24"/>
          <w:szCs w:val="24"/>
          <w:lang w:val="en-GB"/>
        </w:rPr>
        <w:t xml:space="preserve"> in the sample</w:t>
      </w:r>
      <w:bookmarkEnd w:id="81"/>
    </w:p>
    <w:tbl>
      <w:tblPr>
        <w:tblStyle w:val="LightShading-Accent5"/>
        <w:tblW w:w="0" w:type="auto"/>
        <w:tblLook w:val="04A0"/>
      </w:tblPr>
      <w:tblGrid>
        <w:gridCol w:w="4644"/>
        <w:gridCol w:w="4644"/>
      </w:tblGrid>
      <w:tr w:rsidR="00536489" w:rsidRPr="003569BE" w:rsidTr="003569BE">
        <w:trPr>
          <w:cnfStyle w:val="100000000000"/>
        </w:trPr>
        <w:tc>
          <w:tcPr>
            <w:cnfStyle w:val="001000000000"/>
            <w:tcW w:w="4644" w:type="dxa"/>
            <w:shd w:val="clear" w:color="auto" w:fill="FFFFFF" w:themeFill="background1"/>
          </w:tcPr>
          <w:p w:rsidR="00536489" w:rsidRPr="003569BE" w:rsidRDefault="00536489" w:rsidP="003569BE">
            <w:pPr>
              <w:jc w:val="center"/>
              <w:rPr>
                <w:szCs w:val="24"/>
                <w:lang w:val="en-GB"/>
              </w:rPr>
            </w:pPr>
          </w:p>
        </w:tc>
        <w:tc>
          <w:tcPr>
            <w:tcW w:w="4644" w:type="dxa"/>
          </w:tcPr>
          <w:p w:rsidR="00536489" w:rsidRPr="003569BE" w:rsidRDefault="00536489" w:rsidP="003569BE">
            <w:pPr>
              <w:jc w:val="center"/>
              <w:cnfStyle w:val="100000000000"/>
              <w:rPr>
                <w:b w:val="0"/>
                <w:i/>
                <w:szCs w:val="24"/>
                <w:lang w:val="en-GB"/>
              </w:rPr>
            </w:pPr>
            <w:r w:rsidRPr="003569BE">
              <w:rPr>
                <w:b w:val="0"/>
                <w:i/>
                <w:szCs w:val="24"/>
                <w:lang w:val="en-GB"/>
              </w:rPr>
              <w:t>Firm-year observations</w:t>
            </w:r>
          </w:p>
        </w:tc>
      </w:tr>
      <w:tr w:rsidR="00536489" w:rsidRPr="003569BE" w:rsidTr="003569BE">
        <w:trPr>
          <w:cnfStyle w:val="000000100000"/>
        </w:trPr>
        <w:tc>
          <w:tcPr>
            <w:cnfStyle w:val="001000000000"/>
            <w:tcW w:w="4644" w:type="dxa"/>
            <w:shd w:val="clear" w:color="auto" w:fill="FFFFFF" w:themeFill="background1"/>
          </w:tcPr>
          <w:p w:rsidR="00536489" w:rsidRPr="003569BE" w:rsidRDefault="00536489" w:rsidP="003569BE">
            <w:pPr>
              <w:jc w:val="center"/>
              <w:rPr>
                <w:b w:val="0"/>
                <w:szCs w:val="24"/>
                <w:lang w:val="en-GB"/>
              </w:rPr>
            </w:pPr>
            <w:r w:rsidRPr="003569BE">
              <w:rPr>
                <w:b w:val="0"/>
                <w:szCs w:val="24"/>
                <w:lang w:val="en-GB"/>
              </w:rPr>
              <w:t>Years before the final year</w:t>
            </w:r>
          </w:p>
        </w:tc>
        <w:tc>
          <w:tcPr>
            <w:tcW w:w="4644" w:type="dxa"/>
            <w:shd w:val="clear" w:color="auto" w:fill="FFFFFF" w:themeFill="background1"/>
          </w:tcPr>
          <w:p w:rsidR="00536489" w:rsidRPr="003569BE" w:rsidRDefault="00536489" w:rsidP="003569BE">
            <w:pPr>
              <w:jc w:val="center"/>
              <w:cnfStyle w:val="000000100000"/>
              <w:rPr>
                <w:szCs w:val="24"/>
                <w:lang w:val="en-GB"/>
              </w:rPr>
            </w:pPr>
            <w:r w:rsidRPr="003569BE">
              <w:rPr>
                <w:szCs w:val="24"/>
                <w:lang w:val="en-GB"/>
              </w:rPr>
              <w:t>190</w:t>
            </w:r>
          </w:p>
        </w:tc>
      </w:tr>
      <w:tr w:rsidR="00536489" w:rsidRPr="003569BE" w:rsidTr="003569BE">
        <w:tc>
          <w:tcPr>
            <w:cnfStyle w:val="001000000000"/>
            <w:tcW w:w="4644" w:type="dxa"/>
            <w:shd w:val="clear" w:color="auto" w:fill="FFFFFF" w:themeFill="background1"/>
          </w:tcPr>
          <w:p w:rsidR="00536489" w:rsidRPr="003569BE" w:rsidRDefault="00536489" w:rsidP="003569BE">
            <w:pPr>
              <w:jc w:val="center"/>
              <w:rPr>
                <w:b w:val="0"/>
                <w:szCs w:val="24"/>
                <w:lang w:val="en-GB"/>
              </w:rPr>
            </w:pPr>
            <w:r w:rsidRPr="003569BE">
              <w:rPr>
                <w:b w:val="0"/>
                <w:szCs w:val="24"/>
                <w:lang w:val="en-GB"/>
              </w:rPr>
              <w:t>Last year before rotation</w:t>
            </w:r>
          </w:p>
        </w:tc>
        <w:tc>
          <w:tcPr>
            <w:tcW w:w="4644" w:type="dxa"/>
            <w:shd w:val="clear" w:color="auto" w:fill="FFFFFF" w:themeFill="background1"/>
          </w:tcPr>
          <w:p w:rsidR="00536489" w:rsidRPr="003569BE" w:rsidRDefault="00536489" w:rsidP="003569BE">
            <w:pPr>
              <w:jc w:val="center"/>
              <w:cnfStyle w:val="000000000000"/>
              <w:rPr>
                <w:szCs w:val="24"/>
                <w:lang w:val="en-GB"/>
              </w:rPr>
            </w:pPr>
            <w:r w:rsidRPr="003569BE">
              <w:rPr>
                <w:szCs w:val="24"/>
                <w:lang w:val="en-GB"/>
              </w:rPr>
              <w:t>35</w:t>
            </w:r>
          </w:p>
        </w:tc>
      </w:tr>
      <w:tr w:rsidR="00536489" w:rsidRPr="003569BE" w:rsidTr="003569BE">
        <w:trPr>
          <w:cnfStyle w:val="000000100000"/>
        </w:trPr>
        <w:tc>
          <w:tcPr>
            <w:cnfStyle w:val="001000000000"/>
            <w:tcW w:w="4644" w:type="dxa"/>
            <w:shd w:val="clear" w:color="auto" w:fill="FFFFFF" w:themeFill="background1"/>
          </w:tcPr>
          <w:p w:rsidR="00536489" w:rsidRPr="003569BE" w:rsidRDefault="00536489" w:rsidP="003569BE">
            <w:pPr>
              <w:jc w:val="center"/>
              <w:rPr>
                <w:b w:val="0"/>
                <w:szCs w:val="24"/>
                <w:lang w:val="en-GB"/>
              </w:rPr>
            </w:pPr>
            <w:r w:rsidRPr="003569BE">
              <w:rPr>
                <w:b w:val="0"/>
                <w:szCs w:val="24"/>
                <w:lang w:val="en-GB"/>
              </w:rPr>
              <w:t>First year after rotation</w:t>
            </w:r>
          </w:p>
        </w:tc>
        <w:tc>
          <w:tcPr>
            <w:tcW w:w="4644" w:type="dxa"/>
            <w:shd w:val="clear" w:color="auto" w:fill="FFFFFF" w:themeFill="background1"/>
          </w:tcPr>
          <w:p w:rsidR="00536489" w:rsidRPr="003569BE" w:rsidRDefault="00536489" w:rsidP="003569BE">
            <w:pPr>
              <w:jc w:val="center"/>
              <w:cnfStyle w:val="000000100000"/>
              <w:rPr>
                <w:szCs w:val="24"/>
                <w:lang w:val="en-GB"/>
              </w:rPr>
            </w:pPr>
            <w:r w:rsidRPr="003569BE">
              <w:rPr>
                <w:szCs w:val="24"/>
                <w:lang w:val="en-GB"/>
              </w:rPr>
              <w:t>35</w:t>
            </w:r>
          </w:p>
        </w:tc>
      </w:tr>
      <w:tr w:rsidR="00536489" w:rsidRPr="003569BE" w:rsidTr="003569BE">
        <w:tc>
          <w:tcPr>
            <w:cnfStyle w:val="001000000000"/>
            <w:tcW w:w="4644" w:type="dxa"/>
            <w:tcBorders>
              <w:top w:val="single" w:sz="2" w:space="0" w:color="FFFFFF" w:themeColor="background1"/>
              <w:bottom w:val="single" w:sz="2" w:space="0" w:color="5B9BD5" w:themeColor="accent1"/>
            </w:tcBorders>
            <w:shd w:val="clear" w:color="auto" w:fill="FFFFFF" w:themeFill="background1"/>
          </w:tcPr>
          <w:p w:rsidR="00536489" w:rsidRPr="003569BE" w:rsidRDefault="00536489" w:rsidP="003569BE">
            <w:pPr>
              <w:jc w:val="center"/>
              <w:rPr>
                <w:b w:val="0"/>
                <w:szCs w:val="24"/>
                <w:lang w:val="en-GB"/>
              </w:rPr>
            </w:pPr>
            <w:r w:rsidRPr="003569BE">
              <w:rPr>
                <w:b w:val="0"/>
                <w:szCs w:val="24"/>
                <w:lang w:val="en-GB"/>
              </w:rPr>
              <w:t>Years after rotation, first year excluded</w:t>
            </w:r>
          </w:p>
        </w:tc>
        <w:tc>
          <w:tcPr>
            <w:tcW w:w="4644" w:type="dxa"/>
            <w:tcBorders>
              <w:top w:val="single" w:sz="2" w:space="0" w:color="FFFFFF" w:themeColor="background1"/>
              <w:bottom w:val="single" w:sz="2" w:space="0" w:color="5B9BD5" w:themeColor="accent1"/>
            </w:tcBorders>
            <w:shd w:val="clear" w:color="auto" w:fill="FFFFFF" w:themeFill="background1"/>
          </w:tcPr>
          <w:p w:rsidR="00536489" w:rsidRPr="003569BE" w:rsidRDefault="009274A3" w:rsidP="003569BE">
            <w:pPr>
              <w:jc w:val="center"/>
              <w:cnfStyle w:val="000000000000"/>
              <w:rPr>
                <w:szCs w:val="24"/>
                <w:lang w:val="en-GB"/>
              </w:rPr>
            </w:pPr>
            <w:r>
              <w:rPr>
                <w:szCs w:val="24"/>
                <w:lang w:val="en-GB"/>
              </w:rPr>
              <w:t>104</w:t>
            </w:r>
          </w:p>
        </w:tc>
      </w:tr>
      <w:tr w:rsidR="00536489" w:rsidRPr="003569BE" w:rsidTr="003569BE">
        <w:trPr>
          <w:cnfStyle w:val="000000100000"/>
        </w:trPr>
        <w:tc>
          <w:tcPr>
            <w:cnfStyle w:val="001000000000"/>
            <w:tcW w:w="4644" w:type="dxa"/>
            <w:tcBorders>
              <w:top w:val="single" w:sz="2" w:space="0" w:color="5B9BD5" w:themeColor="accent1"/>
            </w:tcBorders>
            <w:shd w:val="clear" w:color="auto" w:fill="FFFFFF" w:themeFill="background1"/>
          </w:tcPr>
          <w:p w:rsidR="00536489" w:rsidRPr="003569BE" w:rsidRDefault="00536489" w:rsidP="003569BE">
            <w:pPr>
              <w:jc w:val="center"/>
              <w:rPr>
                <w:szCs w:val="24"/>
                <w:lang w:val="en-GB"/>
              </w:rPr>
            </w:pPr>
            <w:r w:rsidRPr="003569BE">
              <w:rPr>
                <w:szCs w:val="24"/>
                <w:lang w:val="en-GB"/>
              </w:rPr>
              <w:t>TOTAL</w:t>
            </w:r>
          </w:p>
        </w:tc>
        <w:tc>
          <w:tcPr>
            <w:tcW w:w="4644" w:type="dxa"/>
            <w:tcBorders>
              <w:top w:val="single" w:sz="2" w:space="0" w:color="5B9BD5" w:themeColor="accent1"/>
            </w:tcBorders>
            <w:shd w:val="clear" w:color="auto" w:fill="FFFFFF" w:themeFill="background1"/>
          </w:tcPr>
          <w:p w:rsidR="00536489" w:rsidRPr="003569BE" w:rsidRDefault="009274A3" w:rsidP="003569BE">
            <w:pPr>
              <w:jc w:val="center"/>
              <w:cnfStyle w:val="000000100000"/>
              <w:rPr>
                <w:b/>
                <w:szCs w:val="24"/>
                <w:lang w:val="en-GB"/>
              </w:rPr>
            </w:pPr>
            <w:r>
              <w:rPr>
                <w:b/>
                <w:szCs w:val="24"/>
                <w:lang w:val="en-GB"/>
              </w:rPr>
              <w:t>364</w:t>
            </w:r>
          </w:p>
        </w:tc>
      </w:tr>
    </w:tbl>
    <w:p w:rsidR="00536489" w:rsidRPr="003569BE" w:rsidRDefault="00536489" w:rsidP="00536489">
      <w:pPr>
        <w:jc w:val="right"/>
        <w:rPr>
          <w:lang w:val="en-GB"/>
        </w:rPr>
      </w:pPr>
      <w:r w:rsidRPr="003569BE">
        <w:rPr>
          <w:i/>
          <w:sz w:val="20"/>
          <w:szCs w:val="20"/>
          <w:lang w:val="en-GB"/>
        </w:rPr>
        <w:t>Table 2 – Auditors’ Distribution in the Sample</w:t>
      </w:r>
    </w:p>
    <w:p w:rsidR="00536489" w:rsidRPr="003569BE" w:rsidRDefault="00536489" w:rsidP="00536489">
      <w:pPr>
        <w:rPr>
          <w:lang w:val="en-GB"/>
        </w:rPr>
      </w:pPr>
    </w:p>
    <w:tbl>
      <w:tblPr>
        <w:tblStyle w:val="LightShading-Accent5"/>
        <w:tblW w:w="0" w:type="auto"/>
        <w:tblLook w:val="04A0"/>
      </w:tblPr>
      <w:tblGrid>
        <w:gridCol w:w="4644"/>
        <w:gridCol w:w="4644"/>
      </w:tblGrid>
      <w:tr w:rsidR="00AA5C44" w:rsidRPr="003569BE" w:rsidTr="001C0E8D">
        <w:trPr>
          <w:cnfStyle w:val="100000000000"/>
        </w:trPr>
        <w:tc>
          <w:tcPr>
            <w:cnfStyle w:val="001000000000"/>
            <w:tcW w:w="4644" w:type="dxa"/>
            <w:shd w:val="clear" w:color="auto" w:fill="FFFFFF" w:themeFill="background1"/>
          </w:tcPr>
          <w:p w:rsidR="00AA5C44" w:rsidRPr="003569BE" w:rsidRDefault="00AA5C44" w:rsidP="001C0E8D">
            <w:pPr>
              <w:jc w:val="center"/>
              <w:rPr>
                <w:szCs w:val="24"/>
                <w:lang w:val="en-GB"/>
              </w:rPr>
            </w:pPr>
          </w:p>
        </w:tc>
        <w:tc>
          <w:tcPr>
            <w:tcW w:w="4644" w:type="dxa"/>
          </w:tcPr>
          <w:p w:rsidR="00AA5C44" w:rsidRPr="003569BE" w:rsidRDefault="00AA5C44" w:rsidP="001C0E8D">
            <w:pPr>
              <w:jc w:val="center"/>
              <w:cnfStyle w:val="100000000000"/>
              <w:rPr>
                <w:b w:val="0"/>
                <w:i/>
                <w:szCs w:val="24"/>
                <w:lang w:val="en-GB"/>
              </w:rPr>
            </w:pPr>
            <w:r w:rsidRPr="003569BE">
              <w:rPr>
                <w:b w:val="0"/>
                <w:i/>
                <w:szCs w:val="24"/>
                <w:lang w:val="en-GB"/>
              </w:rPr>
              <w:t>Firm-year observations</w:t>
            </w:r>
          </w:p>
        </w:tc>
      </w:tr>
      <w:tr w:rsidR="00AA5C44" w:rsidRPr="003569BE" w:rsidTr="001C0E8D">
        <w:trPr>
          <w:cnfStyle w:val="000000100000"/>
        </w:trPr>
        <w:tc>
          <w:tcPr>
            <w:cnfStyle w:val="001000000000"/>
            <w:tcW w:w="4644" w:type="dxa"/>
            <w:shd w:val="clear" w:color="auto" w:fill="FFFFFF" w:themeFill="background1"/>
          </w:tcPr>
          <w:p w:rsidR="00AA5C44" w:rsidRPr="003569BE" w:rsidRDefault="00AA5C44" w:rsidP="001C0E8D">
            <w:pPr>
              <w:jc w:val="center"/>
              <w:rPr>
                <w:b w:val="0"/>
                <w:szCs w:val="24"/>
                <w:lang w:val="en-GB"/>
              </w:rPr>
            </w:pPr>
            <w:r w:rsidRPr="003569BE">
              <w:rPr>
                <w:b w:val="0"/>
                <w:szCs w:val="24"/>
                <w:lang w:val="en-GB"/>
              </w:rPr>
              <w:t>Years before the final year</w:t>
            </w:r>
          </w:p>
        </w:tc>
        <w:tc>
          <w:tcPr>
            <w:tcW w:w="4644" w:type="dxa"/>
            <w:shd w:val="clear" w:color="auto" w:fill="FFFFFF" w:themeFill="background1"/>
          </w:tcPr>
          <w:p w:rsidR="00AA5C44" w:rsidRPr="003569BE" w:rsidRDefault="00AA5C44" w:rsidP="001C0E8D">
            <w:pPr>
              <w:jc w:val="center"/>
              <w:cnfStyle w:val="000000100000"/>
              <w:rPr>
                <w:szCs w:val="24"/>
                <w:lang w:val="en-GB"/>
              </w:rPr>
            </w:pPr>
            <w:r w:rsidRPr="003569BE">
              <w:rPr>
                <w:szCs w:val="24"/>
                <w:lang w:val="en-GB"/>
              </w:rPr>
              <w:t>187</w:t>
            </w:r>
          </w:p>
        </w:tc>
      </w:tr>
      <w:tr w:rsidR="00AA5C44" w:rsidRPr="003569BE" w:rsidTr="001C0E8D">
        <w:tc>
          <w:tcPr>
            <w:cnfStyle w:val="001000000000"/>
            <w:tcW w:w="4644" w:type="dxa"/>
            <w:shd w:val="clear" w:color="auto" w:fill="FFFFFF" w:themeFill="background1"/>
          </w:tcPr>
          <w:p w:rsidR="00AA5C44" w:rsidRPr="003569BE" w:rsidRDefault="00AA5C44" w:rsidP="001C0E8D">
            <w:pPr>
              <w:jc w:val="center"/>
              <w:rPr>
                <w:b w:val="0"/>
                <w:szCs w:val="24"/>
                <w:lang w:val="en-GB"/>
              </w:rPr>
            </w:pPr>
            <w:r w:rsidRPr="003569BE">
              <w:rPr>
                <w:b w:val="0"/>
                <w:szCs w:val="24"/>
                <w:lang w:val="en-GB"/>
              </w:rPr>
              <w:t>Last year before rotation</w:t>
            </w:r>
          </w:p>
        </w:tc>
        <w:tc>
          <w:tcPr>
            <w:tcW w:w="4644" w:type="dxa"/>
            <w:shd w:val="clear" w:color="auto" w:fill="FFFFFF" w:themeFill="background1"/>
          </w:tcPr>
          <w:p w:rsidR="00AA5C44" w:rsidRPr="003569BE" w:rsidRDefault="00AA5C44" w:rsidP="001C0E8D">
            <w:pPr>
              <w:jc w:val="center"/>
              <w:cnfStyle w:val="000000000000"/>
              <w:rPr>
                <w:szCs w:val="24"/>
                <w:lang w:val="en-GB"/>
              </w:rPr>
            </w:pPr>
            <w:r w:rsidRPr="003569BE">
              <w:rPr>
                <w:szCs w:val="24"/>
                <w:lang w:val="en-GB"/>
              </w:rPr>
              <w:t>35</w:t>
            </w:r>
          </w:p>
        </w:tc>
      </w:tr>
      <w:tr w:rsidR="00AA5C44" w:rsidRPr="003569BE" w:rsidTr="001C0E8D">
        <w:trPr>
          <w:cnfStyle w:val="000000100000"/>
        </w:trPr>
        <w:tc>
          <w:tcPr>
            <w:cnfStyle w:val="001000000000"/>
            <w:tcW w:w="4644" w:type="dxa"/>
            <w:shd w:val="clear" w:color="auto" w:fill="FFFFFF" w:themeFill="background1"/>
          </w:tcPr>
          <w:p w:rsidR="00AA5C44" w:rsidRPr="003569BE" w:rsidRDefault="00AA5C44" w:rsidP="001C0E8D">
            <w:pPr>
              <w:jc w:val="center"/>
              <w:rPr>
                <w:b w:val="0"/>
                <w:szCs w:val="24"/>
                <w:lang w:val="en-GB"/>
              </w:rPr>
            </w:pPr>
            <w:r w:rsidRPr="003569BE">
              <w:rPr>
                <w:b w:val="0"/>
                <w:szCs w:val="24"/>
                <w:lang w:val="en-GB"/>
              </w:rPr>
              <w:t>First year after rotation</w:t>
            </w:r>
          </w:p>
        </w:tc>
        <w:tc>
          <w:tcPr>
            <w:tcW w:w="4644" w:type="dxa"/>
            <w:shd w:val="clear" w:color="auto" w:fill="FFFFFF" w:themeFill="background1"/>
          </w:tcPr>
          <w:p w:rsidR="00AA5C44" w:rsidRPr="003569BE" w:rsidRDefault="00AA5C44" w:rsidP="001C0E8D">
            <w:pPr>
              <w:jc w:val="center"/>
              <w:cnfStyle w:val="000000100000"/>
              <w:rPr>
                <w:szCs w:val="24"/>
                <w:lang w:val="en-GB"/>
              </w:rPr>
            </w:pPr>
            <w:r w:rsidRPr="003569BE">
              <w:rPr>
                <w:szCs w:val="24"/>
                <w:lang w:val="en-GB"/>
              </w:rPr>
              <w:t>35</w:t>
            </w:r>
          </w:p>
        </w:tc>
      </w:tr>
      <w:tr w:rsidR="00AA5C44" w:rsidRPr="003569BE" w:rsidTr="001C0E8D">
        <w:tc>
          <w:tcPr>
            <w:cnfStyle w:val="001000000000"/>
            <w:tcW w:w="4644" w:type="dxa"/>
            <w:tcBorders>
              <w:top w:val="single" w:sz="2" w:space="0" w:color="FFFFFF" w:themeColor="background1"/>
              <w:bottom w:val="single" w:sz="2" w:space="0" w:color="5B9BD5" w:themeColor="accent1"/>
            </w:tcBorders>
            <w:shd w:val="clear" w:color="auto" w:fill="FFFFFF" w:themeFill="background1"/>
          </w:tcPr>
          <w:p w:rsidR="00AA5C44" w:rsidRPr="003569BE" w:rsidRDefault="00AA5C44" w:rsidP="001C0E8D">
            <w:pPr>
              <w:jc w:val="center"/>
              <w:rPr>
                <w:b w:val="0"/>
                <w:szCs w:val="24"/>
                <w:lang w:val="en-GB"/>
              </w:rPr>
            </w:pPr>
            <w:r w:rsidRPr="003569BE">
              <w:rPr>
                <w:b w:val="0"/>
                <w:szCs w:val="24"/>
                <w:lang w:val="en-GB"/>
              </w:rPr>
              <w:t>Years after rotation</w:t>
            </w:r>
          </w:p>
        </w:tc>
        <w:tc>
          <w:tcPr>
            <w:tcW w:w="4644" w:type="dxa"/>
            <w:tcBorders>
              <w:top w:val="single" w:sz="2" w:space="0" w:color="FFFFFF" w:themeColor="background1"/>
              <w:bottom w:val="single" w:sz="2" w:space="0" w:color="5B9BD5" w:themeColor="accent1"/>
            </w:tcBorders>
            <w:shd w:val="clear" w:color="auto" w:fill="FFFFFF" w:themeFill="background1"/>
          </w:tcPr>
          <w:p w:rsidR="00AA5C44" w:rsidRPr="003569BE" w:rsidRDefault="00AA5C44" w:rsidP="001C0E8D">
            <w:pPr>
              <w:jc w:val="center"/>
              <w:cnfStyle w:val="000000000000"/>
              <w:rPr>
                <w:szCs w:val="24"/>
                <w:lang w:val="en-GB"/>
              </w:rPr>
            </w:pPr>
            <w:r w:rsidRPr="003569BE">
              <w:rPr>
                <w:szCs w:val="24"/>
                <w:lang w:val="en-GB"/>
              </w:rPr>
              <w:t>100</w:t>
            </w:r>
          </w:p>
        </w:tc>
      </w:tr>
      <w:tr w:rsidR="00AA5C44" w:rsidRPr="003569BE" w:rsidTr="001C0E8D">
        <w:trPr>
          <w:cnfStyle w:val="000000100000"/>
        </w:trPr>
        <w:tc>
          <w:tcPr>
            <w:cnfStyle w:val="001000000000"/>
            <w:tcW w:w="4644" w:type="dxa"/>
            <w:tcBorders>
              <w:top w:val="single" w:sz="2" w:space="0" w:color="5B9BD5" w:themeColor="accent1"/>
            </w:tcBorders>
            <w:shd w:val="clear" w:color="auto" w:fill="FFFFFF" w:themeFill="background1"/>
          </w:tcPr>
          <w:p w:rsidR="00AA5C44" w:rsidRPr="003569BE" w:rsidRDefault="00AA5C44" w:rsidP="001C0E8D">
            <w:pPr>
              <w:jc w:val="center"/>
              <w:rPr>
                <w:szCs w:val="24"/>
                <w:lang w:val="en-GB"/>
              </w:rPr>
            </w:pPr>
            <w:r w:rsidRPr="003569BE">
              <w:rPr>
                <w:szCs w:val="24"/>
                <w:lang w:val="en-GB"/>
              </w:rPr>
              <w:t>TOTAL</w:t>
            </w:r>
          </w:p>
        </w:tc>
        <w:tc>
          <w:tcPr>
            <w:tcW w:w="4644" w:type="dxa"/>
            <w:tcBorders>
              <w:top w:val="single" w:sz="2" w:space="0" w:color="5B9BD5" w:themeColor="accent1"/>
            </w:tcBorders>
            <w:shd w:val="clear" w:color="auto" w:fill="FFFFFF" w:themeFill="background1"/>
          </w:tcPr>
          <w:p w:rsidR="00AA5C44" w:rsidRPr="003569BE" w:rsidRDefault="00AA5C44" w:rsidP="001C0E8D">
            <w:pPr>
              <w:jc w:val="center"/>
              <w:cnfStyle w:val="000000100000"/>
              <w:rPr>
                <w:b/>
                <w:szCs w:val="24"/>
                <w:lang w:val="en-GB"/>
              </w:rPr>
            </w:pPr>
            <w:r w:rsidRPr="003569BE">
              <w:rPr>
                <w:b/>
                <w:szCs w:val="24"/>
                <w:lang w:val="en-GB"/>
              </w:rPr>
              <w:t>357</w:t>
            </w:r>
          </w:p>
        </w:tc>
      </w:tr>
    </w:tbl>
    <w:p w:rsidR="00AA5C44" w:rsidRPr="003569BE" w:rsidRDefault="00AA5C44" w:rsidP="00AA5C44">
      <w:pPr>
        <w:spacing w:line="360" w:lineRule="auto"/>
        <w:jc w:val="right"/>
        <w:rPr>
          <w:i/>
          <w:sz w:val="20"/>
          <w:szCs w:val="20"/>
          <w:lang w:val="en-GB"/>
        </w:rPr>
      </w:pPr>
      <w:r w:rsidRPr="003569BE">
        <w:rPr>
          <w:i/>
          <w:sz w:val="20"/>
          <w:szCs w:val="20"/>
          <w:lang w:val="en-GB"/>
        </w:rPr>
        <w:t>Table 2</w:t>
      </w:r>
      <w:r w:rsidR="0064006D" w:rsidRPr="003569BE">
        <w:rPr>
          <w:i/>
          <w:sz w:val="20"/>
          <w:szCs w:val="20"/>
          <w:lang w:val="en-GB"/>
        </w:rPr>
        <w:t>b</w:t>
      </w:r>
      <w:r w:rsidRPr="003569BE">
        <w:rPr>
          <w:i/>
          <w:sz w:val="20"/>
          <w:szCs w:val="20"/>
          <w:lang w:val="en-GB"/>
        </w:rPr>
        <w:t xml:space="preserve"> – Auditors’ </w:t>
      </w:r>
      <w:r w:rsidR="00512A27" w:rsidRPr="003569BE">
        <w:rPr>
          <w:i/>
          <w:sz w:val="20"/>
          <w:szCs w:val="20"/>
          <w:lang w:val="en-GB"/>
        </w:rPr>
        <w:t>Distribution</w:t>
      </w:r>
      <w:r w:rsidR="001A094C" w:rsidRPr="003569BE">
        <w:rPr>
          <w:i/>
          <w:sz w:val="20"/>
          <w:szCs w:val="20"/>
          <w:lang w:val="en-GB"/>
        </w:rPr>
        <w:t xml:space="preserve"> in the Sample</w:t>
      </w:r>
      <w:r w:rsidR="0064006D" w:rsidRPr="003569BE">
        <w:rPr>
          <w:i/>
          <w:sz w:val="20"/>
          <w:szCs w:val="20"/>
          <w:lang w:val="en-GB"/>
        </w:rPr>
        <w:t xml:space="preserve"> After Eliminating the Outliers</w:t>
      </w:r>
    </w:p>
    <w:p w:rsidR="0066206C" w:rsidRPr="003569BE" w:rsidRDefault="0066206C">
      <w:pPr>
        <w:jc w:val="left"/>
        <w:rPr>
          <w:i/>
          <w:sz w:val="20"/>
          <w:szCs w:val="20"/>
          <w:lang w:val="en-GB"/>
        </w:rPr>
      </w:pPr>
      <w:r w:rsidRPr="003569BE">
        <w:rPr>
          <w:i/>
          <w:sz w:val="20"/>
          <w:szCs w:val="20"/>
          <w:lang w:val="en-GB"/>
        </w:rPr>
        <w:br w:type="page"/>
      </w:r>
    </w:p>
    <w:p w:rsidR="00FA7EF4" w:rsidRPr="003569BE" w:rsidRDefault="00B3609C" w:rsidP="00EB1C56">
      <w:pPr>
        <w:pStyle w:val="Heading2"/>
        <w:ind w:firstLine="708"/>
        <w:rPr>
          <w:sz w:val="24"/>
          <w:szCs w:val="24"/>
          <w:lang w:val="en-GB"/>
        </w:rPr>
      </w:pPr>
      <w:bookmarkStart w:id="82" w:name="_Toc396633613"/>
      <w:r w:rsidRPr="003569BE">
        <w:rPr>
          <w:rFonts w:cs="Times New Roman"/>
          <w:sz w:val="24"/>
          <w:szCs w:val="24"/>
          <w:lang w:val="en-GB"/>
        </w:rPr>
        <w:lastRenderedPageBreak/>
        <w:t>Appendix</w:t>
      </w:r>
      <w:r w:rsidRPr="003569BE">
        <w:rPr>
          <w:sz w:val="24"/>
          <w:szCs w:val="24"/>
          <w:lang w:val="en-GB"/>
        </w:rPr>
        <w:t xml:space="preserve"> 2.3: </w:t>
      </w:r>
      <w:r w:rsidR="0003491C" w:rsidRPr="003569BE">
        <w:rPr>
          <w:sz w:val="24"/>
          <w:szCs w:val="24"/>
          <w:lang w:val="en-GB"/>
        </w:rPr>
        <w:t>Tests for normality</w:t>
      </w:r>
      <w:bookmarkEnd w:id="82"/>
    </w:p>
    <w:tbl>
      <w:tblPr>
        <w:tblW w:w="8647"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94"/>
        <w:gridCol w:w="2426"/>
        <w:gridCol w:w="1878"/>
        <w:gridCol w:w="1890"/>
        <w:gridCol w:w="1559"/>
      </w:tblGrid>
      <w:tr w:rsidR="00FA7EF4" w:rsidRPr="003569BE" w:rsidTr="00EB1C56">
        <w:trPr>
          <w:cantSplit/>
          <w:tblHeader/>
          <w:jc w:val="center"/>
        </w:trPr>
        <w:tc>
          <w:tcPr>
            <w:tcW w:w="8647" w:type="dxa"/>
            <w:gridSpan w:val="5"/>
            <w:tcBorders>
              <w:top w:val="nil"/>
              <w:left w:val="nil"/>
              <w:bottom w:val="nil"/>
              <w:right w:val="nil"/>
            </w:tcBorders>
            <w:shd w:val="clear" w:color="auto" w:fill="FFFFFF"/>
            <w:vAlign w:val="center"/>
          </w:tcPr>
          <w:p w:rsidR="00FA7EF4" w:rsidRPr="003569BE" w:rsidRDefault="00FA7EF4" w:rsidP="00FA7EF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Descriptives</w:t>
            </w:r>
          </w:p>
        </w:tc>
      </w:tr>
      <w:tr w:rsidR="00FA7EF4" w:rsidRPr="003569BE" w:rsidTr="00EB1C56">
        <w:trPr>
          <w:cantSplit/>
          <w:tblHeader/>
          <w:jc w:val="center"/>
        </w:trPr>
        <w:tc>
          <w:tcPr>
            <w:tcW w:w="5198"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c>
          <w:tcPr>
            <w:tcW w:w="1890" w:type="dxa"/>
            <w:tcBorders>
              <w:top w:val="single" w:sz="16" w:space="0" w:color="000000"/>
              <w:left w:val="single" w:sz="16" w:space="0" w:color="000000"/>
              <w:bottom w:val="single" w:sz="16" w:space="0" w:color="000000"/>
            </w:tcBorders>
            <w:shd w:val="clear" w:color="auto" w:fill="FFFFFF"/>
            <w:vAlign w:val="bottom"/>
          </w:tcPr>
          <w:p w:rsidR="00FA7EF4" w:rsidRPr="003569BE" w:rsidRDefault="00FA7EF4" w:rsidP="00FA7EF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Statistic</w:t>
            </w:r>
          </w:p>
        </w:tc>
        <w:tc>
          <w:tcPr>
            <w:tcW w:w="1559" w:type="dxa"/>
            <w:tcBorders>
              <w:top w:val="single" w:sz="16" w:space="0" w:color="000000"/>
              <w:bottom w:val="single" w:sz="16" w:space="0" w:color="000000"/>
              <w:right w:val="single" w:sz="16" w:space="0" w:color="000000"/>
            </w:tcBorders>
            <w:shd w:val="clear" w:color="auto" w:fill="FFFFFF"/>
            <w:vAlign w:val="bottom"/>
          </w:tcPr>
          <w:p w:rsidR="00FA7EF4" w:rsidRPr="003569BE" w:rsidRDefault="00FA7EF4" w:rsidP="00FA7EF4">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w:t>
            </w:r>
          </w:p>
        </w:tc>
      </w:tr>
      <w:tr w:rsidR="00FA7EF4" w:rsidRPr="003569BE" w:rsidTr="00EB1C56">
        <w:trPr>
          <w:cantSplit/>
          <w:tblHeader/>
          <w:jc w:val="center"/>
        </w:trPr>
        <w:tc>
          <w:tcPr>
            <w:tcW w:w="894" w:type="dxa"/>
            <w:vMerge w:val="restart"/>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DA</w:t>
            </w:r>
            <w:r w:rsidR="00900789"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4304" w:type="dxa"/>
            <w:gridSpan w:val="2"/>
            <w:tcBorders>
              <w:top w:val="single" w:sz="16" w:space="0" w:color="000000"/>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Mean</w:t>
            </w:r>
          </w:p>
        </w:tc>
        <w:tc>
          <w:tcPr>
            <w:tcW w:w="1890" w:type="dxa"/>
            <w:tcBorders>
              <w:top w:val="single" w:sz="16" w:space="0" w:color="000000"/>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-,084515010841</w:t>
            </w:r>
          </w:p>
        </w:tc>
        <w:tc>
          <w:tcPr>
            <w:tcW w:w="1559" w:type="dxa"/>
            <w:tcBorders>
              <w:top w:val="single" w:sz="16" w:space="0" w:color="000000"/>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,0037744069474</w:t>
            </w: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ascii="Arial" w:hAnsi="Arial" w:cs="Arial"/>
                <w:color w:val="000000"/>
                <w:sz w:val="18"/>
                <w:szCs w:val="18"/>
                <w:lang w:val="en-GB"/>
              </w:rPr>
            </w:pPr>
          </w:p>
        </w:tc>
        <w:tc>
          <w:tcPr>
            <w:tcW w:w="2426" w:type="dxa"/>
            <w:vMerge w:val="restart"/>
            <w:tcBorders>
              <w:top w:val="nil"/>
              <w:left w:val="nil"/>
              <w:bottom w:val="nil"/>
              <w:right w:val="nil"/>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95% Confidence Interval for Mean</w:t>
            </w:r>
          </w:p>
        </w:tc>
        <w:tc>
          <w:tcPr>
            <w:tcW w:w="1878" w:type="dxa"/>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Lower Bound</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-,091937948246</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2426" w:type="dxa"/>
            <w:vMerge/>
            <w:tcBorders>
              <w:top w:val="nil"/>
              <w:left w:val="nil"/>
              <w:bottom w:val="nil"/>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1878" w:type="dxa"/>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Upper Bound</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-,077092073437</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5% Trimmed Mean</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-,083088837493</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Median</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-,082886614000</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Variance</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,005</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Std. Deviation</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,0713153192949</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Minimum</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-,3438058800</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Maximum</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,1471923700</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Range</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,4909982500</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Interquartile Range</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,0809065190</w:t>
            </w:r>
          </w:p>
        </w:tc>
        <w:tc>
          <w:tcPr>
            <w:tcW w:w="1559" w:type="dxa"/>
            <w:tcBorders>
              <w:top w:val="nil"/>
              <w:bottom w:val="nil"/>
              <w:right w:val="single" w:sz="16" w:space="0" w:color="000000"/>
            </w:tcBorders>
            <w:shd w:val="clear" w:color="auto" w:fill="FFFFFF"/>
            <w:vAlign w:val="center"/>
          </w:tcPr>
          <w:p w:rsidR="00FA7EF4" w:rsidRPr="003569BE" w:rsidRDefault="00FA7EF4" w:rsidP="00FA7EF4">
            <w:pPr>
              <w:autoSpaceDE w:val="0"/>
              <w:autoSpaceDN w:val="0"/>
              <w:adjustRightInd w:val="0"/>
              <w:spacing w:after="0" w:line="240" w:lineRule="auto"/>
              <w:jc w:val="center"/>
              <w:rPr>
                <w:rFonts w:cs="Times New Roman"/>
                <w:szCs w:val="24"/>
                <w:lang w:val="en-GB"/>
              </w:rPr>
            </w:pPr>
          </w:p>
        </w:tc>
      </w:tr>
      <w:tr w:rsidR="00FA7EF4" w:rsidRPr="003569BE" w:rsidTr="00EB1C56">
        <w:trPr>
          <w:cantSplit/>
          <w:tblHeader/>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cs="Times New Roman"/>
                <w:szCs w:val="24"/>
                <w:lang w:val="en-GB"/>
              </w:rPr>
            </w:pPr>
          </w:p>
        </w:tc>
        <w:tc>
          <w:tcPr>
            <w:tcW w:w="4304" w:type="dxa"/>
            <w:gridSpan w:val="2"/>
            <w:tcBorders>
              <w:top w:val="nil"/>
              <w:left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Skewness</w:t>
            </w:r>
          </w:p>
        </w:tc>
        <w:tc>
          <w:tcPr>
            <w:tcW w:w="1890" w:type="dxa"/>
            <w:tcBorders>
              <w:top w:val="nil"/>
              <w:left w:val="single" w:sz="16" w:space="0" w:color="000000"/>
              <w:bottom w:val="nil"/>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-,299</w:t>
            </w:r>
          </w:p>
        </w:tc>
        <w:tc>
          <w:tcPr>
            <w:tcW w:w="1559" w:type="dxa"/>
            <w:tcBorders>
              <w:top w:val="nil"/>
              <w:bottom w:val="nil"/>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,129</w:t>
            </w:r>
          </w:p>
        </w:tc>
      </w:tr>
      <w:tr w:rsidR="00FA7EF4" w:rsidRPr="003569BE" w:rsidTr="00EB1C56">
        <w:trPr>
          <w:cantSplit/>
          <w:jc w:val="center"/>
        </w:trPr>
        <w:tc>
          <w:tcPr>
            <w:tcW w:w="894" w:type="dxa"/>
            <w:vMerge/>
            <w:tcBorders>
              <w:top w:val="single" w:sz="16" w:space="0" w:color="000000"/>
              <w:left w:val="single" w:sz="16" w:space="0" w:color="000000"/>
              <w:bottom w:val="single" w:sz="16" w:space="0" w:color="000000"/>
              <w:right w:val="nil"/>
            </w:tcBorders>
            <w:shd w:val="clear" w:color="auto" w:fill="FFFFFF"/>
          </w:tcPr>
          <w:p w:rsidR="00FA7EF4" w:rsidRPr="003569BE" w:rsidRDefault="00FA7EF4" w:rsidP="00FA7EF4">
            <w:pPr>
              <w:autoSpaceDE w:val="0"/>
              <w:autoSpaceDN w:val="0"/>
              <w:adjustRightInd w:val="0"/>
              <w:spacing w:after="0" w:line="240" w:lineRule="auto"/>
              <w:jc w:val="left"/>
              <w:rPr>
                <w:rFonts w:ascii="Arial" w:hAnsi="Arial" w:cs="Arial"/>
                <w:color w:val="000000"/>
                <w:sz w:val="18"/>
                <w:szCs w:val="18"/>
                <w:lang w:val="en-GB"/>
              </w:rPr>
            </w:pPr>
          </w:p>
        </w:tc>
        <w:tc>
          <w:tcPr>
            <w:tcW w:w="4304" w:type="dxa"/>
            <w:gridSpan w:val="2"/>
            <w:tcBorders>
              <w:top w:val="nil"/>
              <w:left w:val="nil"/>
              <w:bottom w:val="single" w:sz="16" w:space="0" w:color="000000"/>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Kurtosis</w:t>
            </w:r>
          </w:p>
        </w:tc>
        <w:tc>
          <w:tcPr>
            <w:tcW w:w="1890" w:type="dxa"/>
            <w:tcBorders>
              <w:top w:val="nil"/>
              <w:left w:val="single" w:sz="16" w:space="0" w:color="000000"/>
              <w:bottom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1,261</w:t>
            </w:r>
          </w:p>
        </w:tc>
        <w:tc>
          <w:tcPr>
            <w:tcW w:w="1559" w:type="dxa"/>
            <w:tcBorders>
              <w:top w:val="nil"/>
              <w:bottom w:val="single" w:sz="16" w:space="0" w:color="000000"/>
              <w:right w:val="single" w:sz="16" w:space="0" w:color="000000"/>
            </w:tcBorders>
            <w:shd w:val="clear" w:color="auto" w:fill="FFFFFF"/>
          </w:tcPr>
          <w:p w:rsidR="00FA7EF4" w:rsidRPr="003569BE" w:rsidRDefault="00FA7EF4" w:rsidP="00FA7EF4">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,257</w:t>
            </w:r>
          </w:p>
        </w:tc>
      </w:tr>
    </w:tbl>
    <w:p w:rsidR="0037742F" w:rsidRPr="003569BE" w:rsidRDefault="0037742F" w:rsidP="0037742F">
      <w:pPr>
        <w:spacing w:line="360" w:lineRule="auto"/>
        <w:jc w:val="right"/>
        <w:rPr>
          <w:i/>
          <w:sz w:val="20"/>
          <w:szCs w:val="20"/>
          <w:lang w:val="en-GB"/>
        </w:rPr>
      </w:pPr>
      <w:r w:rsidRPr="003569BE">
        <w:rPr>
          <w:i/>
          <w:sz w:val="20"/>
          <w:szCs w:val="20"/>
          <w:lang w:val="en-GB"/>
        </w:rPr>
        <w:t>Table 3 – Normality Test Descriptive</w:t>
      </w:r>
    </w:p>
    <w:p w:rsidR="0066206C" w:rsidRPr="003569BE" w:rsidRDefault="0066206C" w:rsidP="0037742F">
      <w:pPr>
        <w:spacing w:line="360" w:lineRule="auto"/>
        <w:jc w:val="right"/>
        <w:rPr>
          <w:i/>
          <w:sz w:val="20"/>
          <w:szCs w:val="20"/>
          <w:lang w:val="en-GB"/>
        </w:rPr>
      </w:pPr>
    </w:p>
    <w:p w:rsidR="0066206C" w:rsidRPr="003569BE" w:rsidRDefault="0066206C" w:rsidP="0037742F">
      <w:pPr>
        <w:spacing w:line="360" w:lineRule="auto"/>
        <w:jc w:val="right"/>
        <w:rPr>
          <w:i/>
          <w:sz w:val="20"/>
          <w:szCs w:val="20"/>
          <w:lang w:val="en-GB"/>
        </w:rPr>
      </w:pPr>
    </w:p>
    <w:tbl>
      <w:tblPr>
        <w:tblW w:w="695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93"/>
        <w:gridCol w:w="1010"/>
        <w:gridCol w:w="1009"/>
        <w:gridCol w:w="1011"/>
        <w:gridCol w:w="1011"/>
        <w:gridCol w:w="1011"/>
        <w:gridCol w:w="1011"/>
      </w:tblGrid>
      <w:tr w:rsidR="009C70A7" w:rsidRPr="003569BE" w:rsidTr="0037742F">
        <w:trPr>
          <w:cantSplit/>
          <w:tblHeader/>
          <w:jc w:val="center"/>
        </w:trPr>
        <w:tc>
          <w:tcPr>
            <w:tcW w:w="6956" w:type="dxa"/>
            <w:gridSpan w:val="7"/>
            <w:tcBorders>
              <w:top w:val="nil"/>
              <w:left w:val="nil"/>
              <w:bottom w:val="nil"/>
              <w:right w:val="nil"/>
            </w:tcBorders>
            <w:shd w:val="clear" w:color="auto" w:fill="FFFFFF"/>
            <w:vAlign w:val="center"/>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Tests of Normality</w:t>
            </w:r>
          </w:p>
        </w:tc>
      </w:tr>
      <w:tr w:rsidR="009C70A7" w:rsidRPr="003569BE" w:rsidTr="0037742F">
        <w:trPr>
          <w:cantSplit/>
          <w:tblHeader/>
          <w:jc w:val="center"/>
        </w:trPr>
        <w:tc>
          <w:tcPr>
            <w:tcW w:w="893"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9C70A7" w:rsidRPr="003569BE" w:rsidRDefault="009C70A7" w:rsidP="009C70A7">
            <w:pPr>
              <w:autoSpaceDE w:val="0"/>
              <w:autoSpaceDN w:val="0"/>
              <w:adjustRightInd w:val="0"/>
              <w:spacing w:after="0" w:line="240" w:lineRule="auto"/>
              <w:jc w:val="center"/>
              <w:rPr>
                <w:rFonts w:cs="Times New Roman"/>
                <w:szCs w:val="24"/>
                <w:lang w:val="en-GB"/>
              </w:rPr>
            </w:pPr>
          </w:p>
        </w:tc>
        <w:tc>
          <w:tcPr>
            <w:tcW w:w="3030" w:type="dxa"/>
            <w:gridSpan w:val="3"/>
            <w:tcBorders>
              <w:top w:val="single" w:sz="16" w:space="0" w:color="000000"/>
              <w:left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Kolmogorov-Smirnov</w:t>
            </w:r>
            <w:r w:rsidRPr="003569BE">
              <w:rPr>
                <w:rFonts w:ascii="Arial" w:hAnsi="Arial" w:cs="Arial"/>
                <w:color w:val="000000"/>
                <w:sz w:val="18"/>
                <w:szCs w:val="18"/>
                <w:vertAlign w:val="superscript"/>
                <w:lang w:val="en-GB"/>
              </w:rPr>
              <w:t>a</w:t>
            </w:r>
          </w:p>
        </w:tc>
        <w:tc>
          <w:tcPr>
            <w:tcW w:w="3033" w:type="dxa"/>
            <w:gridSpan w:val="3"/>
            <w:tcBorders>
              <w:top w:val="single" w:sz="16" w:space="0" w:color="000000"/>
              <w:right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Shapiro-Wilk</w:t>
            </w:r>
          </w:p>
        </w:tc>
      </w:tr>
      <w:tr w:rsidR="009C70A7" w:rsidRPr="003569BE" w:rsidTr="0037742F">
        <w:trPr>
          <w:cantSplit/>
          <w:tblHeader/>
          <w:jc w:val="center"/>
        </w:trPr>
        <w:tc>
          <w:tcPr>
            <w:tcW w:w="893"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9C70A7" w:rsidRPr="003569BE" w:rsidRDefault="009C70A7" w:rsidP="009C70A7">
            <w:pPr>
              <w:autoSpaceDE w:val="0"/>
              <w:autoSpaceDN w:val="0"/>
              <w:adjustRightInd w:val="0"/>
              <w:spacing w:after="0" w:line="240" w:lineRule="auto"/>
              <w:jc w:val="left"/>
              <w:rPr>
                <w:rFonts w:ascii="Arial" w:hAnsi="Arial" w:cs="Arial"/>
                <w:color w:val="000000"/>
                <w:sz w:val="18"/>
                <w:szCs w:val="18"/>
                <w:lang w:val="en-GB"/>
              </w:rPr>
            </w:pPr>
          </w:p>
        </w:tc>
        <w:tc>
          <w:tcPr>
            <w:tcW w:w="1010" w:type="dxa"/>
            <w:tcBorders>
              <w:left w:val="single" w:sz="16" w:space="0" w:color="000000"/>
              <w:bottom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Statistic</w:t>
            </w:r>
          </w:p>
        </w:tc>
        <w:tc>
          <w:tcPr>
            <w:tcW w:w="1009" w:type="dxa"/>
            <w:tcBorders>
              <w:bottom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011" w:type="dxa"/>
            <w:tcBorders>
              <w:bottom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c>
          <w:tcPr>
            <w:tcW w:w="1011" w:type="dxa"/>
            <w:tcBorders>
              <w:bottom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Statistic</w:t>
            </w:r>
          </w:p>
        </w:tc>
        <w:tc>
          <w:tcPr>
            <w:tcW w:w="1011" w:type="dxa"/>
            <w:tcBorders>
              <w:bottom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011" w:type="dxa"/>
            <w:tcBorders>
              <w:bottom w:val="single" w:sz="16" w:space="0" w:color="000000"/>
              <w:right w:val="single" w:sz="16" w:space="0" w:color="000000"/>
            </w:tcBorders>
            <w:shd w:val="clear" w:color="auto" w:fill="FFFFFF"/>
            <w:vAlign w:val="bottom"/>
          </w:tcPr>
          <w:p w:rsidR="009C70A7" w:rsidRPr="003569BE" w:rsidRDefault="009C70A7" w:rsidP="009C70A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9C70A7" w:rsidRPr="003569BE" w:rsidTr="0037742F">
        <w:trPr>
          <w:cantSplit/>
          <w:tblHeader/>
          <w:jc w:val="center"/>
        </w:trPr>
        <w:tc>
          <w:tcPr>
            <w:tcW w:w="893" w:type="dxa"/>
            <w:tcBorders>
              <w:top w:val="single" w:sz="16" w:space="0" w:color="000000"/>
              <w:left w:val="single" w:sz="16" w:space="0" w:color="000000"/>
              <w:bottom w:val="single" w:sz="16" w:space="0" w:color="000000"/>
              <w:right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DA</w:t>
            </w:r>
            <w:r w:rsidR="00900789"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1010" w:type="dxa"/>
            <w:tcBorders>
              <w:top w:val="single" w:sz="16" w:space="0" w:color="000000"/>
              <w:left w:val="single" w:sz="16" w:space="0" w:color="000000"/>
              <w:bottom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,058</w:t>
            </w:r>
          </w:p>
        </w:tc>
        <w:tc>
          <w:tcPr>
            <w:tcW w:w="1009" w:type="dxa"/>
            <w:tcBorders>
              <w:top w:val="single" w:sz="16" w:space="0" w:color="000000"/>
              <w:bottom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357</w:t>
            </w:r>
          </w:p>
        </w:tc>
        <w:tc>
          <w:tcPr>
            <w:tcW w:w="1011" w:type="dxa"/>
            <w:tcBorders>
              <w:top w:val="single" w:sz="16" w:space="0" w:color="000000"/>
              <w:bottom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,006</w:t>
            </w:r>
          </w:p>
        </w:tc>
        <w:tc>
          <w:tcPr>
            <w:tcW w:w="1011" w:type="dxa"/>
            <w:tcBorders>
              <w:top w:val="single" w:sz="16" w:space="0" w:color="000000"/>
              <w:bottom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,982</w:t>
            </w:r>
          </w:p>
        </w:tc>
        <w:tc>
          <w:tcPr>
            <w:tcW w:w="1011" w:type="dxa"/>
            <w:tcBorders>
              <w:top w:val="single" w:sz="16" w:space="0" w:color="000000"/>
              <w:bottom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357</w:t>
            </w:r>
          </w:p>
        </w:tc>
        <w:tc>
          <w:tcPr>
            <w:tcW w:w="1011" w:type="dxa"/>
            <w:tcBorders>
              <w:top w:val="single" w:sz="16" w:space="0" w:color="000000"/>
              <w:bottom w:val="single" w:sz="16" w:space="0" w:color="000000"/>
              <w:right w:val="single" w:sz="16" w:space="0" w:color="000000"/>
            </w:tcBorders>
            <w:shd w:val="clear" w:color="auto" w:fill="FFFFFF"/>
          </w:tcPr>
          <w:p w:rsidR="009C70A7" w:rsidRPr="003569BE" w:rsidRDefault="009C70A7" w:rsidP="009C70A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9C70A7" w:rsidRPr="003569BE" w:rsidTr="0037742F">
        <w:trPr>
          <w:cantSplit/>
          <w:jc w:val="center"/>
        </w:trPr>
        <w:tc>
          <w:tcPr>
            <w:tcW w:w="6956" w:type="dxa"/>
            <w:gridSpan w:val="7"/>
            <w:tcBorders>
              <w:top w:val="nil"/>
              <w:left w:val="nil"/>
              <w:bottom w:val="nil"/>
              <w:right w:val="nil"/>
            </w:tcBorders>
            <w:shd w:val="clear" w:color="auto" w:fill="FFFFFF"/>
          </w:tcPr>
          <w:p w:rsidR="009C70A7" w:rsidRPr="003569BE" w:rsidRDefault="009C70A7" w:rsidP="00D8136B">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Lilliefors Significance Correction</w:t>
            </w:r>
          </w:p>
        </w:tc>
      </w:tr>
    </w:tbl>
    <w:p w:rsidR="00D8136B" w:rsidRPr="003569BE" w:rsidRDefault="00D8136B" w:rsidP="00D8136B">
      <w:pPr>
        <w:spacing w:line="360" w:lineRule="auto"/>
        <w:jc w:val="right"/>
        <w:rPr>
          <w:i/>
          <w:sz w:val="20"/>
          <w:szCs w:val="20"/>
          <w:lang w:val="en-GB"/>
        </w:rPr>
      </w:pPr>
      <w:r w:rsidRPr="003569BE">
        <w:rPr>
          <w:i/>
          <w:sz w:val="20"/>
          <w:szCs w:val="20"/>
          <w:lang w:val="en-GB"/>
        </w:rPr>
        <w:t>Table 4 – Tests of Normality</w:t>
      </w:r>
    </w:p>
    <w:p w:rsidR="0066206C" w:rsidRPr="003569BE" w:rsidRDefault="0066206C" w:rsidP="00D8136B">
      <w:pPr>
        <w:spacing w:line="360" w:lineRule="auto"/>
        <w:jc w:val="right"/>
        <w:rPr>
          <w:i/>
          <w:sz w:val="20"/>
          <w:szCs w:val="20"/>
          <w:lang w:val="en-GB"/>
        </w:rPr>
      </w:pPr>
    </w:p>
    <w:tbl>
      <w:tblPr>
        <w:tblStyle w:val="TableGrid"/>
        <w:tblW w:w="9557" w:type="dxa"/>
        <w:tblLook w:val="04A0"/>
      </w:tblPr>
      <w:tblGrid>
        <w:gridCol w:w="5576"/>
        <w:gridCol w:w="3983"/>
      </w:tblGrid>
      <w:tr w:rsidR="009C70A7" w:rsidRPr="003569BE" w:rsidTr="009C70A7">
        <w:tc>
          <w:tcPr>
            <w:tcW w:w="55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rsidR="009C70A7" w:rsidRPr="003569BE" w:rsidRDefault="009C70A7" w:rsidP="009C70A7">
            <w:pPr>
              <w:autoSpaceDE w:val="0"/>
              <w:autoSpaceDN w:val="0"/>
              <w:adjustRightInd w:val="0"/>
              <w:spacing w:line="400" w:lineRule="atLeast"/>
              <w:jc w:val="center"/>
              <w:rPr>
                <w:rFonts w:cs="Times New Roman"/>
                <w:szCs w:val="24"/>
                <w:lang w:val="en-GB"/>
              </w:rPr>
            </w:pPr>
            <w:r w:rsidRPr="003569BE">
              <w:rPr>
                <w:noProof/>
                <w:lang w:val="en-US"/>
              </w:rPr>
              <w:lastRenderedPageBreak/>
              <w:drawing>
                <wp:inline distT="0" distB="0" distL="0" distR="0">
                  <wp:extent cx="3403159" cy="27269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3405509" cy="2728824"/>
                          </a:xfrm>
                          <a:prstGeom prst="rect">
                            <a:avLst/>
                          </a:prstGeom>
                        </pic:spPr>
                      </pic:pic>
                    </a:graphicData>
                  </a:graphic>
                </wp:inline>
              </w:drawing>
            </w:r>
          </w:p>
        </w:tc>
        <w:tc>
          <w:tcPr>
            <w:tcW w:w="3982"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vAlign w:val="center"/>
          </w:tcPr>
          <w:p w:rsidR="009C70A7" w:rsidRPr="003569BE" w:rsidRDefault="009C70A7" w:rsidP="009C70A7">
            <w:pPr>
              <w:autoSpaceDE w:val="0"/>
              <w:autoSpaceDN w:val="0"/>
              <w:adjustRightInd w:val="0"/>
              <w:spacing w:line="400" w:lineRule="atLeast"/>
              <w:jc w:val="center"/>
              <w:rPr>
                <w:rFonts w:cs="Times New Roman"/>
                <w:szCs w:val="24"/>
                <w:lang w:val="en-GB"/>
              </w:rPr>
            </w:pPr>
            <w:r w:rsidRPr="003569BE">
              <w:rPr>
                <w:rFonts w:cs="Times New Roman"/>
                <w:noProof/>
                <w:szCs w:val="24"/>
                <w:lang w:val="en-US"/>
              </w:rPr>
              <w:drawing>
                <wp:inline distT="0" distB="0" distL="0" distR="0">
                  <wp:extent cx="2391454" cy="19162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2392007" cy="1916708"/>
                          </a:xfrm>
                          <a:prstGeom prst="rect">
                            <a:avLst/>
                          </a:prstGeom>
                        </pic:spPr>
                      </pic:pic>
                    </a:graphicData>
                  </a:graphic>
                </wp:inline>
              </w:drawing>
            </w:r>
          </w:p>
        </w:tc>
      </w:tr>
    </w:tbl>
    <w:p w:rsidR="009C70A7" w:rsidRPr="003569BE" w:rsidRDefault="00A33373" w:rsidP="00A33373">
      <w:pPr>
        <w:autoSpaceDE w:val="0"/>
        <w:autoSpaceDN w:val="0"/>
        <w:adjustRightInd w:val="0"/>
        <w:spacing w:after="0" w:line="400" w:lineRule="atLeast"/>
        <w:ind w:left="1416" w:firstLine="708"/>
        <w:jc w:val="left"/>
        <w:rPr>
          <w:rFonts w:asciiTheme="minorHAnsi" w:hAnsiTheme="minorHAnsi" w:cs="Times New Roman"/>
          <w:b/>
          <w:sz w:val="18"/>
          <w:szCs w:val="18"/>
          <w:lang w:val="en-GB"/>
        </w:rPr>
      </w:pPr>
      <w:r w:rsidRPr="003569BE">
        <w:rPr>
          <w:rFonts w:cs="Times New Roman"/>
          <w:sz w:val="18"/>
          <w:szCs w:val="18"/>
          <w:lang w:val="en-GB"/>
        </w:rPr>
        <w:t xml:space="preserve">   </w:t>
      </w:r>
      <w:r w:rsidRPr="003569BE">
        <w:rPr>
          <w:rFonts w:asciiTheme="minorHAnsi" w:hAnsiTheme="minorHAnsi" w:cs="Times New Roman"/>
          <w:b/>
          <w:sz w:val="18"/>
          <w:szCs w:val="18"/>
          <w:lang w:val="en-GB"/>
        </w:rPr>
        <w:t>Boxplot</w:t>
      </w:r>
    </w:p>
    <w:p w:rsidR="009C70A7" w:rsidRPr="003569BE" w:rsidRDefault="002D4046" w:rsidP="002D4046">
      <w:pPr>
        <w:rPr>
          <w:lang w:val="en-GB"/>
        </w:rPr>
      </w:pPr>
      <w:r w:rsidRPr="003569BE">
        <w:rPr>
          <w:noProof/>
          <w:lang w:val="en-US"/>
        </w:rPr>
        <w:drawing>
          <wp:inline distT="0" distB="0" distL="0" distR="0">
            <wp:extent cx="3085106" cy="247208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087815" cy="2474256"/>
                    </a:xfrm>
                    <a:prstGeom prst="rect">
                      <a:avLst/>
                    </a:prstGeom>
                  </pic:spPr>
                </pic:pic>
              </a:graphicData>
            </a:graphic>
          </wp:inline>
        </w:drawing>
      </w:r>
    </w:p>
    <w:p w:rsidR="00AB3DF9" w:rsidRPr="003569BE" w:rsidRDefault="00AB3DF9">
      <w:pPr>
        <w:jc w:val="left"/>
        <w:rPr>
          <w:rFonts w:eastAsiaTheme="majorEastAsia" w:cstheme="majorBidi"/>
          <w:color w:val="2E74B5" w:themeColor="accent1" w:themeShade="BF"/>
          <w:sz w:val="26"/>
          <w:szCs w:val="26"/>
          <w:lang w:val="en-GB"/>
        </w:rPr>
      </w:pPr>
      <w:r w:rsidRPr="003569BE">
        <w:rPr>
          <w:lang w:val="en-GB"/>
        </w:rPr>
        <w:br w:type="page"/>
      </w:r>
    </w:p>
    <w:p w:rsidR="00FA5673" w:rsidRPr="003569BE" w:rsidRDefault="005B7C83" w:rsidP="005B7C83">
      <w:pPr>
        <w:pStyle w:val="Heading2"/>
        <w:rPr>
          <w:rFonts w:cs="Times New Roman"/>
          <w:szCs w:val="24"/>
          <w:lang w:val="en-GB"/>
        </w:rPr>
      </w:pPr>
      <w:bookmarkStart w:id="83" w:name="_Toc396633614"/>
      <w:r w:rsidRPr="003569BE">
        <w:rPr>
          <w:lang w:val="en-GB"/>
        </w:rPr>
        <w:lastRenderedPageBreak/>
        <w:t>Appendix</w:t>
      </w:r>
      <w:r w:rsidRPr="003569BE">
        <w:rPr>
          <w:rFonts w:cs="Times New Roman"/>
          <w:szCs w:val="24"/>
          <w:lang w:val="en-GB"/>
        </w:rPr>
        <w:t xml:space="preserve"> 3: </w:t>
      </w:r>
      <w:r w:rsidR="00FE07A9" w:rsidRPr="003569BE">
        <w:rPr>
          <w:lang w:val="en-GB"/>
        </w:rPr>
        <w:t>Estimating</w:t>
      </w:r>
      <w:r w:rsidR="00F8441B" w:rsidRPr="003569BE">
        <w:rPr>
          <w:rFonts w:cs="Times New Roman"/>
          <w:szCs w:val="24"/>
          <w:lang w:val="en-GB"/>
        </w:rPr>
        <w:t xml:space="preserve"> D</w:t>
      </w:r>
      <w:r w:rsidR="00FE07A9" w:rsidRPr="003569BE">
        <w:rPr>
          <w:rFonts w:cs="Times New Roman"/>
          <w:szCs w:val="24"/>
          <w:lang w:val="en-GB"/>
        </w:rPr>
        <w:t xml:space="preserve">iscretionary </w:t>
      </w:r>
      <w:r w:rsidR="00F8441B" w:rsidRPr="003569BE">
        <w:rPr>
          <w:rFonts w:cs="Times New Roman"/>
          <w:szCs w:val="24"/>
          <w:lang w:val="en-GB"/>
        </w:rPr>
        <w:t>A</w:t>
      </w:r>
      <w:r w:rsidR="00FE07A9" w:rsidRPr="003569BE">
        <w:rPr>
          <w:rFonts w:cs="Times New Roman"/>
          <w:szCs w:val="24"/>
          <w:lang w:val="en-GB"/>
        </w:rPr>
        <w:t>ccruals</w:t>
      </w:r>
      <w:bookmarkEnd w:id="83"/>
    </w:p>
    <w:p w:rsidR="00AB3DF9" w:rsidRPr="003569BE" w:rsidRDefault="00057E8A" w:rsidP="00AB3DF9">
      <w:pPr>
        <w:spacing w:line="360" w:lineRule="auto"/>
        <w:rPr>
          <w:rFonts w:cs="Times New Roman"/>
          <w:szCs w:val="24"/>
          <w:lang w:val="en-GB"/>
        </w:rPr>
      </w:pPr>
      <w:r w:rsidRPr="003569BE">
        <w:rPr>
          <w:lang w:val="en-GB"/>
        </w:rPr>
        <w:t xml:space="preserve">Results from estimating the </w:t>
      </w:r>
      <w:r w:rsidRPr="003569BE">
        <w:rPr>
          <w:rFonts w:cs="Times New Roman"/>
          <w:szCs w:val="24"/>
          <w:lang w:val="en-GB"/>
        </w:rPr>
        <w:t>coefficients b</w:t>
      </w:r>
      <w:r w:rsidRPr="003569BE">
        <w:rPr>
          <w:rFonts w:cs="Times New Roman"/>
          <w:szCs w:val="24"/>
          <w:vertAlign w:val="subscript"/>
          <w:lang w:val="en-GB"/>
        </w:rPr>
        <w:t>0</w:t>
      </w:r>
      <w:r w:rsidRPr="003569BE">
        <w:rPr>
          <w:rFonts w:cs="Times New Roman"/>
          <w:szCs w:val="24"/>
          <w:lang w:val="en-GB"/>
        </w:rPr>
        <w:t>, b</w:t>
      </w:r>
      <w:r w:rsidRPr="003569BE">
        <w:rPr>
          <w:rFonts w:cs="Times New Roman"/>
          <w:szCs w:val="24"/>
          <w:vertAlign w:val="subscript"/>
          <w:lang w:val="en-GB"/>
        </w:rPr>
        <w:t>1</w:t>
      </w:r>
      <w:r w:rsidRPr="003569BE">
        <w:rPr>
          <w:rFonts w:cs="Times New Roman"/>
          <w:szCs w:val="24"/>
          <w:lang w:val="en-GB"/>
        </w:rPr>
        <w:t>, b</w:t>
      </w:r>
      <w:r w:rsidRPr="003569BE">
        <w:rPr>
          <w:rFonts w:cs="Times New Roman"/>
          <w:szCs w:val="24"/>
          <w:vertAlign w:val="subscript"/>
          <w:lang w:val="en-GB"/>
        </w:rPr>
        <w:t xml:space="preserve">2 </w:t>
      </w:r>
      <w:r w:rsidRPr="003569BE">
        <w:rPr>
          <w:rFonts w:cs="Times New Roman"/>
          <w:szCs w:val="24"/>
          <w:lang w:val="en-GB"/>
        </w:rPr>
        <w:t>and b</w:t>
      </w:r>
      <w:r w:rsidRPr="003569BE">
        <w:rPr>
          <w:rFonts w:cs="Times New Roman"/>
          <w:szCs w:val="24"/>
          <w:vertAlign w:val="subscript"/>
          <w:lang w:val="en-GB"/>
        </w:rPr>
        <w:t>3</w:t>
      </w:r>
      <w:r w:rsidRPr="003569BE">
        <w:rPr>
          <w:rFonts w:cs="Times New Roman"/>
          <w:szCs w:val="24"/>
          <w:lang w:val="en-GB"/>
        </w:rPr>
        <w:t xml:space="preserve"> in the second step of measuring discretionary accruals:</w:t>
      </w:r>
    </w:p>
    <w:tbl>
      <w:tblPr>
        <w:tblW w:w="58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89"/>
        <w:gridCol w:w="1011"/>
        <w:gridCol w:w="1078"/>
        <w:gridCol w:w="1456"/>
        <w:gridCol w:w="1538"/>
      </w:tblGrid>
      <w:tr w:rsidR="00AB3DF9" w:rsidRPr="003569BE" w:rsidTr="00193A64">
        <w:trPr>
          <w:cantSplit/>
          <w:tblHeader/>
          <w:jc w:val="center"/>
        </w:trPr>
        <w:tc>
          <w:tcPr>
            <w:tcW w:w="5872" w:type="dxa"/>
            <w:gridSpan w:val="5"/>
            <w:tcBorders>
              <w:top w:val="nil"/>
              <w:left w:val="nil"/>
              <w:bottom w:val="nil"/>
              <w:right w:val="nil"/>
            </w:tcBorders>
            <w:shd w:val="clear" w:color="auto" w:fill="FFFFFF"/>
            <w:vAlign w:val="center"/>
          </w:tcPr>
          <w:p w:rsidR="00AB3DF9" w:rsidRPr="003569BE" w:rsidRDefault="00AB3DF9" w:rsidP="00AB3DF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Model Summary</w:t>
            </w:r>
          </w:p>
        </w:tc>
      </w:tr>
      <w:tr w:rsidR="00AB3DF9" w:rsidRPr="003569BE" w:rsidTr="00193A64">
        <w:trPr>
          <w:cantSplit/>
          <w:tblHeader/>
          <w:jc w:val="center"/>
        </w:trPr>
        <w:tc>
          <w:tcPr>
            <w:tcW w:w="78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AB3DF9" w:rsidRPr="003569BE" w:rsidRDefault="00AB3DF9" w:rsidP="00AB3DF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1011" w:type="dxa"/>
            <w:tcBorders>
              <w:top w:val="single" w:sz="16" w:space="0" w:color="000000"/>
              <w:left w:val="single" w:sz="16" w:space="0" w:color="000000"/>
              <w:bottom w:val="single" w:sz="16" w:space="0" w:color="000000"/>
            </w:tcBorders>
            <w:shd w:val="clear" w:color="auto" w:fill="FFFFFF"/>
            <w:vAlign w:val="bottom"/>
          </w:tcPr>
          <w:p w:rsidR="00AB3DF9" w:rsidRPr="003569BE" w:rsidRDefault="00AB3DF9" w:rsidP="00AB3DF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R</w:t>
            </w:r>
          </w:p>
        </w:tc>
        <w:tc>
          <w:tcPr>
            <w:tcW w:w="1078" w:type="dxa"/>
            <w:tcBorders>
              <w:top w:val="single" w:sz="16" w:space="0" w:color="000000"/>
              <w:bottom w:val="single" w:sz="16" w:space="0" w:color="000000"/>
            </w:tcBorders>
            <w:shd w:val="clear" w:color="auto" w:fill="FFFFFF"/>
            <w:vAlign w:val="bottom"/>
          </w:tcPr>
          <w:p w:rsidR="00AB3DF9" w:rsidRPr="003569BE" w:rsidRDefault="00AB3DF9" w:rsidP="00AB3DF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R Square</w:t>
            </w:r>
          </w:p>
        </w:tc>
        <w:tc>
          <w:tcPr>
            <w:tcW w:w="1456" w:type="dxa"/>
            <w:tcBorders>
              <w:top w:val="single" w:sz="16" w:space="0" w:color="000000"/>
              <w:bottom w:val="single" w:sz="16" w:space="0" w:color="000000"/>
            </w:tcBorders>
            <w:shd w:val="clear" w:color="auto" w:fill="FFFFFF"/>
            <w:vAlign w:val="bottom"/>
          </w:tcPr>
          <w:p w:rsidR="00AB3DF9" w:rsidRPr="003569BE" w:rsidRDefault="00AB3DF9" w:rsidP="00AB3DF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Adjusted R Square</w:t>
            </w:r>
          </w:p>
        </w:tc>
        <w:tc>
          <w:tcPr>
            <w:tcW w:w="1538" w:type="dxa"/>
            <w:tcBorders>
              <w:top w:val="single" w:sz="16" w:space="0" w:color="000000"/>
              <w:bottom w:val="single" w:sz="16" w:space="0" w:color="000000"/>
              <w:right w:val="single" w:sz="16" w:space="0" w:color="000000"/>
            </w:tcBorders>
            <w:shd w:val="clear" w:color="auto" w:fill="FFFFFF"/>
            <w:vAlign w:val="bottom"/>
          </w:tcPr>
          <w:p w:rsidR="00AB3DF9" w:rsidRPr="003569BE" w:rsidRDefault="00AB3DF9" w:rsidP="00AB3DF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 of the Estimate</w:t>
            </w:r>
          </w:p>
        </w:tc>
      </w:tr>
      <w:tr w:rsidR="00AB3DF9" w:rsidRPr="003569BE" w:rsidTr="00193A64">
        <w:trPr>
          <w:cantSplit/>
          <w:tblHeader/>
          <w:jc w:val="center"/>
        </w:trPr>
        <w:tc>
          <w:tcPr>
            <w:tcW w:w="789" w:type="dxa"/>
            <w:tcBorders>
              <w:top w:val="single" w:sz="16" w:space="0" w:color="000000"/>
              <w:left w:val="single" w:sz="16" w:space="0" w:color="000000"/>
              <w:bottom w:val="single" w:sz="16" w:space="0" w:color="000000"/>
              <w:right w:val="single" w:sz="16" w:space="0" w:color="000000"/>
            </w:tcBorders>
            <w:shd w:val="clear" w:color="auto" w:fill="FFFFFF"/>
          </w:tcPr>
          <w:p w:rsidR="00AB3DF9" w:rsidRPr="003569BE" w:rsidRDefault="00AB3DF9" w:rsidP="00AB3DF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011" w:type="dxa"/>
            <w:tcBorders>
              <w:top w:val="single" w:sz="16" w:space="0" w:color="000000"/>
              <w:left w:val="single" w:sz="16" w:space="0" w:color="000000"/>
              <w:bottom w:val="single" w:sz="16" w:space="0" w:color="000000"/>
            </w:tcBorders>
            <w:shd w:val="clear" w:color="auto" w:fill="FFFFFF"/>
          </w:tcPr>
          <w:p w:rsidR="00AB3DF9" w:rsidRPr="003569BE" w:rsidRDefault="00AB3DF9" w:rsidP="00AB3DF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,434</w:t>
            </w:r>
            <w:r w:rsidRPr="003569BE">
              <w:rPr>
                <w:rFonts w:ascii="Arial" w:hAnsi="Arial" w:cs="Arial"/>
                <w:color w:val="000000"/>
                <w:sz w:val="18"/>
                <w:szCs w:val="18"/>
                <w:vertAlign w:val="superscript"/>
                <w:lang w:val="en-GB"/>
              </w:rPr>
              <w:t>a</w:t>
            </w:r>
          </w:p>
        </w:tc>
        <w:tc>
          <w:tcPr>
            <w:tcW w:w="1078" w:type="dxa"/>
            <w:tcBorders>
              <w:top w:val="single" w:sz="16" w:space="0" w:color="000000"/>
              <w:bottom w:val="single" w:sz="16" w:space="0" w:color="000000"/>
            </w:tcBorders>
            <w:shd w:val="clear" w:color="auto" w:fill="FFFFFF"/>
          </w:tcPr>
          <w:p w:rsidR="00AB3DF9" w:rsidRPr="003569BE" w:rsidRDefault="00AB3DF9" w:rsidP="00AB3DF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,188</w:t>
            </w:r>
          </w:p>
        </w:tc>
        <w:tc>
          <w:tcPr>
            <w:tcW w:w="1456" w:type="dxa"/>
            <w:tcBorders>
              <w:top w:val="single" w:sz="16" w:space="0" w:color="000000"/>
              <w:bottom w:val="single" w:sz="16" w:space="0" w:color="000000"/>
            </w:tcBorders>
            <w:shd w:val="clear" w:color="auto" w:fill="FFFFFF"/>
          </w:tcPr>
          <w:p w:rsidR="00AB3DF9" w:rsidRPr="003569BE" w:rsidRDefault="00AB3DF9" w:rsidP="00AB3DF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,179</w:t>
            </w:r>
          </w:p>
        </w:tc>
        <w:tc>
          <w:tcPr>
            <w:tcW w:w="1538" w:type="dxa"/>
            <w:tcBorders>
              <w:top w:val="single" w:sz="16" w:space="0" w:color="000000"/>
              <w:bottom w:val="single" w:sz="16" w:space="0" w:color="000000"/>
              <w:right w:val="single" w:sz="16" w:space="0" w:color="000000"/>
            </w:tcBorders>
            <w:shd w:val="clear" w:color="auto" w:fill="FFFFFF"/>
          </w:tcPr>
          <w:p w:rsidR="00AB3DF9" w:rsidRPr="003569BE" w:rsidRDefault="00AB3DF9" w:rsidP="00AB3DF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,1147137729125</w:t>
            </w:r>
          </w:p>
        </w:tc>
      </w:tr>
      <w:tr w:rsidR="00AB3DF9" w:rsidRPr="003569BE" w:rsidTr="00193A64">
        <w:trPr>
          <w:cantSplit/>
          <w:jc w:val="center"/>
        </w:trPr>
        <w:tc>
          <w:tcPr>
            <w:tcW w:w="5872" w:type="dxa"/>
            <w:gridSpan w:val="5"/>
            <w:tcBorders>
              <w:top w:val="nil"/>
              <w:left w:val="nil"/>
              <w:bottom w:val="nil"/>
              <w:right w:val="nil"/>
            </w:tcBorders>
            <w:shd w:val="clear" w:color="auto" w:fill="FFFFFF"/>
          </w:tcPr>
          <w:p w:rsidR="00AB3DF9" w:rsidRPr="003569BE" w:rsidRDefault="00AB3DF9" w:rsidP="00415E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754A98" w:rsidRPr="003569BE">
              <w:rPr>
                <w:rFonts w:ascii="Arial" w:hAnsi="Arial" w:cs="Arial"/>
                <w:color w:val="000000"/>
                <w:sz w:val="18"/>
                <w:szCs w:val="18"/>
                <w:lang w:val="en-GB"/>
              </w:rPr>
              <w:t xml:space="preserve"> Predictors: (Constant), </w:t>
            </w:r>
            <w:r w:rsidR="00415EBE" w:rsidRPr="003569BE">
              <w:rPr>
                <w:rFonts w:ascii="Arial" w:hAnsi="Arial" w:cs="Arial"/>
                <w:color w:val="000000"/>
                <w:sz w:val="18"/>
                <w:szCs w:val="18"/>
                <w:lang w:val="en-GB"/>
              </w:rPr>
              <w:t>ROA</w:t>
            </w:r>
            <w:r w:rsidR="00415EBE" w:rsidRPr="003569BE">
              <w:rPr>
                <w:rFonts w:ascii="Arial" w:hAnsi="Arial" w:cs="Arial"/>
                <w:color w:val="000000"/>
                <w:sz w:val="18"/>
                <w:szCs w:val="18"/>
                <w:vertAlign w:val="subscript"/>
                <w:lang w:val="en-GB"/>
              </w:rPr>
              <w:t>t-1</w:t>
            </w:r>
            <w:r w:rsidR="00415EBE" w:rsidRPr="003569BE">
              <w:rPr>
                <w:rFonts w:ascii="Arial" w:hAnsi="Arial" w:cs="Arial"/>
                <w:color w:val="000000"/>
                <w:sz w:val="18"/>
                <w:szCs w:val="18"/>
                <w:lang w:val="en-GB"/>
              </w:rPr>
              <w:t>/A</w:t>
            </w:r>
            <w:r w:rsidR="00415EBE" w:rsidRPr="003569BE">
              <w:rPr>
                <w:rFonts w:ascii="Arial" w:hAnsi="Arial" w:cs="Arial"/>
                <w:color w:val="000000"/>
                <w:sz w:val="18"/>
                <w:szCs w:val="18"/>
                <w:vertAlign w:val="subscript"/>
                <w:lang w:val="en-GB"/>
              </w:rPr>
              <w:t>t-1</w:t>
            </w:r>
            <w:r w:rsidR="00415EBE" w:rsidRPr="003569BE">
              <w:rPr>
                <w:rFonts w:ascii="Arial" w:hAnsi="Arial" w:cs="Arial"/>
                <w:color w:val="000000"/>
                <w:sz w:val="18"/>
                <w:szCs w:val="18"/>
                <w:lang w:val="en-GB"/>
              </w:rPr>
              <w:t>, (REV</w:t>
            </w:r>
            <w:r w:rsidR="00415EBE" w:rsidRPr="003569BE">
              <w:rPr>
                <w:rFonts w:ascii="Arial" w:hAnsi="Arial" w:cs="Arial"/>
                <w:color w:val="000000"/>
                <w:sz w:val="18"/>
                <w:szCs w:val="18"/>
                <w:vertAlign w:val="subscript"/>
                <w:lang w:val="en-GB"/>
              </w:rPr>
              <w:t>t</w:t>
            </w:r>
            <w:r w:rsidR="00415EBE" w:rsidRPr="003569BE">
              <w:rPr>
                <w:rFonts w:ascii="Arial" w:hAnsi="Arial" w:cs="Arial"/>
                <w:color w:val="000000"/>
                <w:sz w:val="18"/>
                <w:szCs w:val="18"/>
                <w:lang w:val="en-GB"/>
              </w:rPr>
              <w:t>-REC</w:t>
            </w:r>
            <w:r w:rsidR="00415EBE" w:rsidRPr="003569BE">
              <w:rPr>
                <w:rFonts w:ascii="Arial" w:hAnsi="Arial" w:cs="Arial"/>
                <w:color w:val="000000"/>
                <w:sz w:val="18"/>
                <w:szCs w:val="18"/>
                <w:vertAlign w:val="subscript"/>
                <w:lang w:val="en-GB"/>
              </w:rPr>
              <w:t>t</w:t>
            </w:r>
            <w:r w:rsidR="00415EBE" w:rsidRPr="003569BE">
              <w:rPr>
                <w:rFonts w:ascii="Arial" w:hAnsi="Arial" w:cs="Arial"/>
                <w:color w:val="000000"/>
                <w:sz w:val="18"/>
                <w:szCs w:val="18"/>
                <w:lang w:val="en-GB"/>
              </w:rPr>
              <w:t>)/A</w:t>
            </w:r>
            <w:r w:rsidR="00415EBE" w:rsidRPr="003569BE">
              <w:rPr>
                <w:rFonts w:ascii="Arial" w:hAnsi="Arial" w:cs="Arial"/>
                <w:color w:val="000000"/>
                <w:sz w:val="18"/>
                <w:szCs w:val="18"/>
                <w:vertAlign w:val="subscript"/>
                <w:lang w:val="en-GB"/>
              </w:rPr>
              <w:t>t-1</w:t>
            </w:r>
            <w:r w:rsidR="00415EBE" w:rsidRPr="003569BE">
              <w:rPr>
                <w:rFonts w:ascii="Arial" w:hAnsi="Arial" w:cs="Arial"/>
                <w:color w:val="000000"/>
                <w:sz w:val="18"/>
                <w:szCs w:val="18"/>
                <w:lang w:val="en-GB"/>
              </w:rPr>
              <w:t>, PPE</w:t>
            </w:r>
            <w:r w:rsidR="00415EBE" w:rsidRPr="003569BE">
              <w:rPr>
                <w:rFonts w:ascii="Arial" w:hAnsi="Arial" w:cs="Arial"/>
                <w:color w:val="000000"/>
                <w:sz w:val="18"/>
                <w:szCs w:val="18"/>
                <w:vertAlign w:val="subscript"/>
                <w:lang w:val="en-GB"/>
              </w:rPr>
              <w:t>t</w:t>
            </w:r>
            <w:r w:rsidR="00415EBE" w:rsidRPr="003569BE">
              <w:rPr>
                <w:rFonts w:ascii="Arial" w:hAnsi="Arial" w:cs="Arial"/>
                <w:color w:val="000000"/>
                <w:sz w:val="18"/>
                <w:szCs w:val="18"/>
                <w:lang w:val="en-GB"/>
              </w:rPr>
              <w:t>/A</w:t>
            </w:r>
            <w:r w:rsidR="00415EBE" w:rsidRPr="003569BE">
              <w:rPr>
                <w:rFonts w:ascii="Arial" w:hAnsi="Arial" w:cs="Arial"/>
                <w:color w:val="000000"/>
                <w:sz w:val="18"/>
                <w:szCs w:val="18"/>
                <w:vertAlign w:val="subscript"/>
                <w:lang w:val="en-GB"/>
              </w:rPr>
              <w:t>t-1</w:t>
            </w:r>
            <w:r w:rsidR="00415EBE" w:rsidRPr="003569BE">
              <w:rPr>
                <w:rFonts w:ascii="Arial" w:hAnsi="Arial" w:cs="Arial"/>
                <w:color w:val="000000"/>
                <w:sz w:val="18"/>
                <w:szCs w:val="18"/>
                <w:lang w:val="en-GB"/>
              </w:rPr>
              <w:t>, 1/A</w:t>
            </w:r>
            <w:r w:rsidR="00415EBE" w:rsidRPr="003569BE">
              <w:rPr>
                <w:rFonts w:ascii="Arial" w:hAnsi="Arial" w:cs="Arial"/>
                <w:color w:val="000000"/>
                <w:sz w:val="18"/>
                <w:szCs w:val="18"/>
                <w:vertAlign w:val="subscript"/>
                <w:lang w:val="en-GB"/>
              </w:rPr>
              <w:t>t-1</w:t>
            </w:r>
          </w:p>
        </w:tc>
      </w:tr>
    </w:tbl>
    <w:p w:rsidR="008E22C9" w:rsidRPr="003569BE" w:rsidRDefault="008E22C9" w:rsidP="008E22C9">
      <w:pPr>
        <w:spacing w:line="360" w:lineRule="auto"/>
        <w:jc w:val="right"/>
        <w:rPr>
          <w:i/>
          <w:sz w:val="20"/>
          <w:szCs w:val="20"/>
          <w:lang w:val="en-GB"/>
        </w:rPr>
      </w:pPr>
      <w:r w:rsidRPr="003569BE">
        <w:rPr>
          <w:i/>
          <w:sz w:val="20"/>
          <w:szCs w:val="20"/>
          <w:lang w:val="en-GB"/>
        </w:rPr>
        <w:t>Table 5 – BETAs Model Summary</w:t>
      </w:r>
    </w:p>
    <w:p w:rsidR="00E55A39" w:rsidRPr="003569BE" w:rsidRDefault="00E55A39" w:rsidP="008E22C9">
      <w:pPr>
        <w:spacing w:line="360" w:lineRule="auto"/>
        <w:jc w:val="right"/>
        <w:rPr>
          <w:i/>
          <w:sz w:val="20"/>
          <w:szCs w:val="20"/>
          <w:lang w:val="en-GB"/>
        </w:rPr>
      </w:pPr>
    </w:p>
    <w:tbl>
      <w:tblPr>
        <w:tblW w:w="788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61686D" w:rsidRPr="003569BE" w:rsidTr="0061686D">
        <w:trPr>
          <w:cantSplit/>
          <w:tblHeader/>
          <w:jc w:val="center"/>
        </w:trPr>
        <w:tc>
          <w:tcPr>
            <w:tcW w:w="7883" w:type="dxa"/>
            <w:gridSpan w:val="7"/>
            <w:tcBorders>
              <w:top w:val="nil"/>
              <w:left w:val="nil"/>
              <w:bottom w:val="nil"/>
              <w:right w:val="nil"/>
            </w:tcBorders>
            <w:shd w:val="clear" w:color="auto" w:fill="FFFFFF"/>
            <w:vAlign w:val="center"/>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ANOVA</w:t>
            </w:r>
            <w:r w:rsidRPr="003569BE">
              <w:rPr>
                <w:rFonts w:ascii="Arial" w:hAnsi="Arial" w:cs="Arial"/>
                <w:b/>
                <w:bCs/>
                <w:color w:val="000000"/>
                <w:sz w:val="18"/>
                <w:szCs w:val="18"/>
                <w:vertAlign w:val="superscript"/>
                <w:lang w:val="en-GB"/>
              </w:rPr>
              <w:t>b</w:t>
            </w:r>
          </w:p>
        </w:tc>
      </w:tr>
      <w:tr w:rsidR="0061686D" w:rsidRPr="003569BE" w:rsidTr="0061686D">
        <w:trPr>
          <w:cantSplit/>
          <w:tblHeader/>
          <w:jc w:val="center"/>
        </w:trPr>
        <w:tc>
          <w:tcPr>
            <w:tcW w:w="200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Sum of Squares</w:t>
            </w:r>
          </w:p>
        </w:tc>
        <w:tc>
          <w:tcPr>
            <w:tcW w:w="1009" w:type="dxa"/>
            <w:tcBorders>
              <w:top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398" w:type="dxa"/>
            <w:tcBorders>
              <w:top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Mean Square</w:t>
            </w:r>
          </w:p>
        </w:tc>
        <w:tc>
          <w:tcPr>
            <w:tcW w:w="1010" w:type="dxa"/>
            <w:tcBorders>
              <w:top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61686D" w:rsidRPr="003569BE" w:rsidTr="0061686D">
        <w:trPr>
          <w:cantSplit/>
          <w:tblHeader/>
          <w:jc w:val="cent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272" w:type="dxa"/>
            <w:tcBorders>
              <w:top w:val="single" w:sz="16" w:space="0" w:color="000000"/>
              <w:left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Regression</w:t>
            </w:r>
          </w:p>
        </w:tc>
        <w:tc>
          <w:tcPr>
            <w:tcW w:w="1456" w:type="dxa"/>
            <w:tcBorders>
              <w:top w:val="single" w:sz="16" w:space="0" w:color="000000"/>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1,104</w:t>
            </w:r>
          </w:p>
        </w:tc>
        <w:tc>
          <w:tcPr>
            <w:tcW w:w="1009" w:type="dxa"/>
            <w:tcBorders>
              <w:top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w:t>
            </w:r>
          </w:p>
        </w:tc>
        <w:tc>
          <w:tcPr>
            <w:tcW w:w="1398" w:type="dxa"/>
            <w:tcBorders>
              <w:top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,276</w:t>
            </w:r>
          </w:p>
        </w:tc>
        <w:tc>
          <w:tcPr>
            <w:tcW w:w="1010" w:type="dxa"/>
            <w:tcBorders>
              <w:top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20,969</w:t>
            </w:r>
          </w:p>
        </w:tc>
        <w:tc>
          <w:tcPr>
            <w:tcW w:w="1010" w:type="dxa"/>
            <w:tcBorders>
              <w:top w:val="single" w:sz="16" w:space="0" w:color="000000"/>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r w:rsidRPr="003569BE">
              <w:rPr>
                <w:rFonts w:ascii="Arial" w:hAnsi="Arial" w:cs="Arial"/>
                <w:color w:val="000000"/>
                <w:sz w:val="18"/>
                <w:szCs w:val="18"/>
                <w:vertAlign w:val="superscript"/>
                <w:lang w:val="en-GB"/>
              </w:rPr>
              <w:t>a</w:t>
            </w:r>
          </w:p>
        </w:tc>
      </w:tr>
      <w:tr w:rsidR="0061686D" w:rsidRPr="003569BE" w:rsidTr="0061686D">
        <w:trPr>
          <w:cantSplit/>
          <w:tblHeade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272" w:type="dxa"/>
            <w:tcBorders>
              <w:top w:val="nil"/>
              <w:left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Residual</w:t>
            </w:r>
          </w:p>
        </w:tc>
        <w:tc>
          <w:tcPr>
            <w:tcW w:w="1456" w:type="dxa"/>
            <w:tcBorders>
              <w:top w:val="nil"/>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4,764</w:t>
            </w:r>
          </w:p>
        </w:tc>
        <w:tc>
          <w:tcPr>
            <w:tcW w:w="1009"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362</w:t>
            </w:r>
          </w:p>
        </w:tc>
        <w:tc>
          <w:tcPr>
            <w:tcW w:w="1398"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,013</w:t>
            </w:r>
          </w:p>
        </w:tc>
        <w:tc>
          <w:tcPr>
            <w:tcW w:w="1010" w:type="dxa"/>
            <w:tcBorders>
              <w:top w:val="nil"/>
              <w:bottom w:val="nil"/>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c>
          <w:tcPr>
            <w:tcW w:w="1010" w:type="dxa"/>
            <w:tcBorders>
              <w:top w:val="nil"/>
              <w:bottom w:val="nil"/>
              <w:right w:val="single" w:sz="16" w:space="0" w:color="000000"/>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r>
      <w:tr w:rsidR="0061686D" w:rsidRPr="003569BE" w:rsidTr="0061686D">
        <w:trPr>
          <w:cantSplit/>
          <w:tblHeade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cs="Times New Roman"/>
                <w:szCs w:val="24"/>
                <w:lang w:val="en-GB"/>
              </w:rPr>
            </w:pPr>
          </w:p>
        </w:tc>
        <w:tc>
          <w:tcPr>
            <w:tcW w:w="1272" w:type="dxa"/>
            <w:tcBorders>
              <w:top w:val="nil"/>
              <w:left w:val="nil"/>
              <w:bottom w:val="single" w:sz="16" w:space="0" w:color="000000"/>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Total</w:t>
            </w:r>
          </w:p>
        </w:tc>
        <w:tc>
          <w:tcPr>
            <w:tcW w:w="1456" w:type="dxa"/>
            <w:tcBorders>
              <w:top w:val="nil"/>
              <w:left w:val="single" w:sz="16" w:space="0" w:color="000000"/>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5,867</w:t>
            </w:r>
          </w:p>
        </w:tc>
        <w:tc>
          <w:tcPr>
            <w:tcW w:w="1009" w:type="dxa"/>
            <w:tcBorders>
              <w:top w:val="nil"/>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366</w:t>
            </w:r>
          </w:p>
        </w:tc>
        <w:tc>
          <w:tcPr>
            <w:tcW w:w="1398" w:type="dxa"/>
            <w:tcBorders>
              <w:top w:val="nil"/>
              <w:bottom w:val="single" w:sz="16" w:space="0" w:color="000000"/>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c>
          <w:tcPr>
            <w:tcW w:w="1010" w:type="dxa"/>
            <w:tcBorders>
              <w:top w:val="nil"/>
              <w:bottom w:val="single" w:sz="16" w:space="0" w:color="000000"/>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c>
          <w:tcPr>
            <w:tcW w:w="1010" w:type="dxa"/>
            <w:tcBorders>
              <w:top w:val="nil"/>
              <w:bottom w:val="single" w:sz="16" w:space="0" w:color="000000"/>
              <w:right w:val="single" w:sz="16" w:space="0" w:color="000000"/>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r>
      <w:tr w:rsidR="0061686D" w:rsidRPr="003569BE" w:rsidTr="0061686D">
        <w:trPr>
          <w:cantSplit/>
          <w:jc w:val="center"/>
        </w:trPr>
        <w:tc>
          <w:tcPr>
            <w:tcW w:w="7883" w:type="dxa"/>
            <w:gridSpan w:val="7"/>
            <w:tcBorders>
              <w:top w:val="nil"/>
              <w:left w:val="nil"/>
              <w:bottom w:val="nil"/>
              <w:right w:val="nil"/>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 xml:space="preserve">a. Predictors: (Constant), </w:t>
            </w:r>
            <w:r w:rsidR="00FD25CA" w:rsidRPr="003569BE">
              <w:rPr>
                <w:rFonts w:ascii="Arial" w:hAnsi="Arial" w:cs="Arial"/>
                <w:color w:val="000000"/>
                <w:sz w:val="18"/>
                <w:szCs w:val="18"/>
                <w:lang w:val="en-GB"/>
              </w:rPr>
              <w:t>ROA</w:t>
            </w:r>
            <w:r w:rsidR="00B93EB6" w:rsidRPr="003569BE">
              <w:rPr>
                <w:rFonts w:ascii="Arial" w:hAnsi="Arial" w:cs="Arial"/>
                <w:color w:val="000000"/>
                <w:sz w:val="18"/>
                <w:szCs w:val="18"/>
                <w:vertAlign w:val="subscript"/>
                <w:lang w:val="en-GB"/>
              </w:rPr>
              <w:t>t-1</w:t>
            </w:r>
            <w:r w:rsidR="00FD25CA" w:rsidRPr="003569BE">
              <w:rPr>
                <w:rFonts w:ascii="Arial" w:hAnsi="Arial" w:cs="Arial"/>
                <w:color w:val="000000"/>
                <w:sz w:val="18"/>
                <w:szCs w:val="18"/>
                <w:lang w:val="en-GB"/>
              </w:rPr>
              <w:t>/A</w:t>
            </w:r>
            <w:r w:rsidR="00FD25CA" w:rsidRPr="003569BE">
              <w:rPr>
                <w:rFonts w:ascii="Arial" w:hAnsi="Arial" w:cs="Arial"/>
                <w:color w:val="000000"/>
                <w:sz w:val="18"/>
                <w:szCs w:val="18"/>
                <w:vertAlign w:val="subscript"/>
                <w:lang w:val="en-GB"/>
              </w:rPr>
              <w:t>t-1</w:t>
            </w:r>
            <w:r w:rsidR="00FD25CA" w:rsidRPr="003569BE">
              <w:rPr>
                <w:rFonts w:ascii="Arial" w:hAnsi="Arial" w:cs="Arial"/>
                <w:color w:val="000000"/>
                <w:sz w:val="18"/>
                <w:szCs w:val="18"/>
                <w:lang w:val="en-GB"/>
              </w:rPr>
              <w:t>, (REV</w:t>
            </w:r>
            <w:r w:rsidR="00FD25CA" w:rsidRPr="003569BE">
              <w:rPr>
                <w:rFonts w:ascii="Arial" w:hAnsi="Arial" w:cs="Arial"/>
                <w:color w:val="000000"/>
                <w:sz w:val="18"/>
                <w:szCs w:val="18"/>
                <w:vertAlign w:val="subscript"/>
                <w:lang w:val="en-GB"/>
              </w:rPr>
              <w:t>t</w:t>
            </w:r>
            <w:r w:rsidR="00FD25CA" w:rsidRPr="003569BE">
              <w:rPr>
                <w:rFonts w:ascii="Arial" w:hAnsi="Arial" w:cs="Arial"/>
                <w:color w:val="000000"/>
                <w:sz w:val="18"/>
                <w:szCs w:val="18"/>
                <w:lang w:val="en-GB"/>
              </w:rPr>
              <w:t>-REC</w:t>
            </w:r>
            <w:r w:rsidR="00FD25CA" w:rsidRPr="003569BE">
              <w:rPr>
                <w:rFonts w:ascii="Arial" w:hAnsi="Arial" w:cs="Arial"/>
                <w:color w:val="000000"/>
                <w:sz w:val="18"/>
                <w:szCs w:val="18"/>
                <w:vertAlign w:val="subscript"/>
                <w:lang w:val="en-GB"/>
              </w:rPr>
              <w:t>t</w:t>
            </w:r>
            <w:r w:rsidR="00FD25CA" w:rsidRPr="003569BE">
              <w:rPr>
                <w:rFonts w:ascii="Arial" w:hAnsi="Arial" w:cs="Arial"/>
                <w:color w:val="000000"/>
                <w:sz w:val="18"/>
                <w:szCs w:val="18"/>
                <w:lang w:val="en-GB"/>
              </w:rPr>
              <w:t>)/A</w:t>
            </w:r>
            <w:r w:rsidR="00FD25CA" w:rsidRPr="003569BE">
              <w:rPr>
                <w:rFonts w:ascii="Arial" w:hAnsi="Arial" w:cs="Arial"/>
                <w:color w:val="000000"/>
                <w:sz w:val="18"/>
                <w:szCs w:val="18"/>
                <w:vertAlign w:val="subscript"/>
                <w:lang w:val="en-GB"/>
              </w:rPr>
              <w:t>t-1</w:t>
            </w:r>
            <w:r w:rsidR="00FD25CA" w:rsidRPr="003569BE">
              <w:rPr>
                <w:rFonts w:ascii="Arial" w:hAnsi="Arial" w:cs="Arial"/>
                <w:color w:val="000000"/>
                <w:sz w:val="18"/>
                <w:szCs w:val="18"/>
                <w:lang w:val="en-GB"/>
              </w:rPr>
              <w:t>, PPE</w:t>
            </w:r>
            <w:r w:rsidR="00B93EB6" w:rsidRPr="003569BE">
              <w:rPr>
                <w:rFonts w:ascii="Arial" w:hAnsi="Arial" w:cs="Arial"/>
                <w:color w:val="000000"/>
                <w:sz w:val="18"/>
                <w:szCs w:val="18"/>
                <w:vertAlign w:val="subscript"/>
                <w:lang w:val="en-GB"/>
              </w:rPr>
              <w:t>t</w:t>
            </w:r>
            <w:r w:rsidR="00FD25CA" w:rsidRPr="003569BE">
              <w:rPr>
                <w:rFonts w:ascii="Arial" w:hAnsi="Arial" w:cs="Arial"/>
                <w:color w:val="000000"/>
                <w:sz w:val="18"/>
                <w:szCs w:val="18"/>
                <w:lang w:val="en-GB"/>
              </w:rPr>
              <w:t>/A</w:t>
            </w:r>
            <w:r w:rsidR="00FD25CA" w:rsidRPr="003569BE">
              <w:rPr>
                <w:rFonts w:ascii="Arial" w:hAnsi="Arial" w:cs="Arial"/>
                <w:color w:val="000000"/>
                <w:sz w:val="18"/>
                <w:szCs w:val="18"/>
                <w:vertAlign w:val="subscript"/>
                <w:lang w:val="en-GB"/>
              </w:rPr>
              <w:t>t-1</w:t>
            </w:r>
            <w:r w:rsidR="00FD25CA" w:rsidRPr="003569BE">
              <w:rPr>
                <w:rFonts w:ascii="Arial" w:hAnsi="Arial" w:cs="Arial"/>
                <w:color w:val="000000"/>
                <w:sz w:val="18"/>
                <w:szCs w:val="18"/>
                <w:lang w:val="en-GB"/>
              </w:rPr>
              <w:t>, 1/A</w:t>
            </w:r>
            <w:r w:rsidR="00FD25CA" w:rsidRPr="003569BE">
              <w:rPr>
                <w:rFonts w:ascii="Arial" w:hAnsi="Arial" w:cs="Arial"/>
                <w:color w:val="000000"/>
                <w:sz w:val="18"/>
                <w:szCs w:val="18"/>
                <w:vertAlign w:val="subscript"/>
                <w:lang w:val="en-GB"/>
              </w:rPr>
              <w:t>t-1</w:t>
            </w:r>
          </w:p>
          <w:p w:rsidR="0061686D" w:rsidRPr="003569BE" w:rsidRDefault="0061686D" w:rsidP="00415E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b. Dependent Variable: T</w:t>
            </w:r>
            <w:r w:rsidR="00FD25CA" w:rsidRPr="003569BE">
              <w:rPr>
                <w:rFonts w:ascii="Arial" w:hAnsi="Arial" w:cs="Arial"/>
                <w:color w:val="000000"/>
                <w:sz w:val="18"/>
                <w:szCs w:val="18"/>
                <w:lang w:val="en-GB"/>
              </w:rPr>
              <w:t>A</w:t>
            </w:r>
            <w:r w:rsidR="00B93EB6" w:rsidRPr="003569BE">
              <w:rPr>
                <w:rFonts w:ascii="Arial" w:hAnsi="Arial" w:cs="Arial"/>
                <w:color w:val="000000"/>
                <w:sz w:val="18"/>
                <w:szCs w:val="18"/>
                <w:vertAlign w:val="subscript"/>
                <w:lang w:val="en-GB"/>
              </w:rPr>
              <w:t>t</w:t>
            </w:r>
            <w:r w:rsidR="00FD25CA"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r>
    </w:tbl>
    <w:p w:rsidR="00E55A39" w:rsidRPr="003569BE" w:rsidRDefault="00E55A39" w:rsidP="00E55A39">
      <w:pPr>
        <w:spacing w:line="360" w:lineRule="auto"/>
        <w:jc w:val="right"/>
        <w:rPr>
          <w:i/>
          <w:sz w:val="20"/>
          <w:szCs w:val="20"/>
          <w:lang w:val="en-GB"/>
        </w:rPr>
      </w:pPr>
      <w:r w:rsidRPr="003569BE">
        <w:rPr>
          <w:i/>
          <w:sz w:val="20"/>
          <w:szCs w:val="20"/>
          <w:lang w:val="en-GB"/>
        </w:rPr>
        <w:t>Table 6 – BETAs ANOVA</w:t>
      </w:r>
    </w:p>
    <w:p w:rsidR="00E55A39" w:rsidRPr="003569BE" w:rsidRDefault="00E55A39" w:rsidP="00E55A39">
      <w:pPr>
        <w:spacing w:line="360" w:lineRule="auto"/>
        <w:jc w:val="right"/>
        <w:rPr>
          <w:i/>
          <w:sz w:val="20"/>
          <w:szCs w:val="20"/>
          <w:lang w:val="en-GB"/>
        </w:rPr>
      </w:pPr>
    </w:p>
    <w:tbl>
      <w:tblPr>
        <w:tblW w:w="803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6"/>
        <w:gridCol w:w="1731"/>
        <w:gridCol w:w="992"/>
        <w:gridCol w:w="1105"/>
        <w:gridCol w:w="1456"/>
        <w:gridCol w:w="1011"/>
        <w:gridCol w:w="1011"/>
      </w:tblGrid>
      <w:tr w:rsidR="0061686D" w:rsidRPr="003569BE" w:rsidTr="009C30E2">
        <w:trPr>
          <w:cantSplit/>
          <w:tblHeader/>
          <w:jc w:val="center"/>
        </w:trPr>
        <w:tc>
          <w:tcPr>
            <w:tcW w:w="8032" w:type="dxa"/>
            <w:gridSpan w:val="7"/>
            <w:tcBorders>
              <w:top w:val="nil"/>
              <w:left w:val="nil"/>
              <w:bottom w:val="nil"/>
              <w:right w:val="nil"/>
            </w:tcBorders>
            <w:shd w:val="clear" w:color="auto" w:fill="FFFFFF"/>
            <w:vAlign w:val="center"/>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61686D" w:rsidRPr="003569BE" w:rsidTr="009C30E2">
        <w:trPr>
          <w:cantSplit/>
          <w:tblHeader/>
          <w:jc w:val="center"/>
        </w:trPr>
        <w:tc>
          <w:tcPr>
            <w:tcW w:w="245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097" w:type="dxa"/>
            <w:gridSpan w:val="2"/>
            <w:tcBorders>
              <w:top w:val="single" w:sz="16" w:space="0" w:color="000000"/>
              <w:left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Unstandardized Coefficients</w:t>
            </w:r>
          </w:p>
        </w:tc>
        <w:tc>
          <w:tcPr>
            <w:tcW w:w="1456" w:type="dxa"/>
            <w:tcBorders>
              <w:top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Standardized Coefficients</w:t>
            </w:r>
          </w:p>
        </w:tc>
        <w:tc>
          <w:tcPr>
            <w:tcW w:w="1011" w:type="dxa"/>
            <w:vMerge w:val="restart"/>
            <w:tcBorders>
              <w:top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w:t>
            </w:r>
          </w:p>
        </w:tc>
        <w:tc>
          <w:tcPr>
            <w:tcW w:w="1011" w:type="dxa"/>
            <w:vMerge w:val="restart"/>
            <w:tcBorders>
              <w:top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61686D" w:rsidRPr="003569BE" w:rsidTr="009C30E2">
        <w:trPr>
          <w:cantSplit/>
          <w:tblHeader/>
          <w:jc w:val="center"/>
        </w:trPr>
        <w:tc>
          <w:tcPr>
            <w:tcW w:w="2457"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992" w:type="dxa"/>
            <w:tcBorders>
              <w:left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w:t>
            </w:r>
          </w:p>
        </w:tc>
        <w:tc>
          <w:tcPr>
            <w:tcW w:w="1105" w:type="dxa"/>
            <w:tcBorders>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w:t>
            </w:r>
          </w:p>
        </w:tc>
        <w:tc>
          <w:tcPr>
            <w:tcW w:w="1456" w:type="dxa"/>
            <w:tcBorders>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Beta</w:t>
            </w:r>
          </w:p>
        </w:tc>
        <w:tc>
          <w:tcPr>
            <w:tcW w:w="1011" w:type="dxa"/>
            <w:vMerge/>
            <w:tcBorders>
              <w:top w:val="single" w:sz="16" w:space="0" w:color="000000"/>
              <w:bottom w:val="single" w:sz="16" w:space="0" w:color="000000"/>
            </w:tcBorders>
            <w:shd w:val="clear" w:color="auto" w:fill="FFFFFF"/>
            <w:vAlign w:val="bottom"/>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011" w:type="dxa"/>
            <w:vMerge/>
            <w:tcBorders>
              <w:top w:val="single" w:sz="16" w:space="0" w:color="000000"/>
              <w:bottom w:val="single" w:sz="16" w:space="0" w:color="000000"/>
              <w:right w:val="single" w:sz="16" w:space="0" w:color="000000"/>
            </w:tcBorders>
            <w:shd w:val="clear" w:color="auto" w:fill="FFFFFF"/>
            <w:vAlign w:val="bottom"/>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r>
      <w:tr w:rsidR="0061686D" w:rsidRPr="003569BE" w:rsidTr="009C30E2">
        <w:trPr>
          <w:cantSplit/>
          <w:tblHeader/>
          <w:jc w:val="center"/>
        </w:trPr>
        <w:tc>
          <w:tcPr>
            <w:tcW w:w="726" w:type="dxa"/>
            <w:vMerge w:val="restart"/>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731" w:type="dxa"/>
            <w:tcBorders>
              <w:top w:val="single" w:sz="16" w:space="0" w:color="000000"/>
              <w:left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2" w:type="dxa"/>
            <w:tcBorders>
              <w:top w:val="single" w:sz="16" w:space="0" w:color="000000"/>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-,062</w:t>
            </w:r>
          </w:p>
        </w:tc>
        <w:tc>
          <w:tcPr>
            <w:tcW w:w="1105" w:type="dxa"/>
            <w:tcBorders>
              <w:top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,013</w:t>
            </w:r>
          </w:p>
        </w:tc>
        <w:tc>
          <w:tcPr>
            <w:tcW w:w="1456" w:type="dxa"/>
            <w:tcBorders>
              <w:top w:val="single" w:sz="16" w:space="0" w:color="000000"/>
              <w:bottom w:val="nil"/>
            </w:tcBorders>
            <w:shd w:val="clear" w:color="auto" w:fill="FFFFFF"/>
            <w:vAlign w:val="center"/>
          </w:tcPr>
          <w:p w:rsidR="0061686D" w:rsidRPr="003569BE" w:rsidRDefault="0061686D" w:rsidP="0061686D">
            <w:pPr>
              <w:autoSpaceDE w:val="0"/>
              <w:autoSpaceDN w:val="0"/>
              <w:adjustRightInd w:val="0"/>
              <w:spacing w:after="0" w:line="240" w:lineRule="auto"/>
              <w:jc w:val="center"/>
              <w:rPr>
                <w:rFonts w:cs="Times New Roman"/>
                <w:szCs w:val="24"/>
                <w:lang w:val="en-GB"/>
              </w:rPr>
            </w:pPr>
          </w:p>
        </w:tc>
        <w:tc>
          <w:tcPr>
            <w:tcW w:w="1011" w:type="dxa"/>
            <w:tcBorders>
              <w:top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-4,699</w:t>
            </w:r>
          </w:p>
        </w:tc>
        <w:tc>
          <w:tcPr>
            <w:tcW w:w="1011" w:type="dxa"/>
            <w:tcBorders>
              <w:top w:val="single" w:sz="16" w:space="0" w:color="000000"/>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61686D" w:rsidRPr="003569BE" w:rsidTr="009C30E2">
        <w:trPr>
          <w:cantSplit/>
          <w:tblHeader/>
          <w:jc w:val="center"/>
        </w:trPr>
        <w:tc>
          <w:tcPr>
            <w:tcW w:w="726"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731" w:type="dxa"/>
            <w:tcBorders>
              <w:top w:val="nil"/>
              <w:left w:val="nil"/>
              <w:bottom w:val="nil"/>
              <w:right w:val="single" w:sz="16" w:space="0" w:color="000000"/>
            </w:tcBorders>
            <w:shd w:val="clear" w:color="auto" w:fill="FFFFFF"/>
          </w:tcPr>
          <w:p w:rsidR="0061686D" w:rsidRPr="003569BE" w:rsidRDefault="009C30E2"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1/A</w:t>
            </w:r>
            <w:r w:rsidR="0061686D"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33,842</w:t>
            </w:r>
          </w:p>
        </w:tc>
        <w:tc>
          <w:tcPr>
            <w:tcW w:w="1105"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27,338</w:t>
            </w:r>
          </w:p>
        </w:tc>
        <w:tc>
          <w:tcPr>
            <w:tcW w:w="1456"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,081</w:t>
            </w:r>
          </w:p>
        </w:tc>
        <w:tc>
          <w:tcPr>
            <w:tcW w:w="1011"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1,238</w:t>
            </w:r>
          </w:p>
        </w:tc>
        <w:tc>
          <w:tcPr>
            <w:tcW w:w="1011" w:type="dxa"/>
            <w:tcBorders>
              <w:top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,217</w:t>
            </w:r>
          </w:p>
        </w:tc>
      </w:tr>
      <w:tr w:rsidR="0061686D" w:rsidRPr="003569BE" w:rsidTr="009C30E2">
        <w:trPr>
          <w:cantSplit/>
          <w:tblHeader/>
          <w:jc w:val="center"/>
        </w:trPr>
        <w:tc>
          <w:tcPr>
            <w:tcW w:w="726"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731" w:type="dxa"/>
            <w:tcBorders>
              <w:top w:val="nil"/>
              <w:left w:val="nil"/>
              <w:bottom w:val="nil"/>
              <w:right w:val="single" w:sz="16" w:space="0" w:color="000000"/>
            </w:tcBorders>
            <w:shd w:val="clear" w:color="auto" w:fill="FFFFFF"/>
          </w:tcPr>
          <w:p w:rsidR="0061686D" w:rsidRPr="003569BE" w:rsidRDefault="009C30E2"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w:t>
            </w:r>
            <w:r w:rsidR="00B93EB6" w:rsidRPr="003569BE">
              <w:rPr>
                <w:rFonts w:ascii="Arial" w:hAnsi="Arial" w:cs="Arial"/>
                <w:color w:val="000000"/>
                <w:sz w:val="18"/>
                <w:szCs w:val="18"/>
                <w:lang w:val="en-GB"/>
              </w:rPr>
              <w:t>REV</w:t>
            </w:r>
            <w:r w:rsidR="00B93EB6" w:rsidRPr="003569BE">
              <w:rPr>
                <w:rFonts w:ascii="Arial" w:hAnsi="Arial" w:cs="Arial"/>
                <w:color w:val="000000"/>
                <w:sz w:val="18"/>
                <w:szCs w:val="18"/>
                <w:vertAlign w:val="subscript"/>
                <w:lang w:val="en-GB"/>
              </w:rPr>
              <w:t>t</w:t>
            </w:r>
            <w:r w:rsidR="00B93EB6" w:rsidRPr="003569BE">
              <w:rPr>
                <w:rFonts w:ascii="Arial" w:hAnsi="Arial" w:cs="Arial"/>
                <w:color w:val="000000"/>
                <w:sz w:val="18"/>
                <w:szCs w:val="18"/>
                <w:lang w:val="en-GB"/>
              </w:rPr>
              <w:t>-REC</w:t>
            </w:r>
            <w:r w:rsidR="00B93EB6" w:rsidRPr="003569BE">
              <w:rPr>
                <w:rFonts w:ascii="Arial" w:hAnsi="Arial" w:cs="Arial"/>
                <w:color w:val="000000"/>
                <w:sz w:val="18"/>
                <w:szCs w:val="18"/>
                <w:vertAlign w:val="subscript"/>
                <w:lang w:val="en-GB"/>
              </w:rPr>
              <w:t>t</w:t>
            </w:r>
            <w:r w:rsidR="00B93EB6" w:rsidRPr="003569BE">
              <w:rPr>
                <w:rFonts w:ascii="Arial" w:hAnsi="Arial" w:cs="Arial"/>
                <w:color w:val="000000"/>
                <w:sz w:val="18"/>
                <w:szCs w:val="18"/>
                <w:lang w:val="en-GB"/>
              </w:rPr>
              <w:t>)/A</w:t>
            </w:r>
            <w:r w:rsidR="00B93EB6"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,161</w:t>
            </w:r>
          </w:p>
        </w:tc>
        <w:tc>
          <w:tcPr>
            <w:tcW w:w="1105"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,021</w:t>
            </w:r>
          </w:p>
        </w:tc>
        <w:tc>
          <w:tcPr>
            <w:tcW w:w="1456"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,399</w:t>
            </w:r>
          </w:p>
        </w:tc>
        <w:tc>
          <w:tcPr>
            <w:tcW w:w="1011"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7,538</w:t>
            </w:r>
          </w:p>
        </w:tc>
        <w:tc>
          <w:tcPr>
            <w:tcW w:w="1011" w:type="dxa"/>
            <w:tcBorders>
              <w:top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,000</w:t>
            </w:r>
          </w:p>
        </w:tc>
      </w:tr>
      <w:tr w:rsidR="0061686D" w:rsidRPr="003569BE" w:rsidTr="009C30E2">
        <w:trPr>
          <w:cantSplit/>
          <w:tblHeader/>
          <w:jc w:val="center"/>
        </w:trPr>
        <w:tc>
          <w:tcPr>
            <w:tcW w:w="726"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731" w:type="dxa"/>
            <w:tcBorders>
              <w:top w:val="nil"/>
              <w:left w:val="nil"/>
              <w:bottom w:val="nil"/>
              <w:right w:val="single" w:sz="16" w:space="0" w:color="000000"/>
            </w:tcBorders>
            <w:shd w:val="clear" w:color="auto" w:fill="FFFFFF"/>
          </w:tcPr>
          <w:p w:rsidR="0061686D" w:rsidRPr="003569BE" w:rsidRDefault="00B93EB6"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,017</w:t>
            </w:r>
          </w:p>
        </w:tc>
        <w:tc>
          <w:tcPr>
            <w:tcW w:w="1105"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,015</w:t>
            </w:r>
          </w:p>
        </w:tc>
        <w:tc>
          <w:tcPr>
            <w:tcW w:w="1456"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,062</w:t>
            </w:r>
          </w:p>
        </w:tc>
        <w:tc>
          <w:tcPr>
            <w:tcW w:w="1011" w:type="dxa"/>
            <w:tcBorders>
              <w:top w:val="nil"/>
              <w:bottom w:val="nil"/>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1,137</w:t>
            </w:r>
          </w:p>
        </w:tc>
        <w:tc>
          <w:tcPr>
            <w:tcW w:w="1011" w:type="dxa"/>
            <w:tcBorders>
              <w:top w:val="nil"/>
              <w:bottom w:val="nil"/>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,256</w:t>
            </w:r>
          </w:p>
        </w:tc>
      </w:tr>
      <w:tr w:rsidR="0061686D" w:rsidRPr="003569BE" w:rsidTr="009C30E2">
        <w:trPr>
          <w:cantSplit/>
          <w:tblHeader/>
          <w:jc w:val="center"/>
        </w:trPr>
        <w:tc>
          <w:tcPr>
            <w:tcW w:w="726" w:type="dxa"/>
            <w:vMerge/>
            <w:tcBorders>
              <w:top w:val="single" w:sz="16" w:space="0" w:color="000000"/>
              <w:left w:val="single" w:sz="16" w:space="0" w:color="000000"/>
              <w:bottom w:val="single" w:sz="16" w:space="0" w:color="000000"/>
              <w:right w:val="nil"/>
            </w:tcBorders>
            <w:shd w:val="clear" w:color="auto" w:fill="FFFFFF"/>
          </w:tcPr>
          <w:p w:rsidR="0061686D" w:rsidRPr="003569BE" w:rsidRDefault="0061686D" w:rsidP="0061686D">
            <w:pPr>
              <w:autoSpaceDE w:val="0"/>
              <w:autoSpaceDN w:val="0"/>
              <w:adjustRightInd w:val="0"/>
              <w:spacing w:after="0" w:line="240" w:lineRule="auto"/>
              <w:jc w:val="left"/>
              <w:rPr>
                <w:rFonts w:ascii="Arial" w:hAnsi="Arial" w:cs="Arial"/>
                <w:color w:val="000000"/>
                <w:sz w:val="18"/>
                <w:szCs w:val="18"/>
                <w:lang w:val="en-GB"/>
              </w:rPr>
            </w:pPr>
          </w:p>
        </w:tc>
        <w:tc>
          <w:tcPr>
            <w:tcW w:w="1731" w:type="dxa"/>
            <w:tcBorders>
              <w:top w:val="nil"/>
              <w:left w:val="nil"/>
              <w:bottom w:val="single" w:sz="16" w:space="0" w:color="000000"/>
              <w:right w:val="single" w:sz="16" w:space="0" w:color="000000"/>
            </w:tcBorders>
            <w:shd w:val="clear" w:color="auto" w:fill="FFFFFF"/>
          </w:tcPr>
          <w:p w:rsidR="0061686D" w:rsidRPr="003569BE" w:rsidRDefault="00B93EB6" w:rsidP="0061686D">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ROA</w:t>
            </w:r>
            <w:r w:rsidRPr="003569BE">
              <w:rPr>
                <w:rFonts w:ascii="Arial" w:hAnsi="Arial" w:cs="Arial"/>
                <w:color w:val="000000"/>
                <w:sz w:val="18"/>
                <w:szCs w:val="18"/>
                <w:vertAlign w:val="subscript"/>
                <w:lang w:val="en-GB"/>
              </w:rPr>
              <w:t>t-1</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2" w:type="dxa"/>
            <w:tcBorders>
              <w:top w:val="nil"/>
              <w:left w:val="single" w:sz="16" w:space="0" w:color="000000"/>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-714,490</w:t>
            </w:r>
          </w:p>
        </w:tc>
        <w:tc>
          <w:tcPr>
            <w:tcW w:w="1105" w:type="dxa"/>
            <w:tcBorders>
              <w:top w:val="nil"/>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408,728</w:t>
            </w:r>
          </w:p>
        </w:tc>
        <w:tc>
          <w:tcPr>
            <w:tcW w:w="1456" w:type="dxa"/>
            <w:tcBorders>
              <w:top w:val="nil"/>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-,112</w:t>
            </w:r>
          </w:p>
        </w:tc>
        <w:tc>
          <w:tcPr>
            <w:tcW w:w="1011" w:type="dxa"/>
            <w:tcBorders>
              <w:top w:val="nil"/>
              <w:bottom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-1,748</w:t>
            </w:r>
          </w:p>
        </w:tc>
        <w:tc>
          <w:tcPr>
            <w:tcW w:w="1011" w:type="dxa"/>
            <w:tcBorders>
              <w:top w:val="nil"/>
              <w:bottom w:val="single" w:sz="16" w:space="0" w:color="000000"/>
              <w:right w:val="single" w:sz="16" w:space="0" w:color="000000"/>
            </w:tcBorders>
            <w:shd w:val="clear" w:color="auto" w:fill="FFFFFF"/>
          </w:tcPr>
          <w:p w:rsidR="0061686D" w:rsidRPr="003569BE" w:rsidRDefault="0061686D" w:rsidP="0061686D">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,081</w:t>
            </w:r>
          </w:p>
        </w:tc>
      </w:tr>
      <w:tr w:rsidR="0061686D" w:rsidRPr="003569BE" w:rsidTr="009C30E2">
        <w:trPr>
          <w:cantSplit/>
          <w:jc w:val="center"/>
        </w:trPr>
        <w:tc>
          <w:tcPr>
            <w:tcW w:w="8032" w:type="dxa"/>
            <w:gridSpan w:val="7"/>
            <w:tcBorders>
              <w:top w:val="nil"/>
              <w:left w:val="nil"/>
              <w:bottom w:val="nil"/>
              <w:right w:val="nil"/>
            </w:tcBorders>
            <w:shd w:val="clear" w:color="auto" w:fill="FFFFFF"/>
          </w:tcPr>
          <w:p w:rsidR="0061686D" w:rsidRPr="003569BE" w:rsidRDefault="0061686D" w:rsidP="00E55A3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 xml:space="preserve">a. Dependent Variable: </w:t>
            </w:r>
            <w:r w:rsidR="00B93EB6" w:rsidRPr="003569BE">
              <w:rPr>
                <w:rFonts w:ascii="Arial" w:hAnsi="Arial" w:cs="Arial"/>
                <w:color w:val="000000"/>
                <w:sz w:val="18"/>
                <w:szCs w:val="18"/>
                <w:lang w:val="en-GB"/>
              </w:rPr>
              <w:t>TA</w:t>
            </w:r>
            <w:r w:rsidR="00B93EB6" w:rsidRPr="003569BE">
              <w:rPr>
                <w:rFonts w:ascii="Arial" w:hAnsi="Arial" w:cs="Arial"/>
                <w:color w:val="000000"/>
                <w:sz w:val="18"/>
                <w:szCs w:val="18"/>
                <w:vertAlign w:val="subscript"/>
                <w:lang w:val="en-GB"/>
              </w:rPr>
              <w:t>t</w:t>
            </w:r>
            <w:r w:rsidR="00B93EB6" w:rsidRPr="003569BE">
              <w:rPr>
                <w:rFonts w:ascii="Arial" w:hAnsi="Arial" w:cs="Arial"/>
                <w:color w:val="000000"/>
                <w:sz w:val="18"/>
                <w:szCs w:val="18"/>
                <w:lang w:val="en-GB"/>
              </w:rPr>
              <w:t>/A</w:t>
            </w:r>
            <w:r w:rsidR="00B93EB6" w:rsidRPr="003569BE">
              <w:rPr>
                <w:rFonts w:ascii="Arial" w:hAnsi="Arial" w:cs="Arial"/>
                <w:color w:val="000000"/>
                <w:sz w:val="18"/>
                <w:szCs w:val="18"/>
                <w:vertAlign w:val="subscript"/>
                <w:lang w:val="en-GB"/>
              </w:rPr>
              <w:t>t-1</w:t>
            </w:r>
          </w:p>
        </w:tc>
      </w:tr>
    </w:tbl>
    <w:p w:rsidR="00E55A39" w:rsidRPr="003569BE" w:rsidRDefault="00E55A39" w:rsidP="00E55A39">
      <w:pPr>
        <w:spacing w:line="360" w:lineRule="auto"/>
        <w:jc w:val="right"/>
        <w:rPr>
          <w:i/>
          <w:sz w:val="20"/>
          <w:szCs w:val="20"/>
          <w:lang w:val="en-GB"/>
        </w:rPr>
      </w:pPr>
      <w:r w:rsidRPr="003569BE">
        <w:rPr>
          <w:i/>
          <w:sz w:val="20"/>
          <w:szCs w:val="20"/>
          <w:lang w:val="en-GB"/>
        </w:rPr>
        <w:t xml:space="preserve">Table </w:t>
      </w:r>
      <w:r w:rsidR="001A521E" w:rsidRPr="003569BE">
        <w:rPr>
          <w:i/>
          <w:sz w:val="20"/>
          <w:szCs w:val="20"/>
          <w:lang w:val="en-GB"/>
        </w:rPr>
        <w:t>7</w:t>
      </w:r>
      <w:r w:rsidRPr="003569BE">
        <w:rPr>
          <w:i/>
          <w:sz w:val="20"/>
          <w:szCs w:val="20"/>
          <w:lang w:val="en-GB"/>
        </w:rPr>
        <w:t xml:space="preserve"> – BETAs Coefficients</w:t>
      </w:r>
    </w:p>
    <w:p w:rsidR="00C50DA2" w:rsidRPr="003569BE" w:rsidRDefault="00C50DA2" w:rsidP="00437CEF">
      <w:pPr>
        <w:rPr>
          <w:rFonts w:cs="Times New Roman"/>
          <w:szCs w:val="24"/>
          <w:lang w:val="en-GB"/>
        </w:rPr>
      </w:pPr>
    </w:p>
    <w:p w:rsidR="00C50DA2" w:rsidRPr="003569BE" w:rsidRDefault="00C50DA2" w:rsidP="00437CEF">
      <w:pPr>
        <w:rPr>
          <w:rFonts w:cs="Times New Roman"/>
          <w:szCs w:val="24"/>
          <w:lang w:val="en-GB"/>
        </w:rPr>
      </w:pPr>
    </w:p>
    <w:p w:rsidR="00C50DA2" w:rsidRPr="003569BE" w:rsidRDefault="00C50DA2" w:rsidP="00437CEF">
      <w:pPr>
        <w:rPr>
          <w:rFonts w:cs="Times New Roman"/>
          <w:szCs w:val="24"/>
          <w:lang w:val="en-GB"/>
        </w:rPr>
      </w:pPr>
    </w:p>
    <w:p w:rsidR="00C50DA2" w:rsidRPr="003569BE" w:rsidRDefault="00C50DA2" w:rsidP="00437CEF">
      <w:pPr>
        <w:rPr>
          <w:rFonts w:cs="Times New Roman"/>
          <w:szCs w:val="24"/>
          <w:lang w:val="en-GB"/>
        </w:rPr>
      </w:pPr>
    </w:p>
    <w:p w:rsidR="00C50DA2" w:rsidRPr="003569BE" w:rsidRDefault="00C50DA2" w:rsidP="00437CEF">
      <w:pPr>
        <w:rPr>
          <w:rFonts w:cs="Times New Roman"/>
          <w:szCs w:val="24"/>
          <w:lang w:val="en-GB"/>
        </w:rPr>
      </w:pPr>
    </w:p>
    <w:p w:rsidR="00B24948" w:rsidRPr="003569BE" w:rsidRDefault="009F5527" w:rsidP="00437CEF">
      <w:pPr>
        <w:rPr>
          <w:rFonts w:cs="Times New Roman"/>
          <w:szCs w:val="24"/>
          <w:lang w:val="en-GB"/>
        </w:rPr>
      </w:pPr>
      <w:r w:rsidRPr="003569BE">
        <w:rPr>
          <w:rFonts w:cs="Times New Roman"/>
          <w:szCs w:val="24"/>
          <w:lang w:val="en-GB"/>
        </w:rPr>
        <w:lastRenderedPageBreak/>
        <w:t>Homoscedasticity test:</w:t>
      </w:r>
    </w:p>
    <w:p w:rsidR="009F5527" w:rsidRPr="003569BE" w:rsidRDefault="009F5527" w:rsidP="009F5527">
      <w:pPr>
        <w:jc w:val="center"/>
        <w:rPr>
          <w:lang w:val="en-GB"/>
        </w:rPr>
      </w:pPr>
      <w:r w:rsidRPr="003569BE">
        <w:rPr>
          <w:noProof/>
          <w:lang w:val="en-US"/>
        </w:rPr>
        <w:drawing>
          <wp:inline distT="0" distB="0" distL="0" distR="0">
            <wp:extent cx="3037399" cy="243385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3039496" cy="2435539"/>
                    </a:xfrm>
                    <a:prstGeom prst="rect">
                      <a:avLst/>
                    </a:prstGeom>
                  </pic:spPr>
                </pic:pic>
              </a:graphicData>
            </a:graphic>
          </wp:inline>
        </w:drawing>
      </w:r>
    </w:p>
    <w:p w:rsidR="00052D5E" w:rsidRPr="003569BE" w:rsidRDefault="00052D5E" w:rsidP="00052D5E">
      <w:pPr>
        <w:rPr>
          <w:lang w:val="en-GB"/>
        </w:rPr>
      </w:pPr>
      <w:r w:rsidRPr="003569BE">
        <w:rPr>
          <w:lang w:val="en-GB"/>
        </w:rPr>
        <w:t>Multicollinearity tests:</w:t>
      </w:r>
    </w:p>
    <w:tbl>
      <w:tblPr>
        <w:tblW w:w="439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540"/>
        <w:gridCol w:w="993"/>
        <w:gridCol w:w="1134"/>
      </w:tblGrid>
      <w:tr w:rsidR="00F04F22" w:rsidRPr="003569BE" w:rsidTr="009C7948">
        <w:trPr>
          <w:cantSplit/>
          <w:tblHeader/>
        </w:trPr>
        <w:tc>
          <w:tcPr>
            <w:tcW w:w="226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F04F22" w:rsidRPr="003569BE" w:rsidRDefault="00F04F22"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27" w:type="dxa"/>
            <w:gridSpan w:val="2"/>
            <w:tcBorders>
              <w:top w:val="single" w:sz="16" w:space="0" w:color="000000"/>
              <w:right w:val="single" w:sz="16" w:space="0" w:color="000000"/>
            </w:tcBorders>
            <w:shd w:val="clear" w:color="auto" w:fill="FFFFFF"/>
            <w:vAlign w:val="bottom"/>
          </w:tcPr>
          <w:p w:rsidR="00F04F22" w:rsidRPr="003569BE" w:rsidRDefault="00F04F22" w:rsidP="00F04F22">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F04F22" w:rsidRPr="003569BE" w:rsidTr="009C7948">
        <w:trPr>
          <w:cantSplit/>
          <w:tblHeader/>
        </w:trPr>
        <w:tc>
          <w:tcPr>
            <w:tcW w:w="2268"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F04F22" w:rsidRPr="003569BE" w:rsidRDefault="00F04F22" w:rsidP="00F04F22">
            <w:pPr>
              <w:autoSpaceDE w:val="0"/>
              <w:autoSpaceDN w:val="0"/>
              <w:adjustRightInd w:val="0"/>
              <w:spacing w:after="0" w:line="240" w:lineRule="auto"/>
              <w:jc w:val="left"/>
              <w:rPr>
                <w:rFonts w:ascii="Arial" w:hAnsi="Arial" w:cs="Arial"/>
                <w:color w:val="000000"/>
                <w:sz w:val="18"/>
                <w:szCs w:val="18"/>
                <w:lang w:val="en-GB"/>
              </w:rPr>
            </w:pPr>
          </w:p>
        </w:tc>
        <w:tc>
          <w:tcPr>
            <w:tcW w:w="993" w:type="dxa"/>
            <w:tcBorders>
              <w:bottom w:val="single" w:sz="16" w:space="0" w:color="000000"/>
            </w:tcBorders>
            <w:shd w:val="clear" w:color="auto" w:fill="FFFFFF"/>
            <w:vAlign w:val="bottom"/>
          </w:tcPr>
          <w:p w:rsidR="00F04F22" w:rsidRPr="003569BE" w:rsidRDefault="00F04F22" w:rsidP="00F04F22">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134" w:type="dxa"/>
            <w:tcBorders>
              <w:bottom w:val="single" w:sz="16" w:space="0" w:color="000000"/>
              <w:right w:val="single" w:sz="16" w:space="0" w:color="000000"/>
            </w:tcBorders>
            <w:shd w:val="clear" w:color="auto" w:fill="FFFFFF"/>
            <w:vAlign w:val="bottom"/>
          </w:tcPr>
          <w:p w:rsidR="00F04F22" w:rsidRPr="003569BE" w:rsidRDefault="00F04F22" w:rsidP="00F04F22">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F04F22" w:rsidRPr="003569BE" w:rsidTr="009C7948">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F04F22" w:rsidRPr="003569BE" w:rsidRDefault="00F04F22"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540" w:type="dxa"/>
            <w:tcBorders>
              <w:top w:val="single" w:sz="16" w:space="0" w:color="000000"/>
              <w:left w:val="nil"/>
              <w:bottom w:val="nil"/>
              <w:right w:val="single" w:sz="16" w:space="0" w:color="000000"/>
            </w:tcBorders>
            <w:shd w:val="clear" w:color="auto" w:fill="FFFFFF"/>
          </w:tcPr>
          <w:p w:rsidR="00F04F22" w:rsidRPr="003569BE" w:rsidRDefault="00F04F22"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3" w:type="dxa"/>
            <w:tcBorders>
              <w:top w:val="single" w:sz="16" w:space="0" w:color="000000"/>
              <w:bottom w:val="nil"/>
            </w:tcBorders>
            <w:shd w:val="clear" w:color="auto" w:fill="FFFFFF"/>
            <w:vAlign w:val="center"/>
          </w:tcPr>
          <w:p w:rsidR="00F04F22" w:rsidRPr="003569BE" w:rsidRDefault="00F04F22" w:rsidP="00F04F22">
            <w:pPr>
              <w:autoSpaceDE w:val="0"/>
              <w:autoSpaceDN w:val="0"/>
              <w:adjustRightInd w:val="0"/>
              <w:spacing w:after="0" w:line="240" w:lineRule="auto"/>
              <w:jc w:val="center"/>
              <w:rPr>
                <w:rFonts w:cs="Times New Roman"/>
                <w:szCs w:val="24"/>
                <w:lang w:val="en-GB"/>
              </w:rPr>
            </w:pPr>
          </w:p>
        </w:tc>
        <w:tc>
          <w:tcPr>
            <w:tcW w:w="1134" w:type="dxa"/>
            <w:tcBorders>
              <w:top w:val="single" w:sz="16" w:space="0" w:color="000000"/>
              <w:bottom w:val="nil"/>
              <w:right w:val="single" w:sz="16" w:space="0" w:color="000000"/>
            </w:tcBorders>
            <w:shd w:val="clear" w:color="auto" w:fill="FFFFFF"/>
            <w:vAlign w:val="center"/>
          </w:tcPr>
          <w:p w:rsidR="00F04F22" w:rsidRPr="003569BE" w:rsidRDefault="00F04F22" w:rsidP="00F04F22">
            <w:pPr>
              <w:autoSpaceDE w:val="0"/>
              <w:autoSpaceDN w:val="0"/>
              <w:adjustRightInd w:val="0"/>
              <w:spacing w:after="0" w:line="240" w:lineRule="auto"/>
              <w:jc w:val="center"/>
              <w:rPr>
                <w:rFonts w:cs="Times New Roman"/>
                <w:szCs w:val="24"/>
                <w:lang w:val="en-GB"/>
              </w:rPr>
            </w:pPr>
          </w:p>
        </w:tc>
      </w:tr>
      <w:tr w:rsidR="00F04F22" w:rsidRPr="003569BE" w:rsidTr="009C7948">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F04F22" w:rsidRPr="003569BE" w:rsidRDefault="00F04F22" w:rsidP="00F04F22">
            <w:pPr>
              <w:autoSpaceDE w:val="0"/>
              <w:autoSpaceDN w:val="0"/>
              <w:adjustRightInd w:val="0"/>
              <w:spacing w:after="0" w:line="240" w:lineRule="auto"/>
              <w:jc w:val="left"/>
              <w:rPr>
                <w:rFonts w:cs="Times New Roman"/>
                <w:szCs w:val="24"/>
                <w:lang w:val="en-GB"/>
              </w:rPr>
            </w:pPr>
          </w:p>
        </w:tc>
        <w:tc>
          <w:tcPr>
            <w:tcW w:w="1540" w:type="dxa"/>
            <w:tcBorders>
              <w:top w:val="nil"/>
              <w:left w:val="nil"/>
              <w:bottom w:val="nil"/>
              <w:right w:val="single" w:sz="16" w:space="0" w:color="000000"/>
            </w:tcBorders>
            <w:shd w:val="clear" w:color="auto" w:fill="FFFFFF"/>
          </w:tcPr>
          <w:p w:rsidR="00F04F22" w:rsidRPr="003569BE" w:rsidRDefault="0083252D"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(REV</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-REC</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,804</w:t>
            </w:r>
          </w:p>
        </w:tc>
        <w:tc>
          <w:tcPr>
            <w:tcW w:w="1134" w:type="dxa"/>
            <w:tcBorders>
              <w:top w:val="nil"/>
              <w:bottom w:val="nil"/>
              <w:right w:val="single" w:sz="16" w:space="0" w:color="000000"/>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1,244</w:t>
            </w:r>
          </w:p>
        </w:tc>
      </w:tr>
      <w:tr w:rsidR="00F04F22" w:rsidRPr="003569BE" w:rsidTr="009C7948">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F04F22" w:rsidRPr="003569BE" w:rsidRDefault="00F04F22" w:rsidP="00F04F22">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nil"/>
              <w:right w:val="single" w:sz="16" w:space="0" w:color="000000"/>
            </w:tcBorders>
            <w:shd w:val="clear" w:color="auto" w:fill="FFFFFF"/>
          </w:tcPr>
          <w:p w:rsidR="00F04F22" w:rsidRPr="003569BE" w:rsidRDefault="00EA6F33"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,799</w:t>
            </w:r>
          </w:p>
        </w:tc>
        <w:tc>
          <w:tcPr>
            <w:tcW w:w="1134" w:type="dxa"/>
            <w:tcBorders>
              <w:top w:val="nil"/>
              <w:bottom w:val="nil"/>
              <w:right w:val="single" w:sz="16" w:space="0" w:color="000000"/>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1,251</w:t>
            </w:r>
          </w:p>
        </w:tc>
      </w:tr>
      <w:tr w:rsidR="00F04F22" w:rsidRPr="003569BE" w:rsidTr="009C7948">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F04F22" w:rsidRPr="003569BE" w:rsidRDefault="00F04F22" w:rsidP="00F04F22">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single" w:sz="16" w:space="0" w:color="000000"/>
              <w:right w:val="single" w:sz="16" w:space="0" w:color="000000"/>
            </w:tcBorders>
            <w:shd w:val="clear" w:color="auto" w:fill="FFFFFF"/>
          </w:tcPr>
          <w:p w:rsidR="00F04F22" w:rsidRPr="003569BE" w:rsidRDefault="00EA6F33" w:rsidP="00F04F2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ROA</w:t>
            </w:r>
            <w:r w:rsidRPr="003569BE">
              <w:rPr>
                <w:rFonts w:ascii="Arial" w:hAnsi="Arial" w:cs="Arial"/>
                <w:color w:val="000000"/>
                <w:sz w:val="18"/>
                <w:szCs w:val="18"/>
                <w:vertAlign w:val="subscript"/>
                <w:lang w:val="en-GB"/>
              </w:rPr>
              <w:t>t-1</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single" w:sz="16" w:space="0" w:color="000000"/>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,981</w:t>
            </w:r>
          </w:p>
        </w:tc>
        <w:tc>
          <w:tcPr>
            <w:tcW w:w="1134" w:type="dxa"/>
            <w:tcBorders>
              <w:top w:val="nil"/>
              <w:bottom w:val="single" w:sz="16" w:space="0" w:color="000000"/>
              <w:right w:val="single" w:sz="16" w:space="0" w:color="000000"/>
            </w:tcBorders>
            <w:shd w:val="clear" w:color="auto" w:fill="FFFFFF"/>
          </w:tcPr>
          <w:p w:rsidR="00F04F22" w:rsidRPr="003569BE" w:rsidRDefault="00F04F22" w:rsidP="00F04F22">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1,019</w:t>
            </w:r>
          </w:p>
        </w:tc>
      </w:tr>
    </w:tbl>
    <w:tbl>
      <w:tblPr>
        <w:tblpPr w:leftFromText="180" w:rightFromText="180" w:vertAnchor="text" w:horzAnchor="margin" w:tblpXSpec="right" w:tblpY="-2185"/>
        <w:tblW w:w="4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540"/>
        <w:gridCol w:w="993"/>
        <w:gridCol w:w="1134"/>
      </w:tblGrid>
      <w:tr w:rsidR="00153E61" w:rsidRPr="003569BE" w:rsidTr="00153E61">
        <w:trPr>
          <w:cantSplit/>
          <w:tblHeader/>
        </w:trPr>
        <w:tc>
          <w:tcPr>
            <w:tcW w:w="226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27" w:type="dxa"/>
            <w:gridSpan w:val="2"/>
            <w:tcBorders>
              <w:top w:val="single" w:sz="16" w:space="0" w:color="000000"/>
              <w:right w:val="single" w:sz="16" w:space="0" w:color="000000"/>
            </w:tcBorders>
            <w:shd w:val="clear" w:color="auto" w:fill="FFFFFF"/>
            <w:vAlign w:val="bottom"/>
          </w:tcPr>
          <w:p w:rsidR="00153E61" w:rsidRPr="003569BE" w:rsidRDefault="00153E61" w:rsidP="00153E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153E61" w:rsidRPr="003569BE" w:rsidTr="00153E61">
        <w:trPr>
          <w:cantSplit/>
          <w:tblHeader/>
        </w:trPr>
        <w:tc>
          <w:tcPr>
            <w:tcW w:w="2268"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153E61" w:rsidRPr="003569BE" w:rsidRDefault="00153E61" w:rsidP="00153E61">
            <w:pPr>
              <w:autoSpaceDE w:val="0"/>
              <w:autoSpaceDN w:val="0"/>
              <w:adjustRightInd w:val="0"/>
              <w:spacing w:after="0" w:line="240" w:lineRule="auto"/>
              <w:jc w:val="left"/>
              <w:rPr>
                <w:rFonts w:ascii="Arial" w:hAnsi="Arial" w:cs="Arial"/>
                <w:color w:val="000000"/>
                <w:sz w:val="18"/>
                <w:szCs w:val="18"/>
                <w:lang w:val="en-GB"/>
              </w:rPr>
            </w:pPr>
          </w:p>
        </w:tc>
        <w:tc>
          <w:tcPr>
            <w:tcW w:w="993" w:type="dxa"/>
            <w:tcBorders>
              <w:bottom w:val="single" w:sz="16" w:space="0" w:color="000000"/>
            </w:tcBorders>
            <w:shd w:val="clear" w:color="auto" w:fill="FFFFFF"/>
            <w:vAlign w:val="bottom"/>
          </w:tcPr>
          <w:p w:rsidR="00153E61" w:rsidRPr="003569BE" w:rsidRDefault="00153E61" w:rsidP="00153E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134" w:type="dxa"/>
            <w:tcBorders>
              <w:bottom w:val="single" w:sz="16" w:space="0" w:color="000000"/>
              <w:right w:val="single" w:sz="16" w:space="0" w:color="000000"/>
            </w:tcBorders>
            <w:shd w:val="clear" w:color="auto" w:fill="FFFFFF"/>
            <w:vAlign w:val="bottom"/>
          </w:tcPr>
          <w:p w:rsidR="00153E61" w:rsidRPr="003569BE" w:rsidRDefault="00153E61" w:rsidP="00153E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153E61" w:rsidRPr="003569BE" w:rsidTr="00153E61">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540" w:type="dxa"/>
            <w:tcBorders>
              <w:top w:val="single" w:sz="16" w:space="0" w:color="000000"/>
              <w:left w:val="nil"/>
              <w:bottom w:val="nil"/>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3" w:type="dxa"/>
            <w:tcBorders>
              <w:top w:val="single" w:sz="16" w:space="0" w:color="000000"/>
              <w:bottom w:val="nil"/>
            </w:tcBorders>
            <w:shd w:val="clear" w:color="auto" w:fill="FFFFFF"/>
            <w:vAlign w:val="center"/>
          </w:tcPr>
          <w:p w:rsidR="00153E61" w:rsidRPr="003569BE" w:rsidRDefault="00153E61" w:rsidP="00153E61">
            <w:pPr>
              <w:autoSpaceDE w:val="0"/>
              <w:autoSpaceDN w:val="0"/>
              <w:adjustRightInd w:val="0"/>
              <w:spacing w:after="0" w:line="240" w:lineRule="auto"/>
              <w:jc w:val="center"/>
              <w:rPr>
                <w:rFonts w:cs="Times New Roman"/>
                <w:szCs w:val="24"/>
                <w:lang w:val="en-GB"/>
              </w:rPr>
            </w:pPr>
          </w:p>
        </w:tc>
        <w:tc>
          <w:tcPr>
            <w:tcW w:w="1134" w:type="dxa"/>
            <w:tcBorders>
              <w:top w:val="single" w:sz="16" w:space="0" w:color="000000"/>
              <w:bottom w:val="nil"/>
              <w:right w:val="single" w:sz="16" w:space="0" w:color="000000"/>
            </w:tcBorders>
            <w:shd w:val="clear" w:color="auto" w:fill="FFFFFF"/>
            <w:vAlign w:val="center"/>
          </w:tcPr>
          <w:p w:rsidR="00153E61" w:rsidRPr="003569BE" w:rsidRDefault="00153E61" w:rsidP="00153E61">
            <w:pPr>
              <w:autoSpaceDE w:val="0"/>
              <w:autoSpaceDN w:val="0"/>
              <w:adjustRightInd w:val="0"/>
              <w:spacing w:after="0" w:line="240" w:lineRule="auto"/>
              <w:jc w:val="center"/>
              <w:rPr>
                <w:rFonts w:cs="Times New Roman"/>
                <w:szCs w:val="24"/>
                <w:lang w:val="en-GB"/>
              </w:rPr>
            </w:pPr>
          </w:p>
        </w:tc>
      </w:tr>
      <w:tr w:rsidR="00153E61" w:rsidRPr="003569BE" w:rsidTr="00153E61">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53E61" w:rsidRPr="003569BE" w:rsidRDefault="00153E61" w:rsidP="00153E61">
            <w:pPr>
              <w:autoSpaceDE w:val="0"/>
              <w:autoSpaceDN w:val="0"/>
              <w:adjustRightInd w:val="0"/>
              <w:spacing w:after="0" w:line="240" w:lineRule="auto"/>
              <w:jc w:val="left"/>
              <w:rPr>
                <w:rFonts w:cs="Times New Roman"/>
                <w:szCs w:val="24"/>
                <w:lang w:val="en-GB"/>
              </w:rPr>
            </w:pPr>
          </w:p>
        </w:tc>
        <w:tc>
          <w:tcPr>
            <w:tcW w:w="1540" w:type="dxa"/>
            <w:tcBorders>
              <w:top w:val="nil"/>
              <w:left w:val="nil"/>
              <w:bottom w:val="nil"/>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,957</w:t>
            </w:r>
          </w:p>
        </w:tc>
        <w:tc>
          <w:tcPr>
            <w:tcW w:w="1134" w:type="dxa"/>
            <w:tcBorders>
              <w:top w:val="nil"/>
              <w:bottom w:val="nil"/>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1,045</w:t>
            </w:r>
          </w:p>
        </w:tc>
      </w:tr>
      <w:tr w:rsidR="00153E61" w:rsidRPr="003569BE" w:rsidTr="00153E61">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53E61" w:rsidRPr="003569BE" w:rsidRDefault="00153E61" w:rsidP="00153E61">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nil"/>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ROA</w:t>
            </w:r>
            <w:r w:rsidRPr="003569BE">
              <w:rPr>
                <w:rFonts w:ascii="Arial" w:hAnsi="Arial" w:cs="Arial"/>
                <w:color w:val="000000"/>
                <w:sz w:val="18"/>
                <w:szCs w:val="18"/>
                <w:vertAlign w:val="subscript"/>
                <w:lang w:val="en-GB"/>
              </w:rPr>
              <w:t>t-1</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,547</w:t>
            </w:r>
          </w:p>
        </w:tc>
        <w:tc>
          <w:tcPr>
            <w:tcW w:w="1134" w:type="dxa"/>
            <w:tcBorders>
              <w:top w:val="nil"/>
              <w:bottom w:val="nil"/>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1,827</w:t>
            </w:r>
          </w:p>
        </w:tc>
      </w:tr>
      <w:tr w:rsidR="00153E61" w:rsidRPr="003569BE" w:rsidTr="00153E61">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53E61" w:rsidRPr="003569BE" w:rsidRDefault="00153E61" w:rsidP="00153E61">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single" w:sz="18" w:space="0" w:color="auto"/>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1/A</w:t>
            </w:r>
            <w:r w:rsidRPr="003569BE">
              <w:rPr>
                <w:rFonts w:ascii="Arial" w:hAnsi="Arial" w:cs="Arial"/>
                <w:color w:val="000000"/>
                <w:sz w:val="18"/>
                <w:szCs w:val="18"/>
                <w:vertAlign w:val="subscript"/>
                <w:lang w:val="en-GB"/>
              </w:rPr>
              <w:t>t-1</w:t>
            </w:r>
          </w:p>
        </w:tc>
        <w:tc>
          <w:tcPr>
            <w:tcW w:w="993" w:type="dxa"/>
            <w:tcBorders>
              <w:top w:val="nil"/>
              <w:bottom w:val="single" w:sz="18" w:space="0" w:color="auto"/>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,530</w:t>
            </w:r>
          </w:p>
        </w:tc>
        <w:tc>
          <w:tcPr>
            <w:tcW w:w="1134" w:type="dxa"/>
            <w:tcBorders>
              <w:top w:val="nil"/>
              <w:bottom w:val="single" w:sz="18" w:space="0" w:color="auto"/>
              <w:right w:val="single" w:sz="16" w:space="0" w:color="000000"/>
            </w:tcBorders>
            <w:shd w:val="clear" w:color="auto" w:fill="FFFFFF"/>
          </w:tcPr>
          <w:p w:rsidR="00153E61" w:rsidRPr="003569BE" w:rsidRDefault="00153E61" w:rsidP="00153E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1,887</w:t>
            </w:r>
          </w:p>
        </w:tc>
      </w:tr>
      <w:tr w:rsidR="003548AC" w:rsidRPr="003569BE" w:rsidTr="001C0E8D">
        <w:trPr>
          <w:cantSplit/>
          <w:tblHeader/>
        </w:trPr>
        <w:tc>
          <w:tcPr>
            <w:tcW w:w="4395" w:type="dxa"/>
            <w:gridSpan w:val="4"/>
            <w:tcBorders>
              <w:top w:val="single" w:sz="16" w:space="0" w:color="000000"/>
              <w:left w:val="single" w:sz="2" w:space="0" w:color="FFFFFF" w:themeColor="background1"/>
              <w:bottom w:val="single" w:sz="2" w:space="0" w:color="FFFFFF" w:themeColor="background1"/>
              <w:right w:val="single" w:sz="2" w:space="0" w:color="FFFFFF" w:themeColor="background1"/>
            </w:tcBorders>
            <w:shd w:val="clear" w:color="auto" w:fill="FFFFFF"/>
          </w:tcPr>
          <w:p w:rsidR="003548AC" w:rsidRPr="003569BE" w:rsidRDefault="003548AC" w:rsidP="003548AC">
            <w:pPr>
              <w:autoSpaceDE w:val="0"/>
              <w:autoSpaceDN w:val="0"/>
              <w:adjustRightInd w:val="0"/>
              <w:spacing w:after="0" w:line="400" w:lineRule="atLeast"/>
              <w:jc w:val="left"/>
              <w:rPr>
                <w:rFonts w:ascii="Arial" w:hAnsi="Arial" w:cs="Arial"/>
                <w:color w:val="000000"/>
                <w:sz w:val="18"/>
                <w:szCs w:val="18"/>
                <w:vertAlign w:val="subscript"/>
                <w:lang w:val="en-GB"/>
              </w:rPr>
            </w:pPr>
            <w:r w:rsidRPr="003569BE">
              <w:rPr>
                <w:rFonts w:ascii="Arial" w:hAnsi="Arial" w:cs="Arial"/>
                <w:color w:val="000000"/>
                <w:sz w:val="18"/>
                <w:szCs w:val="18"/>
                <w:lang w:val="en-GB"/>
              </w:rPr>
              <w:t>a. Dependent Variable: (REV</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-REC</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p w:rsidR="003548AC" w:rsidRPr="003569BE" w:rsidRDefault="003548AC" w:rsidP="00153E61">
            <w:pPr>
              <w:autoSpaceDE w:val="0"/>
              <w:autoSpaceDN w:val="0"/>
              <w:adjustRightInd w:val="0"/>
              <w:spacing w:after="0" w:line="320" w:lineRule="atLeast"/>
              <w:ind w:left="60" w:right="60"/>
              <w:jc w:val="right"/>
              <w:rPr>
                <w:rFonts w:ascii="Arial" w:hAnsi="Arial" w:cs="Arial"/>
                <w:color w:val="000000"/>
                <w:sz w:val="18"/>
                <w:szCs w:val="18"/>
                <w:lang w:val="en-GB"/>
              </w:rPr>
            </w:pPr>
          </w:p>
        </w:tc>
      </w:tr>
    </w:tbl>
    <w:p w:rsidR="00F04F22" w:rsidRPr="003569BE" w:rsidRDefault="00C63C0B" w:rsidP="00F04F22">
      <w:pPr>
        <w:autoSpaceDE w:val="0"/>
        <w:autoSpaceDN w:val="0"/>
        <w:adjustRightInd w:val="0"/>
        <w:spacing w:after="0" w:line="400" w:lineRule="atLeast"/>
        <w:jc w:val="left"/>
        <w:rPr>
          <w:rFonts w:cs="Times New Roman"/>
          <w:szCs w:val="24"/>
          <w:lang w:val="en-GB"/>
        </w:rPr>
      </w:pPr>
      <w:r w:rsidRPr="003569BE">
        <w:rPr>
          <w:rFonts w:ascii="Arial" w:hAnsi="Arial" w:cs="Arial"/>
          <w:color w:val="000000"/>
          <w:sz w:val="18"/>
          <w:szCs w:val="18"/>
          <w:lang w:val="en-GB"/>
        </w:rPr>
        <w:t>a. Dependent Variable: 1/A</w:t>
      </w:r>
      <w:r w:rsidRPr="003569BE">
        <w:rPr>
          <w:rFonts w:ascii="Arial" w:hAnsi="Arial" w:cs="Arial"/>
          <w:color w:val="000000"/>
          <w:sz w:val="18"/>
          <w:szCs w:val="18"/>
          <w:vertAlign w:val="subscript"/>
          <w:lang w:val="en-GB"/>
        </w:rPr>
        <w:t>t-1</w:t>
      </w:r>
      <w:r w:rsidR="00153E61" w:rsidRPr="003569BE">
        <w:rPr>
          <w:rFonts w:ascii="Arial" w:hAnsi="Arial" w:cs="Arial"/>
          <w:color w:val="000000"/>
          <w:sz w:val="18"/>
          <w:szCs w:val="18"/>
          <w:vertAlign w:val="subscript"/>
          <w:lang w:val="en-GB"/>
        </w:rPr>
        <w:tab/>
      </w:r>
      <w:r w:rsidR="00153E61" w:rsidRPr="003569BE">
        <w:rPr>
          <w:rFonts w:ascii="Arial" w:hAnsi="Arial" w:cs="Arial"/>
          <w:color w:val="000000"/>
          <w:sz w:val="18"/>
          <w:szCs w:val="18"/>
          <w:vertAlign w:val="subscript"/>
          <w:lang w:val="en-GB"/>
        </w:rPr>
        <w:tab/>
      </w:r>
      <w:r w:rsidR="00153E61" w:rsidRPr="003569BE">
        <w:rPr>
          <w:rFonts w:ascii="Arial" w:hAnsi="Arial" w:cs="Arial"/>
          <w:color w:val="000000"/>
          <w:sz w:val="18"/>
          <w:szCs w:val="18"/>
          <w:vertAlign w:val="subscript"/>
          <w:lang w:val="en-GB"/>
        </w:rPr>
        <w:tab/>
      </w:r>
    </w:p>
    <w:p w:rsidR="0083252D" w:rsidRPr="003569BE" w:rsidRDefault="0083252D" w:rsidP="0083252D">
      <w:pPr>
        <w:autoSpaceDE w:val="0"/>
        <w:autoSpaceDN w:val="0"/>
        <w:adjustRightInd w:val="0"/>
        <w:spacing w:after="0" w:line="240" w:lineRule="auto"/>
        <w:jc w:val="left"/>
        <w:rPr>
          <w:rFonts w:cs="Times New Roman"/>
          <w:szCs w:val="24"/>
          <w:lang w:val="en-GB"/>
        </w:rPr>
      </w:pPr>
    </w:p>
    <w:p w:rsidR="006F1790" w:rsidRPr="003569BE" w:rsidRDefault="006F1790" w:rsidP="0083252D">
      <w:pPr>
        <w:autoSpaceDE w:val="0"/>
        <w:autoSpaceDN w:val="0"/>
        <w:adjustRightInd w:val="0"/>
        <w:spacing w:after="0" w:line="400" w:lineRule="atLeast"/>
        <w:jc w:val="left"/>
        <w:rPr>
          <w:rFonts w:cs="Times New Roman"/>
          <w:szCs w:val="24"/>
          <w:lang w:val="en-GB"/>
        </w:rPr>
      </w:pPr>
    </w:p>
    <w:tbl>
      <w:tblPr>
        <w:tblW w:w="4395"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540"/>
        <w:gridCol w:w="993"/>
        <w:gridCol w:w="1134"/>
      </w:tblGrid>
      <w:tr w:rsidR="006F1790" w:rsidRPr="003569BE" w:rsidTr="006D7B6B">
        <w:trPr>
          <w:cantSplit/>
          <w:tblHeader/>
        </w:trPr>
        <w:tc>
          <w:tcPr>
            <w:tcW w:w="226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6F1790" w:rsidRPr="003569BE" w:rsidRDefault="006F1790"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27" w:type="dxa"/>
            <w:gridSpan w:val="2"/>
            <w:tcBorders>
              <w:top w:val="single" w:sz="16" w:space="0" w:color="000000"/>
              <w:right w:val="single" w:sz="16" w:space="0" w:color="000000"/>
            </w:tcBorders>
            <w:shd w:val="clear" w:color="auto" w:fill="FFFFFF"/>
            <w:vAlign w:val="bottom"/>
          </w:tcPr>
          <w:p w:rsidR="006F1790" w:rsidRPr="003569BE" w:rsidRDefault="006F1790" w:rsidP="006F1790">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6F1790" w:rsidRPr="003569BE" w:rsidTr="006D7B6B">
        <w:trPr>
          <w:cantSplit/>
          <w:tblHeader/>
        </w:trPr>
        <w:tc>
          <w:tcPr>
            <w:tcW w:w="2268"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6F1790" w:rsidRPr="003569BE" w:rsidRDefault="006F1790" w:rsidP="006F1790">
            <w:pPr>
              <w:autoSpaceDE w:val="0"/>
              <w:autoSpaceDN w:val="0"/>
              <w:adjustRightInd w:val="0"/>
              <w:spacing w:after="0" w:line="240" w:lineRule="auto"/>
              <w:jc w:val="left"/>
              <w:rPr>
                <w:rFonts w:ascii="Arial" w:hAnsi="Arial" w:cs="Arial"/>
                <w:color w:val="000000"/>
                <w:sz w:val="18"/>
                <w:szCs w:val="18"/>
                <w:lang w:val="en-GB"/>
              </w:rPr>
            </w:pPr>
          </w:p>
        </w:tc>
        <w:tc>
          <w:tcPr>
            <w:tcW w:w="993" w:type="dxa"/>
            <w:tcBorders>
              <w:bottom w:val="single" w:sz="16" w:space="0" w:color="000000"/>
            </w:tcBorders>
            <w:shd w:val="clear" w:color="auto" w:fill="FFFFFF"/>
            <w:vAlign w:val="bottom"/>
          </w:tcPr>
          <w:p w:rsidR="006F1790" w:rsidRPr="003569BE" w:rsidRDefault="006F1790" w:rsidP="006F1790">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134" w:type="dxa"/>
            <w:tcBorders>
              <w:bottom w:val="single" w:sz="16" w:space="0" w:color="000000"/>
              <w:right w:val="single" w:sz="16" w:space="0" w:color="000000"/>
            </w:tcBorders>
            <w:shd w:val="clear" w:color="auto" w:fill="FFFFFF"/>
            <w:vAlign w:val="bottom"/>
          </w:tcPr>
          <w:p w:rsidR="006F1790" w:rsidRPr="003569BE" w:rsidRDefault="006F1790" w:rsidP="006F1790">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6F1790" w:rsidRPr="003569BE" w:rsidTr="006D7B6B">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6F1790" w:rsidRPr="003569BE" w:rsidRDefault="006F1790"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540" w:type="dxa"/>
            <w:tcBorders>
              <w:top w:val="single" w:sz="16" w:space="0" w:color="000000"/>
              <w:left w:val="nil"/>
              <w:bottom w:val="nil"/>
              <w:right w:val="single" w:sz="16" w:space="0" w:color="000000"/>
            </w:tcBorders>
            <w:shd w:val="clear" w:color="auto" w:fill="FFFFFF"/>
          </w:tcPr>
          <w:p w:rsidR="006F1790" w:rsidRPr="003569BE" w:rsidRDefault="006F1790"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3" w:type="dxa"/>
            <w:tcBorders>
              <w:top w:val="single" w:sz="16" w:space="0" w:color="000000"/>
              <w:bottom w:val="nil"/>
            </w:tcBorders>
            <w:shd w:val="clear" w:color="auto" w:fill="FFFFFF"/>
            <w:vAlign w:val="center"/>
          </w:tcPr>
          <w:p w:rsidR="006F1790" w:rsidRPr="003569BE" w:rsidRDefault="006F1790" w:rsidP="006F1790">
            <w:pPr>
              <w:autoSpaceDE w:val="0"/>
              <w:autoSpaceDN w:val="0"/>
              <w:adjustRightInd w:val="0"/>
              <w:spacing w:after="0" w:line="240" w:lineRule="auto"/>
              <w:jc w:val="center"/>
              <w:rPr>
                <w:rFonts w:cs="Times New Roman"/>
                <w:szCs w:val="24"/>
                <w:lang w:val="en-GB"/>
              </w:rPr>
            </w:pPr>
          </w:p>
        </w:tc>
        <w:tc>
          <w:tcPr>
            <w:tcW w:w="1134" w:type="dxa"/>
            <w:tcBorders>
              <w:top w:val="single" w:sz="16" w:space="0" w:color="000000"/>
              <w:bottom w:val="nil"/>
              <w:right w:val="single" w:sz="16" w:space="0" w:color="000000"/>
            </w:tcBorders>
            <w:shd w:val="clear" w:color="auto" w:fill="FFFFFF"/>
            <w:vAlign w:val="center"/>
          </w:tcPr>
          <w:p w:rsidR="006F1790" w:rsidRPr="003569BE" w:rsidRDefault="006F1790" w:rsidP="006F1790">
            <w:pPr>
              <w:autoSpaceDE w:val="0"/>
              <w:autoSpaceDN w:val="0"/>
              <w:adjustRightInd w:val="0"/>
              <w:spacing w:after="0" w:line="240" w:lineRule="auto"/>
              <w:jc w:val="center"/>
              <w:rPr>
                <w:rFonts w:cs="Times New Roman"/>
                <w:szCs w:val="24"/>
                <w:lang w:val="en-GB"/>
              </w:rPr>
            </w:pPr>
          </w:p>
        </w:tc>
      </w:tr>
      <w:tr w:rsidR="006F1790" w:rsidRPr="003569BE" w:rsidTr="006D7B6B">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6F1790" w:rsidRPr="003569BE" w:rsidRDefault="006F1790" w:rsidP="006F1790">
            <w:pPr>
              <w:autoSpaceDE w:val="0"/>
              <w:autoSpaceDN w:val="0"/>
              <w:adjustRightInd w:val="0"/>
              <w:spacing w:after="0" w:line="240" w:lineRule="auto"/>
              <w:jc w:val="left"/>
              <w:rPr>
                <w:rFonts w:cs="Times New Roman"/>
                <w:szCs w:val="24"/>
                <w:lang w:val="en-GB"/>
              </w:rPr>
            </w:pPr>
          </w:p>
        </w:tc>
        <w:tc>
          <w:tcPr>
            <w:tcW w:w="1540" w:type="dxa"/>
            <w:tcBorders>
              <w:top w:val="nil"/>
              <w:left w:val="nil"/>
              <w:bottom w:val="nil"/>
              <w:right w:val="single" w:sz="16" w:space="0" w:color="000000"/>
            </w:tcBorders>
            <w:shd w:val="clear" w:color="auto" w:fill="FFFFFF"/>
          </w:tcPr>
          <w:p w:rsidR="006F1790" w:rsidRPr="003569BE" w:rsidRDefault="006D7B6B"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ROA</w:t>
            </w:r>
            <w:r w:rsidRPr="003569BE">
              <w:rPr>
                <w:rFonts w:ascii="Arial" w:hAnsi="Arial" w:cs="Arial"/>
                <w:color w:val="000000"/>
                <w:sz w:val="18"/>
                <w:szCs w:val="18"/>
                <w:vertAlign w:val="subscript"/>
                <w:lang w:val="en-GB"/>
              </w:rPr>
              <w:t>t-1</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,548</w:t>
            </w:r>
          </w:p>
        </w:tc>
        <w:tc>
          <w:tcPr>
            <w:tcW w:w="1134" w:type="dxa"/>
            <w:tcBorders>
              <w:top w:val="nil"/>
              <w:bottom w:val="nil"/>
              <w:right w:val="single" w:sz="16" w:space="0" w:color="000000"/>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1,824</w:t>
            </w:r>
          </w:p>
        </w:tc>
      </w:tr>
      <w:tr w:rsidR="006F1790" w:rsidRPr="003569BE" w:rsidTr="006D7B6B">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6F1790" w:rsidRPr="003569BE" w:rsidRDefault="006F1790" w:rsidP="006F1790">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nil"/>
              <w:right w:val="single" w:sz="16" w:space="0" w:color="000000"/>
            </w:tcBorders>
            <w:shd w:val="clear" w:color="auto" w:fill="FFFFFF"/>
          </w:tcPr>
          <w:p w:rsidR="006F1790" w:rsidRPr="003569BE" w:rsidRDefault="006D7B6B"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,549</w:t>
            </w:r>
          </w:p>
        </w:tc>
        <w:tc>
          <w:tcPr>
            <w:tcW w:w="1134" w:type="dxa"/>
            <w:tcBorders>
              <w:top w:val="nil"/>
              <w:bottom w:val="nil"/>
              <w:right w:val="single" w:sz="16" w:space="0" w:color="000000"/>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1,821</w:t>
            </w:r>
          </w:p>
        </w:tc>
      </w:tr>
      <w:tr w:rsidR="006F1790" w:rsidRPr="003569BE" w:rsidTr="006D7B6B">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6F1790" w:rsidRPr="003569BE" w:rsidRDefault="006F1790" w:rsidP="006F1790">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single" w:sz="16" w:space="0" w:color="000000"/>
              <w:right w:val="single" w:sz="16" w:space="0" w:color="000000"/>
            </w:tcBorders>
            <w:shd w:val="clear" w:color="auto" w:fill="FFFFFF"/>
          </w:tcPr>
          <w:p w:rsidR="006F1790" w:rsidRPr="003569BE" w:rsidRDefault="006D7B6B" w:rsidP="006F1790">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(REV</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-REC</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single" w:sz="16" w:space="0" w:color="000000"/>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,997</w:t>
            </w:r>
          </w:p>
        </w:tc>
        <w:tc>
          <w:tcPr>
            <w:tcW w:w="1134" w:type="dxa"/>
            <w:tcBorders>
              <w:top w:val="nil"/>
              <w:bottom w:val="single" w:sz="16" w:space="0" w:color="000000"/>
              <w:right w:val="single" w:sz="16" w:space="0" w:color="000000"/>
            </w:tcBorders>
            <w:shd w:val="clear" w:color="auto" w:fill="FFFFFF"/>
          </w:tcPr>
          <w:p w:rsidR="006F1790" w:rsidRPr="003569BE" w:rsidRDefault="006F1790" w:rsidP="006F1790">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1,003</w:t>
            </w:r>
          </w:p>
        </w:tc>
      </w:tr>
    </w:tbl>
    <w:tbl>
      <w:tblPr>
        <w:tblpPr w:leftFromText="180" w:rightFromText="180" w:vertAnchor="text" w:horzAnchor="margin" w:tblpXSpec="right" w:tblpY="-2192"/>
        <w:tblW w:w="4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540"/>
        <w:gridCol w:w="993"/>
        <w:gridCol w:w="1134"/>
      </w:tblGrid>
      <w:tr w:rsidR="001F3677" w:rsidRPr="003569BE" w:rsidTr="001F3677">
        <w:trPr>
          <w:cantSplit/>
          <w:tblHeader/>
        </w:trPr>
        <w:tc>
          <w:tcPr>
            <w:tcW w:w="226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27" w:type="dxa"/>
            <w:gridSpan w:val="2"/>
            <w:tcBorders>
              <w:top w:val="single" w:sz="16" w:space="0" w:color="000000"/>
              <w:right w:val="single" w:sz="16" w:space="0" w:color="000000"/>
            </w:tcBorders>
            <w:shd w:val="clear" w:color="auto" w:fill="FFFFFF"/>
            <w:vAlign w:val="bottom"/>
          </w:tcPr>
          <w:p w:rsidR="001F3677" w:rsidRPr="003569BE" w:rsidRDefault="001F3677" w:rsidP="001F367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1F3677" w:rsidRPr="003569BE" w:rsidTr="001F3677">
        <w:trPr>
          <w:cantSplit/>
          <w:tblHeader/>
        </w:trPr>
        <w:tc>
          <w:tcPr>
            <w:tcW w:w="2268"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1F3677" w:rsidRPr="003569BE" w:rsidRDefault="001F3677" w:rsidP="001F3677">
            <w:pPr>
              <w:autoSpaceDE w:val="0"/>
              <w:autoSpaceDN w:val="0"/>
              <w:adjustRightInd w:val="0"/>
              <w:spacing w:after="0" w:line="240" w:lineRule="auto"/>
              <w:jc w:val="left"/>
              <w:rPr>
                <w:rFonts w:ascii="Arial" w:hAnsi="Arial" w:cs="Arial"/>
                <w:color w:val="000000"/>
                <w:sz w:val="18"/>
                <w:szCs w:val="18"/>
                <w:lang w:val="en-GB"/>
              </w:rPr>
            </w:pPr>
          </w:p>
        </w:tc>
        <w:tc>
          <w:tcPr>
            <w:tcW w:w="993" w:type="dxa"/>
            <w:tcBorders>
              <w:bottom w:val="single" w:sz="16" w:space="0" w:color="000000"/>
            </w:tcBorders>
            <w:shd w:val="clear" w:color="auto" w:fill="FFFFFF"/>
            <w:vAlign w:val="bottom"/>
          </w:tcPr>
          <w:p w:rsidR="001F3677" w:rsidRPr="003569BE" w:rsidRDefault="001F3677" w:rsidP="001F367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134" w:type="dxa"/>
            <w:tcBorders>
              <w:bottom w:val="single" w:sz="16" w:space="0" w:color="000000"/>
              <w:right w:val="single" w:sz="16" w:space="0" w:color="000000"/>
            </w:tcBorders>
            <w:shd w:val="clear" w:color="auto" w:fill="FFFFFF"/>
            <w:vAlign w:val="bottom"/>
          </w:tcPr>
          <w:p w:rsidR="001F3677" w:rsidRPr="003569BE" w:rsidRDefault="001F3677" w:rsidP="001F3677">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1F3677" w:rsidRPr="003569BE" w:rsidTr="001F3677">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540" w:type="dxa"/>
            <w:tcBorders>
              <w:top w:val="single" w:sz="16" w:space="0" w:color="000000"/>
              <w:left w:val="nil"/>
              <w:bottom w:val="nil"/>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993" w:type="dxa"/>
            <w:tcBorders>
              <w:top w:val="single" w:sz="16" w:space="0" w:color="000000"/>
              <w:bottom w:val="nil"/>
            </w:tcBorders>
            <w:shd w:val="clear" w:color="auto" w:fill="FFFFFF"/>
            <w:vAlign w:val="center"/>
          </w:tcPr>
          <w:p w:rsidR="001F3677" w:rsidRPr="003569BE" w:rsidRDefault="001F3677" w:rsidP="001F3677">
            <w:pPr>
              <w:autoSpaceDE w:val="0"/>
              <w:autoSpaceDN w:val="0"/>
              <w:adjustRightInd w:val="0"/>
              <w:spacing w:after="0" w:line="240" w:lineRule="auto"/>
              <w:jc w:val="center"/>
              <w:rPr>
                <w:rFonts w:cs="Times New Roman"/>
                <w:szCs w:val="24"/>
                <w:lang w:val="en-GB"/>
              </w:rPr>
            </w:pPr>
          </w:p>
        </w:tc>
        <w:tc>
          <w:tcPr>
            <w:tcW w:w="1134" w:type="dxa"/>
            <w:tcBorders>
              <w:top w:val="single" w:sz="16" w:space="0" w:color="000000"/>
              <w:bottom w:val="nil"/>
              <w:right w:val="single" w:sz="16" w:space="0" w:color="000000"/>
            </w:tcBorders>
            <w:shd w:val="clear" w:color="auto" w:fill="FFFFFF"/>
            <w:vAlign w:val="center"/>
          </w:tcPr>
          <w:p w:rsidR="001F3677" w:rsidRPr="003569BE" w:rsidRDefault="001F3677" w:rsidP="001F3677">
            <w:pPr>
              <w:autoSpaceDE w:val="0"/>
              <w:autoSpaceDN w:val="0"/>
              <w:adjustRightInd w:val="0"/>
              <w:spacing w:after="0" w:line="240" w:lineRule="auto"/>
              <w:jc w:val="center"/>
              <w:rPr>
                <w:rFonts w:cs="Times New Roman"/>
                <w:szCs w:val="24"/>
                <w:lang w:val="en-GB"/>
              </w:rPr>
            </w:pPr>
          </w:p>
        </w:tc>
      </w:tr>
      <w:tr w:rsidR="001F3677" w:rsidRPr="003569BE" w:rsidTr="001F367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3677" w:rsidRPr="003569BE" w:rsidRDefault="001F3677" w:rsidP="001F3677">
            <w:pPr>
              <w:autoSpaceDE w:val="0"/>
              <w:autoSpaceDN w:val="0"/>
              <w:adjustRightInd w:val="0"/>
              <w:spacing w:after="0" w:line="240" w:lineRule="auto"/>
              <w:jc w:val="left"/>
              <w:rPr>
                <w:rFonts w:cs="Times New Roman"/>
                <w:szCs w:val="24"/>
                <w:lang w:val="en-GB"/>
              </w:rPr>
            </w:pPr>
          </w:p>
        </w:tc>
        <w:tc>
          <w:tcPr>
            <w:tcW w:w="1540" w:type="dxa"/>
            <w:tcBorders>
              <w:top w:val="nil"/>
              <w:left w:val="nil"/>
              <w:bottom w:val="nil"/>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,944</w:t>
            </w:r>
          </w:p>
        </w:tc>
        <w:tc>
          <w:tcPr>
            <w:tcW w:w="1134" w:type="dxa"/>
            <w:tcBorders>
              <w:top w:val="nil"/>
              <w:bottom w:val="nil"/>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1,059</w:t>
            </w:r>
          </w:p>
        </w:tc>
      </w:tr>
      <w:tr w:rsidR="001F3677" w:rsidRPr="003569BE" w:rsidTr="001F367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3677" w:rsidRPr="003569BE" w:rsidRDefault="001F3677" w:rsidP="001F3677">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nil"/>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(REV</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-REC</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nil"/>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,799</w:t>
            </w:r>
          </w:p>
        </w:tc>
        <w:tc>
          <w:tcPr>
            <w:tcW w:w="1134" w:type="dxa"/>
            <w:tcBorders>
              <w:top w:val="nil"/>
              <w:bottom w:val="nil"/>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1,252</w:t>
            </w:r>
          </w:p>
        </w:tc>
      </w:tr>
      <w:tr w:rsidR="001F3677" w:rsidRPr="003569BE" w:rsidTr="001F3677">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1F3677" w:rsidRPr="003569BE" w:rsidRDefault="001F3677" w:rsidP="001F3677">
            <w:pPr>
              <w:autoSpaceDE w:val="0"/>
              <w:autoSpaceDN w:val="0"/>
              <w:adjustRightInd w:val="0"/>
              <w:spacing w:after="0" w:line="240" w:lineRule="auto"/>
              <w:jc w:val="left"/>
              <w:rPr>
                <w:rFonts w:ascii="Arial" w:hAnsi="Arial" w:cs="Arial"/>
                <w:color w:val="000000"/>
                <w:sz w:val="18"/>
                <w:szCs w:val="18"/>
                <w:lang w:val="en-GB"/>
              </w:rPr>
            </w:pPr>
          </w:p>
        </w:tc>
        <w:tc>
          <w:tcPr>
            <w:tcW w:w="1540" w:type="dxa"/>
            <w:tcBorders>
              <w:top w:val="nil"/>
              <w:left w:val="nil"/>
              <w:bottom w:val="single" w:sz="18" w:space="0" w:color="auto"/>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c>
          <w:tcPr>
            <w:tcW w:w="993" w:type="dxa"/>
            <w:tcBorders>
              <w:top w:val="nil"/>
              <w:bottom w:val="single" w:sz="18" w:space="0" w:color="auto"/>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,767</w:t>
            </w:r>
          </w:p>
        </w:tc>
        <w:tc>
          <w:tcPr>
            <w:tcW w:w="1134" w:type="dxa"/>
            <w:tcBorders>
              <w:top w:val="nil"/>
              <w:bottom w:val="single" w:sz="18" w:space="0" w:color="auto"/>
              <w:right w:val="single" w:sz="16" w:space="0" w:color="000000"/>
            </w:tcBorders>
            <w:shd w:val="clear" w:color="auto" w:fill="FFFFFF"/>
          </w:tcPr>
          <w:p w:rsidR="001F3677" w:rsidRPr="003569BE" w:rsidRDefault="001F3677" w:rsidP="001F3677">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1,303</w:t>
            </w:r>
          </w:p>
        </w:tc>
      </w:tr>
      <w:tr w:rsidR="007B24E5" w:rsidRPr="003569BE" w:rsidTr="001C0E8D">
        <w:trPr>
          <w:cantSplit/>
          <w:tblHeader/>
        </w:trPr>
        <w:tc>
          <w:tcPr>
            <w:tcW w:w="4395" w:type="dxa"/>
            <w:gridSpan w:val="4"/>
            <w:tcBorders>
              <w:top w:val="single" w:sz="16" w:space="0" w:color="000000"/>
              <w:left w:val="single" w:sz="18" w:space="0" w:color="FFFFFF" w:themeColor="background1"/>
              <w:bottom w:val="single" w:sz="16" w:space="0" w:color="000000"/>
              <w:right w:val="single" w:sz="18" w:space="0" w:color="FFFFFF" w:themeColor="background1"/>
            </w:tcBorders>
            <w:shd w:val="clear" w:color="auto" w:fill="FFFFFF"/>
          </w:tcPr>
          <w:p w:rsidR="007B24E5" w:rsidRPr="003569BE" w:rsidRDefault="007B24E5" w:rsidP="007B24E5">
            <w:pPr>
              <w:autoSpaceDE w:val="0"/>
              <w:autoSpaceDN w:val="0"/>
              <w:adjustRightInd w:val="0"/>
              <w:spacing w:after="0" w:line="400" w:lineRule="atLeast"/>
              <w:jc w:val="left"/>
              <w:rPr>
                <w:rFonts w:ascii="Arial" w:hAnsi="Arial" w:cs="Arial"/>
                <w:color w:val="000000"/>
                <w:sz w:val="18"/>
                <w:szCs w:val="18"/>
                <w:vertAlign w:val="subscript"/>
                <w:lang w:val="en-GB"/>
              </w:rPr>
            </w:pPr>
            <w:r w:rsidRPr="003569BE">
              <w:rPr>
                <w:rFonts w:ascii="Arial" w:hAnsi="Arial" w:cs="Arial"/>
                <w:color w:val="000000"/>
                <w:sz w:val="18"/>
                <w:szCs w:val="18"/>
                <w:lang w:val="en-GB"/>
              </w:rPr>
              <w:t xml:space="preserve">a. Dependent Variable: </w:t>
            </w:r>
            <w:r w:rsidR="007D4585" w:rsidRPr="003569BE">
              <w:rPr>
                <w:rFonts w:ascii="Arial" w:hAnsi="Arial" w:cs="Arial"/>
                <w:color w:val="000000"/>
                <w:sz w:val="18"/>
                <w:szCs w:val="18"/>
                <w:lang w:val="en-GB"/>
              </w:rPr>
              <w:t xml:space="preserve"> ROA</w:t>
            </w:r>
            <w:r w:rsidR="007D4585" w:rsidRPr="003569BE">
              <w:rPr>
                <w:rFonts w:ascii="Arial" w:hAnsi="Arial" w:cs="Arial"/>
                <w:color w:val="000000"/>
                <w:sz w:val="18"/>
                <w:szCs w:val="18"/>
                <w:vertAlign w:val="subscript"/>
                <w:lang w:val="en-GB"/>
              </w:rPr>
              <w:t>t-1</w:t>
            </w:r>
            <w:r w:rsidR="007D4585" w:rsidRPr="003569BE">
              <w:rPr>
                <w:rFonts w:ascii="Arial" w:hAnsi="Arial" w:cs="Arial"/>
                <w:color w:val="000000"/>
                <w:sz w:val="18"/>
                <w:szCs w:val="18"/>
                <w:lang w:val="en-GB"/>
              </w:rPr>
              <w:t>/A</w:t>
            </w:r>
            <w:r w:rsidR="007D4585" w:rsidRPr="003569BE">
              <w:rPr>
                <w:rFonts w:ascii="Arial" w:hAnsi="Arial" w:cs="Arial"/>
                <w:color w:val="000000"/>
                <w:sz w:val="18"/>
                <w:szCs w:val="18"/>
                <w:vertAlign w:val="subscript"/>
                <w:lang w:val="en-GB"/>
              </w:rPr>
              <w:t>t-1</w:t>
            </w:r>
          </w:p>
          <w:p w:rsidR="007B24E5" w:rsidRPr="003569BE" w:rsidRDefault="007B24E5" w:rsidP="001F3677">
            <w:pPr>
              <w:autoSpaceDE w:val="0"/>
              <w:autoSpaceDN w:val="0"/>
              <w:adjustRightInd w:val="0"/>
              <w:spacing w:after="0" w:line="400" w:lineRule="atLeast"/>
              <w:jc w:val="left"/>
              <w:rPr>
                <w:rFonts w:ascii="Arial" w:hAnsi="Arial" w:cs="Arial"/>
                <w:color w:val="000000"/>
                <w:sz w:val="18"/>
                <w:szCs w:val="18"/>
                <w:vertAlign w:val="subscript"/>
                <w:lang w:val="en-GB"/>
              </w:rPr>
            </w:pPr>
          </w:p>
        </w:tc>
      </w:tr>
      <w:tr w:rsidR="007B24E5" w:rsidRPr="003569BE" w:rsidTr="009C495B">
        <w:trPr>
          <w:cantSplit/>
          <w:tblHeader/>
        </w:trPr>
        <w:tc>
          <w:tcPr>
            <w:tcW w:w="728" w:type="dxa"/>
            <w:tcBorders>
              <w:top w:val="single" w:sz="18" w:space="0" w:color="FFFFFF" w:themeColor="background1"/>
              <w:left w:val="single" w:sz="18" w:space="0" w:color="FFFFFF" w:themeColor="background1"/>
              <w:bottom w:val="single" w:sz="18" w:space="0" w:color="FFFFFF" w:themeColor="background1"/>
              <w:right w:val="nil"/>
            </w:tcBorders>
            <w:shd w:val="clear" w:color="auto" w:fill="FFFFFF"/>
          </w:tcPr>
          <w:p w:rsidR="007B24E5" w:rsidRPr="003569BE" w:rsidRDefault="007B24E5" w:rsidP="001F3677">
            <w:pPr>
              <w:autoSpaceDE w:val="0"/>
              <w:autoSpaceDN w:val="0"/>
              <w:adjustRightInd w:val="0"/>
              <w:spacing w:after="0" w:line="240" w:lineRule="auto"/>
              <w:jc w:val="left"/>
              <w:rPr>
                <w:rFonts w:ascii="Arial" w:hAnsi="Arial" w:cs="Arial"/>
                <w:color w:val="000000"/>
                <w:sz w:val="18"/>
                <w:szCs w:val="18"/>
                <w:lang w:val="en-GB"/>
              </w:rPr>
            </w:pPr>
          </w:p>
        </w:tc>
        <w:tc>
          <w:tcPr>
            <w:tcW w:w="3667" w:type="dxa"/>
            <w:gridSpan w:val="3"/>
            <w:tcBorders>
              <w:top w:val="single" w:sz="18" w:space="0" w:color="FFFFFF" w:themeColor="background1"/>
              <w:left w:val="nil"/>
              <w:bottom w:val="nil"/>
              <w:right w:val="single" w:sz="18" w:space="0" w:color="FFFFFF" w:themeColor="background1"/>
            </w:tcBorders>
            <w:shd w:val="clear" w:color="auto" w:fill="FFFFFF"/>
          </w:tcPr>
          <w:p w:rsidR="007B24E5" w:rsidRPr="003569BE" w:rsidRDefault="007B24E5" w:rsidP="001F3677">
            <w:pPr>
              <w:autoSpaceDE w:val="0"/>
              <w:autoSpaceDN w:val="0"/>
              <w:adjustRightInd w:val="0"/>
              <w:spacing w:after="0" w:line="400" w:lineRule="atLeast"/>
              <w:jc w:val="left"/>
              <w:rPr>
                <w:rFonts w:ascii="Arial" w:hAnsi="Arial" w:cs="Arial"/>
                <w:color w:val="000000"/>
                <w:sz w:val="18"/>
                <w:szCs w:val="18"/>
                <w:vertAlign w:val="subscript"/>
                <w:lang w:val="en-GB"/>
              </w:rPr>
            </w:pPr>
          </w:p>
        </w:tc>
      </w:tr>
    </w:tbl>
    <w:p w:rsidR="005838E8" w:rsidRPr="003569BE" w:rsidRDefault="005838E8" w:rsidP="005838E8">
      <w:pPr>
        <w:autoSpaceDE w:val="0"/>
        <w:autoSpaceDN w:val="0"/>
        <w:adjustRightInd w:val="0"/>
        <w:spacing w:after="0" w:line="400" w:lineRule="atLeast"/>
        <w:jc w:val="left"/>
        <w:rPr>
          <w:rFonts w:ascii="Arial" w:hAnsi="Arial" w:cs="Arial"/>
          <w:color w:val="000000"/>
          <w:sz w:val="18"/>
          <w:szCs w:val="18"/>
          <w:vertAlign w:val="subscript"/>
          <w:lang w:val="en-GB"/>
        </w:rPr>
      </w:pPr>
      <w:r w:rsidRPr="003569BE">
        <w:rPr>
          <w:rFonts w:ascii="Arial" w:hAnsi="Arial" w:cs="Arial"/>
          <w:color w:val="000000"/>
          <w:sz w:val="18"/>
          <w:szCs w:val="18"/>
          <w:lang w:val="en-GB"/>
        </w:rPr>
        <w:t>a. Dependent Variable: PPE</w:t>
      </w:r>
      <w:r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r w:rsidR="003C0F0C" w:rsidRPr="003569BE">
        <w:rPr>
          <w:rFonts w:ascii="Arial" w:hAnsi="Arial" w:cs="Arial"/>
          <w:color w:val="000000"/>
          <w:sz w:val="18"/>
          <w:szCs w:val="18"/>
          <w:vertAlign w:val="subscript"/>
          <w:lang w:val="en-GB"/>
        </w:rPr>
        <w:t xml:space="preserve">       </w:t>
      </w:r>
    </w:p>
    <w:p w:rsidR="006F1790" w:rsidRPr="003569BE" w:rsidRDefault="006F1790" w:rsidP="006F1790">
      <w:pPr>
        <w:autoSpaceDE w:val="0"/>
        <w:autoSpaceDN w:val="0"/>
        <w:adjustRightInd w:val="0"/>
        <w:spacing w:after="0" w:line="400" w:lineRule="atLeast"/>
        <w:jc w:val="left"/>
        <w:rPr>
          <w:rFonts w:cs="Times New Roman"/>
          <w:szCs w:val="24"/>
          <w:lang w:val="en-GB"/>
        </w:rPr>
      </w:pPr>
    </w:p>
    <w:p w:rsidR="005D59CC" w:rsidRPr="003569BE" w:rsidRDefault="005D59CC">
      <w:pPr>
        <w:jc w:val="left"/>
        <w:rPr>
          <w:rFonts w:eastAsiaTheme="majorEastAsia" w:cs="Times New Roman"/>
          <w:color w:val="2E74B5" w:themeColor="accent1" w:themeShade="BF"/>
          <w:sz w:val="26"/>
          <w:szCs w:val="24"/>
          <w:lang w:val="en-GB"/>
        </w:rPr>
      </w:pPr>
      <w:r w:rsidRPr="003569BE">
        <w:rPr>
          <w:rFonts w:cs="Times New Roman"/>
          <w:szCs w:val="24"/>
          <w:lang w:val="en-GB"/>
        </w:rPr>
        <w:br w:type="page"/>
      </w:r>
    </w:p>
    <w:p w:rsidR="00D76551" w:rsidRPr="003569BE" w:rsidRDefault="00077101" w:rsidP="00A84A19">
      <w:pPr>
        <w:pStyle w:val="Heading2"/>
        <w:rPr>
          <w:rFonts w:cs="Times New Roman"/>
          <w:szCs w:val="24"/>
          <w:lang w:val="en-GB"/>
        </w:rPr>
      </w:pPr>
      <w:bookmarkStart w:id="84" w:name="_Toc396633615"/>
      <w:r w:rsidRPr="003569BE">
        <w:rPr>
          <w:rFonts w:cs="Times New Roman"/>
          <w:szCs w:val="24"/>
          <w:lang w:val="en-GB"/>
        </w:rPr>
        <w:lastRenderedPageBreak/>
        <w:t xml:space="preserve">Appendix 4: </w:t>
      </w:r>
      <w:r w:rsidRPr="003569BE">
        <w:rPr>
          <w:lang w:val="en-GB"/>
        </w:rPr>
        <w:t>Testing</w:t>
      </w:r>
      <w:r w:rsidRPr="003569BE">
        <w:rPr>
          <w:rFonts w:cs="Times New Roman"/>
          <w:szCs w:val="24"/>
          <w:lang w:val="en-GB"/>
        </w:rPr>
        <w:t xml:space="preserve"> the </w:t>
      </w:r>
      <w:r w:rsidR="005865D0" w:rsidRPr="003569BE">
        <w:rPr>
          <w:rFonts w:cs="Times New Roman"/>
          <w:szCs w:val="24"/>
          <w:lang w:val="en-GB"/>
        </w:rPr>
        <w:t>H</w:t>
      </w:r>
      <w:r w:rsidRPr="003569BE">
        <w:rPr>
          <w:rFonts w:cs="Times New Roman"/>
          <w:szCs w:val="24"/>
          <w:lang w:val="en-GB"/>
        </w:rPr>
        <w:t>ypotheses</w:t>
      </w:r>
      <w:bookmarkEnd w:id="84"/>
    </w:p>
    <w:p w:rsidR="001E1899" w:rsidRPr="003569BE" w:rsidRDefault="005865D0" w:rsidP="00A52CD1">
      <w:pPr>
        <w:pStyle w:val="Heading2"/>
        <w:ind w:firstLine="708"/>
        <w:rPr>
          <w:rFonts w:cs="Times New Roman"/>
          <w:szCs w:val="24"/>
          <w:lang w:val="en-GB"/>
        </w:rPr>
      </w:pPr>
      <w:bookmarkStart w:id="85" w:name="_Toc396633616"/>
      <w:r w:rsidRPr="003569BE">
        <w:rPr>
          <w:rFonts w:cs="Times New Roman"/>
          <w:sz w:val="24"/>
          <w:szCs w:val="24"/>
          <w:lang w:val="en-GB"/>
        </w:rPr>
        <w:t>Appendix</w:t>
      </w:r>
      <w:r w:rsidRPr="003569BE">
        <w:rPr>
          <w:rFonts w:cs="Times New Roman"/>
          <w:szCs w:val="24"/>
          <w:lang w:val="en-GB"/>
        </w:rPr>
        <w:t xml:space="preserve"> 4.1: Hypothesis 1 </w:t>
      </w:r>
      <w:r w:rsidR="00B76E1C" w:rsidRPr="003569BE">
        <w:rPr>
          <w:rFonts w:cs="Times New Roman"/>
          <w:szCs w:val="24"/>
          <w:lang w:val="en-GB"/>
        </w:rPr>
        <w:t>r</w:t>
      </w:r>
      <w:r w:rsidRPr="003569BE">
        <w:rPr>
          <w:rFonts w:cs="Times New Roman"/>
          <w:szCs w:val="24"/>
          <w:lang w:val="en-GB"/>
        </w:rPr>
        <w:t>esults</w:t>
      </w:r>
      <w:bookmarkEnd w:id="85"/>
    </w:p>
    <w:tbl>
      <w:tblPr>
        <w:tblW w:w="751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89"/>
        <w:gridCol w:w="1011"/>
        <w:gridCol w:w="1319"/>
        <w:gridCol w:w="1843"/>
        <w:gridCol w:w="2551"/>
      </w:tblGrid>
      <w:tr w:rsidR="001E1899" w:rsidRPr="003569BE" w:rsidTr="00F91AB5">
        <w:trPr>
          <w:cantSplit/>
          <w:tblHeader/>
          <w:jc w:val="center"/>
        </w:trPr>
        <w:tc>
          <w:tcPr>
            <w:tcW w:w="7513" w:type="dxa"/>
            <w:gridSpan w:val="5"/>
            <w:tcBorders>
              <w:top w:val="nil"/>
              <w:left w:val="nil"/>
              <w:bottom w:val="nil"/>
              <w:right w:val="nil"/>
            </w:tcBorders>
            <w:shd w:val="clear" w:color="auto" w:fill="FFFFFF"/>
            <w:vAlign w:val="center"/>
          </w:tcPr>
          <w:p w:rsidR="001E1899" w:rsidRPr="003569BE" w:rsidRDefault="001E1899" w:rsidP="001E189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Model Summary</w:t>
            </w:r>
          </w:p>
        </w:tc>
      </w:tr>
      <w:tr w:rsidR="001E1899" w:rsidRPr="003569BE" w:rsidTr="00F91AB5">
        <w:trPr>
          <w:cantSplit/>
          <w:tblHeader/>
          <w:jc w:val="center"/>
        </w:trPr>
        <w:tc>
          <w:tcPr>
            <w:tcW w:w="78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E1899" w:rsidRPr="003569BE" w:rsidRDefault="001E1899" w:rsidP="001E189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1011" w:type="dxa"/>
            <w:tcBorders>
              <w:top w:val="single" w:sz="16" w:space="0" w:color="000000"/>
              <w:left w:val="single" w:sz="16" w:space="0" w:color="000000"/>
              <w:bottom w:val="single" w:sz="16" w:space="0" w:color="000000"/>
            </w:tcBorders>
            <w:shd w:val="clear" w:color="auto" w:fill="FFFFFF"/>
            <w:vAlign w:val="bottom"/>
          </w:tcPr>
          <w:p w:rsidR="001E1899" w:rsidRPr="003569BE" w:rsidRDefault="001E1899" w:rsidP="001E189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R</w:t>
            </w:r>
          </w:p>
        </w:tc>
        <w:tc>
          <w:tcPr>
            <w:tcW w:w="1319" w:type="dxa"/>
            <w:tcBorders>
              <w:top w:val="single" w:sz="16" w:space="0" w:color="000000"/>
              <w:bottom w:val="single" w:sz="16" w:space="0" w:color="000000"/>
            </w:tcBorders>
            <w:shd w:val="clear" w:color="auto" w:fill="FFFFFF"/>
            <w:vAlign w:val="bottom"/>
          </w:tcPr>
          <w:p w:rsidR="001E1899" w:rsidRPr="003569BE" w:rsidRDefault="001E1899" w:rsidP="001E189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R Square</w:t>
            </w:r>
          </w:p>
        </w:tc>
        <w:tc>
          <w:tcPr>
            <w:tcW w:w="1843" w:type="dxa"/>
            <w:tcBorders>
              <w:top w:val="single" w:sz="16" w:space="0" w:color="000000"/>
              <w:bottom w:val="single" w:sz="16" w:space="0" w:color="000000"/>
            </w:tcBorders>
            <w:shd w:val="clear" w:color="auto" w:fill="FFFFFF"/>
            <w:vAlign w:val="bottom"/>
          </w:tcPr>
          <w:p w:rsidR="001E1899" w:rsidRPr="003569BE" w:rsidRDefault="001E1899" w:rsidP="001E189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Adjusted R Square</w:t>
            </w:r>
          </w:p>
        </w:tc>
        <w:tc>
          <w:tcPr>
            <w:tcW w:w="2551" w:type="dxa"/>
            <w:tcBorders>
              <w:top w:val="single" w:sz="16" w:space="0" w:color="000000"/>
              <w:bottom w:val="single" w:sz="16" w:space="0" w:color="000000"/>
              <w:right w:val="single" w:sz="16" w:space="0" w:color="000000"/>
            </w:tcBorders>
            <w:shd w:val="clear" w:color="auto" w:fill="FFFFFF"/>
            <w:vAlign w:val="bottom"/>
          </w:tcPr>
          <w:p w:rsidR="001E1899" w:rsidRPr="003569BE" w:rsidRDefault="001E1899" w:rsidP="001E1899">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 of the Estimate</w:t>
            </w:r>
          </w:p>
        </w:tc>
      </w:tr>
      <w:tr w:rsidR="001E1899" w:rsidRPr="003569BE" w:rsidTr="00F91AB5">
        <w:trPr>
          <w:cantSplit/>
          <w:tblHeader/>
          <w:jc w:val="center"/>
        </w:trPr>
        <w:tc>
          <w:tcPr>
            <w:tcW w:w="789" w:type="dxa"/>
            <w:tcBorders>
              <w:top w:val="single" w:sz="16" w:space="0" w:color="000000"/>
              <w:left w:val="single" w:sz="16" w:space="0" w:color="000000"/>
              <w:bottom w:val="single" w:sz="16" w:space="0" w:color="000000"/>
              <w:right w:val="single" w:sz="16" w:space="0" w:color="000000"/>
            </w:tcBorders>
            <w:shd w:val="clear" w:color="auto" w:fill="FFFFFF"/>
          </w:tcPr>
          <w:p w:rsidR="001E1899" w:rsidRPr="003569BE" w:rsidRDefault="001E1899" w:rsidP="001E1899">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011" w:type="dxa"/>
            <w:tcBorders>
              <w:top w:val="single" w:sz="16" w:space="0" w:color="000000"/>
              <w:left w:val="single" w:sz="16" w:space="0" w:color="000000"/>
              <w:bottom w:val="single" w:sz="16" w:space="0" w:color="000000"/>
            </w:tcBorders>
            <w:shd w:val="clear" w:color="auto" w:fill="FFFFFF"/>
          </w:tcPr>
          <w:p w:rsidR="001E1899" w:rsidRPr="003569BE" w:rsidRDefault="001E1899" w:rsidP="001E189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,223</w:t>
            </w:r>
            <w:r w:rsidRPr="003569BE">
              <w:rPr>
                <w:rFonts w:ascii="Arial" w:hAnsi="Arial" w:cs="Arial"/>
                <w:color w:val="000000"/>
                <w:sz w:val="18"/>
                <w:szCs w:val="18"/>
                <w:vertAlign w:val="superscript"/>
                <w:lang w:val="en-GB"/>
              </w:rPr>
              <w:t>a</w:t>
            </w:r>
          </w:p>
        </w:tc>
        <w:tc>
          <w:tcPr>
            <w:tcW w:w="1319" w:type="dxa"/>
            <w:tcBorders>
              <w:top w:val="single" w:sz="16" w:space="0" w:color="000000"/>
              <w:bottom w:val="single" w:sz="16" w:space="0" w:color="000000"/>
            </w:tcBorders>
            <w:shd w:val="clear" w:color="auto" w:fill="FFFFFF"/>
          </w:tcPr>
          <w:p w:rsidR="001E1899" w:rsidRPr="003569BE" w:rsidRDefault="001E1899" w:rsidP="001E189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,050</w:t>
            </w:r>
          </w:p>
        </w:tc>
        <w:tc>
          <w:tcPr>
            <w:tcW w:w="1843" w:type="dxa"/>
            <w:tcBorders>
              <w:top w:val="single" w:sz="16" w:space="0" w:color="000000"/>
              <w:bottom w:val="single" w:sz="16" w:space="0" w:color="000000"/>
            </w:tcBorders>
            <w:shd w:val="clear" w:color="auto" w:fill="FFFFFF"/>
          </w:tcPr>
          <w:p w:rsidR="001E1899" w:rsidRPr="003569BE" w:rsidRDefault="001E1899" w:rsidP="001E189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,036</w:t>
            </w:r>
          </w:p>
        </w:tc>
        <w:tc>
          <w:tcPr>
            <w:tcW w:w="2551" w:type="dxa"/>
            <w:tcBorders>
              <w:top w:val="single" w:sz="16" w:space="0" w:color="000000"/>
              <w:bottom w:val="single" w:sz="16" w:space="0" w:color="000000"/>
              <w:right w:val="single" w:sz="16" w:space="0" w:color="000000"/>
            </w:tcBorders>
            <w:shd w:val="clear" w:color="auto" w:fill="FFFFFF"/>
          </w:tcPr>
          <w:p w:rsidR="001E1899" w:rsidRPr="003569BE" w:rsidRDefault="001E1899" w:rsidP="001E1899">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,0700055318496</w:t>
            </w:r>
          </w:p>
        </w:tc>
      </w:tr>
      <w:tr w:rsidR="001E1899" w:rsidRPr="003569BE" w:rsidTr="00F91AB5">
        <w:trPr>
          <w:cantSplit/>
          <w:jc w:val="center"/>
        </w:trPr>
        <w:tc>
          <w:tcPr>
            <w:tcW w:w="7513" w:type="dxa"/>
            <w:gridSpan w:val="5"/>
            <w:tcBorders>
              <w:top w:val="nil"/>
              <w:left w:val="nil"/>
              <w:bottom w:val="nil"/>
              <w:right w:val="nil"/>
            </w:tcBorders>
            <w:shd w:val="clear" w:color="auto" w:fill="FFFFFF"/>
          </w:tcPr>
          <w:p w:rsidR="001E1899" w:rsidRPr="003569BE" w:rsidRDefault="001E1899"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Predictors: (Constant), ctr_PriorLo</w:t>
            </w:r>
            <w:r w:rsidR="00620F4A" w:rsidRPr="003569BE">
              <w:rPr>
                <w:rFonts w:ascii="Arial" w:hAnsi="Arial" w:cs="Arial"/>
                <w:color w:val="000000"/>
                <w:sz w:val="18"/>
                <w:szCs w:val="18"/>
                <w:lang w:val="en-GB"/>
              </w:rPr>
              <w:t>ss, ctr_size, ctr_growth, audit</w:t>
            </w:r>
            <w:r w:rsidR="003569BE">
              <w:rPr>
                <w:rFonts w:ascii="Arial" w:hAnsi="Arial" w:cs="Arial"/>
                <w:color w:val="000000"/>
                <w:sz w:val="18"/>
                <w:szCs w:val="18"/>
                <w:lang w:val="en-GB"/>
              </w:rPr>
              <w:t xml:space="preserve"> </w:t>
            </w:r>
            <w:r w:rsidRPr="003569BE">
              <w:rPr>
                <w:rFonts w:ascii="Arial" w:hAnsi="Arial" w:cs="Arial"/>
                <w:color w:val="000000"/>
                <w:sz w:val="18"/>
                <w:szCs w:val="18"/>
                <w:lang w:val="en-GB"/>
              </w:rPr>
              <w:t>tenure, ctr_leverage</w:t>
            </w:r>
          </w:p>
        </w:tc>
      </w:tr>
    </w:tbl>
    <w:p w:rsidR="00C92D50" w:rsidRPr="003569BE" w:rsidRDefault="00C92D50" w:rsidP="00C92D50">
      <w:pPr>
        <w:spacing w:line="360" w:lineRule="auto"/>
        <w:jc w:val="right"/>
        <w:rPr>
          <w:i/>
          <w:sz w:val="20"/>
          <w:szCs w:val="20"/>
          <w:lang w:val="en-GB"/>
        </w:rPr>
      </w:pPr>
      <w:r w:rsidRPr="003569BE">
        <w:rPr>
          <w:i/>
          <w:sz w:val="20"/>
          <w:szCs w:val="20"/>
          <w:lang w:val="en-GB"/>
        </w:rPr>
        <w:t>Table 8 –</w:t>
      </w:r>
      <w:r w:rsidR="00874C3D" w:rsidRPr="003569BE">
        <w:rPr>
          <w:i/>
          <w:sz w:val="20"/>
          <w:szCs w:val="20"/>
          <w:lang w:val="en-GB"/>
        </w:rPr>
        <w:t xml:space="preserve"> </w:t>
      </w:r>
      <w:r w:rsidRPr="003569BE">
        <w:rPr>
          <w:i/>
          <w:sz w:val="20"/>
          <w:szCs w:val="20"/>
          <w:lang w:val="en-GB"/>
        </w:rPr>
        <w:t>Model Summary</w:t>
      </w:r>
    </w:p>
    <w:p w:rsidR="006367DE" w:rsidRPr="003569BE" w:rsidRDefault="006367DE" w:rsidP="006367DE">
      <w:pPr>
        <w:autoSpaceDE w:val="0"/>
        <w:autoSpaceDN w:val="0"/>
        <w:adjustRightInd w:val="0"/>
        <w:spacing w:after="0" w:line="240" w:lineRule="auto"/>
        <w:jc w:val="left"/>
        <w:rPr>
          <w:rFonts w:cs="Times New Roman"/>
          <w:szCs w:val="24"/>
          <w:lang w:val="en-GB"/>
        </w:rPr>
      </w:pPr>
    </w:p>
    <w:tbl>
      <w:tblPr>
        <w:tblW w:w="788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72"/>
        <w:gridCol w:w="1456"/>
        <w:gridCol w:w="1009"/>
        <w:gridCol w:w="1398"/>
        <w:gridCol w:w="1010"/>
        <w:gridCol w:w="1010"/>
      </w:tblGrid>
      <w:tr w:rsidR="006367DE" w:rsidRPr="003569BE" w:rsidTr="0032257A">
        <w:trPr>
          <w:cantSplit/>
          <w:tblHeader/>
          <w:jc w:val="center"/>
        </w:trPr>
        <w:tc>
          <w:tcPr>
            <w:tcW w:w="7883" w:type="dxa"/>
            <w:gridSpan w:val="7"/>
            <w:tcBorders>
              <w:top w:val="nil"/>
              <w:left w:val="nil"/>
              <w:bottom w:val="nil"/>
              <w:right w:val="nil"/>
            </w:tcBorders>
            <w:shd w:val="clear" w:color="auto" w:fill="FFFFFF"/>
            <w:vAlign w:val="center"/>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ANOVA</w:t>
            </w:r>
            <w:r w:rsidRPr="003569BE">
              <w:rPr>
                <w:rFonts w:ascii="Arial" w:hAnsi="Arial" w:cs="Arial"/>
                <w:b/>
                <w:bCs/>
                <w:color w:val="000000"/>
                <w:sz w:val="18"/>
                <w:szCs w:val="18"/>
                <w:vertAlign w:val="superscript"/>
                <w:lang w:val="en-GB"/>
              </w:rPr>
              <w:t>b</w:t>
            </w:r>
          </w:p>
        </w:tc>
      </w:tr>
      <w:tr w:rsidR="006367DE" w:rsidRPr="003569BE" w:rsidTr="0032257A">
        <w:trPr>
          <w:cantSplit/>
          <w:tblHeader/>
          <w:jc w:val="center"/>
        </w:trPr>
        <w:tc>
          <w:tcPr>
            <w:tcW w:w="200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1456" w:type="dxa"/>
            <w:tcBorders>
              <w:top w:val="single" w:sz="16" w:space="0" w:color="000000"/>
              <w:left w:val="single" w:sz="16" w:space="0" w:color="000000"/>
              <w:bottom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Sum of Squares</w:t>
            </w:r>
          </w:p>
        </w:tc>
        <w:tc>
          <w:tcPr>
            <w:tcW w:w="1009" w:type="dxa"/>
            <w:tcBorders>
              <w:top w:val="single" w:sz="16" w:space="0" w:color="000000"/>
              <w:bottom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df</w:t>
            </w:r>
          </w:p>
        </w:tc>
        <w:tc>
          <w:tcPr>
            <w:tcW w:w="1398" w:type="dxa"/>
            <w:tcBorders>
              <w:top w:val="single" w:sz="16" w:space="0" w:color="000000"/>
              <w:bottom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Mean Square</w:t>
            </w:r>
          </w:p>
        </w:tc>
        <w:tc>
          <w:tcPr>
            <w:tcW w:w="1010" w:type="dxa"/>
            <w:tcBorders>
              <w:top w:val="single" w:sz="16" w:space="0" w:color="000000"/>
              <w:bottom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6367DE" w:rsidRPr="003569BE" w:rsidRDefault="006367DE" w:rsidP="006367D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6367DE" w:rsidRPr="003569BE" w:rsidTr="0032257A">
        <w:trPr>
          <w:cantSplit/>
          <w:tblHeader/>
          <w:jc w:val="cent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272" w:type="dxa"/>
            <w:tcBorders>
              <w:top w:val="single" w:sz="16" w:space="0" w:color="000000"/>
              <w:left w:val="nil"/>
              <w:bottom w:val="nil"/>
              <w:right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Regression</w:t>
            </w:r>
          </w:p>
        </w:tc>
        <w:tc>
          <w:tcPr>
            <w:tcW w:w="1456" w:type="dxa"/>
            <w:tcBorders>
              <w:top w:val="single" w:sz="16" w:space="0" w:color="000000"/>
              <w:left w:val="single" w:sz="16" w:space="0" w:color="000000"/>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,090</w:t>
            </w:r>
          </w:p>
        </w:tc>
        <w:tc>
          <w:tcPr>
            <w:tcW w:w="1009" w:type="dxa"/>
            <w:tcBorders>
              <w:top w:val="single" w:sz="16" w:space="0" w:color="000000"/>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5</w:t>
            </w:r>
          </w:p>
        </w:tc>
        <w:tc>
          <w:tcPr>
            <w:tcW w:w="1398" w:type="dxa"/>
            <w:tcBorders>
              <w:top w:val="single" w:sz="16" w:space="0" w:color="000000"/>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,018</w:t>
            </w:r>
          </w:p>
        </w:tc>
        <w:tc>
          <w:tcPr>
            <w:tcW w:w="1010" w:type="dxa"/>
            <w:tcBorders>
              <w:top w:val="single" w:sz="16" w:space="0" w:color="000000"/>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3,689</w:t>
            </w:r>
          </w:p>
        </w:tc>
        <w:tc>
          <w:tcPr>
            <w:tcW w:w="1010" w:type="dxa"/>
            <w:tcBorders>
              <w:top w:val="single" w:sz="16" w:space="0" w:color="000000"/>
              <w:bottom w:val="nil"/>
              <w:right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,003</w:t>
            </w:r>
            <w:r w:rsidRPr="003569BE">
              <w:rPr>
                <w:rFonts w:ascii="Arial" w:hAnsi="Arial" w:cs="Arial"/>
                <w:color w:val="000000"/>
                <w:sz w:val="18"/>
                <w:szCs w:val="18"/>
                <w:vertAlign w:val="superscript"/>
                <w:lang w:val="en-GB"/>
              </w:rPr>
              <w:t>a</w:t>
            </w:r>
          </w:p>
        </w:tc>
      </w:tr>
      <w:tr w:rsidR="006367DE" w:rsidRPr="003569BE" w:rsidTr="0032257A">
        <w:trPr>
          <w:cantSplit/>
          <w:tblHeade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6367DE" w:rsidRPr="003569BE" w:rsidRDefault="006367DE" w:rsidP="006367DE">
            <w:pPr>
              <w:autoSpaceDE w:val="0"/>
              <w:autoSpaceDN w:val="0"/>
              <w:adjustRightInd w:val="0"/>
              <w:spacing w:after="0" w:line="240" w:lineRule="auto"/>
              <w:jc w:val="left"/>
              <w:rPr>
                <w:rFonts w:ascii="Arial" w:hAnsi="Arial" w:cs="Arial"/>
                <w:color w:val="000000"/>
                <w:sz w:val="18"/>
                <w:szCs w:val="18"/>
                <w:lang w:val="en-GB"/>
              </w:rPr>
            </w:pPr>
          </w:p>
        </w:tc>
        <w:tc>
          <w:tcPr>
            <w:tcW w:w="1272" w:type="dxa"/>
            <w:tcBorders>
              <w:top w:val="nil"/>
              <w:left w:val="nil"/>
              <w:bottom w:val="nil"/>
              <w:right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Residual</w:t>
            </w:r>
          </w:p>
        </w:tc>
        <w:tc>
          <w:tcPr>
            <w:tcW w:w="1456" w:type="dxa"/>
            <w:tcBorders>
              <w:top w:val="nil"/>
              <w:left w:val="single" w:sz="16" w:space="0" w:color="000000"/>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1,720</w:t>
            </w:r>
          </w:p>
        </w:tc>
        <w:tc>
          <w:tcPr>
            <w:tcW w:w="1009" w:type="dxa"/>
            <w:tcBorders>
              <w:top w:val="nil"/>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351</w:t>
            </w:r>
          </w:p>
        </w:tc>
        <w:tc>
          <w:tcPr>
            <w:tcW w:w="1398" w:type="dxa"/>
            <w:tcBorders>
              <w:top w:val="nil"/>
              <w:bottom w:val="nil"/>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,005</w:t>
            </w:r>
          </w:p>
        </w:tc>
        <w:tc>
          <w:tcPr>
            <w:tcW w:w="1010" w:type="dxa"/>
            <w:tcBorders>
              <w:top w:val="nil"/>
              <w:bottom w:val="nil"/>
            </w:tcBorders>
            <w:shd w:val="clear" w:color="auto" w:fill="FFFFFF"/>
            <w:vAlign w:val="center"/>
          </w:tcPr>
          <w:p w:rsidR="006367DE" w:rsidRPr="003569BE" w:rsidRDefault="006367DE" w:rsidP="006367DE">
            <w:pPr>
              <w:autoSpaceDE w:val="0"/>
              <w:autoSpaceDN w:val="0"/>
              <w:adjustRightInd w:val="0"/>
              <w:spacing w:after="0" w:line="240" w:lineRule="auto"/>
              <w:jc w:val="center"/>
              <w:rPr>
                <w:rFonts w:cs="Times New Roman"/>
                <w:szCs w:val="24"/>
                <w:lang w:val="en-GB"/>
              </w:rPr>
            </w:pPr>
          </w:p>
        </w:tc>
        <w:tc>
          <w:tcPr>
            <w:tcW w:w="1010" w:type="dxa"/>
            <w:tcBorders>
              <w:top w:val="nil"/>
              <w:bottom w:val="nil"/>
              <w:right w:val="single" w:sz="16" w:space="0" w:color="000000"/>
            </w:tcBorders>
            <w:shd w:val="clear" w:color="auto" w:fill="FFFFFF"/>
            <w:vAlign w:val="center"/>
          </w:tcPr>
          <w:p w:rsidR="006367DE" w:rsidRPr="003569BE" w:rsidRDefault="006367DE" w:rsidP="006367DE">
            <w:pPr>
              <w:autoSpaceDE w:val="0"/>
              <w:autoSpaceDN w:val="0"/>
              <w:adjustRightInd w:val="0"/>
              <w:spacing w:after="0" w:line="240" w:lineRule="auto"/>
              <w:jc w:val="center"/>
              <w:rPr>
                <w:rFonts w:cs="Times New Roman"/>
                <w:szCs w:val="24"/>
                <w:lang w:val="en-GB"/>
              </w:rPr>
            </w:pPr>
          </w:p>
        </w:tc>
      </w:tr>
      <w:tr w:rsidR="006367DE" w:rsidRPr="003569BE" w:rsidTr="0032257A">
        <w:trPr>
          <w:cantSplit/>
          <w:tblHeade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6367DE" w:rsidRPr="003569BE" w:rsidRDefault="006367DE" w:rsidP="006367DE">
            <w:pPr>
              <w:autoSpaceDE w:val="0"/>
              <w:autoSpaceDN w:val="0"/>
              <w:adjustRightInd w:val="0"/>
              <w:spacing w:after="0" w:line="240" w:lineRule="auto"/>
              <w:jc w:val="left"/>
              <w:rPr>
                <w:rFonts w:cs="Times New Roman"/>
                <w:szCs w:val="24"/>
                <w:lang w:val="en-GB"/>
              </w:rPr>
            </w:pPr>
          </w:p>
        </w:tc>
        <w:tc>
          <w:tcPr>
            <w:tcW w:w="1272" w:type="dxa"/>
            <w:tcBorders>
              <w:top w:val="nil"/>
              <w:left w:val="nil"/>
              <w:bottom w:val="single" w:sz="16" w:space="0" w:color="000000"/>
              <w:right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Total</w:t>
            </w:r>
          </w:p>
        </w:tc>
        <w:tc>
          <w:tcPr>
            <w:tcW w:w="1456" w:type="dxa"/>
            <w:tcBorders>
              <w:top w:val="nil"/>
              <w:left w:val="single" w:sz="16" w:space="0" w:color="000000"/>
              <w:bottom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1,811</w:t>
            </w:r>
          </w:p>
        </w:tc>
        <w:tc>
          <w:tcPr>
            <w:tcW w:w="1009" w:type="dxa"/>
            <w:tcBorders>
              <w:top w:val="nil"/>
              <w:bottom w:val="single" w:sz="16" w:space="0" w:color="000000"/>
            </w:tcBorders>
            <w:shd w:val="clear" w:color="auto" w:fill="FFFFFF"/>
          </w:tcPr>
          <w:p w:rsidR="006367DE" w:rsidRPr="003569BE" w:rsidRDefault="006367DE" w:rsidP="006367D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356</w:t>
            </w:r>
          </w:p>
        </w:tc>
        <w:tc>
          <w:tcPr>
            <w:tcW w:w="1398" w:type="dxa"/>
            <w:tcBorders>
              <w:top w:val="nil"/>
              <w:bottom w:val="single" w:sz="16" w:space="0" w:color="000000"/>
            </w:tcBorders>
            <w:shd w:val="clear" w:color="auto" w:fill="FFFFFF"/>
            <w:vAlign w:val="center"/>
          </w:tcPr>
          <w:p w:rsidR="006367DE" w:rsidRPr="003569BE" w:rsidRDefault="006367DE" w:rsidP="006367DE">
            <w:pPr>
              <w:autoSpaceDE w:val="0"/>
              <w:autoSpaceDN w:val="0"/>
              <w:adjustRightInd w:val="0"/>
              <w:spacing w:after="0" w:line="240" w:lineRule="auto"/>
              <w:jc w:val="center"/>
              <w:rPr>
                <w:rFonts w:cs="Times New Roman"/>
                <w:szCs w:val="24"/>
                <w:lang w:val="en-GB"/>
              </w:rPr>
            </w:pPr>
          </w:p>
        </w:tc>
        <w:tc>
          <w:tcPr>
            <w:tcW w:w="1010" w:type="dxa"/>
            <w:tcBorders>
              <w:top w:val="nil"/>
              <w:bottom w:val="single" w:sz="16" w:space="0" w:color="000000"/>
            </w:tcBorders>
            <w:shd w:val="clear" w:color="auto" w:fill="FFFFFF"/>
            <w:vAlign w:val="center"/>
          </w:tcPr>
          <w:p w:rsidR="006367DE" w:rsidRPr="003569BE" w:rsidRDefault="006367DE" w:rsidP="006367DE">
            <w:pPr>
              <w:autoSpaceDE w:val="0"/>
              <w:autoSpaceDN w:val="0"/>
              <w:adjustRightInd w:val="0"/>
              <w:spacing w:after="0" w:line="240" w:lineRule="auto"/>
              <w:jc w:val="center"/>
              <w:rPr>
                <w:rFonts w:cs="Times New Roman"/>
                <w:szCs w:val="24"/>
                <w:lang w:val="en-GB"/>
              </w:rPr>
            </w:pPr>
          </w:p>
        </w:tc>
        <w:tc>
          <w:tcPr>
            <w:tcW w:w="1010" w:type="dxa"/>
            <w:tcBorders>
              <w:top w:val="nil"/>
              <w:bottom w:val="single" w:sz="16" w:space="0" w:color="000000"/>
              <w:right w:val="single" w:sz="16" w:space="0" w:color="000000"/>
            </w:tcBorders>
            <w:shd w:val="clear" w:color="auto" w:fill="FFFFFF"/>
            <w:vAlign w:val="center"/>
          </w:tcPr>
          <w:p w:rsidR="006367DE" w:rsidRPr="003569BE" w:rsidRDefault="006367DE" w:rsidP="006367DE">
            <w:pPr>
              <w:autoSpaceDE w:val="0"/>
              <w:autoSpaceDN w:val="0"/>
              <w:adjustRightInd w:val="0"/>
              <w:spacing w:after="0" w:line="240" w:lineRule="auto"/>
              <w:jc w:val="center"/>
              <w:rPr>
                <w:rFonts w:cs="Times New Roman"/>
                <w:szCs w:val="24"/>
                <w:lang w:val="en-GB"/>
              </w:rPr>
            </w:pPr>
          </w:p>
        </w:tc>
      </w:tr>
      <w:tr w:rsidR="006367DE" w:rsidRPr="003569BE" w:rsidTr="0032257A">
        <w:trPr>
          <w:cantSplit/>
          <w:jc w:val="center"/>
        </w:trPr>
        <w:tc>
          <w:tcPr>
            <w:tcW w:w="7883" w:type="dxa"/>
            <w:gridSpan w:val="7"/>
            <w:tcBorders>
              <w:top w:val="nil"/>
              <w:left w:val="nil"/>
              <w:bottom w:val="nil"/>
              <w:right w:val="nil"/>
            </w:tcBorders>
            <w:shd w:val="clear" w:color="auto" w:fill="FFFFFF"/>
          </w:tcPr>
          <w:p w:rsidR="006367DE" w:rsidRPr="003569BE" w:rsidRDefault="006367DE" w:rsidP="006367D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Predictors: (Constant), ctr_PriorLoss, ctr_size, ctr_growth, audit tenure, ctr_leverage</w:t>
            </w:r>
          </w:p>
          <w:p w:rsidR="006367DE" w:rsidRPr="003569BE" w:rsidRDefault="006367DE" w:rsidP="0030025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b. Dependent Variable: DA</w:t>
            </w:r>
            <w:r w:rsidR="003761EC"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r>
    </w:tbl>
    <w:p w:rsidR="00DD0AC7" w:rsidRPr="003569BE" w:rsidRDefault="00DD0AC7" w:rsidP="00DD0AC7">
      <w:pPr>
        <w:spacing w:line="360" w:lineRule="auto"/>
        <w:jc w:val="right"/>
        <w:rPr>
          <w:i/>
          <w:sz w:val="20"/>
          <w:szCs w:val="20"/>
          <w:lang w:val="en-GB"/>
        </w:rPr>
      </w:pPr>
      <w:r w:rsidRPr="003569BE">
        <w:rPr>
          <w:i/>
          <w:sz w:val="20"/>
          <w:szCs w:val="20"/>
          <w:lang w:val="en-GB"/>
        </w:rPr>
        <w:t>Table 9 – ANOVA</w:t>
      </w:r>
    </w:p>
    <w:p w:rsidR="0032257A" w:rsidRPr="003569BE" w:rsidRDefault="0032257A" w:rsidP="0032257A">
      <w:pPr>
        <w:autoSpaceDE w:val="0"/>
        <w:autoSpaceDN w:val="0"/>
        <w:adjustRightInd w:val="0"/>
        <w:spacing w:after="0" w:line="240" w:lineRule="auto"/>
        <w:jc w:val="left"/>
        <w:rPr>
          <w:rFonts w:cs="Times New Roman"/>
          <w:szCs w:val="24"/>
          <w:lang w:val="en-GB"/>
        </w:rPr>
      </w:pPr>
    </w:p>
    <w:tbl>
      <w:tblPr>
        <w:tblW w:w="82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325"/>
        <w:gridCol w:w="1323"/>
        <w:gridCol w:w="1456"/>
        <w:gridCol w:w="1010"/>
        <w:gridCol w:w="1010"/>
      </w:tblGrid>
      <w:tr w:rsidR="0032257A" w:rsidRPr="003569BE" w:rsidTr="007E3D94">
        <w:trPr>
          <w:cantSplit/>
          <w:tblHeader/>
          <w:jc w:val="center"/>
        </w:trPr>
        <w:tc>
          <w:tcPr>
            <w:tcW w:w="8260" w:type="dxa"/>
            <w:gridSpan w:val="7"/>
            <w:tcBorders>
              <w:top w:val="nil"/>
              <w:left w:val="nil"/>
              <w:bottom w:val="nil"/>
              <w:right w:val="nil"/>
            </w:tcBorders>
            <w:shd w:val="clear" w:color="auto" w:fill="FFFFFF"/>
            <w:vAlign w:val="center"/>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32257A" w:rsidRPr="003569BE" w:rsidTr="007E3D94">
        <w:trPr>
          <w:cantSplit/>
          <w:tblHeader/>
          <w:jc w:val="cent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648" w:type="dxa"/>
            <w:gridSpan w:val="2"/>
            <w:tcBorders>
              <w:top w:val="single" w:sz="16" w:space="0" w:color="000000"/>
              <w:left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Unstandardized Coefficients</w:t>
            </w:r>
          </w:p>
        </w:tc>
        <w:tc>
          <w:tcPr>
            <w:tcW w:w="1456" w:type="dxa"/>
            <w:tcBorders>
              <w:top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Sig.</w:t>
            </w:r>
          </w:p>
        </w:tc>
      </w:tr>
      <w:tr w:rsidR="0032257A" w:rsidRPr="003569BE" w:rsidTr="007E3D94">
        <w:trPr>
          <w:cantSplit/>
          <w:tblHeader/>
          <w:jc w:val="cent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325" w:type="dxa"/>
            <w:tcBorders>
              <w:left w:val="single" w:sz="16" w:space="0" w:color="000000"/>
              <w:bottom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w:t>
            </w:r>
          </w:p>
        </w:tc>
        <w:tc>
          <w:tcPr>
            <w:tcW w:w="1323" w:type="dxa"/>
            <w:tcBorders>
              <w:bottom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Std. Error</w:t>
            </w:r>
          </w:p>
        </w:tc>
        <w:tc>
          <w:tcPr>
            <w:tcW w:w="1456" w:type="dxa"/>
            <w:tcBorders>
              <w:bottom w:val="single" w:sz="16" w:space="0" w:color="000000"/>
            </w:tcBorders>
            <w:shd w:val="clear" w:color="auto" w:fill="FFFFFF"/>
            <w:vAlign w:val="bottom"/>
          </w:tcPr>
          <w:p w:rsidR="0032257A" w:rsidRPr="003569BE" w:rsidRDefault="0032257A" w:rsidP="0032257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Beta</w:t>
            </w:r>
          </w:p>
        </w:tc>
        <w:tc>
          <w:tcPr>
            <w:tcW w:w="1010" w:type="dxa"/>
            <w:vMerge/>
            <w:tcBorders>
              <w:top w:val="single" w:sz="16" w:space="0" w:color="000000"/>
              <w:bottom w:val="single" w:sz="16" w:space="0" w:color="000000"/>
            </w:tcBorders>
            <w:shd w:val="clear" w:color="auto" w:fill="FFFFFF"/>
            <w:vAlign w:val="bottom"/>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r>
      <w:tr w:rsidR="0032257A" w:rsidRPr="003569BE" w:rsidTr="007E3D94">
        <w:trPr>
          <w:cantSplit/>
          <w:tblHeade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(Constant)</w:t>
            </w:r>
          </w:p>
        </w:tc>
        <w:tc>
          <w:tcPr>
            <w:tcW w:w="1325" w:type="dxa"/>
            <w:tcBorders>
              <w:top w:val="single" w:sz="16" w:space="0" w:color="000000"/>
              <w:left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-,010</w:t>
            </w:r>
          </w:p>
        </w:tc>
        <w:tc>
          <w:tcPr>
            <w:tcW w:w="1323" w:type="dxa"/>
            <w:tcBorders>
              <w:top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,032</w:t>
            </w:r>
          </w:p>
        </w:tc>
        <w:tc>
          <w:tcPr>
            <w:tcW w:w="1456" w:type="dxa"/>
            <w:tcBorders>
              <w:top w:val="single" w:sz="16" w:space="0" w:color="000000"/>
              <w:bottom w:val="nil"/>
            </w:tcBorders>
            <w:shd w:val="clear" w:color="auto" w:fill="FFFFFF"/>
            <w:vAlign w:val="center"/>
          </w:tcPr>
          <w:p w:rsidR="0032257A" w:rsidRPr="003569BE" w:rsidRDefault="0032257A" w:rsidP="0032257A">
            <w:pPr>
              <w:autoSpaceDE w:val="0"/>
              <w:autoSpaceDN w:val="0"/>
              <w:adjustRightInd w:val="0"/>
              <w:spacing w:after="0" w:line="240" w:lineRule="auto"/>
              <w:jc w:val="center"/>
              <w:rPr>
                <w:rFonts w:cs="Times New Roman"/>
                <w:szCs w:val="24"/>
                <w:lang w:val="en-GB"/>
              </w:rPr>
            </w:pPr>
          </w:p>
        </w:tc>
        <w:tc>
          <w:tcPr>
            <w:tcW w:w="1010" w:type="dxa"/>
            <w:tcBorders>
              <w:top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-,311</w:t>
            </w:r>
          </w:p>
        </w:tc>
        <w:tc>
          <w:tcPr>
            <w:tcW w:w="1010" w:type="dxa"/>
            <w:tcBorders>
              <w:top w:val="single" w:sz="16" w:space="0" w:color="000000"/>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,756</w:t>
            </w:r>
          </w:p>
        </w:tc>
      </w:tr>
      <w:tr w:rsidR="0032257A" w:rsidRPr="003569BE" w:rsidTr="007E3D94">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32257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32257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32257A" w:rsidRPr="003569BE">
              <w:rPr>
                <w:rFonts w:ascii="Arial" w:hAnsi="Arial" w:cs="Arial"/>
                <w:color w:val="000000"/>
                <w:sz w:val="18"/>
                <w:szCs w:val="18"/>
                <w:lang w:val="en-GB"/>
              </w:rPr>
              <w:t>tenure</w:t>
            </w:r>
          </w:p>
        </w:tc>
        <w:tc>
          <w:tcPr>
            <w:tcW w:w="1325" w:type="dxa"/>
            <w:tcBorders>
              <w:top w:val="nil"/>
              <w:left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,004</w:t>
            </w:r>
          </w:p>
        </w:tc>
        <w:tc>
          <w:tcPr>
            <w:tcW w:w="1323"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,002</w:t>
            </w:r>
          </w:p>
        </w:tc>
        <w:tc>
          <w:tcPr>
            <w:tcW w:w="1456"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,123</w:t>
            </w:r>
          </w:p>
        </w:tc>
        <w:tc>
          <w:tcPr>
            <w:tcW w:w="1010"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2,330</w:t>
            </w:r>
          </w:p>
        </w:tc>
        <w:tc>
          <w:tcPr>
            <w:tcW w:w="1010" w:type="dxa"/>
            <w:tcBorders>
              <w:top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,020</w:t>
            </w:r>
          </w:p>
        </w:tc>
      </w:tr>
      <w:tr w:rsidR="0032257A" w:rsidRPr="003569BE" w:rsidTr="007E3D94">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325" w:type="dxa"/>
            <w:tcBorders>
              <w:top w:val="nil"/>
              <w:left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-,039</w:t>
            </w:r>
          </w:p>
        </w:tc>
        <w:tc>
          <w:tcPr>
            <w:tcW w:w="1323"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,027</w:t>
            </w:r>
          </w:p>
        </w:tc>
        <w:tc>
          <w:tcPr>
            <w:tcW w:w="1456"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-,075</w:t>
            </w:r>
          </w:p>
        </w:tc>
        <w:tc>
          <w:tcPr>
            <w:tcW w:w="1010"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-1,415</w:t>
            </w:r>
          </w:p>
        </w:tc>
        <w:tc>
          <w:tcPr>
            <w:tcW w:w="1010" w:type="dxa"/>
            <w:tcBorders>
              <w:top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,158</w:t>
            </w:r>
          </w:p>
        </w:tc>
      </w:tr>
      <w:tr w:rsidR="0032257A" w:rsidRPr="003569BE" w:rsidTr="007E3D94">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325" w:type="dxa"/>
            <w:tcBorders>
              <w:top w:val="nil"/>
              <w:left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-,008</w:t>
            </w:r>
          </w:p>
        </w:tc>
        <w:tc>
          <w:tcPr>
            <w:tcW w:w="1323"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,003</w:t>
            </w:r>
          </w:p>
        </w:tc>
        <w:tc>
          <w:tcPr>
            <w:tcW w:w="1456"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-,125</w:t>
            </w:r>
          </w:p>
        </w:tc>
        <w:tc>
          <w:tcPr>
            <w:tcW w:w="1010"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-2,374</w:t>
            </w:r>
          </w:p>
        </w:tc>
        <w:tc>
          <w:tcPr>
            <w:tcW w:w="1010" w:type="dxa"/>
            <w:tcBorders>
              <w:top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,018</w:t>
            </w:r>
          </w:p>
        </w:tc>
      </w:tr>
      <w:tr w:rsidR="0032257A" w:rsidRPr="003569BE" w:rsidTr="007E3D94">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325" w:type="dxa"/>
            <w:tcBorders>
              <w:top w:val="nil"/>
              <w:left w:val="single" w:sz="16" w:space="0" w:color="000000"/>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,032</w:t>
            </w:r>
          </w:p>
        </w:tc>
        <w:tc>
          <w:tcPr>
            <w:tcW w:w="1323"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,014</w:t>
            </w:r>
          </w:p>
        </w:tc>
        <w:tc>
          <w:tcPr>
            <w:tcW w:w="1456"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,118</w:t>
            </w:r>
          </w:p>
        </w:tc>
        <w:tc>
          <w:tcPr>
            <w:tcW w:w="1010" w:type="dxa"/>
            <w:tcBorders>
              <w:top w:val="nil"/>
              <w:bottom w:val="nil"/>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2,231</w:t>
            </w:r>
          </w:p>
        </w:tc>
        <w:tc>
          <w:tcPr>
            <w:tcW w:w="1010" w:type="dxa"/>
            <w:tcBorders>
              <w:top w:val="nil"/>
              <w:bottom w:val="nil"/>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,026</w:t>
            </w:r>
          </w:p>
        </w:tc>
      </w:tr>
      <w:tr w:rsidR="0032257A" w:rsidRPr="003569BE" w:rsidTr="007E3D94">
        <w:trPr>
          <w:cantSplit/>
          <w:tblHeade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32257A" w:rsidRPr="003569BE" w:rsidRDefault="0032257A" w:rsidP="0032257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325" w:type="dxa"/>
            <w:tcBorders>
              <w:top w:val="nil"/>
              <w:left w:val="single" w:sz="16" w:space="0" w:color="000000"/>
              <w:bottom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-,018</w:t>
            </w:r>
          </w:p>
        </w:tc>
        <w:tc>
          <w:tcPr>
            <w:tcW w:w="1323" w:type="dxa"/>
            <w:tcBorders>
              <w:top w:val="nil"/>
              <w:bottom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,013</w:t>
            </w:r>
          </w:p>
        </w:tc>
        <w:tc>
          <w:tcPr>
            <w:tcW w:w="1456" w:type="dxa"/>
            <w:tcBorders>
              <w:top w:val="nil"/>
              <w:bottom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-,074</w:t>
            </w:r>
          </w:p>
        </w:tc>
        <w:tc>
          <w:tcPr>
            <w:tcW w:w="1010" w:type="dxa"/>
            <w:tcBorders>
              <w:top w:val="nil"/>
              <w:bottom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-1,406</w:t>
            </w:r>
          </w:p>
        </w:tc>
        <w:tc>
          <w:tcPr>
            <w:tcW w:w="1010" w:type="dxa"/>
            <w:tcBorders>
              <w:top w:val="nil"/>
              <w:bottom w:val="single" w:sz="16" w:space="0" w:color="000000"/>
              <w:right w:val="single" w:sz="16" w:space="0" w:color="000000"/>
            </w:tcBorders>
            <w:shd w:val="clear" w:color="auto" w:fill="FFFFFF"/>
          </w:tcPr>
          <w:p w:rsidR="0032257A" w:rsidRPr="003569BE" w:rsidRDefault="0032257A" w:rsidP="0032257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,161</w:t>
            </w:r>
          </w:p>
        </w:tc>
      </w:tr>
      <w:tr w:rsidR="0032257A" w:rsidRPr="003569BE" w:rsidTr="007E3D94">
        <w:trPr>
          <w:cantSplit/>
          <w:jc w:val="center"/>
        </w:trPr>
        <w:tc>
          <w:tcPr>
            <w:tcW w:w="8260" w:type="dxa"/>
            <w:gridSpan w:val="7"/>
            <w:tcBorders>
              <w:top w:val="nil"/>
              <w:left w:val="nil"/>
              <w:bottom w:val="nil"/>
              <w:right w:val="nil"/>
            </w:tcBorders>
            <w:shd w:val="clear" w:color="auto" w:fill="FFFFFF"/>
          </w:tcPr>
          <w:p w:rsidR="0032257A" w:rsidRPr="003569BE" w:rsidRDefault="0032257A" w:rsidP="007E3D94">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DA</w:t>
            </w:r>
            <w:r w:rsidR="00AB34A0" w:rsidRPr="003569BE">
              <w:rPr>
                <w:rFonts w:ascii="Arial" w:hAnsi="Arial" w:cs="Arial"/>
                <w:color w:val="000000"/>
                <w:sz w:val="18"/>
                <w:szCs w:val="18"/>
                <w:vertAlign w:val="subscript"/>
                <w:lang w:val="en-GB"/>
              </w:rPr>
              <w:t>t</w:t>
            </w:r>
            <w:r w:rsidRPr="003569BE">
              <w:rPr>
                <w:rFonts w:ascii="Arial" w:hAnsi="Arial" w:cs="Arial"/>
                <w:color w:val="000000"/>
                <w:sz w:val="18"/>
                <w:szCs w:val="18"/>
                <w:lang w:val="en-GB"/>
              </w:rPr>
              <w:t>/A</w:t>
            </w:r>
            <w:r w:rsidRPr="003569BE">
              <w:rPr>
                <w:rFonts w:ascii="Arial" w:hAnsi="Arial" w:cs="Arial"/>
                <w:color w:val="000000"/>
                <w:sz w:val="18"/>
                <w:szCs w:val="18"/>
                <w:vertAlign w:val="subscript"/>
                <w:lang w:val="en-GB"/>
              </w:rPr>
              <w:t>t-1</w:t>
            </w:r>
          </w:p>
        </w:tc>
      </w:tr>
    </w:tbl>
    <w:p w:rsidR="007E3D94" w:rsidRPr="003569BE" w:rsidRDefault="007E3D94" w:rsidP="007E3D94">
      <w:pPr>
        <w:spacing w:line="360" w:lineRule="auto"/>
        <w:jc w:val="right"/>
        <w:rPr>
          <w:i/>
          <w:sz w:val="20"/>
          <w:szCs w:val="20"/>
          <w:lang w:val="en-GB"/>
        </w:rPr>
      </w:pPr>
      <w:r w:rsidRPr="003569BE">
        <w:rPr>
          <w:i/>
          <w:sz w:val="20"/>
          <w:szCs w:val="20"/>
          <w:lang w:val="en-GB"/>
        </w:rPr>
        <w:t>Table 10 –</w:t>
      </w:r>
      <w:r w:rsidR="00C92D50" w:rsidRPr="003569BE">
        <w:rPr>
          <w:i/>
          <w:sz w:val="20"/>
          <w:szCs w:val="20"/>
          <w:lang w:val="en-GB"/>
        </w:rPr>
        <w:t xml:space="preserve"> </w:t>
      </w:r>
      <w:r w:rsidRPr="003569BE">
        <w:rPr>
          <w:i/>
          <w:sz w:val="20"/>
          <w:szCs w:val="20"/>
          <w:lang w:val="en-GB"/>
        </w:rPr>
        <w:t>Coefficients</w:t>
      </w:r>
    </w:p>
    <w:p w:rsidR="002413C2" w:rsidRPr="003569BE" w:rsidRDefault="002413C2">
      <w:pPr>
        <w:jc w:val="left"/>
        <w:rPr>
          <w:rFonts w:cs="Times New Roman"/>
          <w:szCs w:val="24"/>
          <w:lang w:val="en-GB"/>
        </w:rPr>
      </w:pPr>
      <w:r w:rsidRPr="003569BE">
        <w:rPr>
          <w:rFonts w:cs="Times New Roman"/>
          <w:szCs w:val="24"/>
          <w:lang w:val="en-GB"/>
        </w:rPr>
        <w:br w:type="page"/>
      </w:r>
    </w:p>
    <w:p w:rsidR="000B55DD" w:rsidRPr="003569BE" w:rsidRDefault="000B55DD" w:rsidP="000B55DD">
      <w:pPr>
        <w:rPr>
          <w:rFonts w:cs="Times New Roman"/>
          <w:szCs w:val="24"/>
          <w:lang w:val="en-GB"/>
        </w:rPr>
      </w:pPr>
      <w:r w:rsidRPr="003569BE">
        <w:rPr>
          <w:rFonts w:cs="Times New Roman"/>
          <w:szCs w:val="24"/>
          <w:lang w:val="en-GB"/>
        </w:rPr>
        <w:lastRenderedPageBreak/>
        <w:t>Homoscedasticity test:</w:t>
      </w:r>
    </w:p>
    <w:p w:rsidR="0032257A" w:rsidRPr="003569BE" w:rsidRDefault="002413C2" w:rsidP="002413C2">
      <w:pPr>
        <w:autoSpaceDE w:val="0"/>
        <w:autoSpaceDN w:val="0"/>
        <w:adjustRightInd w:val="0"/>
        <w:spacing w:after="0" w:line="400" w:lineRule="atLeast"/>
        <w:jc w:val="center"/>
        <w:rPr>
          <w:rFonts w:cs="Times New Roman"/>
          <w:szCs w:val="24"/>
          <w:lang w:val="en-GB"/>
        </w:rPr>
      </w:pPr>
      <w:r w:rsidRPr="003569BE">
        <w:rPr>
          <w:rFonts w:cs="Times New Roman"/>
          <w:noProof/>
          <w:szCs w:val="24"/>
          <w:lang w:val="en-US"/>
        </w:rPr>
        <w:drawing>
          <wp:inline distT="0" distB="0" distL="0" distR="0">
            <wp:extent cx="2581275" cy="206836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2590546" cy="2075798"/>
                    </a:xfrm>
                    <a:prstGeom prst="rect">
                      <a:avLst/>
                    </a:prstGeom>
                  </pic:spPr>
                </pic:pic>
              </a:graphicData>
            </a:graphic>
          </wp:inline>
        </w:drawing>
      </w:r>
    </w:p>
    <w:p w:rsidR="000B55DD" w:rsidRPr="003569BE" w:rsidRDefault="000B55DD" w:rsidP="000B55DD">
      <w:pPr>
        <w:rPr>
          <w:lang w:val="en-GB"/>
        </w:rPr>
      </w:pPr>
      <w:r w:rsidRPr="003569BE">
        <w:rPr>
          <w:lang w:val="en-GB"/>
        </w:rPr>
        <w:t>Multicollinearity tests:</w:t>
      </w:r>
    </w:p>
    <w:tbl>
      <w:tblPr>
        <w:tblW w:w="4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125"/>
        <w:gridCol w:w="1011"/>
      </w:tblGrid>
      <w:tr w:rsidR="00057861" w:rsidRPr="003569BE" w:rsidTr="00AB133A">
        <w:trPr>
          <w:cantSplit/>
          <w:tblHeader/>
        </w:trPr>
        <w:tc>
          <w:tcPr>
            <w:tcW w:w="4272" w:type="dxa"/>
            <w:gridSpan w:val="4"/>
            <w:tcBorders>
              <w:top w:val="nil"/>
              <w:left w:val="nil"/>
              <w:bottom w:val="nil"/>
              <w:right w:val="nil"/>
            </w:tcBorders>
            <w:shd w:val="clear" w:color="auto" w:fill="FFFFFF"/>
            <w:vAlign w:val="center"/>
          </w:tcPr>
          <w:p w:rsidR="00057861" w:rsidRPr="003569BE" w:rsidRDefault="00057861" w:rsidP="000578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057861" w:rsidRPr="003569BE" w:rsidTr="00AB133A">
        <w:trPr>
          <w:cantSplit/>
          <w:tblHead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2"/>
            <w:tcBorders>
              <w:top w:val="single" w:sz="16" w:space="0" w:color="000000"/>
              <w:left w:val="single" w:sz="16" w:space="0" w:color="000000"/>
              <w:right w:val="single" w:sz="16" w:space="0" w:color="000000"/>
            </w:tcBorders>
            <w:shd w:val="clear" w:color="auto" w:fill="FFFFFF"/>
            <w:vAlign w:val="bottom"/>
          </w:tcPr>
          <w:p w:rsidR="00057861" w:rsidRPr="003569BE" w:rsidRDefault="00057861" w:rsidP="000578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057861" w:rsidRPr="003569BE" w:rsidTr="00AB133A">
        <w:trPr>
          <w:cantSplit/>
          <w:tblHead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57861" w:rsidRPr="003569BE" w:rsidRDefault="00057861" w:rsidP="00057861">
            <w:pPr>
              <w:autoSpaceDE w:val="0"/>
              <w:autoSpaceDN w:val="0"/>
              <w:adjustRightInd w:val="0"/>
              <w:spacing w:after="0" w:line="240" w:lineRule="auto"/>
              <w:jc w:val="left"/>
              <w:rPr>
                <w:rFonts w:ascii="Arial" w:hAnsi="Arial" w:cs="Arial"/>
                <w:color w:val="000000"/>
                <w:sz w:val="18"/>
                <w:szCs w:val="18"/>
                <w:lang w:val="en-GB"/>
              </w:rPr>
            </w:pPr>
          </w:p>
        </w:tc>
        <w:tc>
          <w:tcPr>
            <w:tcW w:w="1125" w:type="dxa"/>
            <w:tcBorders>
              <w:left w:val="single" w:sz="16" w:space="0" w:color="000000"/>
              <w:bottom w:val="single" w:sz="16" w:space="0" w:color="000000"/>
            </w:tcBorders>
            <w:shd w:val="clear" w:color="auto" w:fill="FFFFFF"/>
            <w:vAlign w:val="bottom"/>
          </w:tcPr>
          <w:p w:rsidR="00057861" w:rsidRPr="003569BE" w:rsidRDefault="00057861" w:rsidP="000578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tcBorders>
              <w:bottom w:val="single" w:sz="16" w:space="0" w:color="000000"/>
              <w:right w:val="single" w:sz="16" w:space="0" w:color="000000"/>
            </w:tcBorders>
            <w:shd w:val="clear" w:color="auto" w:fill="FFFFFF"/>
            <w:vAlign w:val="bottom"/>
          </w:tcPr>
          <w:p w:rsidR="00057861" w:rsidRPr="003569BE" w:rsidRDefault="00057861" w:rsidP="00057861">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057861" w:rsidRPr="003569BE" w:rsidTr="00AB133A">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tcBorders>
              <w:top w:val="single" w:sz="16" w:space="0" w:color="000000"/>
              <w:left w:val="single" w:sz="16" w:space="0" w:color="000000"/>
              <w:bottom w:val="nil"/>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,984</w:t>
            </w:r>
          </w:p>
        </w:tc>
        <w:tc>
          <w:tcPr>
            <w:tcW w:w="1011" w:type="dxa"/>
            <w:tcBorders>
              <w:top w:val="single" w:sz="16" w:space="0" w:color="000000"/>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1,017</w:t>
            </w:r>
          </w:p>
        </w:tc>
      </w:tr>
      <w:tr w:rsidR="00057861"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57861" w:rsidRPr="003569BE" w:rsidRDefault="00057861" w:rsidP="00057861">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tcBorders>
              <w:top w:val="nil"/>
              <w:left w:val="single" w:sz="16" w:space="0" w:color="000000"/>
              <w:bottom w:val="nil"/>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,985</w:t>
            </w:r>
          </w:p>
        </w:tc>
        <w:tc>
          <w:tcPr>
            <w:tcW w:w="1011" w:type="dxa"/>
            <w:tcBorders>
              <w:top w:val="nil"/>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1,016</w:t>
            </w:r>
          </w:p>
        </w:tc>
      </w:tr>
      <w:tr w:rsidR="00057861"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57861" w:rsidRPr="003569BE" w:rsidRDefault="00057861" w:rsidP="00057861">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tcBorders>
              <w:top w:val="nil"/>
              <w:left w:val="single" w:sz="16" w:space="0" w:color="000000"/>
              <w:bottom w:val="nil"/>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,962</w:t>
            </w:r>
          </w:p>
        </w:tc>
        <w:tc>
          <w:tcPr>
            <w:tcW w:w="1011" w:type="dxa"/>
            <w:tcBorders>
              <w:top w:val="nil"/>
              <w:bottom w:val="nil"/>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1,039</w:t>
            </w:r>
          </w:p>
        </w:tc>
      </w:tr>
      <w:tr w:rsidR="00057861"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57861" w:rsidRPr="003569BE" w:rsidRDefault="00057861" w:rsidP="00057861">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tcBorders>
              <w:top w:val="nil"/>
              <w:left w:val="single" w:sz="16" w:space="0" w:color="000000"/>
              <w:bottom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,976</w:t>
            </w:r>
          </w:p>
        </w:tc>
        <w:tc>
          <w:tcPr>
            <w:tcW w:w="1011" w:type="dxa"/>
            <w:tcBorders>
              <w:top w:val="nil"/>
              <w:bottom w:val="single" w:sz="16" w:space="0" w:color="000000"/>
              <w:right w:val="single" w:sz="16" w:space="0" w:color="000000"/>
            </w:tcBorders>
            <w:shd w:val="clear" w:color="auto" w:fill="FFFFFF"/>
          </w:tcPr>
          <w:p w:rsidR="00057861" w:rsidRPr="003569BE" w:rsidRDefault="00057861" w:rsidP="00057861">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1,025</w:t>
            </w:r>
          </w:p>
        </w:tc>
      </w:tr>
      <w:tr w:rsidR="00057861" w:rsidRPr="003569BE" w:rsidTr="00AB133A">
        <w:trPr>
          <w:cantSplit/>
        </w:trPr>
        <w:tc>
          <w:tcPr>
            <w:tcW w:w="4272" w:type="dxa"/>
            <w:gridSpan w:val="4"/>
            <w:tcBorders>
              <w:top w:val="nil"/>
              <w:left w:val="nil"/>
              <w:bottom w:val="nil"/>
              <w:right w:val="nil"/>
            </w:tcBorders>
            <w:shd w:val="clear" w:color="auto" w:fill="FFFFFF"/>
          </w:tcPr>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audit</w:t>
            </w:r>
            <w:r w:rsidR="003569BE">
              <w:rPr>
                <w:rFonts w:ascii="Arial" w:hAnsi="Arial" w:cs="Arial"/>
                <w:color w:val="000000"/>
                <w:sz w:val="18"/>
                <w:szCs w:val="18"/>
                <w:lang w:val="en-GB"/>
              </w:rPr>
              <w:t xml:space="preserve"> </w:t>
            </w:r>
            <w:r w:rsidRPr="003569BE">
              <w:rPr>
                <w:rFonts w:ascii="Arial" w:hAnsi="Arial" w:cs="Arial"/>
                <w:color w:val="000000"/>
                <w:sz w:val="18"/>
                <w:szCs w:val="18"/>
                <w:lang w:val="en-GB"/>
              </w:rPr>
              <w:t>tenure</w:t>
            </w:r>
          </w:p>
          <w:p w:rsidR="00057861" w:rsidRPr="003569BE" w:rsidRDefault="00057861" w:rsidP="00057861">
            <w:pPr>
              <w:autoSpaceDE w:val="0"/>
              <w:autoSpaceDN w:val="0"/>
              <w:adjustRightInd w:val="0"/>
              <w:spacing w:after="0" w:line="320" w:lineRule="atLeast"/>
              <w:ind w:left="60" w:right="60"/>
              <w:jc w:val="left"/>
              <w:rPr>
                <w:rFonts w:ascii="Arial" w:hAnsi="Arial" w:cs="Arial"/>
                <w:color w:val="000000"/>
                <w:sz w:val="18"/>
                <w:szCs w:val="18"/>
                <w:lang w:val="en-GB"/>
              </w:rPr>
            </w:pPr>
          </w:p>
        </w:tc>
      </w:tr>
    </w:tbl>
    <w:tbl>
      <w:tblPr>
        <w:tblpPr w:leftFromText="180" w:rightFromText="180" w:vertAnchor="text" w:horzAnchor="margin" w:tblpXSpec="right" w:tblpY="-3155"/>
        <w:tblW w:w="4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125"/>
        <w:gridCol w:w="1011"/>
      </w:tblGrid>
      <w:tr w:rsidR="00AB133A" w:rsidRPr="003569BE" w:rsidTr="00AB133A">
        <w:trPr>
          <w:cantSplit/>
          <w:tblHeader/>
        </w:trPr>
        <w:tc>
          <w:tcPr>
            <w:tcW w:w="4272" w:type="dxa"/>
            <w:gridSpan w:val="4"/>
            <w:tcBorders>
              <w:top w:val="nil"/>
              <w:left w:val="nil"/>
              <w:bottom w:val="nil"/>
              <w:right w:val="nil"/>
            </w:tcBorders>
            <w:shd w:val="clear" w:color="auto" w:fill="FFFFFF"/>
            <w:vAlign w:val="center"/>
          </w:tcPr>
          <w:p w:rsidR="00AB133A" w:rsidRPr="003569BE" w:rsidRDefault="00AB133A" w:rsidP="00AB133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AB133A" w:rsidRPr="003569BE" w:rsidTr="00AB133A">
        <w:trPr>
          <w:cantSplit/>
          <w:tblHead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2"/>
            <w:tcBorders>
              <w:top w:val="single" w:sz="16" w:space="0" w:color="000000"/>
              <w:left w:val="single" w:sz="16" w:space="0" w:color="000000"/>
              <w:right w:val="single" w:sz="16" w:space="0" w:color="000000"/>
            </w:tcBorders>
            <w:shd w:val="clear" w:color="auto" w:fill="FFFFFF"/>
            <w:vAlign w:val="bottom"/>
          </w:tcPr>
          <w:p w:rsidR="00AB133A" w:rsidRPr="003569BE" w:rsidRDefault="00AB133A" w:rsidP="00AB133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AB133A" w:rsidRPr="003569BE" w:rsidTr="00AB133A">
        <w:trPr>
          <w:cantSplit/>
          <w:tblHead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B133A" w:rsidRPr="003569BE" w:rsidRDefault="00AB133A" w:rsidP="00AB133A">
            <w:pPr>
              <w:autoSpaceDE w:val="0"/>
              <w:autoSpaceDN w:val="0"/>
              <w:adjustRightInd w:val="0"/>
              <w:spacing w:after="0" w:line="240" w:lineRule="auto"/>
              <w:jc w:val="left"/>
              <w:rPr>
                <w:rFonts w:ascii="Arial" w:hAnsi="Arial" w:cs="Arial"/>
                <w:color w:val="000000"/>
                <w:sz w:val="18"/>
                <w:szCs w:val="18"/>
                <w:lang w:val="en-GB"/>
              </w:rPr>
            </w:pPr>
          </w:p>
        </w:tc>
        <w:tc>
          <w:tcPr>
            <w:tcW w:w="1125" w:type="dxa"/>
            <w:tcBorders>
              <w:left w:val="single" w:sz="16" w:space="0" w:color="000000"/>
              <w:bottom w:val="single" w:sz="16" w:space="0" w:color="000000"/>
            </w:tcBorders>
            <w:shd w:val="clear" w:color="auto" w:fill="FFFFFF"/>
            <w:vAlign w:val="bottom"/>
          </w:tcPr>
          <w:p w:rsidR="00AB133A" w:rsidRPr="003569BE" w:rsidRDefault="00AB133A" w:rsidP="00AB133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tcBorders>
              <w:bottom w:val="single" w:sz="16" w:space="0" w:color="000000"/>
              <w:right w:val="single" w:sz="16" w:space="0" w:color="000000"/>
            </w:tcBorders>
            <w:shd w:val="clear" w:color="auto" w:fill="FFFFFF"/>
            <w:vAlign w:val="bottom"/>
          </w:tcPr>
          <w:p w:rsidR="00AB133A" w:rsidRPr="003569BE" w:rsidRDefault="00AB133A" w:rsidP="00AB133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AB133A" w:rsidRPr="003569BE" w:rsidTr="00AB133A">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tcBorders>
              <w:top w:val="single" w:sz="16" w:space="0" w:color="000000"/>
              <w:left w:val="single" w:sz="16" w:space="0" w:color="000000"/>
              <w:bottom w:val="nil"/>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,960</w:t>
            </w:r>
          </w:p>
        </w:tc>
        <w:tc>
          <w:tcPr>
            <w:tcW w:w="1011" w:type="dxa"/>
            <w:tcBorders>
              <w:top w:val="single" w:sz="16" w:space="0" w:color="000000"/>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1,042</w:t>
            </w:r>
          </w:p>
        </w:tc>
      </w:tr>
      <w:tr w:rsidR="00AB133A"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B133A" w:rsidRPr="003569BE" w:rsidRDefault="00AB133A" w:rsidP="00AB133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tcBorders>
              <w:top w:val="nil"/>
              <w:left w:val="single" w:sz="16" w:space="0" w:color="000000"/>
              <w:bottom w:val="nil"/>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tcBorders>
              <w:top w:val="nil"/>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AB133A"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B133A" w:rsidRPr="003569BE" w:rsidRDefault="00AB133A" w:rsidP="00AB133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tcBorders>
              <w:top w:val="nil"/>
              <w:left w:val="single" w:sz="16" w:space="0" w:color="000000"/>
              <w:bottom w:val="nil"/>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,967</w:t>
            </w:r>
          </w:p>
        </w:tc>
        <w:tc>
          <w:tcPr>
            <w:tcW w:w="1011" w:type="dxa"/>
            <w:tcBorders>
              <w:top w:val="nil"/>
              <w:bottom w:val="nil"/>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1,034</w:t>
            </w:r>
          </w:p>
        </w:tc>
      </w:tr>
      <w:tr w:rsidR="00AB133A" w:rsidRPr="003569BE" w:rsidTr="00AB133A">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AB133A" w:rsidRPr="003569BE" w:rsidRDefault="00AB133A" w:rsidP="00AB133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AB133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AB133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AB133A" w:rsidRPr="003569BE">
              <w:rPr>
                <w:rFonts w:ascii="Arial" w:hAnsi="Arial" w:cs="Arial"/>
                <w:color w:val="000000"/>
                <w:sz w:val="18"/>
                <w:szCs w:val="18"/>
                <w:lang w:val="en-GB"/>
              </w:rPr>
              <w:t>tenure</w:t>
            </w:r>
          </w:p>
        </w:tc>
        <w:tc>
          <w:tcPr>
            <w:tcW w:w="1125" w:type="dxa"/>
            <w:tcBorders>
              <w:top w:val="nil"/>
              <w:left w:val="single" w:sz="16" w:space="0" w:color="000000"/>
              <w:bottom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,966</w:t>
            </w:r>
          </w:p>
        </w:tc>
        <w:tc>
          <w:tcPr>
            <w:tcW w:w="1011" w:type="dxa"/>
            <w:tcBorders>
              <w:top w:val="nil"/>
              <w:bottom w:val="single" w:sz="16" w:space="0" w:color="000000"/>
              <w:right w:val="single" w:sz="16" w:space="0" w:color="000000"/>
            </w:tcBorders>
            <w:shd w:val="clear" w:color="auto" w:fill="FFFFFF"/>
          </w:tcPr>
          <w:p w:rsidR="00AB133A" w:rsidRPr="003569BE" w:rsidRDefault="00AB133A" w:rsidP="00AB133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1,035</w:t>
            </w:r>
          </w:p>
        </w:tc>
      </w:tr>
      <w:tr w:rsidR="00AB133A" w:rsidRPr="003569BE" w:rsidTr="00AB133A">
        <w:trPr>
          <w:cantSplit/>
        </w:trPr>
        <w:tc>
          <w:tcPr>
            <w:tcW w:w="4272" w:type="dxa"/>
            <w:gridSpan w:val="4"/>
            <w:tcBorders>
              <w:top w:val="nil"/>
              <w:left w:val="nil"/>
              <w:bottom w:val="nil"/>
              <w:right w:val="nil"/>
            </w:tcBorders>
            <w:shd w:val="clear" w:color="auto" w:fill="FFFFFF"/>
          </w:tcPr>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ctr_size</w:t>
            </w:r>
          </w:p>
          <w:p w:rsidR="00AB133A" w:rsidRPr="003569BE" w:rsidRDefault="00AB133A" w:rsidP="00AB133A">
            <w:pPr>
              <w:autoSpaceDE w:val="0"/>
              <w:autoSpaceDN w:val="0"/>
              <w:adjustRightInd w:val="0"/>
              <w:spacing w:after="0" w:line="320" w:lineRule="atLeast"/>
              <w:ind w:left="60" w:right="60"/>
              <w:jc w:val="left"/>
              <w:rPr>
                <w:rFonts w:ascii="Arial" w:hAnsi="Arial" w:cs="Arial"/>
                <w:color w:val="000000"/>
                <w:sz w:val="18"/>
                <w:szCs w:val="18"/>
                <w:lang w:val="en-GB"/>
              </w:rPr>
            </w:pPr>
          </w:p>
        </w:tc>
      </w:tr>
    </w:tbl>
    <w:p w:rsidR="0002635A" w:rsidRPr="003569BE" w:rsidRDefault="0002635A" w:rsidP="0002635A">
      <w:pPr>
        <w:autoSpaceDE w:val="0"/>
        <w:autoSpaceDN w:val="0"/>
        <w:adjustRightInd w:val="0"/>
        <w:spacing w:after="0" w:line="240" w:lineRule="auto"/>
        <w:jc w:val="left"/>
        <w:rPr>
          <w:rFonts w:cs="Times New Roman"/>
          <w:szCs w:val="24"/>
          <w:lang w:val="en-GB"/>
        </w:rPr>
      </w:pPr>
    </w:p>
    <w:tbl>
      <w:tblPr>
        <w:tblW w:w="4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125"/>
        <w:gridCol w:w="1011"/>
      </w:tblGrid>
      <w:tr w:rsidR="0002635A" w:rsidRPr="003569BE" w:rsidTr="00634DCE">
        <w:trPr>
          <w:cantSplit/>
          <w:tblHeader/>
        </w:trPr>
        <w:tc>
          <w:tcPr>
            <w:tcW w:w="4272" w:type="dxa"/>
            <w:gridSpan w:val="4"/>
            <w:tcBorders>
              <w:top w:val="nil"/>
              <w:left w:val="nil"/>
              <w:bottom w:val="nil"/>
              <w:right w:val="nil"/>
            </w:tcBorders>
            <w:shd w:val="clear" w:color="auto" w:fill="FFFFFF"/>
            <w:vAlign w:val="center"/>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02635A" w:rsidRPr="003569BE" w:rsidTr="00634DCE">
        <w:trPr>
          <w:cantSplit/>
          <w:tblHead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2"/>
            <w:tcBorders>
              <w:top w:val="single" w:sz="16" w:space="0" w:color="000000"/>
              <w:left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02635A" w:rsidRPr="003569BE" w:rsidTr="00634DCE">
        <w:trPr>
          <w:cantSplit/>
          <w:tblHead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125" w:type="dxa"/>
            <w:tcBorders>
              <w:left w:val="single" w:sz="16" w:space="0" w:color="000000"/>
              <w:bottom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tcBorders>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02635A" w:rsidRPr="003569BE" w:rsidTr="00634D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tcBorders>
              <w:top w:val="single" w:sz="16" w:space="0" w:color="000000"/>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,969</w:t>
            </w:r>
          </w:p>
        </w:tc>
        <w:tc>
          <w:tcPr>
            <w:tcW w:w="1011" w:type="dxa"/>
            <w:tcBorders>
              <w:top w:val="single" w:sz="16" w:space="0" w:color="000000"/>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1,032</w:t>
            </w:r>
          </w:p>
        </w:tc>
      </w:tr>
      <w:tr w:rsidR="0002635A"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tcBorders>
              <w:top w:val="nil"/>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tcBorders>
              <w:top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02635A"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2635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02635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02635A" w:rsidRPr="003569BE">
              <w:rPr>
                <w:rFonts w:ascii="Arial" w:hAnsi="Arial" w:cs="Arial"/>
                <w:color w:val="000000"/>
                <w:sz w:val="18"/>
                <w:szCs w:val="18"/>
                <w:lang w:val="en-GB"/>
              </w:rPr>
              <w:t>tenure</w:t>
            </w:r>
          </w:p>
        </w:tc>
        <w:tc>
          <w:tcPr>
            <w:tcW w:w="1125" w:type="dxa"/>
            <w:tcBorders>
              <w:top w:val="nil"/>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,991</w:t>
            </w:r>
          </w:p>
        </w:tc>
        <w:tc>
          <w:tcPr>
            <w:tcW w:w="1011" w:type="dxa"/>
            <w:tcBorders>
              <w:top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1,009</w:t>
            </w:r>
          </w:p>
        </w:tc>
      </w:tr>
      <w:tr w:rsidR="0002635A"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tcBorders>
              <w:top w:val="nil"/>
              <w:left w:val="single" w:sz="16" w:space="0" w:color="000000"/>
              <w:bottom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,984</w:t>
            </w:r>
          </w:p>
        </w:tc>
        <w:tc>
          <w:tcPr>
            <w:tcW w:w="1011" w:type="dxa"/>
            <w:tcBorders>
              <w:top w:val="nil"/>
              <w:bottom w:val="single" w:sz="16" w:space="0" w:color="000000"/>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1,017</w:t>
            </w:r>
          </w:p>
        </w:tc>
      </w:tr>
      <w:tr w:rsidR="0002635A" w:rsidRPr="003569BE" w:rsidTr="00634DCE">
        <w:trPr>
          <w:cantSplit/>
        </w:trPr>
        <w:tc>
          <w:tcPr>
            <w:tcW w:w="4272" w:type="dxa"/>
            <w:gridSpan w:val="4"/>
            <w:tcBorders>
              <w:top w:val="nil"/>
              <w:left w:val="nil"/>
              <w:bottom w:val="nil"/>
              <w:right w:val="nil"/>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ctr_growth</w:t>
            </w:r>
          </w:p>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p>
        </w:tc>
      </w:tr>
    </w:tbl>
    <w:tbl>
      <w:tblPr>
        <w:tblpPr w:leftFromText="180" w:rightFromText="180" w:vertAnchor="text" w:horzAnchor="margin" w:tblpXSpec="right" w:tblpY="-3174"/>
        <w:tblW w:w="41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303"/>
        <w:gridCol w:w="1125"/>
        <w:gridCol w:w="1011"/>
      </w:tblGrid>
      <w:tr w:rsidR="00634DCE" w:rsidRPr="003569BE" w:rsidTr="00634DCE">
        <w:trPr>
          <w:cantSplit/>
          <w:tblHeader/>
        </w:trPr>
        <w:tc>
          <w:tcPr>
            <w:tcW w:w="4166" w:type="dxa"/>
            <w:gridSpan w:val="4"/>
            <w:tcBorders>
              <w:top w:val="nil"/>
              <w:left w:val="nil"/>
              <w:bottom w:val="nil"/>
              <w:right w:val="nil"/>
            </w:tcBorders>
            <w:shd w:val="clear" w:color="auto" w:fill="FFFFFF"/>
            <w:vAlign w:val="center"/>
          </w:tcPr>
          <w:p w:rsidR="00634DCE" w:rsidRPr="003569BE" w:rsidRDefault="00634DCE" w:rsidP="00634DC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634DCE" w:rsidRPr="003569BE" w:rsidTr="00634DCE">
        <w:trPr>
          <w:cantSplit/>
          <w:tblHeader/>
        </w:trPr>
        <w:tc>
          <w:tcPr>
            <w:tcW w:w="203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2"/>
            <w:tcBorders>
              <w:top w:val="single" w:sz="16" w:space="0" w:color="000000"/>
              <w:left w:val="single" w:sz="16" w:space="0" w:color="000000"/>
              <w:right w:val="single" w:sz="16" w:space="0" w:color="000000"/>
            </w:tcBorders>
            <w:shd w:val="clear" w:color="auto" w:fill="FFFFFF"/>
            <w:vAlign w:val="bottom"/>
          </w:tcPr>
          <w:p w:rsidR="00634DCE" w:rsidRPr="003569BE" w:rsidRDefault="00634DCE" w:rsidP="00634DC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634DCE" w:rsidRPr="003569BE" w:rsidTr="00634DCE">
        <w:trPr>
          <w:cantSplit/>
          <w:tblHeader/>
        </w:trPr>
        <w:tc>
          <w:tcPr>
            <w:tcW w:w="203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634DCE" w:rsidRPr="003569BE" w:rsidRDefault="00634DCE" w:rsidP="00634DCE">
            <w:pPr>
              <w:autoSpaceDE w:val="0"/>
              <w:autoSpaceDN w:val="0"/>
              <w:adjustRightInd w:val="0"/>
              <w:spacing w:after="0" w:line="240" w:lineRule="auto"/>
              <w:jc w:val="left"/>
              <w:rPr>
                <w:rFonts w:ascii="Arial" w:hAnsi="Arial" w:cs="Arial"/>
                <w:color w:val="000000"/>
                <w:sz w:val="18"/>
                <w:szCs w:val="18"/>
                <w:lang w:val="en-GB"/>
              </w:rPr>
            </w:pPr>
          </w:p>
        </w:tc>
        <w:tc>
          <w:tcPr>
            <w:tcW w:w="1125" w:type="dxa"/>
            <w:tcBorders>
              <w:left w:val="single" w:sz="16" w:space="0" w:color="000000"/>
              <w:bottom w:val="single" w:sz="16" w:space="0" w:color="000000"/>
            </w:tcBorders>
            <w:shd w:val="clear" w:color="auto" w:fill="FFFFFF"/>
            <w:vAlign w:val="bottom"/>
          </w:tcPr>
          <w:p w:rsidR="00634DCE" w:rsidRPr="003569BE" w:rsidRDefault="00634DCE" w:rsidP="00634DC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tcBorders>
              <w:bottom w:val="single" w:sz="16" w:space="0" w:color="000000"/>
              <w:right w:val="single" w:sz="16" w:space="0" w:color="000000"/>
            </w:tcBorders>
            <w:shd w:val="clear" w:color="auto" w:fill="FFFFFF"/>
            <w:vAlign w:val="bottom"/>
          </w:tcPr>
          <w:p w:rsidR="00634DCE" w:rsidRPr="003569BE" w:rsidRDefault="00634DCE" w:rsidP="00634DCE">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634DCE" w:rsidRPr="003569BE" w:rsidTr="00634DC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303" w:type="dxa"/>
            <w:tcBorders>
              <w:top w:val="single" w:sz="16" w:space="0" w:color="000000"/>
              <w:left w:val="nil"/>
              <w:bottom w:val="nil"/>
              <w:right w:val="single" w:sz="16" w:space="0" w:color="000000"/>
            </w:tcBorders>
            <w:shd w:val="clear" w:color="auto" w:fill="FFFFFF"/>
          </w:tcPr>
          <w:p w:rsidR="00634DCE"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634DCE"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634DCE" w:rsidRPr="003569BE">
              <w:rPr>
                <w:rFonts w:ascii="Arial" w:hAnsi="Arial" w:cs="Arial"/>
                <w:color w:val="000000"/>
                <w:sz w:val="18"/>
                <w:szCs w:val="18"/>
                <w:lang w:val="en-GB"/>
              </w:rPr>
              <w:t>tenure</w:t>
            </w:r>
          </w:p>
        </w:tc>
        <w:tc>
          <w:tcPr>
            <w:tcW w:w="1125" w:type="dxa"/>
            <w:tcBorders>
              <w:top w:val="single" w:sz="16" w:space="0" w:color="000000"/>
              <w:left w:val="single" w:sz="16" w:space="0" w:color="000000"/>
              <w:bottom w:val="nil"/>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,976</w:t>
            </w:r>
          </w:p>
        </w:tc>
        <w:tc>
          <w:tcPr>
            <w:tcW w:w="1011" w:type="dxa"/>
            <w:tcBorders>
              <w:top w:val="single" w:sz="16" w:space="0" w:color="000000"/>
              <w:bottom w:val="nil"/>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1,025</w:t>
            </w:r>
          </w:p>
        </w:tc>
      </w:tr>
      <w:tr w:rsidR="00634DCE"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634DCE" w:rsidRPr="003569BE" w:rsidRDefault="00634DCE" w:rsidP="00634DCE">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nil"/>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tcBorders>
              <w:top w:val="nil"/>
              <w:left w:val="single" w:sz="16" w:space="0" w:color="000000"/>
              <w:bottom w:val="nil"/>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,985</w:t>
            </w:r>
          </w:p>
        </w:tc>
        <w:tc>
          <w:tcPr>
            <w:tcW w:w="1011" w:type="dxa"/>
            <w:tcBorders>
              <w:top w:val="nil"/>
              <w:bottom w:val="nil"/>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1,015</w:t>
            </w:r>
          </w:p>
        </w:tc>
      </w:tr>
      <w:tr w:rsidR="00634DCE"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634DCE" w:rsidRPr="003569BE" w:rsidRDefault="00634DCE" w:rsidP="00634DCE">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nil"/>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tcBorders>
              <w:top w:val="nil"/>
              <w:left w:val="single" w:sz="16" w:space="0" w:color="000000"/>
              <w:bottom w:val="nil"/>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,968</w:t>
            </w:r>
          </w:p>
        </w:tc>
        <w:tc>
          <w:tcPr>
            <w:tcW w:w="1011" w:type="dxa"/>
            <w:tcBorders>
              <w:top w:val="nil"/>
              <w:bottom w:val="nil"/>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1,033</w:t>
            </w:r>
          </w:p>
        </w:tc>
      </w:tr>
      <w:tr w:rsidR="00634DCE" w:rsidRPr="003569BE" w:rsidTr="00634DC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634DCE" w:rsidRPr="003569BE" w:rsidRDefault="00634DCE" w:rsidP="00634DCE">
            <w:pPr>
              <w:autoSpaceDE w:val="0"/>
              <w:autoSpaceDN w:val="0"/>
              <w:adjustRightInd w:val="0"/>
              <w:spacing w:after="0" w:line="240" w:lineRule="auto"/>
              <w:jc w:val="left"/>
              <w:rPr>
                <w:rFonts w:ascii="Arial" w:hAnsi="Arial" w:cs="Arial"/>
                <w:color w:val="000000"/>
                <w:sz w:val="18"/>
                <w:szCs w:val="18"/>
                <w:lang w:val="en-GB"/>
              </w:rPr>
            </w:pPr>
          </w:p>
        </w:tc>
        <w:tc>
          <w:tcPr>
            <w:tcW w:w="1303" w:type="dxa"/>
            <w:tcBorders>
              <w:top w:val="nil"/>
              <w:left w:val="nil"/>
              <w:bottom w:val="single" w:sz="16" w:space="0" w:color="000000"/>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ctr_leverage</w:t>
            </w:r>
          </w:p>
        </w:tc>
        <w:tc>
          <w:tcPr>
            <w:tcW w:w="1125" w:type="dxa"/>
            <w:tcBorders>
              <w:top w:val="nil"/>
              <w:left w:val="single" w:sz="16" w:space="0" w:color="000000"/>
              <w:bottom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,974</w:t>
            </w:r>
          </w:p>
        </w:tc>
        <w:tc>
          <w:tcPr>
            <w:tcW w:w="1011" w:type="dxa"/>
            <w:tcBorders>
              <w:top w:val="nil"/>
              <w:bottom w:val="single" w:sz="16" w:space="0" w:color="000000"/>
              <w:right w:val="single" w:sz="16" w:space="0" w:color="000000"/>
            </w:tcBorders>
            <w:shd w:val="clear" w:color="auto" w:fill="FFFFFF"/>
          </w:tcPr>
          <w:p w:rsidR="00634DCE" w:rsidRPr="003569BE" w:rsidRDefault="00634DCE" w:rsidP="00634DCE">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1,027</w:t>
            </w:r>
          </w:p>
        </w:tc>
      </w:tr>
      <w:tr w:rsidR="00634DCE" w:rsidRPr="003569BE" w:rsidTr="00634DCE">
        <w:trPr>
          <w:cantSplit/>
        </w:trPr>
        <w:tc>
          <w:tcPr>
            <w:tcW w:w="4166" w:type="dxa"/>
            <w:gridSpan w:val="4"/>
            <w:tcBorders>
              <w:top w:val="nil"/>
              <w:left w:val="nil"/>
              <w:bottom w:val="nil"/>
              <w:right w:val="nil"/>
            </w:tcBorders>
            <w:shd w:val="clear" w:color="auto" w:fill="FFFFFF"/>
          </w:tcPr>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 Dependent Variable: ctr_PriorLoss</w:t>
            </w:r>
          </w:p>
          <w:p w:rsidR="00634DCE" w:rsidRPr="003569BE" w:rsidRDefault="00634DCE" w:rsidP="00634DCE">
            <w:pPr>
              <w:autoSpaceDE w:val="0"/>
              <w:autoSpaceDN w:val="0"/>
              <w:adjustRightInd w:val="0"/>
              <w:spacing w:after="0" w:line="320" w:lineRule="atLeast"/>
              <w:ind w:left="60" w:right="60"/>
              <w:jc w:val="left"/>
              <w:rPr>
                <w:rFonts w:ascii="Arial" w:hAnsi="Arial" w:cs="Arial"/>
                <w:color w:val="000000"/>
                <w:sz w:val="18"/>
                <w:szCs w:val="18"/>
                <w:lang w:val="en-GB"/>
              </w:rPr>
            </w:pPr>
          </w:p>
        </w:tc>
      </w:tr>
    </w:tbl>
    <w:tbl>
      <w:tblPr>
        <w:tblW w:w="42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409"/>
        <w:gridCol w:w="1125"/>
        <w:gridCol w:w="1011"/>
      </w:tblGrid>
      <w:tr w:rsidR="0002635A" w:rsidRPr="003569BE" w:rsidTr="00D61E6E">
        <w:trPr>
          <w:cantSplit/>
          <w:tblHeader/>
        </w:trPr>
        <w:tc>
          <w:tcPr>
            <w:tcW w:w="4272" w:type="dxa"/>
            <w:gridSpan w:val="4"/>
            <w:tcBorders>
              <w:top w:val="nil"/>
              <w:left w:val="nil"/>
              <w:bottom w:val="nil"/>
              <w:right w:val="nil"/>
            </w:tcBorders>
            <w:shd w:val="clear" w:color="auto" w:fill="FFFFFF"/>
            <w:vAlign w:val="center"/>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b/>
                <w:bCs/>
                <w:color w:val="000000"/>
                <w:sz w:val="18"/>
                <w:szCs w:val="18"/>
                <w:lang w:val="en-GB"/>
              </w:rPr>
              <w:t>Coefficients</w:t>
            </w:r>
            <w:r w:rsidRPr="003569BE">
              <w:rPr>
                <w:rFonts w:ascii="Arial" w:hAnsi="Arial" w:cs="Arial"/>
                <w:b/>
                <w:bCs/>
                <w:color w:val="000000"/>
                <w:sz w:val="18"/>
                <w:szCs w:val="18"/>
                <w:vertAlign w:val="superscript"/>
                <w:lang w:val="en-GB"/>
              </w:rPr>
              <w:t>a</w:t>
            </w:r>
          </w:p>
        </w:tc>
      </w:tr>
      <w:tr w:rsidR="0002635A" w:rsidRPr="003569BE" w:rsidTr="00D61E6E">
        <w:trPr>
          <w:cantSplit/>
          <w:tblHeader/>
        </w:trPr>
        <w:tc>
          <w:tcPr>
            <w:tcW w:w="213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Model</w:t>
            </w:r>
          </w:p>
        </w:tc>
        <w:tc>
          <w:tcPr>
            <w:tcW w:w="2136" w:type="dxa"/>
            <w:gridSpan w:val="2"/>
            <w:tcBorders>
              <w:top w:val="single" w:sz="16" w:space="0" w:color="000000"/>
              <w:left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Collinearity Statistics</w:t>
            </w:r>
          </w:p>
        </w:tc>
      </w:tr>
      <w:tr w:rsidR="0002635A" w:rsidRPr="003569BE" w:rsidTr="00D61E6E">
        <w:trPr>
          <w:cantSplit/>
          <w:tblHeader/>
        </w:trPr>
        <w:tc>
          <w:tcPr>
            <w:tcW w:w="213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125" w:type="dxa"/>
            <w:tcBorders>
              <w:left w:val="single" w:sz="16" w:space="0" w:color="000000"/>
              <w:bottom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Tolerance</w:t>
            </w:r>
          </w:p>
        </w:tc>
        <w:tc>
          <w:tcPr>
            <w:tcW w:w="1011" w:type="dxa"/>
            <w:tcBorders>
              <w:bottom w:val="single" w:sz="16" w:space="0" w:color="000000"/>
              <w:right w:val="single" w:sz="16" w:space="0" w:color="000000"/>
            </w:tcBorders>
            <w:shd w:val="clear" w:color="auto" w:fill="FFFFFF"/>
            <w:vAlign w:val="bottom"/>
          </w:tcPr>
          <w:p w:rsidR="0002635A" w:rsidRPr="003569BE" w:rsidRDefault="0002635A" w:rsidP="0002635A">
            <w:pPr>
              <w:autoSpaceDE w:val="0"/>
              <w:autoSpaceDN w:val="0"/>
              <w:adjustRightInd w:val="0"/>
              <w:spacing w:after="0" w:line="320" w:lineRule="atLeast"/>
              <w:ind w:left="60" w:right="60"/>
              <w:jc w:val="center"/>
              <w:rPr>
                <w:rFonts w:ascii="Arial" w:hAnsi="Arial" w:cs="Arial"/>
                <w:color w:val="000000"/>
                <w:sz w:val="18"/>
                <w:szCs w:val="18"/>
                <w:lang w:val="en-GB"/>
              </w:rPr>
            </w:pPr>
            <w:r w:rsidRPr="003569BE">
              <w:rPr>
                <w:rFonts w:ascii="Arial" w:hAnsi="Arial" w:cs="Arial"/>
                <w:color w:val="000000"/>
                <w:sz w:val="18"/>
                <w:szCs w:val="18"/>
                <w:lang w:val="en-GB"/>
              </w:rPr>
              <w:t>VIF</w:t>
            </w:r>
          </w:p>
        </w:tc>
      </w:tr>
      <w:tr w:rsidR="0002635A" w:rsidRPr="003569BE" w:rsidTr="00D61E6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1</w:t>
            </w:r>
          </w:p>
        </w:tc>
        <w:tc>
          <w:tcPr>
            <w:tcW w:w="1409" w:type="dxa"/>
            <w:tcBorders>
              <w:top w:val="single" w:sz="16" w:space="0" w:color="000000"/>
              <w:left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ctr_PriorLoss</w:t>
            </w:r>
          </w:p>
        </w:tc>
        <w:tc>
          <w:tcPr>
            <w:tcW w:w="1125" w:type="dxa"/>
            <w:tcBorders>
              <w:top w:val="single" w:sz="16" w:space="0" w:color="000000"/>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,978</w:t>
            </w:r>
          </w:p>
        </w:tc>
        <w:tc>
          <w:tcPr>
            <w:tcW w:w="1011" w:type="dxa"/>
            <w:tcBorders>
              <w:top w:val="single" w:sz="16" w:space="0" w:color="000000"/>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1,022</w:t>
            </w:r>
          </w:p>
        </w:tc>
      </w:tr>
      <w:tr w:rsidR="0002635A" w:rsidRPr="003569BE" w:rsidTr="00D61E6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2635A" w:rsidRPr="003569BE" w:rsidRDefault="003569BE" w:rsidP="003569BE">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A</w:t>
            </w:r>
            <w:r w:rsidR="0002635A" w:rsidRPr="003569BE">
              <w:rPr>
                <w:rFonts w:ascii="Arial" w:hAnsi="Arial" w:cs="Arial"/>
                <w:color w:val="000000"/>
                <w:sz w:val="18"/>
                <w:szCs w:val="18"/>
                <w:lang w:val="en-GB"/>
              </w:rPr>
              <w:t>udit</w:t>
            </w:r>
            <w:r>
              <w:rPr>
                <w:rFonts w:ascii="Arial" w:hAnsi="Arial" w:cs="Arial"/>
                <w:color w:val="000000"/>
                <w:sz w:val="18"/>
                <w:szCs w:val="18"/>
                <w:lang w:val="en-GB"/>
              </w:rPr>
              <w:t xml:space="preserve"> </w:t>
            </w:r>
            <w:r w:rsidR="0002635A" w:rsidRPr="003569BE">
              <w:rPr>
                <w:rFonts w:ascii="Arial" w:hAnsi="Arial" w:cs="Arial"/>
                <w:color w:val="000000"/>
                <w:sz w:val="18"/>
                <w:szCs w:val="18"/>
                <w:lang w:val="en-GB"/>
              </w:rPr>
              <w:t>tenure</w:t>
            </w:r>
          </w:p>
        </w:tc>
        <w:tc>
          <w:tcPr>
            <w:tcW w:w="1125" w:type="dxa"/>
            <w:tcBorders>
              <w:top w:val="nil"/>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,967</w:t>
            </w:r>
          </w:p>
        </w:tc>
        <w:tc>
          <w:tcPr>
            <w:tcW w:w="1011" w:type="dxa"/>
            <w:tcBorders>
              <w:top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1,034</w:t>
            </w:r>
          </w:p>
        </w:tc>
      </w:tr>
      <w:tr w:rsidR="0002635A" w:rsidRPr="003569BE" w:rsidTr="00D61E6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ctr_size</w:t>
            </w:r>
          </w:p>
        </w:tc>
        <w:tc>
          <w:tcPr>
            <w:tcW w:w="1125" w:type="dxa"/>
            <w:tcBorders>
              <w:top w:val="nil"/>
              <w:left w:val="single" w:sz="16" w:space="0" w:color="000000"/>
              <w:bottom w:val="nil"/>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,997</w:t>
            </w:r>
          </w:p>
        </w:tc>
        <w:tc>
          <w:tcPr>
            <w:tcW w:w="1011" w:type="dxa"/>
            <w:tcBorders>
              <w:top w:val="nil"/>
              <w:bottom w:val="nil"/>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1,003</w:t>
            </w:r>
          </w:p>
        </w:tc>
      </w:tr>
      <w:tr w:rsidR="0002635A" w:rsidRPr="003569BE" w:rsidTr="00D61E6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2635A" w:rsidRPr="003569BE" w:rsidRDefault="0002635A" w:rsidP="0002635A">
            <w:pPr>
              <w:autoSpaceDE w:val="0"/>
              <w:autoSpaceDN w:val="0"/>
              <w:adjustRightInd w:val="0"/>
              <w:spacing w:after="0" w:line="240" w:lineRule="auto"/>
              <w:jc w:val="left"/>
              <w:rPr>
                <w:rFonts w:ascii="Arial" w:hAnsi="Arial" w:cs="Arial"/>
                <w:color w:val="000000"/>
                <w:sz w:val="18"/>
                <w:szCs w:val="18"/>
                <w:lang w:val="en-GB"/>
              </w:rPr>
            </w:pPr>
          </w:p>
        </w:tc>
        <w:tc>
          <w:tcPr>
            <w:tcW w:w="1409" w:type="dxa"/>
            <w:tcBorders>
              <w:top w:val="nil"/>
              <w:left w:val="nil"/>
              <w:bottom w:val="single" w:sz="16" w:space="0" w:color="000000"/>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ctr_growth</w:t>
            </w:r>
          </w:p>
        </w:tc>
        <w:tc>
          <w:tcPr>
            <w:tcW w:w="1125" w:type="dxa"/>
            <w:tcBorders>
              <w:top w:val="nil"/>
              <w:left w:val="single" w:sz="16" w:space="0" w:color="000000"/>
              <w:bottom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,968</w:t>
            </w:r>
          </w:p>
        </w:tc>
        <w:tc>
          <w:tcPr>
            <w:tcW w:w="1011" w:type="dxa"/>
            <w:tcBorders>
              <w:top w:val="nil"/>
              <w:bottom w:val="single" w:sz="16" w:space="0" w:color="000000"/>
              <w:right w:val="single" w:sz="16" w:space="0" w:color="000000"/>
            </w:tcBorders>
            <w:shd w:val="clear" w:color="auto" w:fill="FFFFFF"/>
          </w:tcPr>
          <w:p w:rsidR="0002635A" w:rsidRPr="003569BE" w:rsidRDefault="0002635A" w:rsidP="0002635A">
            <w:pPr>
              <w:autoSpaceDE w:val="0"/>
              <w:autoSpaceDN w:val="0"/>
              <w:adjustRightInd w:val="0"/>
              <w:spacing w:after="0" w:line="320" w:lineRule="atLeast"/>
              <w:ind w:left="60" w:right="60"/>
              <w:jc w:val="right"/>
              <w:rPr>
                <w:rFonts w:ascii="Arial" w:hAnsi="Arial" w:cs="Arial"/>
                <w:color w:val="000000"/>
                <w:sz w:val="18"/>
                <w:szCs w:val="18"/>
                <w:lang w:val="en-GB"/>
              </w:rPr>
            </w:pPr>
            <w:r w:rsidRPr="003569BE">
              <w:rPr>
                <w:rFonts w:ascii="Arial" w:hAnsi="Arial" w:cs="Arial"/>
                <w:color w:val="000000"/>
                <w:sz w:val="18"/>
                <w:szCs w:val="18"/>
                <w:lang w:val="en-GB"/>
              </w:rPr>
              <w:t>1,033</w:t>
            </w:r>
          </w:p>
        </w:tc>
      </w:tr>
      <w:tr w:rsidR="0002635A" w:rsidRPr="003569BE" w:rsidTr="00D61E6E">
        <w:trPr>
          <w:cantSplit/>
        </w:trPr>
        <w:tc>
          <w:tcPr>
            <w:tcW w:w="4272" w:type="dxa"/>
            <w:gridSpan w:val="4"/>
            <w:tcBorders>
              <w:top w:val="nil"/>
              <w:left w:val="nil"/>
              <w:bottom w:val="nil"/>
              <w:right w:val="nil"/>
            </w:tcBorders>
            <w:shd w:val="clear" w:color="auto" w:fill="FFFFFF"/>
          </w:tcPr>
          <w:p w:rsidR="0002635A" w:rsidRPr="003569BE" w:rsidRDefault="0002635A" w:rsidP="00270B82">
            <w:pPr>
              <w:autoSpaceDE w:val="0"/>
              <w:autoSpaceDN w:val="0"/>
              <w:adjustRightInd w:val="0"/>
              <w:spacing w:after="0" w:line="320" w:lineRule="atLeast"/>
              <w:ind w:left="60" w:right="60"/>
              <w:jc w:val="left"/>
              <w:rPr>
                <w:rFonts w:ascii="Arial" w:hAnsi="Arial" w:cs="Arial"/>
                <w:color w:val="000000"/>
                <w:sz w:val="18"/>
                <w:szCs w:val="18"/>
                <w:lang w:val="en-GB"/>
              </w:rPr>
            </w:pPr>
            <w:r w:rsidRPr="003569BE">
              <w:rPr>
                <w:rFonts w:ascii="Arial" w:hAnsi="Arial" w:cs="Arial"/>
                <w:color w:val="000000"/>
                <w:sz w:val="18"/>
                <w:szCs w:val="18"/>
                <w:lang w:val="en-GB"/>
              </w:rPr>
              <w:t xml:space="preserve">a. </w:t>
            </w:r>
            <w:r w:rsidR="00270B82" w:rsidRPr="003569BE">
              <w:rPr>
                <w:rFonts w:ascii="Arial" w:hAnsi="Arial" w:cs="Arial"/>
                <w:color w:val="000000"/>
                <w:sz w:val="18"/>
                <w:szCs w:val="18"/>
                <w:lang w:val="en-GB"/>
              </w:rPr>
              <w:t>Dependent Variable: ctr_leverage</w:t>
            </w:r>
          </w:p>
        </w:tc>
      </w:tr>
    </w:tbl>
    <w:p w:rsidR="00CB74DE" w:rsidRPr="003569BE" w:rsidRDefault="00CB74DE" w:rsidP="00CB74DE">
      <w:pPr>
        <w:pStyle w:val="Heading2"/>
        <w:rPr>
          <w:lang w:val="en-GB"/>
        </w:rPr>
      </w:pPr>
    </w:p>
    <w:sectPr w:rsidR="00CB74DE" w:rsidRPr="003569BE" w:rsidSect="00541CB9">
      <w:footerReference w:type="default" r:id="rId19"/>
      <w:footerReference w:type="first" r:id="rId20"/>
      <w:pgSz w:w="11906" w:h="16838"/>
      <w:pgMar w:top="1417" w:right="1417" w:bottom="1417"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537A" w:rsidRDefault="00EF537A" w:rsidP="00791E6B">
      <w:pPr>
        <w:spacing w:after="0" w:line="240" w:lineRule="auto"/>
      </w:pPr>
      <w:r>
        <w:separator/>
      </w:r>
    </w:p>
  </w:endnote>
  <w:endnote w:type="continuationSeparator" w:id="0">
    <w:p w:rsidR="00EF537A" w:rsidRDefault="00EF537A" w:rsidP="00791E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E" w:rsidRDefault="003569BE" w:rsidP="00541CB9">
    <w:pPr>
      <w:pStyle w:val="Footer"/>
      <w:jc w:val="center"/>
    </w:pPr>
  </w:p>
  <w:p w:rsidR="003569BE" w:rsidRDefault="003569B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69BE" w:rsidRDefault="003569BE">
    <w:pPr>
      <w:pStyle w:val="Footer"/>
      <w:jc w:val="right"/>
    </w:pPr>
  </w:p>
  <w:p w:rsidR="003569BE" w:rsidRDefault="003569B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8030518"/>
      <w:docPartObj>
        <w:docPartGallery w:val="Page Numbers (Bottom of Page)"/>
        <w:docPartUnique/>
      </w:docPartObj>
    </w:sdtPr>
    <w:sdtEndPr>
      <w:rPr>
        <w:noProof/>
      </w:rPr>
    </w:sdtEndPr>
    <w:sdtContent>
      <w:p w:rsidR="003569BE" w:rsidRDefault="000E4BAF">
        <w:pPr>
          <w:pStyle w:val="Footer"/>
          <w:jc w:val="right"/>
        </w:pPr>
        <w:r>
          <w:fldChar w:fldCharType="begin"/>
        </w:r>
        <w:r w:rsidR="003569BE">
          <w:instrText xml:space="preserve"> PAGE   \* MERGEFORMAT </w:instrText>
        </w:r>
        <w:r>
          <w:fldChar w:fldCharType="separate"/>
        </w:r>
        <w:r w:rsidR="00567A82">
          <w:rPr>
            <w:noProof/>
          </w:rPr>
          <w:t>49</w:t>
        </w:r>
        <w:r>
          <w:rPr>
            <w:noProof/>
          </w:rPr>
          <w:fldChar w:fldCharType="end"/>
        </w:r>
      </w:p>
    </w:sdtContent>
  </w:sdt>
  <w:p w:rsidR="003569BE" w:rsidRDefault="003569B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2305186"/>
      <w:docPartObj>
        <w:docPartGallery w:val="Page Numbers (Bottom of Page)"/>
        <w:docPartUnique/>
      </w:docPartObj>
    </w:sdtPr>
    <w:sdtEndPr>
      <w:rPr>
        <w:noProof/>
      </w:rPr>
    </w:sdtEndPr>
    <w:sdtContent>
      <w:p w:rsidR="003569BE" w:rsidRDefault="000E4BAF">
        <w:pPr>
          <w:pStyle w:val="Footer"/>
          <w:jc w:val="right"/>
        </w:pPr>
        <w:r>
          <w:fldChar w:fldCharType="begin"/>
        </w:r>
        <w:r w:rsidR="003569BE">
          <w:instrText xml:space="preserve"> PAGE   \* MERGEFORMAT </w:instrText>
        </w:r>
        <w:r>
          <w:fldChar w:fldCharType="separate"/>
        </w:r>
        <w:r w:rsidR="003569BE">
          <w:rPr>
            <w:noProof/>
          </w:rPr>
          <w:t>1</w:t>
        </w:r>
        <w:r>
          <w:rPr>
            <w:noProof/>
          </w:rPr>
          <w:fldChar w:fldCharType="end"/>
        </w:r>
      </w:p>
    </w:sdtContent>
  </w:sdt>
  <w:p w:rsidR="003569BE" w:rsidRDefault="003569B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537A" w:rsidRDefault="00EF537A" w:rsidP="00791E6B">
      <w:pPr>
        <w:spacing w:after="0" w:line="240" w:lineRule="auto"/>
      </w:pPr>
      <w:r>
        <w:separator/>
      </w:r>
    </w:p>
  </w:footnote>
  <w:footnote w:type="continuationSeparator" w:id="0">
    <w:p w:rsidR="00EF537A" w:rsidRDefault="00EF537A" w:rsidP="00791E6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A597D"/>
    <w:multiLevelType w:val="multilevel"/>
    <w:tmpl w:val="D2FA6914"/>
    <w:lvl w:ilvl="0">
      <w:start w:val="7"/>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B7008AB"/>
    <w:multiLevelType w:val="multilevel"/>
    <w:tmpl w:val="D12E4B2E"/>
    <w:lvl w:ilvl="0">
      <w:start w:val="1"/>
      <w:numFmt w:val="decimal"/>
      <w:lvlText w:val="%1."/>
      <w:lvlJc w:val="left"/>
      <w:pPr>
        <w:ind w:left="390" w:hanging="390"/>
      </w:pPr>
      <w:rPr>
        <w:rFonts w:hint="default"/>
        <w:sz w:val="32"/>
        <w:szCs w:val="32"/>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nsid w:val="0BB67E8F"/>
    <w:multiLevelType w:val="hybridMultilevel"/>
    <w:tmpl w:val="D0EC9DE8"/>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199B12C4"/>
    <w:multiLevelType w:val="hybridMultilevel"/>
    <w:tmpl w:val="B1B4EC10"/>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nsid w:val="2093690F"/>
    <w:multiLevelType w:val="multilevel"/>
    <w:tmpl w:val="D962FFD6"/>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nsid w:val="2874186D"/>
    <w:multiLevelType w:val="multilevel"/>
    <w:tmpl w:val="F7ECD4F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2CB965BC"/>
    <w:multiLevelType w:val="hybridMultilevel"/>
    <w:tmpl w:val="2BE08D7A"/>
    <w:lvl w:ilvl="0" w:tplc="F69E8CE8">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nsid w:val="2E8C6A5B"/>
    <w:multiLevelType w:val="multilevel"/>
    <w:tmpl w:val="D962FFD6"/>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nsid w:val="346D6AD3"/>
    <w:multiLevelType w:val="hybridMultilevel"/>
    <w:tmpl w:val="59BCF94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nsid w:val="57175889"/>
    <w:multiLevelType w:val="hybridMultilevel"/>
    <w:tmpl w:val="2ACE86C6"/>
    <w:lvl w:ilvl="0" w:tplc="50DCA0BE">
      <w:start w:val="1"/>
      <w:numFmt w:val="bullet"/>
      <w:lvlText w:val="-"/>
      <w:lvlJc w:val="left"/>
      <w:pPr>
        <w:ind w:left="3360" w:hanging="360"/>
      </w:pPr>
      <w:rPr>
        <w:rFonts w:ascii="Times New Roman" w:eastAsiaTheme="minorHAnsi" w:hAnsi="Times New Roman" w:cs="Times New Roman" w:hint="default"/>
      </w:rPr>
    </w:lvl>
    <w:lvl w:ilvl="1" w:tplc="04180003" w:tentative="1">
      <w:start w:val="1"/>
      <w:numFmt w:val="bullet"/>
      <w:lvlText w:val="o"/>
      <w:lvlJc w:val="left"/>
      <w:pPr>
        <w:ind w:left="4080" w:hanging="360"/>
      </w:pPr>
      <w:rPr>
        <w:rFonts w:ascii="Courier New" w:hAnsi="Courier New" w:cs="Courier New" w:hint="default"/>
      </w:rPr>
    </w:lvl>
    <w:lvl w:ilvl="2" w:tplc="04180005" w:tentative="1">
      <w:start w:val="1"/>
      <w:numFmt w:val="bullet"/>
      <w:lvlText w:val=""/>
      <w:lvlJc w:val="left"/>
      <w:pPr>
        <w:ind w:left="4800" w:hanging="360"/>
      </w:pPr>
      <w:rPr>
        <w:rFonts w:ascii="Wingdings" w:hAnsi="Wingdings" w:hint="default"/>
      </w:rPr>
    </w:lvl>
    <w:lvl w:ilvl="3" w:tplc="04180001" w:tentative="1">
      <w:start w:val="1"/>
      <w:numFmt w:val="bullet"/>
      <w:lvlText w:val=""/>
      <w:lvlJc w:val="left"/>
      <w:pPr>
        <w:ind w:left="5520" w:hanging="360"/>
      </w:pPr>
      <w:rPr>
        <w:rFonts w:ascii="Symbol" w:hAnsi="Symbol" w:hint="default"/>
      </w:rPr>
    </w:lvl>
    <w:lvl w:ilvl="4" w:tplc="04180003" w:tentative="1">
      <w:start w:val="1"/>
      <w:numFmt w:val="bullet"/>
      <w:lvlText w:val="o"/>
      <w:lvlJc w:val="left"/>
      <w:pPr>
        <w:ind w:left="6240" w:hanging="360"/>
      </w:pPr>
      <w:rPr>
        <w:rFonts w:ascii="Courier New" w:hAnsi="Courier New" w:cs="Courier New" w:hint="default"/>
      </w:rPr>
    </w:lvl>
    <w:lvl w:ilvl="5" w:tplc="04180005" w:tentative="1">
      <w:start w:val="1"/>
      <w:numFmt w:val="bullet"/>
      <w:lvlText w:val=""/>
      <w:lvlJc w:val="left"/>
      <w:pPr>
        <w:ind w:left="6960" w:hanging="360"/>
      </w:pPr>
      <w:rPr>
        <w:rFonts w:ascii="Wingdings" w:hAnsi="Wingdings" w:hint="default"/>
      </w:rPr>
    </w:lvl>
    <w:lvl w:ilvl="6" w:tplc="04180001" w:tentative="1">
      <w:start w:val="1"/>
      <w:numFmt w:val="bullet"/>
      <w:lvlText w:val=""/>
      <w:lvlJc w:val="left"/>
      <w:pPr>
        <w:ind w:left="7680" w:hanging="360"/>
      </w:pPr>
      <w:rPr>
        <w:rFonts w:ascii="Symbol" w:hAnsi="Symbol" w:hint="default"/>
      </w:rPr>
    </w:lvl>
    <w:lvl w:ilvl="7" w:tplc="04180003" w:tentative="1">
      <w:start w:val="1"/>
      <w:numFmt w:val="bullet"/>
      <w:lvlText w:val="o"/>
      <w:lvlJc w:val="left"/>
      <w:pPr>
        <w:ind w:left="8400" w:hanging="360"/>
      </w:pPr>
      <w:rPr>
        <w:rFonts w:ascii="Courier New" w:hAnsi="Courier New" w:cs="Courier New" w:hint="default"/>
      </w:rPr>
    </w:lvl>
    <w:lvl w:ilvl="8" w:tplc="04180005" w:tentative="1">
      <w:start w:val="1"/>
      <w:numFmt w:val="bullet"/>
      <w:lvlText w:val=""/>
      <w:lvlJc w:val="left"/>
      <w:pPr>
        <w:ind w:left="9120" w:hanging="360"/>
      </w:pPr>
      <w:rPr>
        <w:rFonts w:ascii="Wingdings" w:hAnsi="Wingdings" w:hint="default"/>
      </w:rPr>
    </w:lvl>
  </w:abstractNum>
  <w:abstractNum w:abstractNumId="10">
    <w:nsid w:val="5CAA3C7D"/>
    <w:multiLevelType w:val="hybridMultilevel"/>
    <w:tmpl w:val="758CF60A"/>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1">
    <w:nsid w:val="5CEF0F32"/>
    <w:multiLevelType w:val="hybridMultilevel"/>
    <w:tmpl w:val="A6AC8A4E"/>
    <w:lvl w:ilvl="0" w:tplc="04180011">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nsid w:val="69A65D3B"/>
    <w:multiLevelType w:val="hybridMultilevel"/>
    <w:tmpl w:val="81ECE11C"/>
    <w:lvl w:ilvl="0" w:tplc="32B81ED0">
      <w:start w:val="1"/>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nsid w:val="70F54630"/>
    <w:multiLevelType w:val="hybridMultilevel"/>
    <w:tmpl w:val="53E031D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nsid w:val="71312EFE"/>
    <w:multiLevelType w:val="hybridMultilevel"/>
    <w:tmpl w:val="2B1633DA"/>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73C7735A"/>
    <w:multiLevelType w:val="hybridMultilevel"/>
    <w:tmpl w:val="0518CE74"/>
    <w:lvl w:ilvl="0" w:tplc="E548BBF4">
      <w:start w:val="1"/>
      <w:numFmt w:val="bullet"/>
      <w:lvlText w:val="-"/>
      <w:lvlJc w:val="left"/>
      <w:pPr>
        <w:ind w:left="720" w:hanging="360"/>
      </w:pPr>
      <w:rPr>
        <w:rFonts w:ascii="Times New Roman" w:eastAsiaTheme="minorHAnsi" w:hAnsi="Times New Roman" w:cs="Times New Roman" w:hint="default"/>
        <w:b/>
        <w:i/>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nsid w:val="762708EA"/>
    <w:multiLevelType w:val="hybridMultilevel"/>
    <w:tmpl w:val="D8F4BF52"/>
    <w:lvl w:ilvl="0" w:tplc="EE7CA55A">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nsid w:val="76AE3113"/>
    <w:multiLevelType w:val="hybridMultilevel"/>
    <w:tmpl w:val="86B2FFEC"/>
    <w:lvl w:ilvl="0" w:tplc="07D84320">
      <w:start w:val="1"/>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nsid w:val="7CDC4B20"/>
    <w:multiLevelType w:val="hybridMultilevel"/>
    <w:tmpl w:val="334A0D2E"/>
    <w:lvl w:ilvl="0" w:tplc="E20463C0">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9">
    <w:nsid w:val="7D421BFE"/>
    <w:multiLevelType w:val="multilevel"/>
    <w:tmpl w:val="862A86A0"/>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3"/>
  </w:num>
  <w:num w:numId="2">
    <w:abstractNumId w:val="2"/>
  </w:num>
  <w:num w:numId="3">
    <w:abstractNumId w:val="14"/>
  </w:num>
  <w:num w:numId="4">
    <w:abstractNumId w:val="13"/>
  </w:num>
  <w:num w:numId="5">
    <w:abstractNumId w:val="5"/>
  </w:num>
  <w:num w:numId="6">
    <w:abstractNumId w:val="1"/>
  </w:num>
  <w:num w:numId="7">
    <w:abstractNumId w:val="8"/>
  </w:num>
  <w:num w:numId="8">
    <w:abstractNumId w:val="6"/>
  </w:num>
  <w:num w:numId="9">
    <w:abstractNumId w:val="11"/>
  </w:num>
  <w:num w:numId="10">
    <w:abstractNumId w:val="10"/>
  </w:num>
  <w:num w:numId="11">
    <w:abstractNumId w:val="16"/>
  </w:num>
  <w:num w:numId="12">
    <w:abstractNumId w:val="19"/>
  </w:num>
  <w:num w:numId="13">
    <w:abstractNumId w:val="18"/>
  </w:num>
  <w:num w:numId="14">
    <w:abstractNumId w:val="4"/>
  </w:num>
  <w:num w:numId="15">
    <w:abstractNumId w:val="0"/>
  </w:num>
  <w:num w:numId="16">
    <w:abstractNumId w:val="7"/>
  </w:num>
  <w:num w:numId="17">
    <w:abstractNumId w:val="15"/>
  </w:num>
  <w:num w:numId="18">
    <w:abstractNumId w:val="12"/>
  </w:num>
  <w:num w:numId="19">
    <w:abstractNumId w:val="17"/>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rsids>
    <w:rsidRoot w:val="007176CE"/>
    <w:rsid w:val="00000B28"/>
    <w:rsid w:val="00000D82"/>
    <w:rsid w:val="000014CC"/>
    <w:rsid w:val="00001B8C"/>
    <w:rsid w:val="00002015"/>
    <w:rsid w:val="00002186"/>
    <w:rsid w:val="000027E5"/>
    <w:rsid w:val="00002A02"/>
    <w:rsid w:val="000049F3"/>
    <w:rsid w:val="00004B39"/>
    <w:rsid w:val="00004BDF"/>
    <w:rsid w:val="000053B0"/>
    <w:rsid w:val="00007CB9"/>
    <w:rsid w:val="00007DCC"/>
    <w:rsid w:val="000108BC"/>
    <w:rsid w:val="00010F9E"/>
    <w:rsid w:val="0001121D"/>
    <w:rsid w:val="00011B6D"/>
    <w:rsid w:val="00012138"/>
    <w:rsid w:val="00013763"/>
    <w:rsid w:val="00013E27"/>
    <w:rsid w:val="00014C0E"/>
    <w:rsid w:val="00014C76"/>
    <w:rsid w:val="0001594B"/>
    <w:rsid w:val="00015954"/>
    <w:rsid w:val="000159A3"/>
    <w:rsid w:val="000166AD"/>
    <w:rsid w:val="000204F8"/>
    <w:rsid w:val="00020976"/>
    <w:rsid w:val="00020E58"/>
    <w:rsid w:val="000210D8"/>
    <w:rsid w:val="000211CF"/>
    <w:rsid w:val="00021A17"/>
    <w:rsid w:val="000221E2"/>
    <w:rsid w:val="000229A3"/>
    <w:rsid w:val="00022FDD"/>
    <w:rsid w:val="00023190"/>
    <w:rsid w:val="00023432"/>
    <w:rsid w:val="00024000"/>
    <w:rsid w:val="00024228"/>
    <w:rsid w:val="0002460F"/>
    <w:rsid w:val="00024D8C"/>
    <w:rsid w:val="00025013"/>
    <w:rsid w:val="00025BF8"/>
    <w:rsid w:val="0002635A"/>
    <w:rsid w:val="000263AB"/>
    <w:rsid w:val="000265A4"/>
    <w:rsid w:val="00026C55"/>
    <w:rsid w:val="00026E09"/>
    <w:rsid w:val="00027982"/>
    <w:rsid w:val="00027A1A"/>
    <w:rsid w:val="00027B32"/>
    <w:rsid w:val="00030422"/>
    <w:rsid w:val="00032204"/>
    <w:rsid w:val="00034325"/>
    <w:rsid w:val="000346FC"/>
    <w:rsid w:val="0003491C"/>
    <w:rsid w:val="000357EC"/>
    <w:rsid w:val="00036042"/>
    <w:rsid w:val="00036DE8"/>
    <w:rsid w:val="000370D8"/>
    <w:rsid w:val="00037389"/>
    <w:rsid w:val="0003761F"/>
    <w:rsid w:val="00037B64"/>
    <w:rsid w:val="00037E09"/>
    <w:rsid w:val="000401E9"/>
    <w:rsid w:val="00040304"/>
    <w:rsid w:val="0004057B"/>
    <w:rsid w:val="0004138A"/>
    <w:rsid w:val="000429BB"/>
    <w:rsid w:val="00042B2B"/>
    <w:rsid w:val="00043421"/>
    <w:rsid w:val="00043AB0"/>
    <w:rsid w:val="0004494C"/>
    <w:rsid w:val="00044BC5"/>
    <w:rsid w:val="00045DA7"/>
    <w:rsid w:val="00045DAC"/>
    <w:rsid w:val="00046134"/>
    <w:rsid w:val="0004691E"/>
    <w:rsid w:val="0004791A"/>
    <w:rsid w:val="000500EE"/>
    <w:rsid w:val="00050790"/>
    <w:rsid w:val="00050DFB"/>
    <w:rsid w:val="000513F7"/>
    <w:rsid w:val="00052494"/>
    <w:rsid w:val="00052D5E"/>
    <w:rsid w:val="00052EC7"/>
    <w:rsid w:val="00053A26"/>
    <w:rsid w:val="00053CB8"/>
    <w:rsid w:val="00054140"/>
    <w:rsid w:val="00054150"/>
    <w:rsid w:val="00054F3D"/>
    <w:rsid w:val="00055366"/>
    <w:rsid w:val="00056377"/>
    <w:rsid w:val="00056453"/>
    <w:rsid w:val="00056E99"/>
    <w:rsid w:val="000571BD"/>
    <w:rsid w:val="00057861"/>
    <w:rsid w:val="00057E3C"/>
    <w:rsid w:val="00057E8A"/>
    <w:rsid w:val="0006177F"/>
    <w:rsid w:val="000627F1"/>
    <w:rsid w:val="000629E4"/>
    <w:rsid w:val="00062AEE"/>
    <w:rsid w:val="00062D51"/>
    <w:rsid w:val="0006331B"/>
    <w:rsid w:val="0006351E"/>
    <w:rsid w:val="00063B43"/>
    <w:rsid w:val="00064B68"/>
    <w:rsid w:val="00065365"/>
    <w:rsid w:val="0006621F"/>
    <w:rsid w:val="00066338"/>
    <w:rsid w:val="00067993"/>
    <w:rsid w:val="000701B6"/>
    <w:rsid w:val="000707D0"/>
    <w:rsid w:val="00071A71"/>
    <w:rsid w:val="00072225"/>
    <w:rsid w:val="00072AD3"/>
    <w:rsid w:val="0007338F"/>
    <w:rsid w:val="00073B32"/>
    <w:rsid w:val="00074054"/>
    <w:rsid w:val="0007564B"/>
    <w:rsid w:val="000758AF"/>
    <w:rsid w:val="00077101"/>
    <w:rsid w:val="0008007D"/>
    <w:rsid w:val="000807B9"/>
    <w:rsid w:val="00080FC8"/>
    <w:rsid w:val="00081848"/>
    <w:rsid w:val="00081F4B"/>
    <w:rsid w:val="000823EF"/>
    <w:rsid w:val="00082853"/>
    <w:rsid w:val="00082A2B"/>
    <w:rsid w:val="00083745"/>
    <w:rsid w:val="0008394F"/>
    <w:rsid w:val="00083B31"/>
    <w:rsid w:val="00083E65"/>
    <w:rsid w:val="00083F45"/>
    <w:rsid w:val="0008475F"/>
    <w:rsid w:val="0008629A"/>
    <w:rsid w:val="00086637"/>
    <w:rsid w:val="00086F3A"/>
    <w:rsid w:val="00087592"/>
    <w:rsid w:val="0009037E"/>
    <w:rsid w:val="00090712"/>
    <w:rsid w:val="000909A5"/>
    <w:rsid w:val="00091782"/>
    <w:rsid w:val="00091A73"/>
    <w:rsid w:val="00091BA3"/>
    <w:rsid w:val="00092020"/>
    <w:rsid w:val="00092653"/>
    <w:rsid w:val="000949B8"/>
    <w:rsid w:val="00094EC4"/>
    <w:rsid w:val="00095E1F"/>
    <w:rsid w:val="00097066"/>
    <w:rsid w:val="00097CC4"/>
    <w:rsid w:val="000A040F"/>
    <w:rsid w:val="000A088B"/>
    <w:rsid w:val="000A095C"/>
    <w:rsid w:val="000A0A5E"/>
    <w:rsid w:val="000A0C2B"/>
    <w:rsid w:val="000A1D35"/>
    <w:rsid w:val="000A1D9B"/>
    <w:rsid w:val="000A2220"/>
    <w:rsid w:val="000A27AC"/>
    <w:rsid w:val="000A2B31"/>
    <w:rsid w:val="000A3DB4"/>
    <w:rsid w:val="000A3EE2"/>
    <w:rsid w:val="000A43F5"/>
    <w:rsid w:val="000A48D8"/>
    <w:rsid w:val="000A53C4"/>
    <w:rsid w:val="000A59F6"/>
    <w:rsid w:val="000A5B34"/>
    <w:rsid w:val="000A5EC7"/>
    <w:rsid w:val="000A678A"/>
    <w:rsid w:val="000A6803"/>
    <w:rsid w:val="000A741E"/>
    <w:rsid w:val="000A7429"/>
    <w:rsid w:val="000A7BA5"/>
    <w:rsid w:val="000B0486"/>
    <w:rsid w:val="000B094E"/>
    <w:rsid w:val="000B0C52"/>
    <w:rsid w:val="000B0D7D"/>
    <w:rsid w:val="000B11C0"/>
    <w:rsid w:val="000B11D2"/>
    <w:rsid w:val="000B2419"/>
    <w:rsid w:val="000B27D7"/>
    <w:rsid w:val="000B2DA8"/>
    <w:rsid w:val="000B2EE2"/>
    <w:rsid w:val="000B3811"/>
    <w:rsid w:val="000B39EC"/>
    <w:rsid w:val="000B42D2"/>
    <w:rsid w:val="000B4B9B"/>
    <w:rsid w:val="000B4DB4"/>
    <w:rsid w:val="000B4DCC"/>
    <w:rsid w:val="000B55DD"/>
    <w:rsid w:val="000B578C"/>
    <w:rsid w:val="000B58A2"/>
    <w:rsid w:val="000B61DD"/>
    <w:rsid w:val="000B68EC"/>
    <w:rsid w:val="000B6C69"/>
    <w:rsid w:val="000C0440"/>
    <w:rsid w:val="000C0805"/>
    <w:rsid w:val="000C0F29"/>
    <w:rsid w:val="000C0F40"/>
    <w:rsid w:val="000C1119"/>
    <w:rsid w:val="000C22B9"/>
    <w:rsid w:val="000C260B"/>
    <w:rsid w:val="000C2C73"/>
    <w:rsid w:val="000C37AA"/>
    <w:rsid w:val="000C5061"/>
    <w:rsid w:val="000C52D1"/>
    <w:rsid w:val="000C5ED9"/>
    <w:rsid w:val="000C69A1"/>
    <w:rsid w:val="000C6F4D"/>
    <w:rsid w:val="000D01E5"/>
    <w:rsid w:val="000D0A7A"/>
    <w:rsid w:val="000D262B"/>
    <w:rsid w:val="000D2737"/>
    <w:rsid w:val="000D2EA1"/>
    <w:rsid w:val="000D2FF2"/>
    <w:rsid w:val="000D31C6"/>
    <w:rsid w:val="000D3A98"/>
    <w:rsid w:val="000D3DC9"/>
    <w:rsid w:val="000D4165"/>
    <w:rsid w:val="000D4394"/>
    <w:rsid w:val="000D49C3"/>
    <w:rsid w:val="000D51A2"/>
    <w:rsid w:val="000D521D"/>
    <w:rsid w:val="000D596F"/>
    <w:rsid w:val="000D5F12"/>
    <w:rsid w:val="000D767B"/>
    <w:rsid w:val="000E0387"/>
    <w:rsid w:val="000E0471"/>
    <w:rsid w:val="000E04E9"/>
    <w:rsid w:val="000E1090"/>
    <w:rsid w:val="000E1C3E"/>
    <w:rsid w:val="000E3393"/>
    <w:rsid w:val="000E350B"/>
    <w:rsid w:val="000E3CF6"/>
    <w:rsid w:val="000E429F"/>
    <w:rsid w:val="000E4401"/>
    <w:rsid w:val="000E4517"/>
    <w:rsid w:val="000E456B"/>
    <w:rsid w:val="000E45D6"/>
    <w:rsid w:val="000E4BAF"/>
    <w:rsid w:val="000E542B"/>
    <w:rsid w:val="000E5E92"/>
    <w:rsid w:val="000E610E"/>
    <w:rsid w:val="000E63A6"/>
    <w:rsid w:val="000E6FF1"/>
    <w:rsid w:val="000E740D"/>
    <w:rsid w:val="000F0030"/>
    <w:rsid w:val="000F063F"/>
    <w:rsid w:val="000F0EED"/>
    <w:rsid w:val="000F1105"/>
    <w:rsid w:val="000F221E"/>
    <w:rsid w:val="000F2D51"/>
    <w:rsid w:val="000F345D"/>
    <w:rsid w:val="000F42D0"/>
    <w:rsid w:val="000F4675"/>
    <w:rsid w:val="000F4CDF"/>
    <w:rsid w:val="000F56FC"/>
    <w:rsid w:val="000F61C5"/>
    <w:rsid w:val="000F62A8"/>
    <w:rsid w:val="000F704B"/>
    <w:rsid w:val="000F750D"/>
    <w:rsid w:val="000F7FB0"/>
    <w:rsid w:val="00100203"/>
    <w:rsid w:val="001004E5"/>
    <w:rsid w:val="0010176D"/>
    <w:rsid w:val="00101B89"/>
    <w:rsid w:val="00102920"/>
    <w:rsid w:val="00102E77"/>
    <w:rsid w:val="00102F15"/>
    <w:rsid w:val="001037C5"/>
    <w:rsid w:val="00103F51"/>
    <w:rsid w:val="00105B5F"/>
    <w:rsid w:val="0010661E"/>
    <w:rsid w:val="00106E57"/>
    <w:rsid w:val="00107C99"/>
    <w:rsid w:val="001104A9"/>
    <w:rsid w:val="00110607"/>
    <w:rsid w:val="00110E89"/>
    <w:rsid w:val="00111780"/>
    <w:rsid w:val="001125B9"/>
    <w:rsid w:val="00114FE5"/>
    <w:rsid w:val="001151CD"/>
    <w:rsid w:val="0011534B"/>
    <w:rsid w:val="00115562"/>
    <w:rsid w:val="001162A7"/>
    <w:rsid w:val="00116775"/>
    <w:rsid w:val="00117384"/>
    <w:rsid w:val="00117A1F"/>
    <w:rsid w:val="00117CED"/>
    <w:rsid w:val="00120579"/>
    <w:rsid w:val="001208B9"/>
    <w:rsid w:val="00120EC1"/>
    <w:rsid w:val="00120EE2"/>
    <w:rsid w:val="001213AB"/>
    <w:rsid w:val="00121F1B"/>
    <w:rsid w:val="00122184"/>
    <w:rsid w:val="00122955"/>
    <w:rsid w:val="00123019"/>
    <w:rsid w:val="00124707"/>
    <w:rsid w:val="001247ED"/>
    <w:rsid w:val="001252B2"/>
    <w:rsid w:val="001253DB"/>
    <w:rsid w:val="0012552C"/>
    <w:rsid w:val="001255CF"/>
    <w:rsid w:val="001259DC"/>
    <w:rsid w:val="00125A8F"/>
    <w:rsid w:val="00126BAC"/>
    <w:rsid w:val="0013016B"/>
    <w:rsid w:val="00130518"/>
    <w:rsid w:val="00130CD0"/>
    <w:rsid w:val="001311C3"/>
    <w:rsid w:val="001314E9"/>
    <w:rsid w:val="00131591"/>
    <w:rsid w:val="0013168E"/>
    <w:rsid w:val="0013171D"/>
    <w:rsid w:val="00131772"/>
    <w:rsid w:val="001327DD"/>
    <w:rsid w:val="00132CB9"/>
    <w:rsid w:val="0013323D"/>
    <w:rsid w:val="001335CE"/>
    <w:rsid w:val="0013375F"/>
    <w:rsid w:val="00133AFD"/>
    <w:rsid w:val="00134B5B"/>
    <w:rsid w:val="00135048"/>
    <w:rsid w:val="00135150"/>
    <w:rsid w:val="00135C2E"/>
    <w:rsid w:val="001360C4"/>
    <w:rsid w:val="00136238"/>
    <w:rsid w:val="00137340"/>
    <w:rsid w:val="00137CB0"/>
    <w:rsid w:val="00137D77"/>
    <w:rsid w:val="00140AD2"/>
    <w:rsid w:val="00140CB8"/>
    <w:rsid w:val="001414EA"/>
    <w:rsid w:val="00141ADE"/>
    <w:rsid w:val="00141C88"/>
    <w:rsid w:val="00142D96"/>
    <w:rsid w:val="001430FC"/>
    <w:rsid w:val="001431D4"/>
    <w:rsid w:val="00143304"/>
    <w:rsid w:val="00143FC0"/>
    <w:rsid w:val="00144173"/>
    <w:rsid w:val="00146888"/>
    <w:rsid w:val="00147063"/>
    <w:rsid w:val="001473E5"/>
    <w:rsid w:val="00151250"/>
    <w:rsid w:val="001533C8"/>
    <w:rsid w:val="001534C2"/>
    <w:rsid w:val="00153E61"/>
    <w:rsid w:val="00153F13"/>
    <w:rsid w:val="0015492F"/>
    <w:rsid w:val="00156B55"/>
    <w:rsid w:val="001574D1"/>
    <w:rsid w:val="00160132"/>
    <w:rsid w:val="001601DB"/>
    <w:rsid w:val="00160A44"/>
    <w:rsid w:val="00160A8F"/>
    <w:rsid w:val="00160F3E"/>
    <w:rsid w:val="00161309"/>
    <w:rsid w:val="0016151D"/>
    <w:rsid w:val="00161FCF"/>
    <w:rsid w:val="0016227F"/>
    <w:rsid w:val="001622DF"/>
    <w:rsid w:val="00162414"/>
    <w:rsid w:val="00162936"/>
    <w:rsid w:val="00163A6D"/>
    <w:rsid w:val="0016411D"/>
    <w:rsid w:val="001641BF"/>
    <w:rsid w:val="001659DC"/>
    <w:rsid w:val="001670B3"/>
    <w:rsid w:val="00167272"/>
    <w:rsid w:val="00167299"/>
    <w:rsid w:val="00167A2B"/>
    <w:rsid w:val="00170BCC"/>
    <w:rsid w:val="00170D88"/>
    <w:rsid w:val="001716F8"/>
    <w:rsid w:val="00171E8B"/>
    <w:rsid w:val="00172452"/>
    <w:rsid w:val="001736CA"/>
    <w:rsid w:val="001745BF"/>
    <w:rsid w:val="00174DDD"/>
    <w:rsid w:val="00175BD7"/>
    <w:rsid w:val="00175FC0"/>
    <w:rsid w:val="00176DCD"/>
    <w:rsid w:val="00177D2C"/>
    <w:rsid w:val="00177FDF"/>
    <w:rsid w:val="00180218"/>
    <w:rsid w:val="001806F5"/>
    <w:rsid w:val="00181AEC"/>
    <w:rsid w:val="00181CF0"/>
    <w:rsid w:val="00183515"/>
    <w:rsid w:val="001837BA"/>
    <w:rsid w:val="0018456B"/>
    <w:rsid w:val="00184A52"/>
    <w:rsid w:val="001857A7"/>
    <w:rsid w:val="0018636A"/>
    <w:rsid w:val="0018651B"/>
    <w:rsid w:val="0018677D"/>
    <w:rsid w:val="00186D90"/>
    <w:rsid w:val="00190606"/>
    <w:rsid w:val="00190FE7"/>
    <w:rsid w:val="00191302"/>
    <w:rsid w:val="001913C0"/>
    <w:rsid w:val="00191D42"/>
    <w:rsid w:val="001922A1"/>
    <w:rsid w:val="001922C0"/>
    <w:rsid w:val="00192EB7"/>
    <w:rsid w:val="00193364"/>
    <w:rsid w:val="00193682"/>
    <w:rsid w:val="00193A64"/>
    <w:rsid w:val="00194BF3"/>
    <w:rsid w:val="00194CD7"/>
    <w:rsid w:val="00194F50"/>
    <w:rsid w:val="001952A3"/>
    <w:rsid w:val="0019559A"/>
    <w:rsid w:val="001956D2"/>
    <w:rsid w:val="00195785"/>
    <w:rsid w:val="00195ACC"/>
    <w:rsid w:val="00195EA8"/>
    <w:rsid w:val="00196E25"/>
    <w:rsid w:val="001971DB"/>
    <w:rsid w:val="0019740E"/>
    <w:rsid w:val="001A01C7"/>
    <w:rsid w:val="001A04AA"/>
    <w:rsid w:val="001A094C"/>
    <w:rsid w:val="001A1360"/>
    <w:rsid w:val="001A1E30"/>
    <w:rsid w:val="001A208C"/>
    <w:rsid w:val="001A2158"/>
    <w:rsid w:val="001A26B5"/>
    <w:rsid w:val="001A28D0"/>
    <w:rsid w:val="001A4A9A"/>
    <w:rsid w:val="001A521E"/>
    <w:rsid w:val="001A5316"/>
    <w:rsid w:val="001A53E7"/>
    <w:rsid w:val="001A5D5B"/>
    <w:rsid w:val="001A60DF"/>
    <w:rsid w:val="001A7255"/>
    <w:rsid w:val="001B03B9"/>
    <w:rsid w:val="001B0672"/>
    <w:rsid w:val="001B0AB8"/>
    <w:rsid w:val="001B288D"/>
    <w:rsid w:val="001B37AD"/>
    <w:rsid w:val="001B3A40"/>
    <w:rsid w:val="001B450D"/>
    <w:rsid w:val="001B494D"/>
    <w:rsid w:val="001B4AB5"/>
    <w:rsid w:val="001B4EE5"/>
    <w:rsid w:val="001B4FA8"/>
    <w:rsid w:val="001B55ED"/>
    <w:rsid w:val="001B570F"/>
    <w:rsid w:val="001B5849"/>
    <w:rsid w:val="001B6D73"/>
    <w:rsid w:val="001B728A"/>
    <w:rsid w:val="001B749C"/>
    <w:rsid w:val="001C0176"/>
    <w:rsid w:val="001C0E8D"/>
    <w:rsid w:val="001C0F0F"/>
    <w:rsid w:val="001C2D40"/>
    <w:rsid w:val="001C44FA"/>
    <w:rsid w:val="001C486C"/>
    <w:rsid w:val="001C49D2"/>
    <w:rsid w:val="001C4E23"/>
    <w:rsid w:val="001C5120"/>
    <w:rsid w:val="001C5A28"/>
    <w:rsid w:val="001C698B"/>
    <w:rsid w:val="001C6EAF"/>
    <w:rsid w:val="001C7290"/>
    <w:rsid w:val="001C7571"/>
    <w:rsid w:val="001D034D"/>
    <w:rsid w:val="001D03DA"/>
    <w:rsid w:val="001D095C"/>
    <w:rsid w:val="001D1936"/>
    <w:rsid w:val="001D1A84"/>
    <w:rsid w:val="001D1BDC"/>
    <w:rsid w:val="001D1D28"/>
    <w:rsid w:val="001D2C22"/>
    <w:rsid w:val="001D2CE3"/>
    <w:rsid w:val="001D4350"/>
    <w:rsid w:val="001D441E"/>
    <w:rsid w:val="001D4C27"/>
    <w:rsid w:val="001D5771"/>
    <w:rsid w:val="001D6930"/>
    <w:rsid w:val="001D6B34"/>
    <w:rsid w:val="001D7613"/>
    <w:rsid w:val="001E051F"/>
    <w:rsid w:val="001E0BE5"/>
    <w:rsid w:val="001E0C4D"/>
    <w:rsid w:val="001E173E"/>
    <w:rsid w:val="001E1899"/>
    <w:rsid w:val="001E1FB0"/>
    <w:rsid w:val="001E291E"/>
    <w:rsid w:val="001E2DC3"/>
    <w:rsid w:val="001E3442"/>
    <w:rsid w:val="001E38C5"/>
    <w:rsid w:val="001E5541"/>
    <w:rsid w:val="001E5E5D"/>
    <w:rsid w:val="001E673E"/>
    <w:rsid w:val="001E6FCB"/>
    <w:rsid w:val="001E7870"/>
    <w:rsid w:val="001E7CB3"/>
    <w:rsid w:val="001F06D4"/>
    <w:rsid w:val="001F09BD"/>
    <w:rsid w:val="001F10EB"/>
    <w:rsid w:val="001F1761"/>
    <w:rsid w:val="001F17A8"/>
    <w:rsid w:val="001F1834"/>
    <w:rsid w:val="001F2298"/>
    <w:rsid w:val="001F2DDC"/>
    <w:rsid w:val="001F3630"/>
    <w:rsid w:val="001F3677"/>
    <w:rsid w:val="001F45C8"/>
    <w:rsid w:val="001F530F"/>
    <w:rsid w:val="001F6075"/>
    <w:rsid w:val="001F746E"/>
    <w:rsid w:val="00201C8D"/>
    <w:rsid w:val="002020AB"/>
    <w:rsid w:val="0020302E"/>
    <w:rsid w:val="0020334A"/>
    <w:rsid w:val="00203387"/>
    <w:rsid w:val="002034B3"/>
    <w:rsid w:val="00203FC4"/>
    <w:rsid w:val="002045E2"/>
    <w:rsid w:val="00204A5C"/>
    <w:rsid w:val="00204C8B"/>
    <w:rsid w:val="002061BA"/>
    <w:rsid w:val="0020714F"/>
    <w:rsid w:val="0020747E"/>
    <w:rsid w:val="00207A34"/>
    <w:rsid w:val="00207E6F"/>
    <w:rsid w:val="00210938"/>
    <w:rsid w:val="00210A33"/>
    <w:rsid w:val="00212750"/>
    <w:rsid w:val="0021378C"/>
    <w:rsid w:val="00214307"/>
    <w:rsid w:val="00214575"/>
    <w:rsid w:val="00214C1B"/>
    <w:rsid w:val="0021542C"/>
    <w:rsid w:val="00215443"/>
    <w:rsid w:val="0021682D"/>
    <w:rsid w:val="00216D98"/>
    <w:rsid w:val="0021770B"/>
    <w:rsid w:val="002205FE"/>
    <w:rsid w:val="00221F66"/>
    <w:rsid w:val="00222613"/>
    <w:rsid w:val="00223574"/>
    <w:rsid w:val="0022384B"/>
    <w:rsid w:val="002238F2"/>
    <w:rsid w:val="00223F2A"/>
    <w:rsid w:val="00223F2E"/>
    <w:rsid w:val="002255CA"/>
    <w:rsid w:val="00225C18"/>
    <w:rsid w:val="002263AA"/>
    <w:rsid w:val="00226961"/>
    <w:rsid w:val="0022758B"/>
    <w:rsid w:val="00227E81"/>
    <w:rsid w:val="0023000D"/>
    <w:rsid w:val="0023053A"/>
    <w:rsid w:val="00230A39"/>
    <w:rsid w:val="00230E9E"/>
    <w:rsid w:val="00231191"/>
    <w:rsid w:val="002315FB"/>
    <w:rsid w:val="002323BF"/>
    <w:rsid w:val="002323C4"/>
    <w:rsid w:val="00232AA8"/>
    <w:rsid w:val="00233A4C"/>
    <w:rsid w:val="00233DE7"/>
    <w:rsid w:val="002345B7"/>
    <w:rsid w:val="00234AA6"/>
    <w:rsid w:val="00234CE3"/>
    <w:rsid w:val="00235AA9"/>
    <w:rsid w:val="00236375"/>
    <w:rsid w:val="00236918"/>
    <w:rsid w:val="00237987"/>
    <w:rsid w:val="00237A4A"/>
    <w:rsid w:val="00240064"/>
    <w:rsid w:val="00240BD0"/>
    <w:rsid w:val="00241126"/>
    <w:rsid w:val="002413C2"/>
    <w:rsid w:val="00241B39"/>
    <w:rsid w:val="00241EF6"/>
    <w:rsid w:val="002444B0"/>
    <w:rsid w:val="0024705B"/>
    <w:rsid w:val="00247B75"/>
    <w:rsid w:val="00247CE6"/>
    <w:rsid w:val="00247EB4"/>
    <w:rsid w:val="002506E4"/>
    <w:rsid w:val="00251499"/>
    <w:rsid w:val="00251624"/>
    <w:rsid w:val="002517D3"/>
    <w:rsid w:val="00251A99"/>
    <w:rsid w:val="00251FBF"/>
    <w:rsid w:val="00252225"/>
    <w:rsid w:val="00252B0C"/>
    <w:rsid w:val="00253443"/>
    <w:rsid w:val="00253598"/>
    <w:rsid w:val="0025362A"/>
    <w:rsid w:val="0025379A"/>
    <w:rsid w:val="00253DF2"/>
    <w:rsid w:val="0025404F"/>
    <w:rsid w:val="00254BDC"/>
    <w:rsid w:val="002550E2"/>
    <w:rsid w:val="00255741"/>
    <w:rsid w:val="00255DC5"/>
    <w:rsid w:val="0025689D"/>
    <w:rsid w:val="00257098"/>
    <w:rsid w:val="00257435"/>
    <w:rsid w:val="00257A9D"/>
    <w:rsid w:val="00257D2C"/>
    <w:rsid w:val="0026018B"/>
    <w:rsid w:val="002602E5"/>
    <w:rsid w:val="0026039A"/>
    <w:rsid w:val="002609FA"/>
    <w:rsid w:val="00260C74"/>
    <w:rsid w:val="0026151C"/>
    <w:rsid w:val="002619CA"/>
    <w:rsid w:val="00261D17"/>
    <w:rsid w:val="00262A20"/>
    <w:rsid w:val="002636E9"/>
    <w:rsid w:val="002640BF"/>
    <w:rsid w:val="00264B6F"/>
    <w:rsid w:val="00264C6A"/>
    <w:rsid w:val="00264E6C"/>
    <w:rsid w:val="00265530"/>
    <w:rsid w:val="00265A8C"/>
    <w:rsid w:val="00266275"/>
    <w:rsid w:val="00266FE4"/>
    <w:rsid w:val="00267F24"/>
    <w:rsid w:val="00270104"/>
    <w:rsid w:val="00270A32"/>
    <w:rsid w:val="00270B82"/>
    <w:rsid w:val="0027109E"/>
    <w:rsid w:val="002720A3"/>
    <w:rsid w:val="002723C8"/>
    <w:rsid w:val="0027248E"/>
    <w:rsid w:val="00272D7D"/>
    <w:rsid w:val="00273FBA"/>
    <w:rsid w:val="00274666"/>
    <w:rsid w:val="00274A18"/>
    <w:rsid w:val="00275436"/>
    <w:rsid w:val="002761F3"/>
    <w:rsid w:val="002764A7"/>
    <w:rsid w:val="00276948"/>
    <w:rsid w:val="00276DBA"/>
    <w:rsid w:val="00276E02"/>
    <w:rsid w:val="0027779B"/>
    <w:rsid w:val="002779FE"/>
    <w:rsid w:val="00277A09"/>
    <w:rsid w:val="00280708"/>
    <w:rsid w:val="00280FC3"/>
    <w:rsid w:val="00281050"/>
    <w:rsid w:val="00281500"/>
    <w:rsid w:val="00281794"/>
    <w:rsid w:val="00281DC9"/>
    <w:rsid w:val="00281DCB"/>
    <w:rsid w:val="00283490"/>
    <w:rsid w:val="002834E1"/>
    <w:rsid w:val="00283649"/>
    <w:rsid w:val="002843E6"/>
    <w:rsid w:val="00285B13"/>
    <w:rsid w:val="0028624F"/>
    <w:rsid w:val="0028636C"/>
    <w:rsid w:val="00286C11"/>
    <w:rsid w:val="00286DEC"/>
    <w:rsid w:val="0028701A"/>
    <w:rsid w:val="00287271"/>
    <w:rsid w:val="002872A8"/>
    <w:rsid w:val="0028783D"/>
    <w:rsid w:val="00287F2A"/>
    <w:rsid w:val="00290276"/>
    <w:rsid w:val="00290B66"/>
    <w:rsid w:val="00291977"/>
    <w:rsid w:val="00293043"/>
    <w:rsid w:val="00293E09"/>
    <w:rsid w:val="00294EC0"/>
    <w:rsid w:val="00295269"/>
    <w:rsid w:val="00296171"/>
    <w:rsid w:val="002962ED"/>
    <w:rsid w:val="00296E79"/>
    <w:rsid w:val="002970D4"/>
    <w:rsid w:val="00297D82"/>
    <w:rsid w:val="00297FE8"/>
    <w:rsid w:val="002A043E"/>
    <w:rsid w:val="002A0716"/>
    <w:rsid w:val="002A0B57"/>
    <w:rsid w:val="002A0E6B"/>
    <w:rsid w:val="002A1680"/>
    <w:rsid w:val="002A2680"/>
    <w:rsid w:val="002A3422"/>
    <w:rsid w:val="002A3773"/>
    <w:rsid w:val="002A4737"/>
    <w:rsid w:val="002A4FF7"/>
    <w:rsid w:val="002A5107"/>
    <w:rsid w:val="002A5381"/>
    <w:rsid w:val="002A543A"/>
    <w:rsid w:val="002A56F5"/>
    <w:rsid w:val="002A5D0E"/>
    <w:rsid w:val="002A63B4"/>
    <w:rsid w:val="002A64FF"/>
    <w:rsid w:val="002A7B1C"/>
    <w:rsid w:val="002B0FA6"/>
    <w:rsid w:val="002B108B"/>
    <w:rsid w:val="002B11A8"/>
    <w:rsid w:val="002B1FCB"/>
    <w:rsid w:val="002B25EA"/>
    <w:rsid w:val="002B264B"/>
    <w:rsid w:val="002B3276"/>
    <w:rsid w:val="002B3F76"/>
    <w:rsid w:val="002B403E"/>
    <w:rsid w:val="002B433B"/>
    <w:rsid w:val="002B55D0"/>
    <w:rsid w:val="002B708E"/>
    <w:rsid w:val="002B7201"/>
    <w:rsid w:val="002C04A2"/>
    <w:rsid w:val="002C0510"/>
    <w:rsid w:val="002C12CF"/>
    <w:rsid w:val="002C1331"/>
    <w:rsid w:val="002C1471"/>
    <w:rsid w:val="002C1FC8"/>
    <w:rsid w:val="002C22B6"/>
    <w:rsid w:val="002C2B61"/>
    <w:rsid w:val="002C2D55"/>
    <w:rsid w:val="002C3E01"/>
    <w:rsid w:val="002C3FB7"/>
    <w:rsid w:val="002C447B"/>
    <w:rsid w:val="002C5AC2"/>
    <w:rsid w:val="002C6511"/>
    <w:rsid w:val="002C6910"/>
    <w:rsid w:val="002C77D2"/>
    <w:rsid w:val="002D1519"/>
    <w:rsid w:val="002D1725"/>
    <w:rsid w:val="002D2CD3"/>
    <w:rsid w:val="002D36A7"/>
    <w:rsid w:val="002D3E10"/>
    <w:rsid w:val="002D4046"/>
    <w:rsid w:val="002D40FE"/>
    <w:rsid w:val="002D4293"/>
    <w:rsid w:val="002D54C3"/>
    <w:rsid w:val="002D5FCD"/>
    <w:rsid w:val="002D6522"/>
    <w:rsid w:val="002D663D"/>
    <w:rsid w:val="002D6ACB"/>
    <w:rsid w:val="002D7CE1"/>
    <w:rsid w:val="002E005A"/>
    <w:rsid w:val="002E11B8"/>
    <w:rsid w:val="002E1650"/>
    <w:rsid w:val="002E1DC8"/>
    <w:rsid w:val="002E277C"/>
    <w:rsid w:val="002E30B5"/>
    <w:rsid w:val="002E31BE"/>
    <w:rsid w:val="002E3E34"/>
    <w:rsid w:val="002E451F"/>
    <w:rsid w:val="002E454C"/>
    <w:rsid w:val="002E4AC5"/>
    <w:rsid w:val="002E4DF3"/>
    <w:rsid w:val="002E4FC4"/>
    <w:rsid w:val="002E6253"/>
    <w:rsid w:val="002E6FD6"/>
    <w:rsid w:val="002F0754"/>
    <w:rsid w:val="002F0F60"/>
    <w:rsid w:val="002F2EEE"/>
    <w:rsid w:val="002F30FD"/>
    <w:rsid w:val="002F34C7"/>
    <w:rsid w:val="002F3BAD"/>
    <w:rsid w:val="002F43B7"/>
    <w:rsid w:val="002F4544"/>
    <w:rsid w:val="002F5603"/>
    <w:rsid w:val="002F56E0"/>
    <w:rsid w:val="002F575E"/>
    <w:rsid w:val="002F62A7"/>
    <w:rsid w:val="002F63A6"/>
    <w:rsid w:val="002F687D"/>
    <w:rsid w:val="002F6DD8"/>
    <w:rsid w:val="002F71DB"/>
    <w:rsid w:val="002F76F6"/>
    <w:rsid w:val="002F796F"/>
    <w:rsid w:val="00300254"/>
    <w:rsid w:val="00300462"/>
    <w:rsid w:val="00300C6F"/>
    <w:rsid w:val="00301616"/>
    <w:rsid w:val="00301AE6"/>
    <w:rsid w:val="00302726"/>
    <w:rsid w:val="003033E3"/>
    <w:rsid w:val="00303CC1"/>
    <w:rsid w:val="00304FDE"/>
    <w:rsid w:val="003058D1"/>
    <w:rsid w:val="00305EA8"/>
    <w:rsid w:val="003061AF"/>
    <w:rsid w:val="00306913"/>
    <w:rsid w:val="00306C35"/>
    <w:rsid w:val="00307344"/>
    <w:rsid w:val="003077D2"/>
    <w:rsid w:val="00307BD0"/>
    <w:rsid w:val="00310187"/>
    <w:rsid w:val="0031036B"/>
    <w:rsid w:val="0031083E"/>
    <w:rsid w:val="00310ABD"/>
    <w:rsid w:val="00310F73"/>
    <w:rsid w:val="00311129"/>
    <w:rsid w:val="00311710"/>
    <w:rsid w:val="0031178B"/>
    <w:rsid w:val="0031202F"/>
    <w:rsid w:val="00312515"/>
    <w:rsid w:val="0031259B"/>
    <w:rsid w:val="0031389E"/>
    <w:rsid w:val="0031392D"/>
    <w:rsid w:val="00314B5F"/>
    <w:rsid w:val="00316745"/>
    <w:rsid w:val="00316D9F"/>
    <w:rsid w:val="0031795F"/>
    <w:rsid w:val="00320C7C"/>
    <w:rsid w:val="00320FA2"/>
    <w:rsid w:val="0032135B"/>
    <w:rsid w:val="00321E97"/>
    <w:rsid w:val="00321EFC"/>
    <w:rsid w:val="0032257A"/>
    <w:rsid w:val="003228A5"/>
    <w:rsid w:val="00323AE7"/>
    <w:rsid w:val="00325B50"/>
    <w:rsid w:val="00325CC4"/>
    <w:rsid w:val="003262E5"/>
    <w:rsid w:val="00326398"/>
    <w:rsid w:val="003270CF"/>
    <w:rsid w:val="00327133"/>
    <w:rsid w:val="003276ED"/>
    <w:rsid w:val="00327709"/>
    <w:rsid w:val="00327AA7"/>
    <w:rsid w:val="0033007A"/>
    <w:rsid w:val="00330B1C"/>
    <w:rsid w:val="003313FC"/>
    <w:rsid w:val="00331A48"/>
    <w:rsid w:val="00332917"/>
    <w:rsid w:val="00332A4B"/>
    <w:rsid w:val="0033311A"/>
    <w:rsid w:val="0033324D"/>
    <w:rsid w:val="00333E86"/>
    <w:rsid w:val="0033481F"/>
    <w:rsid w:val="0033508D"/>
    <w:rsid w:val="00336775"/>
    <w:rsid w:val="00337CA6"/>
    <w:rsid w:val="00337E65"/>
    <w:rsid w:val="00337F1B"/>
    <w:rsid w:val="00340663"/>
    <w:rsid w:val="003424C9"/>
    <w:rsid w:val="0034266C"/>
    <w:rsid w:val="00342C7E"/>
    <w:rsid w:val="00343564"/>
    <w:rsid w:val="00343671"/>
    <w:rsid w:val="0034369F"/>
    <w:rsid w:val="003439C1"/>
    <w:rsid w:val="00343FE9"/>
    <w:rsid w:val="0034413A"/>
    <w:rsid w:val="00344DF4"/>
    <w:rsid w:val="003455AB"/>
    <w:rsid w:val="00345A0E"/>
    <w:rsid w:val="00345B03"/>
    <w:rsid w:val="003470F1"/>
    <w:rsid w:val="003476EB"/>
    <w:rsid w:val="003478F4"/>
    <w:rsid w:val="003500E9"/>
    <w:rsid w:val="00351208"/>
    <w:rsid w:val="00351FDB"/>
    <w:rsid w:val="003523C0"/>
    <w:rsid w:val="00352BE0"/>
    <w:rsid w:val="00352CCD"/>
    <w:rsid w:val="003547F7"/>
    <w:rsid w:val="00354808"/>
    <w:rsid w:val="003548AC"/>
    <w:rsid w:val="00355E06"/>
    <w:rsid w:val="0035638A"/>
    <w:rsid w:val="0035656B"/>
    <w:rsid w:val="003569BE"/>
    <w:rsid w:val="00356C28"/>
    <w:rsid w:val="00356E9C"/>
    <w:rsid w:val="00357416"/>
    <w:rsid w:val="00357468"/>
    <w:rsid w:val="003600D8"/>
    <w:rsid w:val="00360129"/>
    <w:rsid w:val="003601B6"/>
    <w:rsid w:val="00360AE4"/>
    <w:rsid w:val="00360B03"/>
    <w:rsid w:val="003611A8"/>
    <w:rsid w:val="0036197B"/>
    <w:rsid w:val="0036286B"/>
    <w:rsid w:val="00362F42"/>
    <w:rsid w:val="0036372B"/>
    <w:rsid w:val="00365857"/>
    <w:rsid w:val="00365C5E"/>
    <w:rsid w:val="003660A4"/>
    <w:rsid w:val="0036685F"/>
    <w:rsid w:val="00366EFD"/>
    <w:rsid w:val="00367903"/>
    <w:rsid w:val="00367EEA"/>
    <w:rsid w:val="0037085B"/>
    <w:rsid w:val="00370B64"/>
    <w:rsid w:val="00370D11"/>
    <w:rsid w:val="00370FFF"/>
    <w:rsid w:val="00372F53"/>
    <w:rsid w:val="00373D55"/>
    <w:rsid w:val="00373E10"/>
    <w:rsid w:val="0037544F"/>
    <w:rsid w:val="00375CCF"/>
    <w:rsid w:val="003761EC"/>
    <w:rsid w:val="003762F9"/>
    <w:rsid w:val="00376630"/>
    <w:rsid w:val="003768A6"/>
    <w:rsid w:val="00376903"/>
    <w:rsid w:val="00376FEA"/>
    <w:rsid w:val="0037742F"/>
    <w:rsid w:val="0037799A"/>
    <w:rsid w:val="00377A26"/>
    <w:rsid w:val="00377B59"/>
    <w:rsid w:val="00377BEC"/>
    <w:rsid w:val="00380F66"/>
    <w:rsid w:val="00381ACA"/>
    <w:rsid w:val="0038204E"/>
    <w:rsid w:val="0038435C"/>
    <w:rsid w:val="0038436E"/>
    <w:rsid w:val="0038446F"/>
    <w:rsid w:val="00385806"/>
    <w:rsid w:val="00385FF1"/>
    <w:rsid w:val="003873D5"/>
    <w:rsid w:val="00387549"/>
    <w:rsid w:val="003906CC"/>
    <w:rsid w:val="00390999"/>
    <w:rsid w:val="00390D21"/>
    <w:rsid w:val="003912A6"/>
    <w:rsid w:val="00391A92"/>
    <w:rsid w:val="00392556"/>
    <w:rsid w:val="00392884"/>
    <w:rsid w:val="00393921"/>
    <w:rsid w:val="003939CC"/>
    <w:rsid w:val="00393C7D"/>
    <w:rsid w:val="00394B97"/>
    <w:rsid w:val="00394CF9"/>
    <w:rsid w:val="00394E99"/>
    <w:rsid w:val="00395E36"/>
    <w:rsid w:val="0039693E"/>
    <w:rsid w:val="00396949"/>
    <w:rsid w:val="00397900"/>
    <w:rsid w:val="003A0A50"/>
    <w:rsid w:val="003A0A55"/>
    <w:rsid w:val="003A1590"/>
    <w:rsid w:val="003A1B5E"/>
    <w:rsid w:val="003A20EE"/>
    <w:rsid w:val="003A284A"/>
    <w:rsid w:val="003A303F"/>
    <w:rsid w:val="003A37CE"/>
    <w:rsid w:val="003A4729"/>
    <w:rsid w:val="003A4D37"/>
    <w:rsid w:val="003A51DA"/>
    <w:rsid w:val="003A52DC"/>
    <w:rsid w:val="003A5DD7"/>
    <w:rsid w:val="003A7512"/>
    <w:rsid w:val="003A793C"/>
    <w:rsid w:val="003B0EC4"/>
    <w:rsid w:val="003B0EC6"/>
    <w:rsid w:val="003B1819"/>
    <w:rsid w:val="003B1EF9"/>
    <w:rsid w:val="003B227C"/>
    <w:rsid w:val="003B22DF"/>
    <w:rsid w:val="003B2CDE"/>
    <w:rsid w:val="003B3A40"/>
    <w:rsid w:val="003B4752"/>
    <w:rsid w:val="003B53B4"/>
    <w:rsid w:val="003B5A38"/>
    <w:rsid w:val="003B678C"/>
    <w:rsid w:val="003B6BA0"/>
    <w:rsid w:val="003B745E"/>
    <w:rsid w:val="003B7483"/>
    <w:rsid w:val="003C0DCF"/>
    <w:rsid w:val="003C0F0C"/>
    <w:rsid w:val="003C14B4"/>
    <w:rsid w:val="003C19F6"/>
    <w:rsid w:val="003C25B5"/>
    <w:rsid w:val="003C2D20"/>
    <w:rsid w:val="003C2DA6"/>
    <w:rsid w:val="003C37E2"/>
    <w:rsid w:val="003C3A84"/>
    <w:rsid w:val="003C3AEF"/>
    <w:rsid w:val="003C5CCA"/>
    <w:rsid w:val="003C5D0D"/>
    <w:rsid w:val="003C67C1"/>
    <w:rsid w:val="003C68E8"/>
    <w:rsid w:val="003C6AE1"/>
    <w:rsid w:val="003D04BF"/>
    <w:rsid w:val="003D0BCA"/>
    <w:rsid w:val="003D0ED8"/>
    <w:rsid w:val="003D12F3"/>
    <w:rsid w:val="003D1363"/>
    <w:rsid w:val="003D1817"/>
    <w:rsid w:val="003D28E0"/>
    <w:rsid w:val="003D3F13"/>
    <w:rsid w:val="003D4E01"/>
    <w:rsid w:val="003D512E"/>
    <w:rsid w:val="003D5A75"/>
    <w:rsid w:val="003D5A8A"/>
    <w:rsid w:val="003D5D16"/>
    <w:rsid w:val="003D5ECA"/>
    <w:rsid w:val="003D5F2F"/>
    <w:rsid w:val="003D6108"/>
    <w:rsid w:val="003D669C"/>
    <w:rsid w:val="003D66E1"/>
    <w:rsid w:val="003D7275"/>
    <w:rsid w:val="003D76BB"/>
    <w:rsid w:val="003E0055"/>
    <w:rsid w:val="003E0179"/>
    <w:rsid w:val="003E03C0"/>
    <w:rsid w:val="003E077E"/>
    <w:rsid w:val="003E15F3"/>
    <w:rsid w:val="003E3258"/>
    <w:rsid w:val="003E37A8"/>
    <w:rsid w:val="003E38B0"/>
    <w:rsid w:val="003E3FF5"/>
    <w:rsid w:val="003E4260"/>
    <w:rsid w:val="003E4578"/>
    <w:rsid w:val="003E466F"/>
    <w:rsid w:val="003E574F"/>
    <w:rsid w:val="003E7BF6"/>
    <w:rsid w:val="003F0F67"/>
    <w:rsid w:val="003F1740"/>
    <w:rsid w:val="003F1B4D"/>
    <w:rsid w:val="003F1F9C"/>
    <w:rsid w:val="003F277F"/>
    <w:rsid w:val="003F2F05"/>
    <w:rsid w:val="003F3FF5"/>
    <w:rsid w:val="003F4FC6"/>
    <w:rsid w:val="003F4FDE"/>
    <w:rsid w:val="003F5109"/>
    <w:rsid w:val="003F5988"/>
    <w:rsid w:val="003F6CD4"/>
    <w:rsid w:val="003F7098"/>
    <w:rsid w:val="003F712B"/>
    <w:rsid w:val="003F7C72"/>
    <w:rsid w:val="00400226"/>
    <w:rsid w:val="00401063"/>
    <w:rsid w:val="00401668"/>
    <w:rsid w:val="00401785"/>
    <w:rsid w:val="00401F38"/>
    <w:rsid w:val="00401FD1"/>
    <w:rsid w:val="00401FD3"/>
    <w:rsid w:val="00402335"/>
    <w:rsid w:val="004023F8"/>
    <w:rsid w:val="00402F94"/>
    <w:rsid w:val="0040386A"/>
    <w:rsid w:val="00403900"/>
    <w:rsid w:val="00404087"/>
    <w:rsid w:val="00404130"/>
    <w:rsid w:val="00404D78"/>
    <w:rsid w:val="0040548F"/>
    <w:rsid w:val="00405EDA"/>
    <w:rsid w:val="0040605B"/>
    <w:rsid w:val="004062E3"/>
    <w:rsid w:val="00406CC5"/>
    <w:rsid w:val="00407C1F"/>
    <w:rsid w:val="00407FA9"/>
    <w:rsid w:val="00410341"/>
    <w:rsid w:val="00410DA3"/>
    <w:rsid w:val="00410EF6"/>
    <w:rsid w:val="004118B8"/>
    <w:rsid w:val="00411E57"/>
    <w:rsid w:val="00413380"/>
    <w:rsid w:val="004134B5"/>
    <w:rsid w:val="004138FC"/>
    <w:rsid w:val="00413C91"/>
    <w:rsid w:val="00415E81"/>
    <w:rsid w:val="00415EBE"/>
    <w:rsid w:val="00416D43"/>
    <w:rsid w:val="00416D7D"/>
    <w:rsid w:val="00417938"/>
    <w:rsid w:val="00417D2C"/>
    <w:rsid w:val="004201C3"/>
    <w:rsid w:val="00420420"/>
    <w:rsid w:val="00420DD6"/>
    <w:rsid w:val="00421BFD"/>
    <w:rsid w:val="00422697"/>
    <w:rsid w:val="004227C1"/>
    <w:rsid w:val="00423063"/>
    <w:rsid w:val="00423B53"/>
    <w:rsid w:val="00424550"/>
    <w:rsid w:val="004247B1"/>
    <w:rsid w:val="004249B8"/>
    <w:rsid w:val="00424F35"/>
    <w:rsid w:val="00425118"/>
    <w:rsid w:val="00425882"/>
    <w:rsid w:val="00425967"/>
    <w:rsid w:val="00426322"/>
    <w:rsid w:val="004273A6"/>
    <w:rsid w:val="00427911"/>
    <w:rsid w:val="00427BA9"/>
    <w:rsid w:val="00430CC3"/>
    <w:rsid w:val="00431048"/>
    <w:rsid w:val="00432135"/>
    <w:rsid w:val="0043249A"/>
    <w:rsid w:val="004327EB"/>
    <w:rsid w:val="00432DCC"/>
    <w:rsid w:val="00433903"/>
    <w:rsid w:val="00433B42"/>
    <w:rsid w:val="00433E20"/>
    <w:rsid w:val="0043486C"/>
    <w:rsid w:val="00434E40"/>
    <w:rsid w:val="00434F7E"/>
    <w:rsid w:val="0043504F"/>
    <w:rsid w:val="004350BB"/>
    <w:rsid w:val="004356EE"/>
    <w:rsid w:val="00435A80"/>
    <w:rsid w:val="004363B8"/>
    <w:rsid w:val="004372F7"/>
    <w:rsid w:val="00437CEF"/>
    <w:rsid w:val="00437D26"/>
    <w:rsid w:val="0044024C"/>
    <w:rsid w:val="0044085D"/>
    <w:rsid w:val="00441102"/>
    <w:rsid w:val="00442BAC"/>
    <w:rsid w:val="00442EA6"/>
    <w:rsid w:val="00443053"/>
    <w:rsid w:val="004437F1"/>
    <w:rsid w:val="00443923"/>
    <w:rsid w:val="00444BC7"/>
    <w:rsid w:val="00444C0F"/>
    <w:rsid w:val="00445492"/>
    <w:rsid w:val="00446534"/>
    <w:rsid w:val="00446776"/>
    <w:rsid w:val="0044781F"/>
    <w:rsid w:val="00450833"/>
    <w:rsid w:val="00450BC9"/>
    <w:rsid w:val="004514FC"/>
    <w:rsid w:val="00451731"/>
    <w:rsid w:val="00452289"/>
    <w:rsid w:val="004526FE"/>
    <w:rsid w:val="00453E50"/>
    <w:rsid w:val="00454A47"/>
    <w:rsid w:val="00454C38"/>
    <w:rsid w:val="00454DA1"/>
    <w:rsid w:val="00455451"/>
    <w:rsid w:val="0045589E"/>
    <w:rsid w:val="004561FC"/>
    <w:rsid w:val="00457864"/>
    <w:rsid w:val="00457FEC"/>
    <w:rsid w:val="00460382"/>
    <w:rsid w:val="00460AB2"/>
    <w:rsid w:val="00460CAD"/>
    <w:rsid w:val="0046173B"/>
    <w:rsid w:val="004618EC"/>
    <w:rsid w:val="00461E39"/>
    <w:rsid w:val="004622E5"/>
    <w:rsid w:val="00462A08"/>
    <w:rsid w:val="00463E27"/>
    <w:rsid w:val="0046446B"/>
    <w:rsid w:val="00465462"/>
    <w:rsid w:val="00465F14"/>
    <w:rsid w:val="004667E2"/>
    <w:rsid w:val="00466F02"/>
    <w:rsid w:val="0046768B"/>
    <w:rsid w:val="0047025D"/>
    <w:rsid w:val="004709C8"/>
    <w:rsid w:val="00470CF2"/>
    <w:rsid w:val="004738CF"/>
    <w:rsid w:val="00475D0E"/>
    <w:rsid w:val="00475E56"/>
    <w:rsid w:val="00476122"/>
    <w:rsid w:val="00476125"/>
    <w:rsid w:val="00476621"/>
    <w:rsid w:val="00476851"/>
    <w:rsid w:val="00476C97"/>
    <w:rsid w:val="00477343"/>
    <w:rsid w:val="004777C6"/>
    <w:rsid w:val="00477B9E"/>
    <w:rsid w:val="00477FFE"/>
    <w:rsid w:val="0048051D"/>
    <w:rsid w:val="00480F8F"/>
    <w:rsid w:val="004811E6"/>
    <w:rsid w:val="00481E79"/>
    <w:rsid w:val="00482368"/>
    <w:rsid w:val="00482DCF"/>
    <w:rsid w:val="00484492"/>
    <w:rsid w:val="00484BF3"/>
    <w:rsid w:val="00484E49"/>
    <w:rsid w:val="00484E5F"/>
    <w:rsid w:val="004850EA"/>
    <w:rsid w:val="00485811"/>
    <w:rsid w:val="00485C56"/>
    <w:rsid w:val="00485D88"/>
    <w:rsid w:val="00486076"/>
    <w:rsid w:val="00486220"/>
    <w:rsid w:val="0048634C"/>
    <w:rsid w:val="00486F8C"/>
    <w:rsid w:val="0049020A"/>
    <w:rsid w:val="004903EF"/>
    <w:rsid w:val="00490625"/>
    <w:rsid w:val="00490A9E"/>
    <w:rsid w:val="00491012"/>
    <w:rsid w:val="004920A7"/>
    <w:rsid w:val="00493DC8"/>
    <w:rsid w:val="00493DFD"/>
    <w:rsid w:val="00493FD9"/>
    <w:rsid w:val="004964C8"/>
    <w:rsid w:val="00497590"/>
    <w:rsid w:val="00497B9D"/>
    <w:rsid w:val="00497D62"/>
    <w:rsid w:val="004A0194"/>
    <w:rsid w:val="004A0FAF"/>
    <w:rsid w:val="004A10E8"/>
    <w:rsid w:val="004A166F"/>
    <w:rsid w:val="004A1733"/>
    <w:rsid w:val="004A18C5"/>
    <w:rsid w:val="004A1960"/>
    <w:rsid w:val="004A1E18"/>
    <w:rsid w:val="004A1E93"/>
    <w:rsid w:val="004A2840"/>
    <w:rsid w:val="004A2C40"/>
    <w:rsid w:val="004A3196"/>
    <w:rsid w:val="004A35E4"/>
    <w:rsid w:val="004A436D"/>
    <w:rsid w:val="004A46C7"/>
    <w:rsid w:val="004A4B28"/>
    <w:rsid w:val="004A5860"/>
    <w:rsid w:val="004A66FA"/>
    <w:rsid w:val="004A720D"/>
    <w:rsid w:val="004B00DD"/>
    <w:rsid w:val="004B0A4F"/>
    <w:rsid w:val="004B0C17"/>
    <w:rsid w:val="004B0E5C"/>
    <w:rsid w:val="004B18FF"/>
    <w:rsid w:val="004B26DF"/>
    <w:rsid w:val="004B2B17"/>
    <w:rsid w:val="004B34E5"/>
    <w:rsid w:val="004B3A4E"/>
    <w:rsid w:val="004B4AF5"/>
    <w:rsid w:val="004B5C54"/>
    <w:rsid w:val="004B5FE7"/>
    <w:rsid w:val="004B6288"/>
    <w:rsid w:val="004B628F"/>
    <w:rsid w:val="004B6D1C"/>
    <w:rsid w:val="004B6EBA"/>
    <w:rsid w:val="004C006D"/>
    <w:rsid w:val="004C02C8"/>
    <w:rsid w:val="004C0351"/>
    <w:rsid w:val="004C050D"/>
    <w:rsid w:val="004C071F"/>
    <w:rsid w:val="004C15E1"/>
    <w:rsid w:val="004C2172"/>
    <w:rsid w:val="004C3D1D"/>
    <w:rsid w:val="004C42B1"/>
    <w:rsid w:val="004C43D7"/>
    <w:rsid w:val="004C4D7F"/>
    <w:rsid w:val="004C5C99"/>
    <w:rsid w:val="004C5CD6"/>
    <w:rsid w:val="004C66EE"/>
    <w:rsid w:val="004C6772"/>
    <w:rsid w:val="004C6AD5"/>
    <w:rsid w:val="004C6B79"/>
    <w:rsid w:val="004C6E70"/>
    <w:rsid w:val="004C6F67"/>
    <w:rsid w:val="004C7560"/>
    <w:rsid w:val="004D0509"/>
    <w:rsid w:val="004D0555"/>
    <w:rsid w:val="004D13B6"/>
    <w:rsid w:val="004D1700"/>
    <w:rsid w:val="004D1C2F"/>
    <w:rsid w:val="004D20ED"/>
    <w:rsid w:val="004D2D98"/>
    <w:rsid w:val="004D32A9"/>
    <w:rsid w:val="004D439D"/>
    <w:rsid w:val="004D5045"/>
    <w:rsid w:val="004D51A7"/>
    <w:rsid w:val="004D54B0"/>
    <w:rsid w:val="004D5BA1"/>
    <w:rsid w:val="004D5C14"/>
    <w:rsid w:val="004D6149"/>
    <w:rsid w:val="004D65AC"/>
    <w:rsid w:val="004D6D8F"/>
    <w:rsid w:val="004D6FA9"/>
    <w:rsid w:val="004E1025"/>
    <w:rsid w:val="004E1811"/>
    <w:rsid w:val="004E1C64"/>
    <w:rsid w:val="004E2801"/>
    <w:rsid w:val="004E302E"/>
    <w:rsid w:val="004E31E6"/>
    <w:rsid w:val="004E4019"/>
    <w:rsid w:val="004E4AF7"/>
    <w:rsid w:val="004E4C8B"/>
    <w:rsid w:val="004E4CC7"/>
    <w:rsid w:val="004E504B"/>
    <w:rsid w:val="004E5245"/>
    <w:rsid w:val="004E5E6D"/>
    <w:rsid w:val="004E646E"/>
    <w:rsid w:val="004E6B36"/>
    <w:rsid w:val="004F0241"/>
    <w:rsid w:val="004F0599"/>
    <w:rsid w:val="004F062E"/>
    <w:rsid w:val="004F0884"/>
    <w:rsid w:val="004F13F2"/>
    <w:rsid w:val="004F15AC"/>
    <w:rsid w:val="004F1AE3"/>
    <w:rsid w:val="004F1BBB"/>
    <w:rsid w:val="004F1FA0"/>
    <w:rsid w:val="004F271C"/>
    <w:rsid w:val="004F551B"/>
    <w:rsid w:val="004F6E16"/>
    <w:rsid w:val="004F6E7B"/>
    <w:rsid w:val="004F70E7"/>
    <w:rsid w:val="004F7319"/>
    <w:rsid w:val="004F7B27"/>
    <w:rsid w:val="004F7D35"/>
    <w:rsid w:val="00500196"/>
    <w:rsid w:val="00500285"/>
    <w:rsid w:val="0050057A"/>
    <w:rsid w:val="00500830"/>
    <w:rsid w:val="00500A75"/>
    <w:rsid w:val="00500FD7"/>
    <w:rsid w:val="00501A56"/>
    <w:rsid w:val="0050368B"/>
    <w:rsid w:val="00503B32"/>
    <w:rsid w:val="00504158"/>
    <w:rsid w:val="00504457"/>
    <w:rsid w:val="00504882"/>
    <w:rsid w:val="00505CCD"/>
    <w:rsid w:val="00505F72"/>
    <w:rsid w:val="005066F0"/>
    <w:rsid w:val="005069D6"/>
    <w:rsid w:val="00506E80"/>
    <w:rsid w:val="00507688"/>
    <w:rsid w:val="00507847"/>
    <w:rsid w:val="00507C45"/>
    <w:rsid w:val="0051060A"/>
    <w:rsid w:val="005107FD"/>
    <w:rsid w:val="00510F4C"/>
    <w:rsid w:val="005113B7"/>
    <w:rsid w:val="00511436"/>
    <w:rsid w:val="0051188D"/>
    <w:rsid w:val="00512882"/>
    <w:rsid w:val="00512A27"/>
    <w:rsid w:val="005132A2"/>
    <w:rsid w:val="00513322"/>
    <w:rsid w:val="00513ABB"/>
    <w:rsid w:val="00513D69"/>
    <w:rsid w:val="00514468"/>
    <w:rsid w:val="0051498B"/>
    <w:rsid w:val="00517394"/>
    <w:rsid w:val="00517C47"/>
    <w:rsid w:val="00517D36"/>
    <w:rsid w:val="00517F1A"/>
    <w:rsid w:val="00517F8E"/>
    <w:rsid w:val="00517F95"/>
    <w:rsid w:val="00520504"/>
    <w:rsid w:val="005207BD"/>
    <w:rsid w:val="00520C6B"/>
    <w:rsid w:val="005216D2"/>
    <w:rsid w:val="00521FCD"/>
    <w:rsid w:val="00522A38"/>
    <w:rsid w:val="00522E03"/>
    <w:rsid w:val="00522FCF"/>
    <w:rsid w:val="0052492B"/>
    <w:rsid w:val="00524B63"/>
    <w:rsid w:val="00524B80"/>
    <w:rsid w:val="0052548F"/>
    <w:rsid w:val="00525708"/>
    <w:rsid w:val="00525ABD"/>
    <w:rsid w:val="00525BD1"/>
    <w:rsid w:val="005266E7"/>
    <w:rsid w:val="00526979"/>
    <w:rsid w:val="005269FE"/>
    <w:rsid w:val="005278CA"/>
    <w:rsid w:val="00527AD9"/>
    <w:rsid w:val="00527DCE"/>
    <w:rsid w:val="00530455"/>
    <w:rsid w:val="00530E6D"/>
    <w:rsid w:val="00531489"/>
    <w:rsid w:val="00531E50"/>
    <w:rsid w:val="00533049"/>
    <w:rsid w:val="005335BA"/>
    <w:rsid w:val="00534475"/>
    <w:rsid w:val="00534D74"/>
    <w:rsid w:val="00535119"/>
    <w:rsid w:val="00535189"/>
    <w:rsid w:val="00535C29"/>
    <w:rsid w:val="00536489"/>
    <w:rsid w:val="005364E9"/>
    <w:rsid w:val="005365FF"/>
    <w:rsid w:val="005366B0"/>
    <w:rsid w:val="00536C4A"/>
    <w:rsid w:val="005375D6"/>
    <w:rsid w:val="00537A4A"/>
    <w:rsid w:val="00540565"/>
    <w:rsid w:val="00540DA7"/>
    <w:rsid w:val="00541059"/>
    <w:rsid w:val="00541807"/>
    <w:rsid w:val="00541CB9"/>
    <w:rsid w:val="00541D7B"/>
    <w:rsid w:val="00542874"/>
    <w:rsid w:val="005429A3"/>
    <w:rsid w:val="00542C7E"/>
    <w:rsid w:val="00543EC9"/>
    <w:rsid w:val="00544772"/>
    <w:rsid w:val="00544856"/>
    <w:rsid w:val="00544863"/>
    <w:rsid w:val="00545CD1"/>
    <w:rsid w:val="00546711"/>
    <w:rsid w:val="00546720"/>
    <w:rsid w:val="005471D6"/>
    <w:rsid w:val="005474BA"/>
    <w:rsid w:val="0055012D"/>
    <w:rsid w:val="0055045D"/>
    <w:rsid w:val="00551BA7"/>
    <w:rsid w:val="00551D31"/>
    <w:rsid w:val="00552430"/>
    <w:rsid w:val="00552773"/>
    <w:rsid w:val="00552CCB"/>
    <w:rsid w:val="005537B9"/>
    <w:rsid w:val="00553827"/>
    <w:rsid w:val="00553A13"/>
    <w:rsid w:val="00553C01"/>
    <w:rsid w:val="00554993"/>
    <w:rsid w:val="00554C3C"/>
    <w:rsid w:val="00555D5A"/>
    <w:rsid w:val="00556003"/>
    <w:rsid w:val="00556329"/>
    <w:rsid w:val="00556339"/>
    <w:rsid w:val="00556E0A"/>
    <w:rsid w:val="00556E59"/>
    <w:rsid w:val="005579F8"/>
    <w:rsid w:val="0056068B"/>
    <w:rsid w:val="005606FC"/>
    <w:rsid w:val="00560849"/>
    <w:rsid w:val="0056148C"/>
    <w:rsid w:val="0056165C"/>
    <w:rsid w:val="0056191E"/>
    <w:rsid w:val="00562A05"/>
    <w:rsid w:val="0056469C"/>
    <w:rsid w:val="005652CE"/>
    <w:rsid w:val="005656E1"/>
    <w:rsid w:val="0056674B"/>
    <w:rsid w:val="00567293"/>
    <w:rsid w:val="00567A82"/>
    <w:rsid w:val="00567B55"/>
    <w:rsid w:val="00571022"/>
    <w:rsid w:val="0057114A"/>
    <w:rsid w:val="00571F0F"/>
    <w:rsid w:val="00572668"/>
    <w:rsid w:val="00572C41"/>
    <w:rsid w:val="00574759"/>
    <w:rsid w:val="00575BC3"/>
    <w:rsid w:val="00576A13"/>
    <w:rsid w:val="00576B75"/>
    <w:rsid w:val="00577E5F"/>
    <w:rsid w:val="005803D6"/>
    <w:rsid w:val="005808AC"/>
    <w:rsid w:val="00580B11"/>
    <w:rsid w:val="00580EE6"/>
    <w:rsid w:val="00582A73"/>
    <w:rsid w:val="005838E8"/>
    <w:rsid w:val="005838F9"/>
    <w:rsid w:val="00583BAB"/>
    <w:rsid w:val="00583E4A"/>
    <w:rsid w:val="00584800"/>
    <w:rsid w:val="0058579A"/>
    <w:rsid w:val="00585804"/>
    <w:rsid w:val="0058620D"/>
    <w:rsid w:val="005865D0"/>
    <w:rsid w:val="005870D2"/>
    <w:rsid w:val="00587D78"/>
    <w:rsid w:val="00590084"/>
    <w:rsid w:val="005901C9"/>
    <w:rsid w:val="005908C4"/>
    <w:rsid w:val="00590A13"/>
    <w:rsid w:val="00591042"/>
    <w:rsid w:val="00591361"/>
    <w:rsid w:val="00591643"/>
    <w:rsid w:val="0059232F"/>
    <w:rsid w:val="00592977"/>
    <w:rsid w:val="00592A39"/>
    <w:rsid w:val="00592F28"/>
    <w:rsid w:val="00593350"/>
    <w:rsid w:val="0059408A"/>
    <w:rsid w:val="0059416C"/>
    <w:rsid w:val="0059435E"/>
    <w:rsid w:val="005946B3"/>
    <w:rsid w:val="00594E11"/>
    <w:rsid w:val="00595BA5"/>
    <w:rsid w:val="00595CC4"/>
    <w:rsid w:val="005967A0"/>
    <w:rsid w:val="00597804"/>
    <w:rsid w:val="00597955"/>
    <w:rsid w:val="00597E5D"/>
    <w:rsid w:val="005A16FE"/>
    <w:rsid w:val="005A3356"/>
    <w:rsid w:val="005A3946"/>
    <w:rsid w:val="005A3950"/>
    <w:rsid w:val="005A402A"/>
    <w:rsid w:val="005A4329"/>
    <w:rsid w:val="005A5D61"/>
    <w:rsid w:val="005A667D"/>
    <w:rsid w:val="005A6E42"/>
    <w:rsid w:val="005A72C1"/>
    <w:rsid w:val="005A7B4B"/>
    <w:rsid w:val="005A7F0A"/>
    <w:rsid w:val="005B0179"/>
    <w:rsid w:val="005B054D"/>
    <w:rsid w:val="005B1959"/>
    <w:rsid w:val="005B1E9E"/>
    <w:rsid w:val="005B2023"/>
    <w:rsid w:val="005B2071"/>
    <w:rsid w:val="005B2214"/>
    <w:rsid w:val="005B3BD7"/>
    <w:rsid w:val="005B4023"/>
    <w:rsid w:val="005B46A9"/>
    <w:rsid w:val="005B498E"/>
    <w:rsid w:val="005B4EFC"/>
    <w:rsid w:val="005B526D"/>
    <w:rsid w:val="005B586A"/>
    <w:rsid w:val="005B5B5B"/>
    <w:rsid w:val="005B5D4B"/>
    <w:rsid w:val="005B6987"/>
    <w:rsid w:val="005B6991"/>
    <w:rsid w:val="005B6C2B"/>
    <w:rsid w:val="005B6C48"/>
    <w:rsid w:val="005B7889"/>
    <w:rsid w:val="005B7C83"/>
    <w:rsid w:val="005B7D3C"/>
    <w:rsid w:val="005C064C"/>
    <w:rsid w:val="005C0949"/>
    <w:rsid w:val="005C1955"/>
    <w:rsid w:val="005C2130"/>
    <w:rsid w:val="005C2E75"/>
    <w:rsid w:val="005C35F9"/>
    <w:rsid w:val="005C3752"/>
    <w:rsid w:val="005C5E10"/>
    <w:rsid w:val="005C5F1F"/>
    <w:rsid w:val="005C5F95"/>
    <w:rsid w:val="005C72E1"/>
    <w:rsid w:val="005C75D2"/>
    <w:rsid w:val="005C7E40"/>
    <w:rsid w:val="005D085F"/>
    <w:rsid w:val="005D1AD0"/>
    <w:rsid w:val="005D25EF"/>
    <w:rsid w:val="005D28A4"/>
    <w:rsid w:val="005D325C"/>
    <w:rsid w:val="005D3769"/>
    <w:rsid w:val="005D3911"/>
    <w:rsid w:val="005D3ADF"/>
    <w:rsid w:val="005D523F"/>
    <w:rsid w:val="005D5718"/>
    <w:rsid w:val="005D59CC"/>
    <w:rsid w:val="005D5A2D"/>
    <w:rsid w:val="005D5C44"/>
    <w:rsid w:val="005D6522"/>
    <w:rsid w:val="005E0531"/>
    <w:rsid w:val="005E0BD9"/>
    <w:rsid w:val="005E2282"/>
    <w:rsid w:val="005E2765"/>
    <w:rsid w:val="005E29D5"/>
    <w:rsid w:val="005E34F8"/>
    <w:rsid w:val="005E3B5E"/>
    <w:rsid w:val="005E3F5B"/>
    <w:rsid w:val="005E3FCA"/>
    <w:rsid w:val="005E43A4"/>
    <w:rsid w:val="005E460F"/>
    <w:rsid w:val="005E4F27"/>
    <w:rsid w:val="005E4F6B"/>
    <w:rsid w:val="005E5587"/>
    <w:rsid w:val="005E5D46"/>
    <w:rsid w:val="005E5DB1"/>
    <w:rsid w:val="005E5EFC"/>
    <w:rsid w:val="005E649B"/>
    <w:rsid w:val="005E6D16"/>
    <w:rsid w:val="005E7C6B"/>
    <w:rsid w:val="005F04FF"/>
    <w:rsid w:val="005F0902"/>
    <w:rsid w:val="005F1EC6"/>
    <w:rsid w:val="005F1F42"/>
    <w:rsid w:val="005F29A4"/>
    <w:rsid w:val="005F305C"/>
    <w:rsid w:val="005F377C"/>
    <w:rsid w:val="005F4920"/>
    <w:rsid w:val="005F4ADF"/>
    <w:rsid w:val="005F4CD8"/>
    <w:rsid w:val="005F5BEB"/>
    <w:rsid w:val="005F612D"/>
    <w:rsid w:val="005F6363"/>
    <w:rsid w:val="005F6931"/>
    <w:rsid w:val="005F6F8F"/>
    <w:rsid w:val="005F75FB"/>
    <w:rsid w:val="0060000D"/>
    <w:rsid w:val="00600B9C"/>
    <w:rsid w:val="00600D4C"/>
    <w:rsid w:val="00600D6B"/>
    <w:rsid w:val="00601487"/>
    <w:rsid w:val="006023A8"/>
    <w:rsid w:val="0060251A"/>
    <w:rsid w:val="00602E44"/>
    <w:rsid w:val="00602F46"/>
    <w:rsid w:val="0060313E"/>
    <w:rsid w:val="00603B8F"/>
    <w:rsid w:val="006050D6"/>
    <w:rsid w:val="006056B4"/>
    <w:rsid w:val="00605D48"/>
    <w:rsid w:val="0060643B"/>
    <w:rsid w:val="00606676"/>
    <w:rsid w:val="006077EC"/>
    <w:rsid w:val="00607B23"/>
    <w:rsid w:val="00607C78"/>
    <w:rsid w:val="00607CB1"/>
    <w:rsid w:val="00610EC5"/>
    <w:rsid w:val="00611023"/>
    <w:rsid w:val="006115F8"/>
    <w:rsid w:val="00611D79"/>
    <w:rsid w:val="00611E0F"/>
    <w:rsid w:val="00611F57"/>
    <w:rsid w:val="00612D7E"/>
    <w:rsid w:val="006132D5"/>
    <w:rsid w:val="0061352B"/>
    <w:rsid w:val="00613A5C"/>
    <w:rsid w:val="00614D2B"/>
    <w:rsid w:val="00615EFC"/>
    <w:rsid w:val="0061605C"/>
    <w:rsid w:val="006165FB"/>
    <w:rsid w:val="0061686D"/>
    <w:rsid w:val="006171F7"/>
    <w:rsid w:val="00617EC6"/>
    <w:rsid w:val="00620053"/>
    <w:rsid w:val="00620AF8"/>
    <w:rsid w:val="00620F4A"/>
    <w:rsid w:val="00623324"/>
    <w:rsid w:val="00623D0F"/>
    <w:rsid w:val="006245BE"/>
    <w:rsid w:val="00624A69"/>
    <w:rsid w:val="0062506B"/>
    <w:rsid w:val="006265FC"/>
    <w:rsid w:val="00626771"/>
    <w:rsid w:val="00626909"/>
    <w:rsid w:val="006269B8"/>
    <w:rsid w:val="006269DF"/>
    <w:rsid w:val="00626C24"/>
    <w:rsid w:val="00626DE0"/>
    <w:rsid w:val="0062766C"/>
    <w:rsid w:val="00627B05"/>
    <w:rsid w:val="00627D5E"/>
    <w:rsid w:val="00627EE1"/>
    <w:rsid w:val="0063181E"/>
    <w:rsid w:val="006320F4"/>
    <w:rsid w:val="00632A92"/>
    <w:rsid w:val="00633385"/>
    <w:rsid w:val="0063364C"/>
    <w:rsid w:val="006345D5"/>
    <w:rsid w:val="00634DCE"/>
    <w:rsid w:val="00634E03"/>
    <w:rsid w:val="00635604"/>
    <w:rsid w:val="006367DE"/>
    <w:rsid w:val="006373DB"/>
    <w:rsid w:val="00637C1C"/>
    <w:rsid w:val="0064006D"/>
    <w:rsid w:val="00640C52"/>
    <w:rsid w:val="00640D70"/>
    <w:rsid w:val="00641769"/>
    <w:rsid w:val="006418EE"/>
    <w:rsid w:val="00641B00"/>
    <w:rsid w:val="00641EDE"/>
    <w:rsid w:val="00642476"/>
    <w:rsid w:val="00642897"/>
    <w:rsid w:val="006442DA"/>
    <w:rsid w:val="006449EA"/>
    <w:rsid w:val="00644DE8"/>
    <w:rsid w:val="00644FEC"/>
    <w:rsid w:val="006455BB"/>
    <w:rsid w:val="00646F7C"/>
    <w:rsid w:val="00647853"/>
    <w:rsid w:val="00647A57"/>
    <w:rsid w:val="00647B12"/>
    <w:rsid w:val="00650472"/>
    <w:rsid w:val="00650CFC"/>
    <w:rsid w:val="006518C6"/>
    <w:rsid w:val="00652432"/>
    <w:rsid w:val="00654762"/>
    <w:rsid w:val="00654C38"/>
    <w:rsid w:val="00655693"/>
    <w:rsid w:val="0065575F"/>
    <w:rsid w:val="00655911"/>
    <w:rsid w:val="00656479"/>
    <w:rsid w:val="006577F1"/>
    <w:rsid w:val="00657A7E"/>
    <w:rsid w:val="00657B96"/>
    <w:rsid w:val="0066149B"/>
    <w:rsid w:val="00661966"/>
    <w:rsid w:val="006619FA"/>
    <w:rsid w:val="00661E29"/>
    <w:rsid w:val="0066206C"/>
    <w:rsid w:val="006621DB"/>
    <w:rsid w:val="006622E9"/>
    <w:rsid w:val="00662F1D"/>
    <w:rsid w:val="006637C5"/>
    <w:rsid w:val="006638AA"/>
    <w:rsid w:val="006653C3"/>
    <w:rsid w:val="00665751"/>
    <w:rsid w:val="00665CD5"/>
    <w:rsid w:val="006663D7"/>
    <w:rsid w:val="00666420"/>
    <w:rsid w:val="00666E1D"/>
    <w:rsid w:val="006670EB"/>
    <w:rsid w:val="00667CA8"/>
    <w:rsid w:val="00667EC7"/>
    <w:rsid w:val="006700A7"/>
    <w:rsid w:val="006721D6"/>
    <w:rsid w:val="0067303F"/>
    <w:rsid w:val="006732EE"/>
    <w:rsid w:val="00673C35"/>
    <w:rsid w:val="00674328"/>
    <w:rsid w:val="0067442B"/>
    <w:rsid w:val="00674E9E"/>
    <w:rsid w:val="006754D9"/>
    <w:rsid w:val="00675CF4"/>
    <w:rsid w:val="00675E3E"/>
    <w:rsid w:val="006760FC"/>
    <w:rsid w:val="00676687"/>
    <w:rsid w:val="00676AAF"/>
    <w:rsid w:val="00676DA9"/>
    <w:rsid w:val="00676FCE"/>
    <w:rsid w:val="006771E2"/>
    <w:rsid w:val="00677614"/>
    <w:rsid w:val="00677FFB"/>
    <w:rsid w:val="006810D7"/>
    <w:rsid w:val="00682985"/>
    <w:rsid w:val="00682D55"/>
    <w:rsid w:val="00683B20"/>
    <w:rsid w:val="00684FB9"/>
    <w:rsid w:val="006850C5"/>
    <w:rsid w:val="006855D8"/>
    <w:rsid w:val="00686003"/>
    <w:rsid w:val="006868C7"/>
    <w:rsid w:val="006873C0"/>
    <w:rsid w:val="00690AFF"/>
    <w:rsid w:val="0069145B"/>
    <w:rsid w:val="00691D1A"/>
    <w:rsid w:val="00692000"/>
    <w:rsid w:val="006926C2"/>
    <w:rsid w:val="00692944"/>
    <w:rsid w:val="00693100"/>
    <w:rsid w:val="0069416F"/>
    <w:rsid w:val="006944EC"/>
    <w:rsid w:val="00694589"/>
    <w:rsid w:val="0069469B"/>
    <w:rsid w:val="0069585E"/>
    <w:rsid w:val="00695919"/>
    <w:rsid w:val="00695E47"/>
    <w:rsid w:val="00695FBC"/>
    <w:rsid w:val="0069691D"/>
    <w:rsid w:val="00696A1B"/>
    <w:rsid w:val="00696C00"/>
    <w:rsid w:val="00696D20"/>
    <w:rsid w:val="00697FDC"/>
    <w:rsid w:val="006A007A"/>
    <w:rsid w:val="006A0B84"/>
    <w:rsid w:val="006A1DC6"/>
    <w:rsid w:val="006A36CB"/>
    <w:rsid w:val="006A3D23"/>
    <w:rsid w:val="006A3F5F"/>
    <w:rsid w:val="006A49FB"/>
    <w:rsid w:val="006A5AED"/>
    <w:rsid w:val="006A5D37"/>
    <w:rsid w:val="006B0D24"/>
    <w:rsid w:val="006B0EB3"/>
    <w:rsid w:val="006B0FDB"/>
    <w:rsid w:val="006B1079"/>
    <w:rsid w:val="006B1629"/>
    <w:rsid w:val="006B1A67"/>
    <w:rsid w:val="006B2172"/>
    <w:rsid w:val="006B2AEA"/>
    <w:rsid w:val="006B2AFC"/>
    <w:rsid w:val="006B2F7D"/>
    <w:rsid w:val="006B3535"/>
    <w:rsid w:val="006B396B"/>
    <w:rsid w:val="006B39D9"/>
    <w:rsid w:val="006B3DEC"/>
    <w:rsid w:val="006B4175"/>
    <w:rsid w:val="006B4933"/>
    <w:rsid w:val="006B5798"/>
    <w:rsid w:val="006B5A39"/>
    <w:rsid w:val="006B5A50"/>
    <w:rsid w:val="006B62CF"/>
    <w:rsid w:val="006B6B54"/>
    <w:rsid w:val="006B6D69"/>
    <w:rsid w:val="006B6E0F"/>
    <w:rsid w:val="006B6E36"/>
    <w:rsid w:val="006B723E"/>
    <w:rsid w:val="006B7B80"/>
    <w:rsid w:val="006C0414"/>
    <w:rsid w:val="006C0BEB"/>
    <w:rsid w:val="006C156B"/>
    <w:rsid w:val="006C16B0"/>
    <w:rsid w:val="006C1820"/>
    <w:rsid w:val="006C1DE3"/>
    <w:rsid w:val="006C23B5"/>
    <w:rsid w:val="006C2DB3"/>
    <w:rsid w:val="006C3511"/>
    <w:rsid w:val="006C35BA"/>
    <w:rsid w:val="006C406C"/>
    <w:rsid w:val="006C471E"/>
    <w:rsid w:val="006C5C8C"/>
    <w:rsid w:val="006C66E0"/>
    <w:rsid w:val="006C6717"/>
    <w:rsid w:val="006C7DD5"/>
    <w:rsid w:val="006D0168"/>
    <w:rsid w:val="006D1353"/>
    <w:rsid w:val="006D1AE6"/>
    <w:rsid w:val="006D211D"/>
    <w:rsid w:val="006D29AA"/>
    <w:rsid w:val="006D2B79"/>
    <w:rsid w:val="006D2E0C"/>
    <w:rsid w:val="006D3092"/>
    <w:rsid w:val="006D33DD"/>
    <w:rsid w:val="006D3AC7"/>
    <w:rsid w:val="006D4DFF"/>
    <w:rsid w:val="006D52F2"/>
    <w:rsid w:val="006D5A7C"/>
    <w:rsid w:val="006D5F2D"/>
    <w:rsid w:val="006D6746"/>
    <w:rsid w:val="006D6A2B"/>
    <w:rsid w:val="006D6A5A"/>
    <w:rsid w:val="006D720D"/>
    <w:rsid w:val="006D748A"/>
    <w:rsid w:val="006D7B6B"/>
    <w:rsid w:val="006D7BA8"/>
    <w:rsid w:val="006D7F33"/>
    <w:rsid w:val="006E1FC5"/>
    <w:rsid w:val="006E21AD"/>
    <w:rsid w:val="006E28AB"/>
    <w:rsid w:val="006E2D06"/>
    <w:rsid w:val="006E30F6"/>
    <w:rsid w:val="006E3851"/>
    <w:rsid w:val="006E3DEC"/>
    <w:rsid w:val="006E42AC"/>
    <w:rsid w:val="006E45F2"/>
    <w:rsid w:val="006E4A1A"/>
    <w:rsid w:val="006E56A5"/>
    <w:rsid w:val="006E5B17"/>
    <w:rsid w:val="006E5B31"/>
    <w:rsid w:val="006E5BA7"/>
    <w:rsid w:val="006E5CB5"/>
    <w:rsid w:val="006E6444"/>
    <w:rsid w:val="006E6653"/>
    <w:rsid w:val="006E70F9"/>
    <w:rsid w:val="006E751A"/>
    <w:rsid w:val="006E7A1E"/>
    <w:rsid w:val="006E7FCA"/>
    <w:rsid w:val="006F1790"/>
    <w:rsid w:val="006F1B16"/>
    <w:rsid w:val="006F22C1"/>
    <w:rsid w:val="006F241C"/>
    <w:rsid w:val="006F24DD"/>
    <w:rsid w:val="006F27A3"/>
    <w:rsid w:val="006F3000"/>
    <w:rsid w:val="006F33AB"/>
    <w:rsid w:val="006F36D2"/>
    <w:rsid w:val="006F3E80"/>
    <w:rsid w:val="006F5087"/>
    <w:rsid w:val="006F59DB"/>
    <w:rsid w:val="006F6190"/>
    <w:rsid w:val="006F69EF"/>
    <w:rsid w:val="006F6F31"/>
    <w:rsid w:val="006F6F46"/>
    <w:rsid w:val="006F7056"/>
    <w:rsid w:val="006F7641"/>
    <w:rsid w:val="006F768D"/>
    <w:rsid w:val="006F7760"/>
    <w:rsid w:val="006F7946"/>
    <w:rsid w:val="00700FA2"/>
    <w:rsid w:val="00701181"/>
    <w:rsid w:val="0070191A"/>
    <w:rsid w:val="00701DBC"/>
    <w:rsid w:val="00702498"/>
    <w:rsid w:val="00702BCC"/>
    <w:rsid w:val="00703560"/>
    <w:rsid w:val="007037D5"/>
    <w:rsid w:val="00703E37"/>
    <w:rsid w:val="00704A26"/>
    <w:rsid w:val="00704FAB"/>
    <w:rsid w:val="00705795"/>
    <w:rsid w:val="00705814"/>
    <w:rsid w:val="00705846"/>
    <w:rsid w:val="00705973"/>
    <w:rsid w:val="00706168"/>
    <w:rsid w:val="00707433"/>
    <w:rsid w:val="00710B63"/>
    <w:rsid w:val="00711133"/>
    <w:rsid w:val="00711DC2"/>
    <w:rsid w:val="00712059"/>
    <w:rsid w:val="00713496"/>
    <w:rsid w:val="0071353C"/>
    <w:rsid w:val="0071378F"/>
    <w:rsid w:val="00713D33"/>
    <w:rsid w:val="00714999"/>
    <w:rsid w:val="00715F28"/>
    <w:rsid w:val="00716426"/>
    <w:rsid w:val="007176CE"/>
    <w:rsid w:val="00717765"/>
    <w:rsid w:val="00717D4D"/>
    <w:rsid w:val="00720256"/>
    <w:rsid w:val="007202B5"/>
    <w:rsid w:val="007202E6"/>
    <w:rsid w:val="00720C46"/>
    <w:rsid w:val="00720CAB"/>
    <w:rsid w:val="0072123A"/>
    <w:rsid w:val="00721347"/>
    <w:rsid w:val="00721A75"/>
    <w:rsid w:val="00722A3E"/>
    <w:rsid w:val="00722A79"/>
    <w:rsid w:val="00722D62"/>
    <w:rsid w:val="007236A3"/>
    <w:rsid w:val="00723A3C"/>
    <w:rsid w:val="00723A6D"/>
    <w:rsid w:val="00724077"/>
    <w:rsid w:val="007246CA"/>
    <w:rsid w:val="00724C5D"/>
    <w:rsid w:val="00724DD7"/>
    <w:rsid w:val="00724F9A"/>
    <w:rsid w:val="0072518A"/>
    <w:rsid w:val="00725718"/>
    <w:rsid w:val="0072585C"/>
    <w:rsid w:val="0072611E"/>
    <w:rsid w:val="00726428"/>
    <w:rsid w:val="00726841"/>
    <w:rsid w:val="007271F7"/>
    <w:rsid w:val="0072754C"/>
    <w:rsid w:val="0073039D"/>
    <w:rsid w:val="00730C7B"/>
    <w:rsid w:val="00730FB6"/>
    <w:rsid w:val="0073126C"/>
    <w:rsid w:val="00731679"/>
    <w:rsid w:val="0073189F"/>
    <w:rsid w:val="007318DE"/>
    <w:rsid w:val="007328A4"/>
    <w:rsid w:val="00732B3D"/>
    <w:rsid w:val="00733016"/>
    <w:rsid w:val="007336E3"/>
    <w:rsid w:val="00734690"/>
    <w:rsid w:val="00734C43"/>
    <w:rsid w:val="00734DCF"/>
    <w:rsid w:val="00735363"/>
    <w:rsid w:val="007358F9"/>
    <w:rsid w:val="00735D4D"/>
    <w:rsid w:val="00735D5F"/>
    <w:rsid w:val="007365F1"/>
    <w:rsid w:val="00736B19"/>
    <w:rsid w:val="0073724E"/>
    <w:rsid w:val="007378B0"/>
    <w:rsid w:val="007379FD"/>
    <w:rsid w:val="00740172"/>
    <w:rsid w:val="007403EC"/>
    <w:rsid w:val="00740BA8"/>
    <w:rsid w:val="00740C90"/>
    <w:rsid w:val="00740FEB"/>
    <w:rsid w:val="007415FB"/>
    <w:rsid w:val="00741880"/>
    <w:rsid w:val="007418D8"/>
    <w:rsid w:val="00744318"/>
    <w:rsid w:val="0074438A"/>
    <w:rsid w:val="007450D5"/>
    <w:rsid w:val="00745E84"/>
    <w:rsid w:val="0074604D"/>
    <w:rsid w:val="0074703D"/>
    <w:rsid w:val="00747434"/>
    <w:rsid w:val="007477C5"/>
    <w:rsid w:val="00747BEA"/>
    <w:rsid w:val="00747EAD"/>
    <w:rsid w:val="00750EC1"/>
    <w:rsid w:val="007518F5"/>
    <w:rsid w:val="00751B86"/>
    <w:rsid w:val="00753E47"/>
    <w:rsid w:val="00754938"/>
    <w:rsid w:val="00754A98"/>
    <w:rsid w:val="00754D7D"/>
    <w:rsid w:val="00754F21"/>
    <w:rsid w:val="00755521"/>
    <w:rsid w:val="0075587A"/>
    <w:rsid w:val="00756967"/>
    <w:rsid w:val="00756E42"/>
    <w:rsid w:val="00756F73"/>
    <w:rsid w:val="0075702E"/>
    <w:rsid w:val="00757188"/>
    <w:rsid w:val="00757EBA"/>
    <w:rsid w:val="007614A7"/>
    <w:rsid w:val="007617D4"/>
    <w:rsid w:val="00761BA3"/>
    <w:rsid w:val="00762B3E"/>
    <w:rsid w:val="00763241"/>
    <w:rsid w:val="00763F74"/>
    <w:rsid w:val="00764195"/>
    <w:rsid w:val="007646A9"/>
    <w:rsid w:val="00764FA4"/>
    <w:rsid w:val="00765A13"/>
    <w:rsid w:val="00765E90"/>
    <w:rsid w:val="007674E2"/>
    <w:rsid w:val="00770571"/>
    <w:rsid w:val="007705D0"/>
    <w:rsid w:val="00771392"/>
    <w:rsid w:val="00771BD3"/>
    <w:rsid w:val="00771FB6"/>
    <w:rsid w:val="007723D7"/>
    <w:rsid w:val="00772556"/>
    <w:rsid w:val="0077297D"/>
    <w:rsid w:val="00773355"/>
    <w:rsid w:val="00773661"/>
    <w:rsid w:val="00773C0D"/>
    <w:rsid w:val="00774839"/>
    <w:rsid w:val="00774D4E"/>
    <w:rsid w:val="0077507A"/>
    <w:rsid w:val="007754C4"/>
    <w:rsid w:val="007756E6"/>
    <w:rsid w:val="007758A4"/>
    <w:rsid w:val="00775C3D"/>
    <w:rsid w:val="00775DE8"/>
    <w:rsid w:val="00776DCD"/>
    <w:rsid w:val="00776F60"/>
    <w:rsid w:val="00781102"/>
    <w:rsid w:val="00781193"/>
    <w:rsid w:val="007815A4"/>
    <w:rsid w:val="00781E4C"/>
    <w:rsid w:val="0078200B"/>
    <w:rsid w:val="00782184"/>
    <w:rsid w:val="007822C5"/>
    <w:rsid w:val="00782493"/>
    <w:rsid w:val="00782ECD"/>
    <w:rsid w:val="007833BF"/>
    <w:rsid w:val="00783855"/>
    <w:rsid w:val="00783EF9"/>
    <w:rsid w:val="00784064"/>
    <w:rsid w:val="007841F4"/>
    <w:rsid w:val="007846B4"/>
    <w:rsid w:val="00784EB0"/>
    <w:rsid w:val="00785FB4"/>
    <w:rsid w:val="00785FD7"/>
    <w:rsid w:val="0078682B"/>
    <w:rsid w:val="00786958"/>
    <w:rsid w:val="00787909"/>
    <w:rsid w:val="00790A46"/>
    <w:rsid w:val="00790C24"/>
    <w:rsid w:val="00790F62"/>
    <w:rsid w:val="007913D8"/>
    <w:rsid w:val="00791E2A"/>
    <w:rsid w:val="00791E6B"/>
    <w:rsid w:val="0079274D"/>
    <w:rsid w:val="007928D4"/>
    <w:rsid w:val="00792B21"/>
    <w:rsid w:val="007933B2"/>
    <w:rsid w:val="00794610"/>
    <w:rsid w:val="007951B5"/>
    <w:rsid w:val="00796982"/>
    <w:rsid w:val="00796ED6"/>
    <w:rsid w:val="007970CA"/>
    <w:rsid w:val="007A07E7"/>
    <w:rsid w:val="007A0C1D"/>
    <w:rsid w:val="007A0FA1"/>
    <w:rsid w:val="007A1A8E"/>
    <w:rsid w:val="007A1F7C"/>
    <w:rsid w:val="007A2756"/>
    <w:rsid w:val="007A2E94"/>
    <w:rsid w:val="007A30BA"/>
    <w:rsid w:val="007A417F"/>
    <w:rsid w:val="007A5CC1"/>
    <w:rsid w:val="007A5D93"/>
    <w:rsid w:val="007A71A4"/>
    <w:rsid w:val="007A7792"/>
    <w:rsid w:val="007B06B6"/>
    <w:rsid w:val="007B0921"/>
    <w:rsid w:val="007B1541"/>
    <w:rsid w:val="007B1781"/>
    <w:rsid w:val="007B1B40"/>
    <w:rsid w:val="007B24E5"/>
    <w:rsid w:val="007B2964"/>
    <w:rsid w:val="007B2B03"/>
    <w:rsid w:val="007B2E6A"/>
    <w:rsid w:val="007B30A2"/>
    <w:rsid w:val="007B4018"/>
    <w:rsid w:val="007B520A"/>
    <w:rsid w:val="007B5A4A"/>
    <w:rsid w:val="007B644E"/>
    <w:rsid w:val="007B67D9"/>
    <w:rsid w:val="007B6C72"/>
    <w:rsid w:val="007C000B"/>
    <w:rsid w:val="007C0AF0"/>
    <w:rsid w:val="007C17F2"/>
    <w:rsid w:val="007C2D43"/>
    <w:rsid w:val="007C2E1A"/>
    <w:rsid w:val="007C324F"/>
    <w:rsid w:val="007C32ED"/>
    <w:rsid w:val="007C3BB6"/>
    <w:rsid w:val="007C443B"/>
    <w:rsid w:val="007C53F7"/>
    <w:rsid w:val="007C5611"/>
    <w:rsid w:val="007C6AA6"/>
    <w:rsid w:val="007C6B9A"/>
    <w:rsid w:val="007C701C"/>
    <w:rsid w:val="007C70D9"/>
    <w:rsid w:val="007C746B"/>
    <w:rsid w:val="007C7721"/>
    <w:rsid w:val="007C7E8C"/>
    <w:rsid w:val="007D029D"/>
    <w:rsid w:val="007D0974"/>
    <w:rsid w:val="007D19BF"/>
    <w:rsid w:val="007D1DFE"/>
    <w:rsid w:val="007D1E8B"/>
    <w:rsid w:val="007D26F0"/>
    <w:rsid w:val="007D2B0C"/>
    <w:rsid w:val="007D2C6D"/>
    <w:rsid w:val="007D319F"/>
    <w:rsid w:val="007D3A26"/>
    <w:rsid w:val="007D4001"/>
    <w:rsid w:val="007D4585"/>
    <w:rsid w:val="007D50CD"/>
    <w:rsid w:val="007D5379"/>
    <w:rsid w:val="007D5C19"/>
    <w:rsid w:val="007D6007"/>
    <w:rsid w:val="007D6191"/>
    <w:rsid w:val="007D6575"/>
    <w:rsid w:val="007D6576"/>
    <w:rsid w:val="007D7273"/>
    <w:rsid w:val="007D7B68"/>
    <w:rsid w:val="007D7CCE"/>
    <w:rsid w:val="007E08D8"/>
    <w:rsid w:val="007E098A"/>
    <w:rsid w:val="007E0B61"/>
    <w:rsid w:val="007E0F6D"/>
    <w:rsid w:val="007E1340"/>
    <w:rsid w:val="007E14FA"/>
    <w:rsid w:val="007E23EB"/>
    <w:rsid w:val="007E26CF"/>
    <w:rsid w:val="007E3293"/>
    <w:rsid w:val="007E37D1"/>
    <w:rsid w:val="007E3D94"/>
    <w:rsid w:val="007E47B8"/>
    <w:rsid w:val="007E483A"/>
    <w:rsid w:val="007E4E57"/>
    <w:rsid w:val="007E5115"/>
    <w:rsid w:val="007E5625"/>
    <w:rsid w:val="007E5DA5"/>
    <w:rsid w:val="007E7CAA"/>
    <w:rsid w:val="007E7E91"/>
    <w:rsid w:val="007F063D"/>
    <w:rsid w:val="007F06E2"/>
    <w:rsid w:val="007F0966"/>
    <w:rsid w:val="007F1676"/>
    <w:rsid w:val="007F21FB"/>
    <w:rsid w:val="007F34A0"/>
    <w:rsid w:val="007F3534"/>
    <w:rsid w:val="007F3602"/>
    <w:rsid w:val="007F3DE3"/>
    <w:rsid w:val="007F53F7"/>
    <w:rsid w:val="007F592B"/>
    <w:rsid w:val="007F72A7"/>
    <w:rsid w:val="007F7862"/>
    <w:rsid w:val="007F7C8A"/>
    <w:rsid w:val="008007BD"/>
    <w:rsid w:val="00800C29"/>
    <w:rsid w:val="00804202"/>
    <w:rsid w:val="0080420B"/>
    <w:rsid w:val="0080459A"/>
    <w:rsid w:val="00805899"/>
    <w:rsid w:val="00805BD6"/>
    <w:rsid w:val="008060B2"/>
    <w:rsid w:val="0080691E"/>
    <w:rsid w:val="008069CA"/>
    <w:rsid w:val="008073A2"/>
    <w:rsid w:val="008076A7"/>
    <w:rsid w:val="008076AA"/>
    <w:rsid w:val="00807FCD"/>
    <w:rsid w:val="00810046"/>
    <w:rsid w:val="00810093"/>
    <w:rsid w:val="00811625"/>
    <w:rsid w:val="0081163A"/>
    <w:rsid w:val="008116B2"/>
    <w:rsid w:val="008116E7"/>
    <w:rsid w:val="008119DC"/>
    <w:rsid w:val="00811F3A"/>
    <w:rsid w:val="008120BB"/>
    <w:rsid w:val="008120E9"/>
    <w:rsid w:val="00812950"/>
    <w:rsid w:val="0081295C"/>
    <w:rsid w:val="00812C3D"/>
    <w:rsid w:val="00813ED1"/>
    <w:rsid w:val="008144CF"/>
    <w:rsid w:val="008144D8"/>
    <w:rsid w:val="00814747"/>
    <w:rsid w:val="008152BF"/>
    <w:rsid w:val="00815531"/>
    <w:rsid w:val="00815A91"/>
    <w:rsid w:val="0081674A"/>
    <w:rsid w:val="00816BA8"/>
    <w:rsid w:val="00817D2C"/>
    <w:rsid w:val="0082001C"/>
    <w:rsid w:val="00820B5F"/>
    <w:rsid w:val="00820DD4"/>
    <w:rsid w:val="00821A3A"/>
    <w:rsid w:val="00821BFC"/>
    <w:rsid w:val="00821C2C"/>
    <w:rsid w:val="008227BA"/>
    <w:rsid w:val="00822828"/>
    <w:rsid w:val="00822B61"/>
    <w:rsid w:val="00823293"/>
    <w:rsid w:val="008234E0"/>
    <w:rsid w:val="0082389D"/>
    <w:rsid w:val="00823B2A"/>
    <w:rsid w:val="0082407A"/>
    <w:rsid w:val="008240AD"/>
    <w:rsid w:val="008241B3"/>
    <w:rsid w:val="00824562"/>
    <w:rsid w:val="008256E3"/>
    <w:rsid w:val="008256E9"/>
    <w:rsid w:val="00826B23"/>
    <w:rsid w:val="008306A3"/>
    <w:rsid w:val="0083086B"/>
    <w:rsid w:val="0083129F"/>
    <w:rsid w:val="00831D13"/>
    <w:rsid w:val="0083219A"/>
    <w:rsid w:val="00832248"/>
    <w:rsid w:val="00832286"/>
    <w:rsid w:val="0083229B"/>
    <w:rsid w:val="0083252D"/>
    <w:rsid w:val="00832A11"/>
    <w:rsid w:val="00833365"/>
    <w:rsid w:val="008339E2"/>
    <w:rsid w:val="00833F56"/>
    <w:rsid w:val="008342B4"/>
    <w:rsid w:val="00835570"/>
    <w:rsid w:val="00835E71"/>
    <w:rsid w:val="00835FE8"/>
    <w:rsid w:val="008368BE"/>
    <w:rsid w:val="00836F90"/>
    <w:rsid w:val="00837541"/>
    <w:rsid w:val="0083764E"/>
    <w:rsid w:val="00837A8F"/>
    <w:rsid w:val="00837DBF"/>
    <w:rsid w:val="00840332"/>
    <w:rsid w:val="008407C0"/>
    <w:rsid w:val="008413B2"/>
    <w:rsid w:val="00841733"/>
    <w:rsid w:val="00841F23"/>
    <w:rsid w:val="00842310"/>
    <w:rsid w:val="0084265F"/>
    <w:rsid w:val="008426CD"/>
    <w:rsid w:val="0084392C"/>
    <w:rsid w:val="0084393F"/>
    <w:rsid w:val="00843FE4"/>
    <w:rsid w:val="00844B22"/>
    <w:rsid w:val="00845EA1"/>
    <w:rsid w:val="00846816"/>
    <w:rsid w:val="00846EA1"/>
    <w:rsid w:val="00847361"/>
    <w:rsid w:val="00850006"/>
    <w:rsid w:val="00850010"/>
    <w:rsid w:val="0085059C"/>
    <w:rsid w:val="008518BC"/>
    <w:rsid w:val="0085191B"/>
    <w:rsid w:val="00851D05"/>
    <w:rsid w:val="00852B16"/>
    <w:rsid w:val="00854147"/>
    <w:rsid w:val="00854BA2"/>
    <w:rsid w:val="00855186"/>
    <w:rsid w:val="00855D2D"/>
    <w:rsid w:val="00855D33"/>
    <w:rsid w:val="00856A9F"/>
    <w:rsid w:val="00856BE2"/>
    <w:rsid w:val="008570DE"/>
    <w:rsid w:val="008600CF"/>
    <w:rsid w:val="00860620"/>
    <w:rsid w:val="00861099"/>
    <w:rsid w:val="00861529"/>
    <w:rsid w:val="00861DEC"/>
    <w:rsid w:val="00862600"/>
    <w:rsid w:val="00863290"/>
    <w:rsid w:val="00863352"/>
    <w:rsid w:val="0086349E"/>
    <w:rsid w:val="008635DE"/>
    <w:rsid w:val="00864F45"/>
    <w:rsid w:val="00865553"/>
    <w:rsid w:val="00865D31"/>
    <w:rsid w:val="008663A5"/>
    <w:rsid w:val="00866CC3"/>
    <w:rsid w:val="0087039C"/>
    <w:rsid w:val="00870539"/>
    <w:rsid w:val="0087104F"/>
    <w:rsid w:val="0087141A"/>
    <w:rsid w:val="00871883"/>
    <w:rsid w:val="00872779"/>
    <w:rsid w:val="0087287E"/>
    <w:rsid w:val="008734AB"/>
    <w:rsid w:val="0087369C"/>
    <w:rsid w:val="00874BA5"/>
    <w:rsid w:val="00874C3D"/>
    <w:rsid w:val="00874D6F"/>
    <w:rsid w:val="00875978"/>
    <w:rsid w:val="00875AC8"/>
    <w:rsid w:val="00875BB0"/>
    <w:rsid w:val="00875DC9"/>
    <w:rsid w:val="00876830"/>
    <w:rsid w:val="00876E5A"/>
    <w:rsid w:val="00877ECB"/>
    <w:rsid w:val="00877F94"/>
    <w:rsid w:val="00880593"/>
    <w:rsid w:val="008809BE"/>
    <w:rsid w:val="00881023"/>
    <w:rsid w:val="0088293F"/>
    <w:rsid w:val="008841E7"/>
    <w:rsid w:val="0088477B"/>
    <w:rsid w:val="00884A18"/>
    <w:rsid w:val="00885603"/>
    <w:rsid w:val="0088734E"/>
    <w:rsid w:val="0088751C"/>
    <w:rsid w:val="00890A7A"/>
    <w:rsid w:val="0089175A"/>
    <w:rsid w:val="00891853"/>
    <w:rsid w:val="00891DED"/>
    <w:rsid w:val="00892083"/>
    <w:rsid w:val="00893EAF"/>
    <w:rsid w:val="00893FF6"/>
    <w:rsid w:val="008949B0"/>
    <w:rsid w:val="00894D93"/>
    <w:rsid w:val="00894EE4"/>
    <w:rsid w:val="00895001"/>
    <w:rsid w:val="00895566"/>
    <w:rsid w:val="00895983"/>
    <w:rsid w:val="00896532"/>
    <w:rsid w:val="008965A3"/>
    <w:rsid w:val="008968C6"/>
    <w:rsid w:val="00896C72"/>
    <w:rsid w:val="008A00AB"/>
    <w:rsid w:val="008A0AB6"/>
    <w:rsid w:val="008A1547"/>
    <w:rsid w:val="008A1560"/>
    <w:rsid w:val="008A2B34"/>
    <w:rsid w:val="008A313B"/>
    <w:rsid w:val="008A34CF"/>
    <w:rsid w:val="008A3E36"/>
    <w:rsid w:val="008A51B3"/>
    <w:rsid w:val="008A546E"/>
    <w:rsid w:val="008A5685"/>
    <w:rsid w:val="008A5F43"/>
    <w:rsid w:val="008A61DE"/>
    <w:rsid w:val="008A62DE"/>
    <w:rsid w:val="008A6D65"/>
    <w:rsid w:val="008A6F25"/>
    <w:rsid w:val="008A71A2"/>
    <w:rsid w:val="008A7E69"/>
    <w:rsid w:val="008B0186"/>
    <w:rsid w:val="008B0774"/>
    <w:rsid w:val="008B1276"/>
    <w:rsid w:val="008B2BB4"/>
    <w:rsid w:val="008B2CE6"/>
    <w:rsid w:val="008B3573"/>
    <w:rsid w:val="008B3B16"/>
    <w:rsid w:val="008B4B3F"/>
    <w:rsid w:val="008B50C3"/>
    <w:rsid w:val="008B559D"/>
    <w:rsid w:val="008B6535"/>
    <w:rsid w:val="008B662B"/>
    <w:rsid w:val="008B71C0"/>
    <w:rsid w:val="008C0931"/>
    <w:rsid w:val="008C10F8"/>
    <w:rsid w:val="008C143C"/>
    <w:rsid w:val="008C1662"/>
    <w:rsid w:val="008C1743"/>
    <w:rsid w:val="008C1EBE"/>
    <w:rsid w:val="008C1FD2"/>
    <w:rsid w:val="008C238D"/>
    <w:rsid w:val="008C2BF0"/>
    <w:rsid w:val="008C2DD2"/>
    <w:rsid w:val="008C4137"/>
    <w:rsid w:val="008C4A6F"/>
    <w:rsid w:val="008C5D13"/>
    <w:rsid w:val="008C5FEA"/>
    <w:rsid w:val="008C67F6"/>
    <w:rsid w:val="008D0307"/>
    <w:rsid w:val="008D0C32"/>
    <w:rsid w:val="008D1C52"/>
    <w:rsid w:val="008D1DF4"/>
    <w:rsid w:val="008D20EC"/>
    <w:rsid w:val="008D2923"/>
    <w:rsid w:val="008D2965"/>
    <w:rsid w:val="008D2BC2"/>
    <w:rsid w:val="008D3486"/>
    <w:rsid w:val="008D3B8C"/>
    <w:rsid w:val="008D3D3B"/>
    <w:rsid w:val="008D4DE6"/>
    <w:rsid w:val="008D5152"/>
    <w:rsid w:val="008D54AB"/>
    <w:rsid w:val="008D5F41"/>
    <w:rsid w:val="008D63C9"/>
    <w:rsid w:val="008D6B38"/>
    <w:rsid w:val="008D77DC"/>
    <w:rsid w:val="008D7943"/>
    <w:rsid w:val="008D7C76"/>
    <w:rsid w:val="008D7E53"/>
    <w:rsid w:val="008E050D"/>
    <w:rsid w:val="008E0598"/>
    <w:rsid w:val="008E0957"/>
    <w:rsid w:val="008E0FE0"/>
    <w:rsid w:val="008E1856"/>
    <w:rsid w:val="008E1AF5"/>
    <w:rsid w:val="008E2182"/>
    <w:rsid w:val="008E228A"/>
    <w:rsid w:val="008E22C9"/>
    <w:rsid w:val="008E25ED"/>
    <w:rsid w:val="008E3FA4"/>
    <w:rsid w:val="008E402E"/>
    <w:rsid w:val="008E53F2"/>
    <w:rsid w:val="008E590B"/>
    <w:rsid w:val="008E6B09"/>
    <w:rsid w:val="008E7305"/>
    <w:rsid w:val="008E7B5E"/>
    <w:rsid w:val="008F0C57"/>
    <w:rsid w:val="008F1186"/>
    <w:rsid w:val="008F3C0A"/>
    <w:rsid w:val="008F40B7"/>
    <w:rsid w:val="008F4AAC"/>
    <w:rsid w:val="008F4C49"/>
    <w:rsid w:val="008F50DA"/>
    <w:rsid w:val="008F630C"/>
    <w:rsid w:val="008F686E"/>
    <w:rsid w:val="008F73F8"/>
    <w:rsid w:val="008F7EB3"/>
    <w:rsid w:val="009005AC"/>
    <w:rsid w:val="00900789"/>
    <w:rsid w:val="0090084E"/>
    <w:rsid w:val="009016DE"/>
    <w:rsid w:val="00903435"/>
    <w:rsid w:val="00903489"/>
    <w:rsid w:val="00905C61"/>
    <w:rsid w:val="00905D3D"/>
    <w:rsid w:val="00906129"/>
    <w:rsid w:val="0090674A"/>
    <w:rsid w:val="009072E8"/>
    <w:rsid w:val="00907666"/>
    <w:rsid w:val="00907736"/>
    <w:rsid w:val="009078C8"/>
    <w:rsid w:val="009104DF"/>
    <w:rsid w:val="00910B3C"/>
    <w:rsid w:val="00910E13"/>
    <w:rsid w:val="00911DA1"/>
    <w:rsid w:val="00911E06"/>
    <w:rsid w:val="009121F0"/>
    <w:rsid w:val="00912312"/>
    <w:rsid w:val="0091267E"/>
    <w:rsid w:val="00912782"/>
    <w:rsid w:val="0091298D"/>
    <w:rsid w:val="009144CF"/>
    <w:rsid w:val="009150A7"/>
    <w:rsid w:val="00915CBE"/>
    <w:rsid w:val="009167B9"/>
    <w:rsid w:val="00916D22"/>
    <w:rsid w:val="00917199"/>
    <w:rsid w:val="0091762B"/>
    <w:rsid w:val="009204C1"/>
    <w:rsid w:val="00920535"/>
    <w:rsid w:val="0092120E"/>
    <w:rsid w:val="00921410"/>
    <w:rsid w:val="009214BA"/>
    <w:rsid w:val="00921778"/>
    <w:rsid w:val="0092231B"/>
    <w:rsid w:val="00922454"/>
    <w:rsid w:val="00925700"/>
    <w:rsid w:val="00925994"/>
    <w:rsid w:val="00926436"/>
    <w:rsid w:val="00926E9C"/>
    <w:rsid w:val="009273EF"/>
    <w:rsid w:val="009274A3"/>
    <w:rsid w:val="009274B8"/>
    <w:rsid w:val="009277CE"/>
    <w:rsid w:val="00927E4B"/>
    <w:rsid w:val="0093102B"/>
    <w:rsid w:val="0093130F"/>
    <w:rsid w:val="00932A78"/>
    <w:rsid w:val="0093311D"/>
    <w:rsid w:val="00933873"/>
    <w:rsid w:val="00933D6B"/>
    <w:rsid w:val="00933E67"/>
    <w:rsid w:val="00933F31"/>
    <w:rsid w:val="009349B2"/>
    <w:rsid w:val="00935B68"/>
    <w:rsid w:val="00935F3B"/>
    <w:rsid w:val="009360EF"/>
    <w:rsid w:val="00937056"/>
    <w:rsid w:val="00937444"/>
    <w:rsid w:val="0093771F"/>
    <w:rsid w:val="00937B38"/>
    <w:rsid w:val="00940788"/>
    <w:rsid w:val="00940D9C"/>
    <w:rsid w:val="009418F1"/>
    <w:rsid w:val="0094236A"/>
    <w:rsid w:val="00942E48"/>
    <w:rsid w:val="00942E4A"/>
    <w:rsid w:val="00943036"/>
    <w:rsid w:val="00944AB1"/>
    <w:rsid w:val="009465A1"/>
    <w:rsid w:val="00946C66"/>
    <w:rsid w:val="0094734D"/>
    <w:rsid w:val="00947749"/>
    <w:rsid w:val="00951A98"/>
    <w:rsid w:val="009524E5"/>
    <w:rsid w:val="00952C9C"/>
    <w:rsid w:val="0095488D"/>
    <w:rsid w:val="009548D2"/>
    <w:rsid w:val="009548DD"/>
    <w:rsid w:val="00955042"/>
    <w:rsid w:val="0095558C"/>
    <w:rsid w:val="0095598B"/>
    <w:rsid w:val="00955F91"/>
    <w:rsid w:val="0095653B"/>
    <w:rsid w:val="00957117"/>
    <w:rsid w:val="0095770E"/>
    <w:rsid w:val="0095781D"/>
    <w:rsid w:val="00957D86"/>
    <w:rsid w:val="009601EB"/>
    <w:rsid w:val="00960BC3"/>
    <w:rsid w:val="00960D63"/>
    <w:rsid w:val="00961577"/>
    <w:rsid w:val="009627CA"/>
    <w:rsid w:val="00962965"/>
    <w:rsid w:val="00962B9F"/>
    <w:rsid w:val="00962C8E"/>
    <w:rsid w:val="0096388A"/>
    <w:rsid w:val="00963901"/>
    <w:rsid w:val="00963D82"/>
    <w:rsid w:val="00963EA0"/>
    <w:rsid w:val="009650E5"/>
    <w:rsid w:val="009653FF"/>
    <w:rsid w:val="00965615"/>
    <w:rsid w:val="009660E6"/>
    <w:rsid w:val="009703C2"/>
    <w:rsid w:val="00970F72"/>
    <w:rsid w:val="0097130D"/>
    <w:rsid w:val="0097176F"/>
    <w:rsid w:val="009717E4"/>
    <w:rsid w:val="00972562"/>
    <w:rsid w:val="009730F2"/>
    <w:rsid w:val="00974B19"/>
    <w:rsid w:val="00974F2E"/>
    <w:rsid w:val="00975460"/>
    <w:rsid w:val="009758E1"/>
    <w:rsid w:val="00975950"/>
    <w:rsid w:val="00976645"/>
    <w:rsid w:val="00977059"/>
    <w:rsid w:val="00977FC9"/>
    <w:rsid w:val="0098031C"/>
    <w:rsid w:val="009804C4"/>
    <w:rsid w:val="009804C7"/>
    <w:rsid w:val="0098075A"/>
    <w:rsid w:val="00981ED2"/>
    <w:rsid w:val="009845E8"/>
    <w:rsid w:val="00984650"/>
    <w:rsid w:val="0098591D"/>
    <w:rsid w:val="00985D82"/>
    <w:rsid w:val="00986A43"/>
    <w:rsid w:val="00987307"/>
    <w:rsid w:val="00987363"/>
    <w:rsid w:val="00987B7F"/>
    <w:rsid w:val="00987C3A"/>
    <w:rsid w:val="009910B2"/>
    <w:rsid w:val="0099150D"/>
    <w:rsid w:val="009926E8"/>
    <w:rsid w:val="00992E55"/>
    <w:rsid w:val="00993F2E"/>
    <w:rsid w:val="009946CE"/>
    <w:rsid w:val="00994F31"/>
    <w:rsid w:val="0099526C"/>
    <w:rsid w:val="00995C8A"/>
    <w:rsid w:val="0099650D"/>
    <w:rsid w:val="009967C4"/>
    <w:rsid w:val="00996A3F"/>
    <w:rsid w:val="00996ED4"/>
    <w:rsid w:val="009A0413"/>
    <w:rsid w:val="009A0BB5"/>
    <w:rsid w:val="009A0C36"/>
    <w:rsid w:val="009A1881"/>
    <w:rsid w:val="009A19CE"/>
    <w:rsid w:val="009A1A61"/>
    <w:rsid w:val="009A3192"/>
    <w:rsid w:val="009A34AF"/>
    <w:rsid w:val="009A4282"/>
    <w:rsid w:val="009A448D"/>
    <w:rsid w:val="009A4540"/>
    <w:rsid w:val="009A49AE"/>
    <w:rsid w:val="009A4FFA"/>
    <w:rsid w:val="009A51E1"/>
    <w:rsid w:val="009A5E22"/>
    <w:rsid w:val="009A6291"/>
    <w:rsid w:val="009A696D"/>
    <w:rsid w:val="009A6E7F"/>
    <w:rsid w:val="009A6ECF"/>
    <w:rsid w:val="009A7205"/>
    <w:rsid w:val="009A799B"/>
    <w:rsid w:val="009A7AA6"/>
    <w:rsid w:val="009A7FEB"/>
    <w:rsid w:val="009B04EE"/>
    <w:rsid w:val="009B0653"/>
    <w:rsid w:val="009B0D9B"/>
    <w:rsid w:val="009B1591"/>
    <w:rsid w:val="009B1B42"/>
    <w:rsid w:val="009B1F97"/>
    <w:rsid w:val="009B4BE7"/>
    <w:rsid w:val="009B4E84"/>
    <w:rsid w:val="009B4F04"/>
    <w:rsid w:val="009B5228"/>
    <w:rsid w:val="009B544C"/>
    <w:rsid w:val="009B5E70"/>
    <w:rsid w:val="009B7420"/>
    <w:rsid w:val="009B7788"/>
    <w:rsid w:val="009B78D8"/>
    <w:rsid w:val="009C0AB1"/>
    <w:rsid w:val="009C2623"/>
    <w:rsid w:val="009C264D"/>
    <w:rsid w:val="009C2834"/>
    <w:rsid w:val="009C2AB0"/>
    <w:rsid w:val="009C30E2"/>
    <w:rsid w:val="009C3223"/>
    <w:rsid w:val="009C406C"/>
    <w:rsid w:val="009C485B"/>
    <w:rsid w:val="009C495B"/>
    <w:rsid w:val="009C4BFD"/>
    <w:rsid w:val="009C5024"/>
    <w:rsid w:val="009C56DE"/>
    <w:rsid w:val="009C578F"/>
    <w:rsid w:val="009C5E2C"/>
    <w:rsid w:val="009C621F"/>
    <w:rsid w:val="009C66F1"/>
    <w:rsid w:val="009C6E93"/>
    <w:rsid w:val="009C70A7"/>
    <w:rsid w:val="009C711D"/>
    <w:rsid w:val="009C7948"/>
    <w:rsid w:val="009C7E0C"/>
    <w:rsid w:val="009C7FF5"/>
    <w:rsid w:val="009D0A2C"/>
    <w:rsid w:val="009D0A42"/>
    <w:rsid w:val="009D17D9"/>
    <w:rsid w:val="009D2987"/>
    <w:rsid w:val="009D31B0"/>
    <w:rsid w:val="009D3583"/>
    <w:rsid w:val="009D3E73"/>
    <w:rsid w:val="009D4F28"/>
    <w:rsid w:val="009D5188"/>
    <w:rsid w:val="009E01D2"/>
    <w:rsid w:val="009E12FC"/>
    <w:rsid w:val="009E1584"/>
    <w:rsid w:val="009E1DCB"/>
    <w:rsid w:val="009E2152"/>
    <w:rsid w:val="009E2FC6"/>
    <w:rsid w:val="009E3651"/>
    <w:rsid w:val="009E3F3A"/>
    <w:rsid w:val="009E407E"/>
    <w:rsid w:val="009E4964"/>
    <w:rsid w:val="009E4D1B"/>
    <w:rsid w:val="009E5F35"/>
    <w:rsid w:val="009E6A7E"/>
    <w:rsid w:val="009E7D71"/>
    <w:rsid w:val="009E7FF4"/>
    <w:rsid w:val="009F00AC"/>
    <w:rsid w:val="009F05D4"/>
    <w:rsid w:val="009F0669"/>
    <w:rsid w:val="009F16A2"/>
    <w:rsid w:val="009F180A"/>
    <w:rsid w:val="009F2F31"/>
    <w:rsid w:val="009F3FC3"/>
    <w:rsid w:val="009F54E2"/>
    <w:rsid w:val="009F5527"/>
    <w:rsid w:val="009F57F1"/>
    <w:rsid w:val="009F5B8A"/>
    <w:rsid w:val="009F61AC"/>
    <w:rsid w:val="009F64D9"/>
    <w:rsid w:val="009F679F"/>
    <w:rsid w:val="009F6BE1"/>
    <w:rsid w:val="009F6D77"/>
    <w:rsid w:val="00A003F2"/>
    <w:rsid w:val="00A00542"/>
    <w:rsid w:val="00A00BB9"/>
    <w:rsid w:val="00A00C78"/>
    <w:rsid w:val="00A010B4"/>
    <w:rsid w:val="00A0134B"/>
    <w:rsid w:val="00A01890"/>
    <w:rsid w:val="00A01AEC"/>
    <w:rsid w:val="00A021C8"/>
    <w:rsid w:val="00A023AF"/>
    <w:rsid w:val="00A024D2"/>
    <w:rsid w:val="00A02523"/>
    <w:rsid w:val="00A025BD"/>
    <w:rsid w:val="00A03444"/>
    <w:rsid w:val="00A034FD"/>
    <w:rsid w:val="00A03914"/>
    <w:rsid w:val="00A044A8"/>
    <w:rsid w:val="00A047FC"/>
    <w:rsid w:val="00A054AF"/>
    <w:rsid w:val="00A05670"/>
    <w:rsid w:val="00A057D3"/>
    <w:rsid w:val="00A0594C"/>
    <w:rsid w:val="00A06038"/>
    <w:rsid w:val="00A06205"/>
    <w:rsid w:val="00A06455"/>
    <w:rsid w:val="00A06DDC"/>
    <w:rsid w:val="00A07014"/>
    <w:rsid w:val="00A0789B"/>
    <w:rsid w:val="00A1189E"/>
    <w:rsid w:val="00A11F7F"/>
    <w:rsid w:val="00A133D4"/>
    <w:rsid w:val="00A1342A"/>
    <w:rsid w:val="00A137F6"/>
    <w:rsid w:val="00A155AC"/>
    <w:rsid w:val="00A1577D"/>
    <w:rsid w:val="00A15E30"/>
    <w:rsid w:val="00A16DD5"/>
    <w:rsid w:val="00A17295"/>
    <w:rsid w:val="00A17934"/>
    <w:rsid w:val="00A207BC"/>
    <w:rsid w:val="00A213BE"/>
    <w:rsid w:val="00A21E60"/>
    <w:rsid w:val="00A222EC"/>
    <w:rsid w:val="00A223D4"/>
    <w:rsid w:val="00A22AC3"/>
    <w:rsid w:val="00A23850"/>
    <w:rsid w:val="00A24048"/>
    <w:rsid w:val="00A24809"/>
    <w:rsid w:val="00A2581B"/>
    <w:rsid w:val="00A25D13"/>
    <w:rsid w:val="00A26402"/>
    <w:rsid w:val="00A2648A"/>
    <w:rsid w:val="00A26CAB"/>
    <w:rsid w:val="00A274E8"/>
    <w:rsid w:val="00A276A1"/>
    <w:rsid w:val="00A301F2"/>
    <w:rsid w:val="00A317FD"/>
    <w:rsid w:val="00A32436"/>
    <w:rsid w:val="00A32540"/>
    <w:rsid w:val="00A32EAD"/>
    <w:rsid w:val="00A330CA"/>
    <w:rsid w:val="00A33257"/>
    <w:rsid w:val="00A33373"/>
    <w:rsid w:val="00A333A4"/>
    <w:rsid w:val="00A338A7"/>
    <w:rsid w:val="00A343B8"/>
    <w:rsid w:val="00A354A7"/>
    <w:rsid w:val="00A354FA"/>
    <w:rsid w:val="00A35B44"/>
    <w:rsid w:val="00A361F3"/>
    <w:rsid w:val="00A363E0"/>
    <w:rsid w:val="00A36B38"/>
    <w:rsid w:val="00A37566"/>
    <w:rsid w:val="00A40710"/>
    <w:rsid w:val="00A409B4"/>
    <w:rsid w:val="00A4146A"/>
    <w:rsid w:val="00A41B9A"/>
    <w:rsid w:val="00A43239"/>
    <w:rsid w:val="00A44D5F"/>
    <w:rsid w:val="00A464D3"/>
    <w:rsid w:val="00A50699"/>
    <w:rsid w:val="00A51216"/>
    <w:rsid w:val="00A514A4"/>
    <w:rsid w:val="00A518DA"/>
    <w:rsid w:val="00A521DD"/>
    <w:rsid w:val="00A52414"/>
    <w:rsid w:val="00A529FD"/>
    <w:rsid w:val="00A52BFD"/>
    <w:rsid w:val="00A52CD1"/>
    <w:rsid w:val="00A53448"/>
    <w:rsid w:val="00A534A2"/>
    <w:rsid w:val="00A534F0"/>
    <w:rsid w:val="00A53CCF"/>
    <w:rsid w:val="00A54D25"/>
    <w:rsid w:val="00A55766"/>
    <w:rsid w:val="00A55AC2"/>
    <w:rsid w:val="00A55C14"/>
    <w:rsid w:val="00A563D4"/>
    <w:rsid w:val="00A56A1D"/>
    <w:rsid w:val="00A57A24"/>
    <w:rsid w:val="00A57FB4"/>
    <w:rsid w:val="00A60301"/>
    <w:rsid w:val="00A6099C"/>
    <w:rsid w:val="00A60B7E"/>
    <w:rsid w:val="00A61882"/>
    <w:rsid w:val="00A621E1"/>
    <w:rsid w:val="00A62434"/>
    <w:rsid w:val="00A6289A"/>
    <w:rsid w:val="00A630CA"/>
    <w:rsid w:val="00A636D4"/>
    <w:rsid w:val="00A63E07"/>
    <w:rsid w:val="00A64A34"/>
    <w:rsid w:val="00A65177"/>
    <w:rsid w:val="00A66A49"/>
    <w:rsid w:val="00A67320"/>
    <w:rsid w:val="00A67441"/>
    <w:rsid w:val="00A67894"/>
    <w:rsid w:val="00A70DCD"/>
    <w:rsid w:val="00A70FA1"/>
    <w:rsid w:val="00A71EE4"/>
    <w:rsid w:val="00A723A2"/>
    <w:rsid w:val="00A737F4"/>
    <w:rsid w:val="00A73D85"/>
    <w:rsid w:val="00A7425E"/>
    <w:rsid w:val="00A7644C"/>
    <w:rsid w:val="00A76881"/>
    <w:rsid w:val="00A76BCF"/>
    <w:rsid w:val="00A76EE9"/>
    <w:rsid w:val="00A81A8B"/>
    <w:rsid w:val="00A82097"/>
    <w:rsid w:val="00A8292A"/>
    <w:rsid w:val="00A82A4C"/>
    <w:rsid w:val="00A82BAB"/>
    <w:rsid w:val="00A82CC2"/>
    <w:rsid w:val="00A82F5E"/>
    <w:rsid w:val="00A8435D"/>
    <w:rsid w:val="00A849CC"/>
    <w:rsid w:val="00A84A19"/>
    <w:rsid w:val="00A8545A"/>
    <w:rsid w:val="00A854B2"/>
    <w:rsid w:val="00A855C9"/>
    <w:rsid w:val="00A85723"/>
    <w:rsid w:val="00A85A9E"/>
    <w:rsid w:val="00A867C0"/>
    <w:rsid w:val="00A86D16"/>
    <w:rsid w:val="00A87184"/>
    <w:rsid w:val="00A878B5"/>
    <w:rsid w:val="00A90B73"/>
    <w:rsid w:val="00A90FA2"/>
    <w:rsid w:val="00A92F60"/>
    <w:rsid w:val="00A9411A"/>
    <w:rsid w:val="00A94D06"/>
    <w:rsid w:val="00A9556D"/>
    <w:rsid w:val="00A955B4"/>
    <w:rsid w:val="00A95CD8"/>
    <w:rsid w:val="00A95E38"/>
    <w:rsid w:val="00A96353"/>
    <w:rsid w:val="00A96496"/>
    <w:rsid w:val="00A96729"/>
    <w:rsid w:val="00A97937"/>
    <w:rsid w:val="00AA0641"/>
    <w:rsid w:val="00AA0A5F"/>
    <w:rsid w:val="00AA0D9A"/>
    <w:rsid w:val="00AA1B11"/>
    <w:rsid w:val="00AA1C25"/>
    <w:rsid w:val="00AA262A"/>
    <w:rsid w:val="00AA264B"/>
    <w:rsid w:val="00AA2754"/>
    <w:rsid w:val="00AA28F8"/>
    <w:rsid w:val="00AA30ED"/>
    <w:rsid w:val="00AA3DCA"/>
    <w:rsid w:val="00AA3FA1"/>
    <w:rsid w:val="00AA446F"/>
    <w:rsid w:val="00AA4AA9"/>
    <w:rsid w:val="00AA50FA"/>
    <w:rsid w:val="00AA5671"/>
    <w:rsid w:val="00AA5BF4"/>
    <w:rsid w:val="00AA5C44"/>
    <w:rsid w:val="00AA5CAF"/>
    <w:rsid w:val="00AA63C8"/>
    <w:rsid w:val="00AB04F2"/>
    <w:rsid w:val="00AB0793"/>
    <w:rsid w:val="00AB0C91"/>
    <w:rsid w:val="00AB133A"/>
    <w:rsid w:val="00AB1BE3"/>
    <w:rsid w:val="00AB232B"/>
    <w:rsid w:val="00AB27F0"/>
    <w:rsid w:val="00AB284F"/>
    <w:rsid w:val="00AB292D"/>
    <w:rsid w:val="00AB297C"/>
    <w:rsid w:val="00AB2A5E"/>
    <w:rsid w:val="00AB2FBA"/>
    <w:rsid w:val="00AB34A0"/>
    <w:rsid w:val="00AB3DF9"/>
    <w:rsid w:val="00AB474B"/>
    <w:rsid w:val="00AB5701"/>
    <w:rsid w:val="00AB5A27"/>
    <w:rsid w:val="00AB75C5"/>
    <w:rsid w:val="00AB796A"/>
    <w:rsid w:val="00AC00F6"/>
    <w:rsid w:val="00AC010F"/>
    <w:rsid w:val="00AC0788"/>
    <w:rsid w:val="00AC1084"/>
    <w:rsid w:val="00AC1787"/>
    <w:rsid w:val="00AC1872"/>
    <w:rsid w:val="00AC1BA5"/>
    <w:rsid w:val="00AC2358"/>
    <w:rsid w:val="00AC2BD1"/>
    <w:rsid w:val="00AC354F"/>
    <w:rsid w:val="00AC3D29"/>
    <w:rsid w:val="00AC4E9D"/>
    <w:rsid w:val="00AC521E"/>
    <w:rsid w:val="00AC5966"/>
    <w:rsid w:val="00AC5D4A"/>
    <w:rsid w:val="00AC6069"/>
    <w:rsid w:val="00AC6174"/>
    <w:rsid w:val="00AC61F8"/>
    <w:rsid w:val="00AC6507"/>
    <w:rsid w:val="00AC65B1"/>
    <w:rsid w:val="00AC7D5B"/>
    <w:rsid w:val="00AD01DF"/>
    <w:rsid w:val="00AD06CA"/>
    <w:rsid w:val="00AD0935"/>
    <w:rsid w:val="00AD0CE6"/>
    <w:rsid w:val="00AD0FD2"/>
    <w:rsid w:val="00AD14D5"/>
    <w:rsid w:val="00AD16A7"/>
    <w:rsid w:val="00AD193A"/>
    <w:rsid w:val="00AD193C"/>
    <w:rsid w:val="00AD1A57"/>
    <w:rsid w:val="00AD2127"/>
    <w:rsid w:val="00AD249D"/>
    <w:rsid w:val="00AD3636"/>
    <w:rsid w:val="00AD3EAD"/>
    <w:rsid w:val="00AD48ED"/>
    <w:rsid w:val="00AD4C4A"/>
    <w:rsid w:val="00AD5236"/>
    <w:rsid w:val="00AD5339"/>
    <w:rsid w:val="00AD6273"/>
    <w:rsid w:val="00AD6ADB"/>
    <w:rsid w:val="00AD6D17"/>
    <w:rsid w:val="00AD7BF9"/>
    <w:rsid w:val="00AD7E94"/>
    <w:rsid w:val="00AD7FB8"/>
    <w:rsid w:val="00AE09D1"/>
    <w:rsid w:val="00AE1229"/>
    <w:rsid w:val="00AE31BF"/>
    <w:rsid w:val="00AE32F7"/>
    <w:rsid w:val="00AE332A"/>
    <w:rsid w:val="00AE3435"/>
    <w:rsid w:val="00AE408B"/>
    <w:rsid w:val="00AE4720"/>
    <w:rsid w:val="00AE4846"/>
    <w:rsid w:val="00AE4C2D"/>
    <w:rsid w:val="00AE4DDC"/>
    <w:rsid w:val="00AE4FA0"/>
    <w:rsid w:val="00AE53B9"/>
    <w:rsid w:val="00AE56DD"/>
    <w:rsid w:val="00AE5755"/>
    <w:rsid w:val="00AE5CCA"/>
    <w:rsid w:val="00AE5ECE"/>
    <w:rsid w:val="00AE6154"/>
    <w:rsid w:val="00AE63D9"/>
    <w:rsid w:val="00AF02E0"/>
    <w:rsid w:val="00AF03C0"/>
    <w:rsid w:val="00AF03EF"/>
    <w:rsid w:val="00AF068D"/>
    <w:rsid w:val="00AF0DAA"/>
    <w:rsid w:val="00AF0F7C"/>
    <w:rsid w:val="00AF1826"/>
    <w:rsid w:val="00AF1F45"/>
    <w:rsid w:val="00AF1FEE"/>
    <w:rsid w:val="00AF4905"/>
    <w:rsid w:val="00AF58EF"/>
    <w:rsid w:val="00B023B5"/>
    <w:rsid w:val="00B02420"/>
    <w:rsid w:val="00B0274F"/>
    <w:rsid w:val="00B027D3"/>
    <w:rsid w:val="00B0360B"/>
    <w:rsid w:val="00B040BE"/>
    <w:rsid w:val="00B042F6"/>
    <w:rsid w:val="00B0461B"/>
    <w:rsid w:val="00B04913"/>
    <w:rsid w:val="00B058B1"/>
    <w:rsid w:val="00B05947"/>
    <w:rsid w:val="00B059F5"/>
    <w:rsid w:val="00B06080"/>
    <w:rsid w:val="00B06BE7"/>
    <w:rsid w:val="00B07197"/>
    <w:rsid w:val="00B07909"/>
    <w:rsid w:val="00B07CA3"/>
    <w:rsid w:val="00B1134C"/>
    <w:rsid w:val="00B1271C"/>
    <w:rsid w:val="00B12FE8"/>
    <w:rsid w:val="00B1412F"/>
    <w:rsid w:val="00B1417E"/>
    <w:rsid w:val="00B149FA"/>
    <w:rsid w:val="00B15FDA"/>
    <w:rsid w:val="00B16798"/>
    <w:rsid w:val="00B204DF"/>
    <w:rsid w:val="00B21619"/>
    <w:rsid w:val="00B2236C"/>
    <w:rsid w:val="00B22407"/>
    <w:rsid w:val="00B225C8"/>
    <w:rsid w:val="00B22932"/>
    <w:rsid w:val="00B230FC"/>
    <w:rsid w:val="00B234D7"/>
    <w:rsid w:val="00B23D03"/>
    <w:rsid w:val="00B23E92"/>
    <w:rsid w:val="00B2455F"/>
    <w:rsid w:val="00B245CF"/>
    <w:rsid w:val="00B246DF"/>
    <w:rsid w:val="00B24948"/>
    <w:rsid w:val="00B2494C"/>
    <w:rsid w:val="00B24CFA"/>
    <w:rsid w:val="00B24E9A"/>
    <w:rsid w:val="00B26154"/>
    <w:rsid w:val="00B27329"/>
    <w:rsid w:val="00B27689"/>
    <w:rsid w:val="00B3030B"/>
    <w:rsid w:val="00B3049F"/>
    <w:rsid w:val="00B30BC7"/>
    <w:rsid w:val="00B31344"/>
    <w:rsid w:val="00B31355"/>
    <w:rsid w:val="00B329DE"/>
    <w:rsid w:val="00B32A83"/>
    <w:rsid w:val="00B335F9"/>
    <w:rsid w:val="00B33615"/>
    <w:rsid w:val="00B3396F"/>
    <w:rsid w:val="00B33B21"/>
    <w:rsid w:val="00B33C27"/>
    <w:rsid w:val="00B340DE"/>
    <w:rsid w:val="00B346B8"/>
    <w:rsid w:val="00B34A67"/>
    <w:rsid w:val="00B34C48"/>
    <w:rsid w:val="00B35C3D"/>
    <w:rsid w:val="00B3609C"/>
    <w:rsid w:val="00B367D6"/>
    <w:rsid w:val="00B36A6D"/>
    <w:rsid w:val="00B36C3C"/>
    <w:rsid w:val="00B36D35"/>
    <w:rsid w:val="00B36E74"/>
    <w:rsid w:val="00B36E78"/>
    <w:rsid w:val="00B37EDF"/>
    <w:rsid w:val="00B40E8F"/>
    <w:rsid w:val="00B40F70"/>
    <w:rsid w:val="00B41428"/>
    <w:rsid w:val="00B41758"/>
    <w:rsid w:val="00B41CEE"/>
    <w:rsid w:val="00B421B0"/>
    <w:rsid w:val="00B43C58"/>
    <w:rsid w:val="00B4434B"/>
    <w:rsid w:val="00B44658"/>
    <w:rsid w:val="00B44D9F"/>
    <w:rsid w:val="00B4517C"/>
    <w:rsid w:val="00B45971"/>
    <w:rsid w:val="00B45DDC"/>
    <w:rsid w:val="00B46496"/>
    <w:rsid w:val="00B46FC1"/>
    <w:rsid w:val="00B47E26"/>
    <w:rsid w:val="00B502C5"/>
    <w:rsid w:val="00B50905"/>
    <w:rsid w:val="00B50ACC"/>
    <w:rsid w:val="00B50DE8"/>
    <w:rsid w:val="00B5239F"/>
    <w:rsid w:val="00B52446"/>
    <w:rsid w:val="00B52A79"/>
    <w:rsid w:val="00B53F13"/>
    <w:rsid w:val="00B54370"/>
    <w:rsid w:val="00B54520"/>
    <w:rsid w:val="00B545BA"/>
    <w:rsid w:val="00B558DE"/>
    <w:rsid w:val="00B56F84"/>
    <w:rsid w:val="00B57703"/>
    <w:rsid w:val="00B5779C"/>
    <w:rsid w:val="00B57D74"/>
    <w:rsid w:val="00B60703"/>
    <w:rsid w:val="00B61651"/>
    <w:rsid w:val="00B621C4"/>
    <w:rsid w:val="00B62248"/>
    <w:rsid w:val="00B62539"/>
    <w:rsid w:val="00B6285C"/>
    <w:rsid w:val="00B62ECA"/>
    <w:rsid w:val="00B63126"/>
    <w:rsid w:val="00B65093"/>
    <w:rsid w:val="00B65EBE"/>
    <w:rsid w:val="00B666E7"/>
    <w:rsid w:val="00B667B5"/>
    <w:rsid w:val="00B669DE"/>
    <w:rsid w:val="00B66A14"/>
    <w:rsid w:val="00B66BC4"/>
    <w:rsid w:val="00B6760E"/>
    <w:rsid w:val="00B67C12"/>
    <w:rsid w:val="00B67E34"/>
    <w:rsid w:val="00B705BC"/>
    <w:rsid w:val="00B7095A"/>
    <w:rsid w:val="00B70C1C"/>
    <w:rsid w:val="00B71426"/>
    <w:rsid w:val="00B71A4E"/>
    <w:rsid w:val="00B72128"/>
    <w:rsid w:val="00B73BBD"/>
    <w:rsid w:val="00B74779"/>
    <w:rsid w:val="00B7511F"/>
    <w:rsid w:val="00B752C5"/>
    <w:rsid w:val="00B75BDD"/>
    <w:rsid w:val="00B76068"/>
    <w:rsid w:val="00B767F7"/>
    <w:rsid w:val="00B76AE0"/>
    <w:rsid w:val="00B76E1C"/>
    <w:rsid w:val="00B770B8"/>
    <w:rsid w:val="00B7720C"/>
    <w:rsid w:val="00B779EF"/>
    <w:rsid w:val="00B80447"/>
    <w:rsid w:val="00B80CB2"/>
    <w:rsid w:val="00B80D23"/>
    <w:rsid w:val="00B812BB"/>
    <w:rsid w:val="00B8138F"/>
    <w:rsid w:val="00B8182F"/>
    <w:rsid w:val="00B82509"/>
    <w:rsid w:val="00B82F69"/>
    <w:rsid w:val="00B83405"/>
    <w:rsid w:val="00B836C2"/>
    <w:rsid w:val="00B83808"/>
    <w:rsid w:val="00B83E9B"/>
    <w:rsid w:val="00B8619E"/>
    <w:rsid w:val="00B873B1"/>
    <w:rsid w:val="00B87451"/>
    <w:rsid w:val="00B87840"/>
    <w:rsid w:val="00B90535"/>
    <w:rsid w:val="00B90D05"/>
    <w:rsid w:val="00B913E9"/>
    <w:rsid w:val="00B91650"/>
    <w:rsid w:val="00B91D6A"/>
    <w:rsid w:val="00B92264"/>
    <w:rsid w:val="00B923E1"/>
    <w:rsid w:val="00B925C4"/>
    <w:rsid w:val="00B92E7B"/>
    <w:rsid w:val="00B93EB6"/>
    <w:rsid w:val="00B94666"/>
    <w:rsid w:val="00B94840"/>
    <w:rsid w:val="00B9488A"/>
    <w:rsid w:val="00B94942"/>
    <w:rsid w:val="00B94FA7"/>
    <w:rsid w:val="00B953F6"/>
    <w:rsid w:val="00B9558B"/>
    <w:rsid w:val="00B95706"/>
    <w:rsid w:val="00B95A95"/>
    <w:rsid w:val="00B963CA"/>
    <w:rsid w:val="00B96822"/>
    <w:rsid w:val="00B96826"/>
    <w:rsid w:val="00B96B5B"/>
    <w:rsid w:val="00B96BC8"/>
    <w:rsid w:val="00BA0145"/>
    <w:rsid w:val="00BA0C63"/>
    <w:rsid w:val="00BA1CA6"/>
    <w:rsid w:val="00BA1CD1"/>
    <w:rsid w:val="00BA2508"/>
    <w:rsid w:val="00BA2D81"/>
    <w:rsid w:val="00BA4463"/>
    <w:rsid w:val="00BA5827"/>
    <w:rsid w:val="00BA5E90"/>
    <w:rsid w:val="00BA65F1"/>
    <w:rsid w:val="00BA663E"/>
    <w:rsid w:val="00BA6CEE"/>
    <w:rsid w:val="00BA76A6"/>
    <w:rsid w:val="00BA7A42"/>
    <w:rsid w:val="00BB0D47"/>
    <w:rsid w:val="00BB12E7"/>
    <w:rsid w:val="00BB1D02"/>
    <w:rsid w:val="00BB2BAA"/>
    <w:rsid w:val="00BB35AC"/>
    <w:rsid w:val="00BB3BC4"/>
    <w:rsid w:val="00BB4309"/>
    <w:rsid w:val="00BB4587"/>
    <w:rsid w:val="00BB48F5"/>
    <w:rsid w:val="00BB4CB4"/>
    <w:rsid w:val="00BB5CD9"/>
    <w:rsid w:val="00BB75A7"/>
    <w:rsid w:val="00BC0154"/>
    <w:rsid w:val="00BC17BB"/>
    <w:rsid w:val="00BC1893"/>
    <w:rsid w:val="00BC28FA"/>
    <w:rsid w:val="00BC4241"/>
    <w:rsid w:val="00BC46C8"/>
    <w:rsid w:val="00BC474D"/>
    <w:rsid w:val="00BC4C01"/>
    <w:rsid w:val="00BC55E1"/>
    <w:rsid w:val="00BC64A6"/>
    <w:rsid w:val="00BC6BCB"/>
    <w:rsid w:val="00BC770C"/>
    <w:rsid w:val="00BD0207"/>
    <w:rsid w:val="00BD1634"/>
    <w:rsid w:val="00BD2267"/>
    <w:rsid w:val="00BD2B91"/>
    <w:rsid w:val="00BD424F"/>
    <w:rsid w:val="00BD4AD3"/>
    <w:rsid w:val="00BD7628"/>
    <w:rsid w:val="00BD7B15"/>
    <w:rsid w:val="00BD7E12"/>
    <w:rsid w:val="00BE0FDC"/>
    <w:rsid w:val="00BE2212"/>
    <w:rsid w:val="00BE2668"/>
    <w:rsid w:val="00BE304C"/>
    <w:rsid w:val="00BE33F7"/>
    <w:rsid w:val="00BE346F"/>
    <w:rsid w:val="00BE34AD"/>
    <w:rsid w:val="00BE3881"/>
    <w:rsid w:val="00BE3D53"/>
    <w:rsid w:val="00BE577F"/>
    <w:rsid w:val="00BE5ECB"/>
    <w:rsid w:val="00BE67A8"/>
    <w:rsid w:val="00BE7705"/>
    <w:rsid w:val="00BE7F3A"/>
    <w:rsid w:val="00BF11FE"/>
    <w:rsid w:val="00BF1961"/>
    <w:rsid w:val="00BF2123"/>
    <w:rsid w:val="00BF22A9"/>
    <w:rsid w:val="00BF3124"/>
    <w:rsid w:val="00BF33DB"/>
    <w:rsid w:val="00BF4884"/>
    <w:rsid w:val="00BF4D97"/>
    <w:rsid w:val="00BF5223"/>
    <w:rsid w:val="00BF594A"/>
    <w:rsid w:val="00BF5F1E"/>
    <w:rsid w:val="00BF5FD3"/>
    <w:rsid w:val="00BF76A1"/>
    <w:rsid w:val="00C001AB"/>
    <w:rsid w:val="00C00D0E"/>
    <w:rsid w:val="00C01006"/>
    <w:rsid w:val="00C01F48"/>
    <w:rsid w:val="00C020DE"/>
    <w:rsid w:val="00C030DF"/>
    <w:rsid w:val="00C036FD"/>
    <w:rsid w:val="00C03D12"/>
    <w:rsid w:val="00C03E68"/>
    <w:rsid w:val="00C04130"/>
    <w:rsid w:val="00C04291"/>
    <w:rsid w:val="00C04597"/>
    <w:rsid w:val="00C04CCE"/>
    <w:rsid w:val="00C04D43"/>
    <w:rsid w:val="00C04FCF"/>
    <w:rsid w:val="00C05768"/>
    <w:rsid w:val="00C069F0"/>
    <w:rsid w:val="00C0796F"/>
    <w:rsid w:val="00C07FB4"/>
    <w:rsid w:val="00C10307"/>
    <w:rsid w:val="00C10E74"/>
    <w:rsid w:val="00C11A53"/>
    <w:rsid w:val="00C12355"/>
    <w:rsid w:val="00C12B91"/>
    <w:rsid w:val="00C1330E"/>
    <w:rsid w:val="00C1340A"/>
    <w:rsid w:val="00C1476E"/>
    <w:rsid w:val="00C14E19"/>
    <w:rsid w:val="00C15CD4"/>
    <w:rsid w:val="00C20F4C"/>
    <w:rsid w:val="00C21C39"/>
    <w:rsid w:val="00C22432"/>
    <w:rsid w:val="00C22488"/>
    <w:rsid w:val="00C22CB7"/>
    <w:rsid w:val="00C22F6F"/>
    <w:rsid w:val="00C243BB"/>
    <w:rsid w:val="00C24409"/>
    <w:rsid w:val="00C2465E"/>
    <w:rsid w:val="00C24A3B"/>
    <w:rsid w:val="00C24ACF"/>
    <w:rsid w:val="00C25983"/>
    <w:rsid w:val="00C25F08"/>
    <w:rsid w:val="00C26916"/>
    <w:rsid w:val="00C26A5C"/>
    <w:rsid w:val="00C274E0"/>
    <w:rsid w:val="00C27E45"/>
    <w:rsid w:val="00C302C1"/>
    <w:rsid w:val="00C30623"/>
    <w:rsid w:val="00C30899"/>
    <w:rsid w:val="00C30C7B"/>
    <w:rsid w:val="00C30FEE"/>
    <w:rsid w:val="00C3125A"/>
    <w:rsid w:val="00C321E3"/>
    <w:rsid w:val="00C324AF"/>
    <w:rsid w:val="00C32A63"/>
    <w:rsid w:val="00C33B3D"/>
    <w:rsid w:val="00C33E9A"/>
    <w:rsid w:val="00C34006"/>
    <w:rsid w:val="00C340FD"/>
    <w:rsid w:val="00C3422D"/>
    <w:rsid w:val="00C344AF"/>
    <w:rsid w:val="00C35317"/>
    <w:rsid w:val="00C35EFC"/>
    <w:rsid w:val="00C36415"/>
    <w:rsid w:val="00C365B9"/>
    <w:rsid w:val="00C373D5"/>
    <w:rsid w:val="00C37999"/>
    <w:rsid w:val="00C40068"/>
    <w:rsid w:val="00C4021F"/>
    <w:rsid w:val="00C4026C"/>
    <w:rsid w:val="00C407D3"/>
    <w:rsid w:val="00C411F0"/>
    <w:rsid w:val="00C41398"/>
    <w:rsid w:val="00C413EA"/>
    <w:rsid w:val="00C426A2"/>
    <w:rsid w:val="00C42810"/>
    <w:rsid w:val="00C43042"/>
    <w:rsid w:val="00C4354F"/>
    <w:rsid w:val="00C43A42"/>
    <w:rsid w:val="00C44784"/>
    <w:rsid w:val="00C44F93"/>
    <w:rsid w:val="00C451E7"/>
    <w:rsid w:val="00C46886"/>
    <w:rsid w:val="00C46C0E"/>
    <w:rsid w:val="00C4717F"/>
    <w:rsid w:val="00C4758D"/>
    <w:rsid w:val="00C50748"/>
    <w:rsid w:val="00C50DA2"/>
    <w:rsid w:val="00C50EC5"/>
    <w:rsid w:val="00C50EE9"/>
    <w:rsid w:val="00C516F7"/>
    <w:rsid w:val="00C51BFB"/>
    <w:rsid w:val="00C51D86"/>
    <w:rsid w:val="00C522CC"/>
    <w:rsid w:val="00C52498"/>
    <w:rsid w:val="00C52BF4"/>
    <w:rsid w:val="00C53597"/>
    <w:rsid w:val="00C53D54"/>
    <w:rsid w:val="00C53D9F"/>
    <w:rsid w:val="00C5602A"/>
    <w:rsid w:val="00C56B4E"/>
    <w:rsid w:val="00C5730A"/>
    <w:rsid w:val="00C576D9"/>
    <w:rsid w:val="00C579E9"/>
    <w:rsid w:val="00C60060"/>
    <w:rsid w:val="00C606CC"/>
    <w:rsid w:val="00C60B08"/>
    <w:rsid w:val="00C6139F"/>
    <w:rsid w:val="00C614F4"/>
    <w:rsid w:val="00C6204C"/>
    <w:rsid w:val="00C62622"/>
    <w:rsid w:val="00C62653"/>
    <w:rsid w:val="00C6287E"/>
    <w:rsid w:val="00C62AC9"/>
    <w:rsid w:val="00C634A8"/>
    <w:rsid w:val="00C6353F"/>
    <w:rsid w:val="00C63C0B"/>
    <w:rsid w:val="00C64259"/>
    <w:rsid w:val="00C64AA5"/>
    <w:rsid w:val="00C663F9"/>
    <w:rsid w:val="00C66F0A"/>
    <w:rsid w:val="00C67814"/>
    <w:rsid w:val="00C67E51"/>
    <w:rsid w:val="00C7052A"/>
    <w:rsid w:val="00C70C6A"/>
    <w:rsid w:val="00C70E06"/>
    <w:rsid w:val="00C7133B"/>
    <w:rsid w:val="00C73EA6"/>
    <w:rsid w:val="00C74904"/>
    <w:rsid w:val="00C74CC1"/>
    <w:rsid w:val="00C74ECB"/>
    <w:rsid w:val="00C75567"/>
    <w:rsid w:val="00C756A1"/>
    <w:rsid w:val="00C75AB7"/>
    <w:rsid w:val="00C75CC7"/>
    <w:rsid w:val="00C75F0F"/>
    <w:rsid w:val="00C7623C"/>
    <w:rsid w:val="00C7629D"/>
    <w:rsid w:val="00C7683E"/>
    <w:rsid w:val="00C76EDA"/>
    <w:rsid w:val="00C77586"/>
    <w:rsid w:val="00C801CE"/>
    <w:rsid w:val="00C8094E"/>
    <w:rsid w:val="00C80A58"/>
    <w:rsid w:val="00C80A89"/>
    <w:rsid w:val="00C80AD9"/>
    <w:rsid w:val="00C80C3D"/>
    <w:rsid w:val="00C80CD5"/>
    <w:rsid w:val="00C80EE0"/>
    <w:rsid w:val="00C8105E"/>
    <w:rsid w:val="00C8111D"/>
    <w:rsid w:val="00C812B4"/>
    <w:rsid w:val="00C813EF"/>
    <w:rsid w:val="00C8159D"/>
    <w:rsid w:val="00C8180E"/>
    <w:rsid w:val="00C82F37"/>
    <w:rsid w:val="00C83989"/>
    <w:rsid w:val="00C83F49"/>
    <w:rsid w:val="00C84C45"/>
    <w:rsid w:val="00C850FE"/>
    <w:rsid w:val="00C86EA3"/>
    <w:rsid w:val="00C8716C"/>
    <w:rsid w:val="00C90C95"/>
    <w:rsid w:val="00C90E87"/>
    <w:rsid w:val="00C9101D"/>
    <w:rsid w:val="00C9108B"/>
    <w:rsid w:val="00C91979"/>
    <w:rsid w:val="00C91A1B"/>
    <w:rsid w:val="00C91A85"/>
    <w:rsid w:val="00C926B3"/>
    <w:rsid w:val="00C926C3"/>
    <w:rsid w:val="00C92867"/>
    <w:rsid w:val="00C92D50"/>
    <w:rsid w:val="00C944EC"/>
    <w:rsid w:val="00C94871"/>
    <w:rsid w:val="00C95039"/>
    <w:rsid w:val="00C9508D"/>
    <w:rsid w:val="00C95A5B"/>
    <w:rsid w:val="00C96590"/>
    <w:rsid w:val="00C969C7"/>
    <w:rsid w:val="00C96AE6"/>
    <w:rsid w:val="00C96F72"/>
    <w:rsid w:val="00C97255"/>
    <w:rsid w:val="00C97497"/>
    <w:rsid w:val="00CA09FA"/>
    <w:rsid w:val="00CA191B"/>
    <w:rsid w:val="00CA1A28"/>
    <w:rsid w:val="00CA1DBD"/>
    <w:rsid w:val="00CA222C"/>
    <w:rsid w:val="00CA316D"/>
    <w:rsid w:val="00CA3F46"/>
    <w:rsid w:val="00CA41CB"/>
    <w:rsid w:val="00CA4274"/>
    <w:rsid w:val="00CA466F"/>
    <w:rsid w:val="00CA5848"/>
    <w:rsid w:val="00CA6698"/>
    <w:rsid w:val="00CA6929"/>
    <w:rsid w:val="00CA6C2C"/>
    <w:rsid w:val="00CA7482"/>
    <w:rsid w:val="00CA77A0"/>
    <w:rsid w:val="00CB065F"/>
    <w:rsid w:val="00CB09B7"/>
    <w:rsid w:val="00CB0BC7"/>
    <w:rsid w:val="00CB0C53"/>
    <w:rsid w:val="00CB0C72"/>
    <w:rsid w:val="00CB26F3"/>
    <w:rsid w:val="00CB3A2A"/>
    <w:rsid w:val="00CB4605"/>
    <w:rsid w:val="00CB49BB"/>
    <w:rsid w:val="00CB541F"/>
    <w:rsid w:val="00CB6B19"/>
    <w:rsid w:val="00CB72D8"/>
    <w:rsid w:val="00CB73BA"/>
    <w:rsid w:val="00CB74DE"/>
    <w:rsid w:val="00CB7E37"/>
    <w:rsid w:val="00CC1177"/>
    <w:rsid w:val="00CC1270"/>
    <w:rsid w:val="00CC153E"/>
    <w:rsid w:val="00CC1608"/>
    <w:rsid w:val="00CC2061"/>
    <w:rsid w:val="00CC2AD2"/>
    <w:rsid w:val="00CC2AF5"/>
    <w:rsid w:val="00CC3011"/>
    <w:rsid w:val="00CC3145"/>
    <w:rsid w:val="00CC3146"/>
    <w:rsid w:val="00CC3FF4"/>
    <w:rsid w:val="00CC4230"/>
    <w:rsid w:val="00CC4466"/>
    <w:rsid w:val="00CC5EFF"/>
    <w:rsid w:val="00CC65CE"/>
    <w:rsid w:val="00CC6BF0"/>
    <w:rsid w:val="00CC6E10"/>
    <w:rsid w:val="00CC7099"/>
    <w:rsid w:val="00CC7801"/>
    <w:rsid w:val="00CC7D57"/>
    <w:rsid w:val="00CC7F08"/>
    <w:rsid w:val="00CD16DB"/>
    <w:rsid w:val="00CD18A8"/>
    <w:rsid w:val="00CD206B"/>
    <w:rsid w:val="00CD279E"/>
    <w:rsid w:val="00CD288C"/>
    <w:rsid w:val="00CD2996"/>
    <w:rsid w:val="00CD3A37"/>
    <w:rsid w:val="00CD4158"/>
    <w:rsid w:val="00CD52EB"/>
    <w:rsid w:val="00CD5C9F"/>
    <w:rsid w:val="00CE0A1C"/>
    <w:rsid w:val="00CE0D18"/>
    <w:rsid w:val="00CE0E16"/>
    <w:rsid w:val="00CE105A"/>
    <w:rsid w:val="00CE27A9"/>
    <w:rsid w:val="00CE3853"/>
    <w:rsid w:val="00CE38DB"/>
    <w:rsid w:val="00CE4C68"/>
    <w:rsid w:val="00CE514E"/>
    <w:rsid w:val="00CE57AD"/>
    <w:rsid w:val="00CE584E"/>
    <w:rsid w:val="00CE59C5"/>
    <w:rsid w:val="00CE6D26"/>
    <w:rsid w:val="00CE71A7"/>
    <w:rsid w:val="00CE7787"/>
    <w:rsid w:val="00CF04AE"/>
    <w:rsid w:val="00CF1684"/>
    <w:rsid w:val="00CF1809"/>
    <w:rsid w:val="00CF1990"/>
    <w:rsid w:val="00CF3235"/>
    <w:rsid w:val="00CF3CB2"/>
    <w:rsid w:val="00CF46AE"/>
    <w:rsid w:val="00CF484D"/>
    <w:rsid w:val="00CF4EA4"/>
    <w:rsid w:val="00CF56A7"/>
    <w:rsid w:val="00CF5DB3"/>
    <w:rsid w:val="00CF5E60"/>
    <w:rsid w:val="00CF5EF9"/>
    <w:rsid w:val="00CF66A0"/>
    <w:rsid w:val="00CF7B22"/>
    <w:rsid w:val="00CF7C84"/>
    <w:rsid w:val="00CF7E4B"/>
    <w:rsid w:val="00D00071"/>
    <w:rsid w:val="00D014DB"/>
    <w:rsid w:val="00D022B6"/>
    <w:rsid w:val="00D02D41"/>
    <w:rsid w:val="00D03485"/>
    <w:rsid w:val="00D04056"/>
    <w:rsid w:val="00D04287"/>
    <w:rsid w:val="00D0457A"/>
    <w:rsid w:val="00D04A93"/>
    <w:rsid w:val="00D0558F"/>
    <w:rsid w:val="00D05C57"/>
    <w:rsid w:val="00D05EE4"/>
    <w:rsid w:val="00D060C2"/>
    <w:rsid w:val="00D06A06"/>
    <w:rsid w:val="00D07CE0"/>
    <w:rsid w:val="00D07D63"/>
    <w:rsid w:val="00D11027"/>
    <w:rsid w:val="00D11253"/>
    <w:rsid w:val="00D11852"/>
    <w:rsid w:val="00D12066"/>
    <w:rsid w:val="00D1240F"/>
    <w:rsid w:val="00D12537"/>
    <w:rsid w:val="00D1332A"/>
    <w:rsid w:val="00D14914"/>
    <w:rsid w:val="00D1566A"/>
    <w:rsid w:val="00D1589A"/>
    <w:rsid w:val="00D15B65"/>
    <w:rsid w:val="00D16372"/>
    <w:rsid w:val="00D16AD9"/>
    <w:rsid w:val="00D16E06"/>
    <w:rsid w:val="00D16E3B"/>
    <w:rsid w:val="00D1761D"/>
    <w:rsid w:val="00D17B85"/>
    <w:rsid w:val="00D20300"/>
    <w:rsid w:val="00D20534"/>
    <w:rsid w:val="00D2057A"/>
    <w:rsid w:val="00D21637"/>
    <w:rsid w:val="00D216FD"/>
    <w:rsid w:val="00D217DC"/>
    <w:rsid w:val="00D2250F"/>
    <w:rsid w:val="00D22C96"/>
    <w:rsid w:val="00D23544"/>
    <w:rsid w:val="00D235D6"/>
    <w:rsid w:val="00D23AE3"/>
    <w:rsid w:val="00D24DEA"/>
    <w:rsid w:val="00D252C8"/>
    <w:rsid w:val="00D2575F"/>
    <w:rsid w:val="00D26A0E"/>
    <w:rsid w:val="00D26AD9"/>
    <w:rsid w:val="00D27C3F"/>
    <w:rsid w:val="00D30B2C"/>
    <w:rsid w:val="00D317EB"/>
    <w:rsid w:val="00D327AC"/>
    <w:rsid w:val="00D3280D"/>
    <w:rsid w:val="00D3427D"/>
    <w:rsid w:val="00D343DF"/>
    <w:rsid w:val="00D354E2"/>
    <w:rsid w:val="00D359E8"/>
    <w:rsid w:val="00D36437"/>
    <w:rsid w:val="00D3771E"/>
    <w:rsid w:val="00D377FC"/>
    <w:rsid w:val="00D37D78"/>
    <w:rsid w:val="00D37F7B"/>
    <w:rsid w:val="00D40257"/>
    <w:rsid w:val="00D409CD"/>
    <w:rsid w:val="00D419A3"/>
    <w:rsid w:val="00D41A30"/>
    <w:rsid w:val="00D41BBA"/>
    <w:rsid w:val="00D42367"/>
    <w:rsid w:val="00D42819"/>
    <w:rsid w:val="00D43626"/>
    <w:rsid w:val="00D4384E"/>
    <w:rsid w:val="00D43870"/>
    <w:rsid w:val="00D43AFA"/>
    <w:rsid w:val="00D43F6D"/>
    <w:rsid w:val="00D4448F"/>
    <w:rsid w:val="00D449C4"/>
    <w:rsid w:val="00D44A5B"/>
    <w:rsid w:val="00D4506E"/>
    <w:rsid w:val="00D45B4C"/>
    <w:rsid w:val="00D45CC2"/>
    <w:rsid w:val="00D46C29"/>
    <w:rsid w:val="00D46C89"/>
    <w:rsid w:val="00D4716D"/>
    <w:rsid w:val="00D47852"/>
    <w:rsid w:val="00D4793C"/>
    <w:rsid w:val="00D506B5"/>
    <w:rsid w:val="00D50ECA"/>
    <w:rsid w:val="00D51040"/>
    <w:rsid w:val="00D515F9"/>
    <w:rsid w:val="00D51AEA"/>
    <w:rsid w:val="00D51BE4"/>
    <w:rsid w:val="00D521B9"/>
    <w:rsid w:val="00D5264E"/>
    <w:rsid w:val="00D529C5"/>
    <w:rsid w:val="00D53279"/>
    <w:rsid w:val="00D538B3"/>
    <w:rsid w:val="00D53CAE"/>
    <w:rsid w:val="00D53E8E"/>
    <w:rsid w:val="00D555CC"/>
    <w:rsid w:val="00D55DC5"/>
    <w:rsid w:val="00D55E68"/>
    <w:rsid w:val="00D57218"/>
    <w:rsid w:val="00D57461"/>
    <w:rsid w:val="00D60B49"/>
    <w:rsid w:val="00D61E18"/>
    <w:rsid w:val="00D61E6E"/>
    <w:rsid w:val="00D62756"/>
    <w:rsid w:val="00D63019"/>
    <w:rsid w:val="00D63373"/>
    <w:rsid w:val="00D638FA"/>
    <w:rsid w:val="00D64941"/>
    <w:rsid w:val="00D65F6D"/>
    <w:rsid w:val="00D662DF"/>
    <w:rsid w:val="00D671D7"/>
    <w:rsid w:val="00D6730E"/>
    <w:rsid w:val="00D67EB1"/>
    <w:rsid w:val="00D67F6C"/>
    <w:rsid w:val="00D70438"/>
    <w:rsid w:val="00D70744"/>
    <w:rsid w:val="00D71434"/>
    <w:rsid w:val="00D71822"/>
    <w:rsid w:val="00D71F07"/>
    <w:rsid w:val="00D72359"/>
    <w:rsid w:val="00D72BE6"/>
    <w:rsid w:val="00D72CAA"/>
    <w:rsid w:val="00D730AD"/>
    <w:rsid w:val="00D7368A"/>
    <w:rsid w:val="00D73DAA"/>
    <w:rsid w:val="00D73DE3"/>
    <w:rsid w:val="00D7479C"/>
    <w:rsid w:val="00D74B66"/>
    <w:rsid w:val="00D74BBE"/>
    <w:rsid w:val="00D75A91"/>
    <w:rsid w:val="00D76551"/>
    <w:rsid w:val="00D7656A"/>
    <w:rsid w:val="00D7690A"/>
    <w:rsid w:val="00D77400"/>
    <w:rsid w:val="00D77AD6"/>
    <w:rsid w:val="00D77ADF"/>
    <w:rsid w:val="00D80C22"/>
    <w:rsid w:val="00D8136B"/>
    <w:rsid w:val="00D8164B"/>
    <w:rsid w:val="00D82FD1"/>
    <w:rsid w:val="00D832B9"/>
    <w:rsid w:val="00D836AE"/>
    <w:rsid w:val="00D83A70"/>
    <w:rsid w:val="00D8443E"/>
    <w:rsid w:val="00D845D9"/>
    <w:rsid w:val="00D84BCF"/>
    <w:rsid w:val="00D84D23"/>
    <w:rsid w:val="00D84DF5"/>
    <w:rsid w:val="00D863F8"/>
    <w:rsid w:val="00D87C37"/>
    <w:rsid w:val="00D90602"/>
    <w:rsid w:val="00D908C4"/>
    <w:rsid w:val="00D917FB"/>
    <w:rsid w:val="00D91D31"/>
    <w:rsid w:val="00D9200B"/>
    <w:rsid w:val="00D9219C"/>
    <w:rsid w:val="00D922DE"/>
    <w:rsid w:val="00D933A0"/>
    <w:rsid w:val="00D9433C"/>
    <w:rsid w:val="00D952DD"/>
    <w:rsid w:val="00D96A87"/>
    <w:rsid w:val="00D96EEA"/>
    <w:rsid w:val="00DA06CC"/>
    <w:rsid w:val="00DA1321"/>
    <w:rsid w:val="00DA23E0"/>
    <w:rsid w:val="00DA296C"/>
    <w:rsid w:val="00DA3D42"/>
    <w:rsid w:val="00DA41E6"/>
    <w:rsid w:val="00DA4268"/>
    <w:rsid w:val="00DA4542"/>
    <w:rsid w:val="00DA51AA"/>
    <w:rsid w:val="00DA5E3C"/>
    <w:rsid w:val="00DA601C"/>
    <w:rsid w:val="00DA613B"/>
    <w:rsid w:val="00DA6415"/>
    <w:rsid w:val="00DA6C9F"/>
    <w:rsid w:val="00DA738F"/>
    <w:rsid w:val="00DA76D6"/>
    <w:rsid w:val="00DB0742"/>
    <w:rsid w:val="00DB09D6"/>
    <w:rsid w:val="00DB0B70"/>
    <w:rsid w:val="00DB172E"/>
    <w:rsid w:val="00DB1BD7"/>
    <w:rsid w:val="00DB1CBE"/>
    <w:rsid w:val="00DB1D00"/>
    <w:rsid w:val="00DB2E0D"/>
    <w:rsid w:val="00DB3C1D"/>
    <w:rsid w:val="00DB43FF"/>
    <w:rsid w:val="00DB4730"/>
    <w:rsid w:val="00DB521E"/>
    <w:rsid w:val="00DB5B60"/>
    <w:rsid w:val="00DB5F9D"/>
    <w:rsid w:val="00DB6055"/>
    <w:rsid w:val="00DB6BF3"/>
    <w:rsid w:val="00DC07EA"/>
    <w:rsid w:val="00DC0908"/>
    <w:rsid w:val="00DC0CD7"/>
    <w:rsid w:val="00DC10D4"/>
    <w:rsid w:val="00DC16B0"/>
    <w:rsid w:val="00DC17CC"/>
    <w:rsid w:val="00DC194A"/>
    <w:rsid w:val="00DC1BFD"/>
    <w:rsid w:val="00DC4BCE"/>
    <w:rsid w:val="00DC538B"/>
    <w:rsid w:val="00DC549C"/>
    <w:rsid w:val="00DC6A06"/>
    <w:rsid w:val="00DC6C42"/>
    <w:rsid w:val="00DC766A"/>
    <w:rsid w:val="00DD0AC7"/>
    <w:rsid w:val="00DD10E3"/>
    <w:rsid w:val="00DD2061"/>
    <w:rsid w:val="00DD2A95"/>
    <w:rsid w:val="00DD3BDD"/>
    <w:rsid w:val="00DD41BE"/>
    <w:rsid w:val="00DD4EFA"/>
    <w:rsid w:val="00DD62DA"/>
    <w:rsid w:val="00DD6661"/>
    <w:rsid w:val="00DD6C23"/>
    <w:rsid w:val="00DD7504"/>
    <w:rsid w:val="00DE0567"/>
    <w:rsid w:val="00DE0840"/>
    <w:rsid w:val="00DE178B"/>
    <w:rsid w:val="00DE1A4A"/>
    <w:rsid w:val="00DE212A"/>
    <w:rsid w:val="00DE23D4"/>
    <w:rsid w:val="00DE2F26"/>
    <w:rsid w:val="00DE4676"/>
    <w:rsid w:val="00DE4F2F"/>
    <w:rsid w:val="00DE5AB6"/>
    <w:rsid w:val="00DE6644"/>
    <w:rsid w:val="00DE6799"/>
    <w:rsid w:val="00DE68C5"/>
    <w:rsid w:val="00DE733B"/>
    <w:rsid w:val="00DE7ADF"/>
    <w:rsid w:val="00DF0087"/>
    <w:rsid w:val="00DF0119"/>
    <w:rsid w:val="00DF01A7"/>
    <w:rsid w:val="00DF1286"/>
    <w:rsid w:val="00DF18DB"/>
    <w:rsid w:val="00DF2486"/>
    <w:rsid w:val="00DF24C9"/>
    <w:rsid w:val="00DF374F"/>
    <w:rsid w:val="00DF3BCE"/>
    <w:rsid w:val="00DF3EC2"/>
    <w:rsid w:val="00DF4585"/>
    <w:rsid w:val="00DF5252"/>
    <w:rsid w:val="00DF5B69"/>
    <w:rsid w:val="00DF614C"/>
    <w:rsid w:val="00DF69D4"/>
    <w:rsid w:val="00DF70E5"/>
    <w:rsid w:val="00DF7723"/>
    <w:rsid w:val="00DF7A33"/>
    <w:rsid w:val="00DF7B27"/>
    <w:rsid w:val="00E0159B"/>
    <w:rsid w:val="00E01BFE"/>
    <w:rsid w:val="00E028ED"/>
    <w:rsid w:val="00E02C41"/>
    <w:rsid w:val="00E02E19"/>
    <w:rsid w:val="00E031F5"/>
    <w:rsid w:val="00E03F1D"/>
    <w:rsid w:val="00E046B6"/>
    <w:rsid w:val="00E0515C"/>
    <w:rsid w:val="00E053CA"/>
    <w:rsid w:val="00E0545D"/>
    <w:rsid w:val="00E05687"/>
    <w:rsid w:val="00E05814"/>
    <w:rsid w:val="00E05E91"/>
    <w:rsid w:val="00E066B6"/>
    <w:rsid w:val="00E06F7A"/>
    <w:rsid w:val="00E0751E"/>
    <w:rsid w:val="00E11373"/>
    <w:rsid w:val="00E11C54"/>
    <w:rsid w:val="00E1229C"/>
    <w:rsid w:val="00E130DD"/>
    <w:rsid w:val="00E1327D"/>
    <w:rsid w:val="00E1475F"/>
    <w:rsid w:val="00E1477E"/>
    <w:rsid w:val="00E14FF4"/>
    <w:rsid w:val="00E152C2"/>
    <w:rsid w:val="00E15416"/>
    <w:rsid w:val="00E15D8F"/>
    <w:rsid w:val="00E16516"/>
    <w:rsid w:val="00E16BA4"/>
    <w:rsid w:val="00E16CD3"/>
    <w:rsid w:val="00E177CF"/>
    <w:rsid w:val="00E20811"/>
    <w:rsid w:val="00E20FE1"/>
    <w:rsid w:val="00E21483"/>
    <w:rsid w:val="00E216A8"/>
    <w:rsid w:val="00E21B78"/>
    <w:rsid w:val="00E21CD6"/>
    <w:rsid w:val="00E236E0"/>
    <w:rsid w:val="00E236EF"/>
    <w:rsid w:val="00E2413A"/>
    <w:rsid w:val="00E244A9"/>
    <w:rsid w:val="00E2483A"/>
    <w:rsid w:val="00E24A98"/>
    <w:rsid w:val="00E305D8"/>
    <w:rsid w:val="00E307AA"/>
    <w:rsid w:val="00E30E21"/>
    <w:rsid w:val="00E31239"/>
    <w:rsid w:val="00E31805"/>
    <w:rsid w:val="00E32481"/>
    <w:rsid w:val="00E3249B"/>
    <w:rsid w:val="00E32727"/>
    <w:rsid w:val="00E32AF2"/>
    <w:rsid w:val="00E33079"/>
    <w:rsid w:val="00E34399"/>
    <w:rsid w:val="00E3477E"/>
    <w:rsid w:val="00E35038"/>
    <w:rsid w:val="00E35837"/>
    <w:rsid w:val="00E35B08"/>
    <w:rsid w:val="00E36AB5"/>
    <w:rsid w:val="00E36AFC"/>
    <w:rsid w:val="00E36D70"/>
    <w:rsid w:val="00E37653"/>
    <w:rsid w:val="00E3792A"/>
    <w:rsid w:val="00E37A96"/>
    <w:rsid w:val="00E37D02"/>
    <w:rsid w:val="00E37DED"/>
    <w:rsid w:val="00E406A3"/>
    <w:rsid w:val="00E4098E"/>
    <w:rsid w:val="00E40CB9"/>
    <w:rsid w:val="00E413F4"/>
    <w:rsid w:val="00E41AA4"/>
    <w:rsid w:val="00E428A2"/>
    <w:rsid w:val="00E42D0C"/>
    <w:rsid w:val="00E43083"/>
    <w:rsid w:val="00E43686"/>
    <w:rsid w:val="00E4372D"/>
    <w:rsid w:val="00E43A41"/>
    <w:rsid w:val="00E442CE"/>
    <w:rsid w:val="00E4474A"/>
    <w:rsid w:val="00E449B2"/>
    <w:rsid w:val="00E44D39"/>
    <w:rsid w:val="00E44DAB"/>
    <w:rsid w:val="00E456FE"/>
    <w:rsid w:val="00E45C95"/>
    <w:rsid w:val="00E45DDC"/>
    <w:rsid w:val="00E47298"/>
    <w:rsid w:val="00E473F5"/>
    <w:rsid w:val="00E5011A"/>
    <w:rsid w:val="00E507B2"/>
    <w:rsid w:val="00E5193D"/>
    <w:rsid w:val="00E51BAB"/>
    <w:rsid w:val="00E51C52"/>
    <w:rsid w:val="00E52CC5"/>
    <w:rsid w:val="00E53F87"/>
    <w:rsid w:val="00E543AE"/>
    <w:rsid w:val="00E54DA3"/>
    <w:rsid w:val="00E54FA7"/>
    <w:rsid w:val="00E55325"/>
    <w:rsid w:val="00E55589"/>
    <w:rsid w:val="00E559B1"/>
    <w:rsid w:val="00E55A39"/>
    <w:rsid w:val="00E564F1"/>
    <w:rsid w:val="00E57188"/>
    <w:rsid w:val="00E577A1"/>
    <w:rsid w:val="00E57942"/>
    <w:rsid w:val="00E57CDE"/>
    <w:rsid w:val="00E6026A"/>
    <w:rsid w:val="00E60294"/>
    <w:rsid w:val="00E60700"/>
    <w:rsid w:val="00E6136C"/>
    <w:rsid w:val="00E63085"/>
    <w:rsid w:val="00E63F1C"/>
    <w:rsid w:val="00E64225"/>
    <w:rsid w:val="00E6466F"/>
    <w:rsid w:val="00E64DC9"/>
    <w:rsid w:val="00E652DF"/>
    <w:rsid w:val="00E66165"/>
    <w:rsid w:val="00E661C4"/>
    <w:rsid w:val="00E66931"/>
    <w:rsid w:val="00E66A86"/>
    <w:rsid w:val="00E66DCC"/>
    <w:rsid w:val="00E70013"/>
    <w:rsid w:val="00E7001B"/>
    <w:rsid w:val="00E7015B"/>
    <w:rsid w:val="00E70A36"/>
    <w:rsid w:val="00E70F7B"/>
    <w:rsid w:val="00E711FB"/>
    <w:rsid w:val="00E71469"/>
    <w:rsid w:val="00E71972"/>
    <w:rsid w:val="00E725BD"/>
    <w:rsid w:val="00E728C2"/>
    <w:rsid w:val="00E72A16"/>
    <w:rsid w:val="00E732FA"/>
    <w:rsid w:val="00E73B2E"/>
    <w:rsid w:val="00E73B34"/>
    <w:rsid w:val="00E73B88"/>
    <w:rsid w:val="00E73FFF"/>
    <w:rsid w:val="00E7410D"/>
    <w:rsid w:val="00E743B6"/>
    <w:rsid w:val="00E75F50"/>
    <w:rsid w:val="00E76239"/>
    <w:rsid w:val="00E762C7"/>
    <w:rsid w:val="00E76715"/>
    <w:rsid w:val="00E767E4"/>
    <w:rsid w:val="00E77518"/>
    <w:rsid w:val="00E775B6"/>
    <w:rsid w:val="00E80EBA"/>
    <w:rsid w:val="00E812B8"/>
    <w:rsid w:val="00E81A38"/>
    <w:rsid w:val="00E81A75"/>
    <w:rsid w:val="00E81CA4"/>
    <w:rsid w:val="00E81D37"/>
    <w:rsid w:val="00E81D4A"/>
    <w:rsid w:val="00E8219F"/>
    <w:rsid w:val="00E8231A"/>
    <w:rsid w:val="00E825E3"/>
    <w:rsid w:val="00E82886"/>
    <w:rsid w:val="00E8377A"/>
    <w:rsid w:val="00E83D91"/>
    <w:rsid w:val="00E843BF"/>
    <w:rsid w:val="00E84ABF"/>
    <w:rsid w:val="00E856E8"/>
    <w:rsid w:val="00E85855"/>
    <w:rsid w:val="00E865B5"/>
    <w:rsid w:val="00E86F91"/>
    <w:rsid w:val="00E870DC"/>
    <w:rsid w:val="00E87C5B"/>
    <w:rsid w:val="00E90590"/>
    <w:rsid w:val="00E90638"/>
    <w:rsid w:val="00E90D6B"/>
    <w:rsid w:val="00E90EBF"/>
    <w:rsid w:val="00E90F04"/>
    <w:rsid w:val="00E914B9"/>
    <w:rsid w:val="00E914DD"/>
    <w:rsid w:val="00E91F3F"/>
    <w:rsid w:val="00E925AD"/>
    <w:rsid w:val="00E928CA"/>
    <w:rsid w:val="00E92E44"/>
    <w:rsid w:val="00E93BB6"/>
    <w:rsid w:val="00E93CD8"/>
    <w:rsid w:val="00E95378"/>
    <w:rsid w:val="00E95C58"/>
    <w:rsid w:val="00E95E69"/>
    <w:rsid w:val="00E961A1"/>
    <w:rsid w:val="00E96BF7"/>
    <w:rsid w:val="00E96C09"/>
    <w:rsid w:val="00E97CEF"/>
    <w:rsid w:val="00EA0AA9"/>
    <w:rsid w:val="00EA1161"/>
    <w:rsid w:val="00EA15A0"/>
    <w:rsid w:val="00EA1B63"/>
    <w:rsid w:val="00EA2800"/>
    <w:rsid w:val="00EA2910"/>
    <w:rsid w:val="00EA2B19"/>
    <w:rsid w:val="00EA32E9"/>
    <w:rsid w:val="00EA35F3"/>
    <w:rsid w:val="00EA3C8B"/>
    <w:rsid w:val="00EA3CD6"/>
    <w:rsid w:val="00EA47BE"/>
    <w:rsid w:val="00EA48CF"/>
    <w:rsid w:val="00EA4DDD"/>
    <w:rsid w:val="00EA4E68"/>
    <w:rsid w:val="00EA5B34"/>
    <w:rsid w:val="00EA6513"/>
    <w:rsid w:val="00EA66C1"/>
    <w:rsid w:val="00EA681E"/>
    <w:rsid w:val="00EA6BC7"/>
    <w:rsid w:val="00EA6DF1"/>
    <w:rsid w:val="00EA6F33"/>
    <w:rsid w:val="00EA7218"/>
    <w:rsid w:val="00EB0132"/>
    <w:rsid w:val="00EB0474"/>
    <w:rsid w:val="00EB05B5"/>
    <w:rsid w:val="00EB18B6"/>
    <w:rsid w:val="00EB1C56"/>
    <w:rsid w:val="00EB1DAF"/>
    <w:rsid w:val="00EB20CC"/>
    <w:rsid w:val="00EB214E"/>
    <w:rsid w:val="00EB2194"/>
    <w:rsid w:val="00EB235E"/>
    <w:rsid w:val="00EB28BD"/>
    <w:rsid w:val="00EB2C27"/>
    <w:rsid w:val="00EB2FA6"/>
    <w:rsid w:val="00EB3335"/>
    <w:rsid w:val="00EB34BB"/>
    <w:rsid w:val="00EB35C9"/>
    <w:rsid w:val="00EB3A95"/>
    <w:rsid w:val="00EB3E69"/>
    <w:rsid w:val="00EB4657"/>
    <w:rsid w:val="00EB46B2"/>
    <w:rsid w:val="00EB500E"/>
    <w:rsid w:val="00EB50DB"/>
    <w:rsid w:val="00EB515F"/>
    <w:rsid w:val="00EB5CD3"/>
    <w:rsid w:val="00EB5CFF"/>
    <w:rsid w:val="00EB6541"/>
    <w:rsid w:val="00EB7982"/>
    <w:rsid w:val="00EB7BC6"/>
    <w:rsid w:val="00EB7D28"/>
    <w:rsid w:val="00EB7E20"/>
    <w:rsid w:val="00EC02A0"/>
    <w:rsid w:val="00EC0F46"/>
    <w:rsid w:val="00EC2C54"/>
    <w:rsid w:val="00EC3FD7"/>
    <w:rsid w:val="00EC46A7"/>
    <w:rsid w:val="00EC5536"/>
    <w:rsid w:val="00EC59D2"/>
    <w:rsid w:val="00EC655F"/>
    <w:rsid w:val="00EC6A97"/>
    <w:rsid w:val="00EC71A4"/>
    <w:rsid w:val="00EC7603"/>
    <w:rsid w:val="00EC787A"/>
    <w:rsid w:val="00EC7B4D"/>
    <w:rsid w:val="00ED01D6"/>
    <w:rsid w:val="00ED112A"/>
    <w:rsid w:val="00ED1A8D"/>
    <w:rsid w:val="00ED21FE"/>
    <w:rsid w:val="00ED2857"/>
    <w:rsid w:val="00ED3B5B"/>
    <w:rsid w:val="00ED46E7"/>
    <w:rsid w:val="00ED49B1"/>
    <w:rsid w:val="00ED5AED"/>
    <w:rsid w:val="00ED5E2B"/>
    <w:rsid w:val="00ED6B9D"/>
    <w:rsid w:val="00ED76D2"/>
    <w:rsid w:val="00ED77A2"/>
    <w:rsid w:val="00ED7A03"/>
    <w:rsid w:val="00EE019F"/>
    <w:rsid w:val="00EE0323"/>
    <w:rsid w:val="00EE08F4"/>
    <w:rsid w:val="00EE1C96"/>
    <w:rsid w:val="00EE1F21"/>
    <w:rsid w:val="00EE2229"/>
    <w:rsid w:val="00EE2AF9"/>
    <w:rsid w:val="00EE37E2"/>
    <w:rsid w:val="00EE4670"/>
    <w:rsid w:val="00EF0974"/>
    <w:rsid w:val="00EF1BCB"/>
    <w:rsid w:val="00EF2124"/>
    <w:rsid w:val="00EF235D"/>
    <w:rsid w:val="00EF2C25"/>
    <w:rsid w:val="00EF2F3C"/>
    <w:rsid w:val="00EF3232"/>
    <w:rsid w:val="00EF335B"/>
    <w:rsid w:val="00EF3CC5"/>
    <w:rsid w:val="00EF3FDA"/>
    <w:rsid w:val="00EF4826"/>
    <w:rsid w:val="00EF4B85"/>
    <w:rsid w:val="00EF537A"/>
    <w:rsid w:val="00EF591D"/>
    <w:rsid w:val="00EF6903"/>
    <w:rsid w:val="00EF6B06"/>
    <w:rsid w:val="00EF7DD3"/>
    <w:rsid w:val="00F02CC2"/>
    <w:rsid w:val="00F03498"/>
    <w:rsid w:val="00F03B23"/>
    <w:rsid w:val="00F03C27"/>
    <w:rsid w:val="00F045B2"/>
    <w:rsid w:val="00F04614"/>
    <w:rsid w:val="00F04B8C"/>
    <w:rsid w:val="00F04F22"/>
    <w:rsid w:val="00F065D2"/>
    <w:rsid w:val="00F06AF3"/>
    <w:rsid w:val="00F07665"/>
    <w:rsid w:val="00F1069C"/>
    <w:rsid w:val="00F10E2B"/>
    <w:rsid w:val="00F11E21"/>
    <w:rsid w:val="00F12639"/>
    <w:rsid w:val="00F12AB8"/>
    <w:rsid w:val="00F144C4"/>
    <w:rsid w:val="00F14CCE"/>
    <w:rsid w:val="00F14CED"/>
    <w:rsid w:val="00F1541A"/>
    <w:rsid w:val="00F1581A"/>
    <w:rsid w:val="00F15E48"/>
    <w:rsid w:val="00F1605E"/>
    <w:rsid w:val="00F1657F"/>
    <w:rsid w:val="00F20E07"/>
    <w:rsid w:val="00F20F18"/>
    <w:rsid w:val="00F21DC3"/>
    <w:rsid w:val="00F221FE"/>
    <w:rsid w:val="00F227C8"/>
    <w:rsid w:val="00F22802"/>
    <w:rsid w:val="00F2347C"/>
    <w:rsid w:val="00F23AAD"/>
    <w:rsid w:val="00F23EE5"/>
    <w:rsid w:val="00F23FD7"/>
    <w:rsid w:val="00F2418E"/>
    <w:rsid w:val="00F25EB8"/>
    <w:rsid w:val="00F261F7"/>
    <w:rsid w:val="00F26555"/>
    <w:rsid w:val="00F26D7D"/>
    <w:rsid w:val="00F271DB"/>
    <w:rsid w:val="00F278B9"/>
    <w:rsid w:val="00F27DC0"/>
    <w:rsid w:val="00F27DDE"/>
    <w:rsid w:val="00F31B2C"/>
    <w:rsid w:val="00F33A67"/>
    <w:rsid w:val="00F33F41"/>
    <w:rsid w:val="00F35032"/>
    <w:rsid w:val="00F3510C"/>
    <w:rsid w:val="00F351C0"/>
    <w:rsid w:val="00F36ABA"/>
    <w:rsid w:val="00F377E1"/>
    <w:rsid w:val="00F40BA4"/>
    <w:rsid w:val="00F40D74"/>
    <w:rsid w:val="00F4557B"/>
    <w:rsid w:val="00F46342"/>
    <w:rsid w:val="00F46836"/>
    <w:rsid w:val="00F468B8"/>
    <w:rsid w:val="00F46F43"/>
    <w:rsid w:val="00F47035"/>
    <w:rsid w:val="00F476DB"/>
    <w:rsid w:val="00F47AEA"/>
    <w:rsid w:val="00F47BC8"/>
    <w:rsid w:val="00F47E1F"/>
    <w:rsid w:val="00F50040"/>
    <w:rsid w:val="00F51485"/>
    <w:rsid w:val="00F5168B"/>
    <w:rsid w:val="00F518B7"/>
    <w:rsid w:val="00F519D7"/>
    <w:rsid w:val="00F51A37"/>
    <w:rsid w:val="00F51AD9"/>
    <w:rsid w:val="00F52909"/>
    <w:rsid w:val="00F52BF8"/>
    <w:rsid w:val="00F52F26"/>
    <w:rsid w:val="00F550C9"/>
    <w:rsid w:val="00F55653"/>
    <w:rsid w:val="00F559C9"/>
    <w:rsid w:val="00F559D6"/>
    <w:rsid w:val="00F56DB8"/>
    <w:rsid w:val="00F56F33"/>
    <w:rsid w:val="00F576FC"/>
    <w:rsid w:val="00F57C8A"/>
    <w:rsid w:val="00F57CB5"/>
    <w:rsid w:val="00F57EA5"/>
    <w:rsid w:val="00F6062A"/>
    <w:rsid w:val="00F6093D"/>
    <w:rsid w:val="00F6221A"/>
    <w:rsid w:val="00F63267"/>
    <w:rsid w:val="00F63447"/>
    <w:rsid w:val="00F6361A"/>
    <w:rsid w:val="00F63BE6"/>
    <w:rsid w:val="00F64488"/>
    <w:rsid w:val="00F6610D"/>
    <w:rsid w:val="00F66265"/>
    <w:rsid w:val="00F67591"/>
    <w:rsid w:val="00F67B82"/>
    <w:rsid w:val="00F70337"/>
    <w:rsid w:val="00F70405"/>
    <w:rsid w:val="00F704E3"/>
    <w:rsid w:val="00F7147E"/>
    <w:rsid w:val="00F714B7"/>
    <w:rsid w:val="00F71B13"/>
    <w:rsid w:val="00F71BA6"/>
    <w:rsid w:val="00F72B19"/>
    <w:rsid w:val="00F72D9B"/>
    <w:rsid w:val="00F7338D"/>
    <w:rsid w:val="00F7340A"/>
    <w:rsid w:val="00F7438A"/>
    <w:rsid w:val="00F747B8"/>
    <w:rsid w:val="00F769F0"/>
    <w:rsid w:val="00F76AF1"/>
    <w:rsid w:val="00F771C1"/>
    <w:rsid w:val="00F77395"/>
    <w:rsid w:val="00F81422"/>
    <w:rsid w:val="00F81567"/>
    <w:rsid w:val="00F82C4D"/>
    <w:rsid w:val="00F82C89"/>
    <w:rsid w:val="00F831A4"/>
    <w:rsid w:val="00F83A03"/>
    <w:rsid w:val="00F83F17"/>
    <w:rsid w:val="00F8441B"/>
    <w:rsid w:val="00F84C42"/>
    <w:rsid w:val="00F8500C"/>
    <w:rsid w:val="00F85254"/>
    <w:rsid w:val="00F85789"/>
    <w:rsid w:val="00F85AD7"/>
    <w:rsid w:val="00F85FB1"/>
    <w:rsid w:val="00F86739"/>
    <w:rsid w:val="00F87797"/>
    <w:rsid w:val="00F907CB"/>
    <w:rsid w:val="00F907E2"/>
    <w:rsid w:val="00F91254"/>
    <w:rsid w:val="00F91AB5"/>
    <w:rsid w:val="00F91F63"/>
    <w:rsid w:val="00F91FF4"/>
    <w:rsid w:val="00F939B1"/>
    <w:rsid w:val="00F93FE7"/>
    <w:rsid w:val="00F94294"/>
    <w:rsid w:val="00F94D11"/>
    <w:rsid w:val="00F96492"/>
    <w:rsid w:val="00F96AF8"/>
    <w:rsid w:val="00F9784A"/>
    <w:rsid w:val="00F97A4B"/>
    <w:rsid w:val="00FA05B0"/>
    <w:rsid w:val="00FA05EC"/>
    <w:rsid w:val="00FA07E2"/>
    <w:rsid w:val="00FA0B23"/>
    <w:rsid w:val="00FA2883"/>
    <w:rsid w:val="00FA2D25"/>
    <w:rsid w:val="00FA3CAD"/>
    <w:rsid w:val="00FA491C"/>
    <w:rsid w:val="00FA4FAF"/>
    <w:rsid w:val="00FA5673"/>
    <w:rsid w:val="00FA60A1"/>
    <w:rsid w:val="00FA6CDC"/>
    <w:rsid w:val="00FA6FE7"/>
    <w:rsid w:val="00FA7E28"/>
    <w:rsid w:val="00FA7EF4"/>
    <w:rsid w:val="00FB0725"/>
    <w:rsid w:val="00FB11A5"/>
    <w:rsid w:val="00FB15AF"/>
    <w:rsid w:val="00FB1CC5"/>
    <w:rsid w:val="00FB2351"/>
    <w:rsid w:val="00FB25FF"/>
    <w:rsid w:val="00FB4291"/>
    <w:rsid w:val="00FB46B4"/>
    <w:rsid w:val="00FB5557"/>
    <w:rsid w:val="00FB61FB"/>
    <w:rsid w:val="00FB6518"/>
    <w:rsid w:val="00FB68F9"/>
    <w:rsid w:val="00FC0963"/>
    <w:rsid w:val="00FC0BF7"/>
    <w:rsid w:val="00FC0EF3"/>
    <w:rsid w:val="00FC1779"/>
    <w:rsid w:val="00FC17F3"/>
    <w:rsid w:val="00FC1B01"/>
    <w:rsid w:val="00FC1D6D"/>
    <w:rsid w:val="00FC2657"/>
    <w:rsid w:val="00FC273A"/>
    <w:rsid w:val="00FC2D93"/>
    <w:rsid w:val="00FC30A1"/>
    <w:rsid w:val="00FC30D9"/>
    <w:rsid w:val="00FC34B9"/>
    <w:rsid w:val="00FC34CD"/>
    <w:rsid w:val="00FC4B92"/>
    <w:rsid w:val="00FC54AA"/>
    <w:rsid w:val="00FC570C"/>
    <w:rsid w:val="00FC71C3"/>
    <w:rsid w:val="00FC75B1"/>
    <w:rsid w:val="00FC7C53"/>
    <w:rsid w:val="00FD095E"/>
    <w:rsid w:val="00FD0ABD"/>
    <w:rsid w:val="00FD0BC3"/>
    <w:rsid w:val="00FD0C77"/>
    <w:rsid w:val="00FD1600"/>
    <w:rsid w:val="00FD1F0E"/>
    <w:rsid w:val="00FD25CA"/>
    <w:rsid w:val="00FD36F5"/>
    <w:rsid w:val="00FD4351"/>
    <w:rsid w:val="00FD4A1C"/>
    <w:rsid w:val="00FD63F5"/>
    <w:rsid w:val="00FD6D51"/>
    <w:rsid w:val="00FD6F52"/>
    <w:rsid w:val="00FD72F5"/>
    <w:rsid w:val="00FD7A8C"/>
    <w:rsid w:val="00FE06A1"/>
    <w:rsid w:val="00FE07A9"/>
    <w:rsid w:val="00FE1D58"/>
    <w:rsid w:val="00FE23AE"/>
    <w:rsid w:val="00FE347A"/>
    <w:rsid w:val="00FE38F2"/>
    <w:rsid w:val="00FE3AD4"/>
    <w:rsid w:val="00FE5F83"/>
    <w:rsid w:val="00FE6590"/>
    <w:rsid w:val="00FE7085"/>
    <w:rsid w:val="00FF007D"/>
    <w:rsid w:val="00FF0645"/>
    <w:rsid w:val="00FF077B"/>
    <w:rsid w:val="00FF0F92"/>
    <w:rsid w:val="00FF0FF2"/>
    <w:rsid w:val="00FF3C0C"/>
    <w:rsid w:val="00FF4634"/>
    <w:rsid w:val="00FF5FAA"/>
    <w:rsid w:val="00FF6276"/>
    <w:rsid w:val="00FF62DD"/>
    <w:rsid w:val="00FF6670"/>
    <w:rsid w:val="00FF6B1D"/>
    <w:rsid w:val="00FF7D8D"/>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5857"/>
    <w:pPr>
      <w:jc w:val="both"/>
    </w:pPr>
    <w:rPr>
      <w:rFonts w:ascii="Times New Roman" w:hAnsi="Times New Roman"/>
      <w:sz w:val="24"/>
    </w:rPr>
  </w:style>
  <w:style w:type="paragraph" w:styleId="Heading1">
    <w:name w:val="heading 1"/>
    <w:basedOn w:val="Normal"/>
    <w:next w:val="Normal"/>
    <w:link w:val="Heading1Char"/>
    <w:uiPriority w:val="9"/>
    <w:qFormat/>
    <w:rsid w:val="00B329DE"/>
    <w:pPr>
      <w:keepNext/>
      <w:keepLines/>
      <w:spacing w:before="240" w:after="20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329DE"/>
    <w:pPr>
      <w:keepNext/>
      <w:keepLines/>
      <w:spacing w:before="40" w:after="200"/>
      <w:outlineLvl w:val="1"/>
    </w:pPr>
    <w:rPr>
      <w:rFonts w:eastAsiaTheme="majorEastAsia"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C6B9A"/>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5673"/>
    <w:pPr>
      <w:ind w:left="720"/>
      <w:contextualSpacing/>
    </w:pPr>
  </w:style>
  <w:style w:type="character" w:customStyle="1" w:styleId="Heading1Char">
    <w:name w:val="Heading 1 Char"/>
    <w:basedOn w:val="DefaultParagraphFont"/>
    <w:link w:val="Heading1"/>
    <w:uiPriority w:val="9"/>
    <w:rsid w:val="00B329DE"/>
    <w:rPr>
      <w:rFonts w:ascii="Times New Roman" w:eastAsiaTheme="majorEastAsia" w:hAnsi="Times New Roman" w:cstheme="majorBidi"/>
      <w:color w:val="2E74B5" w:themeColor="accent1" w:themeShade="BF"/>
      <w:sz w:val="32"/>
      <w:szCs w:val="32"/>
    </w:rPr>
  </w:style>
  <w:style w:type="character" w:styleId="Hyperlink">
    <w:name w:val="Hyperlink"/>
    <w:basedOn w:val="DefaultParagraphFont"/>
    <w:uiPriority w:val="99"/>
    <w:unhideWhenUsed/>
    <w:rsid w:val="00CB0BC7"/>
    <w:rPr>
      <w:color w:val="0563C1" w:themeColor="hyperlink"/>
      <w:u w:val="single"/>
    </w:rPr>
  </w:style>
  <w:style w:type="paragraph" w:styleId="Bibliography">
    <w:name w:val="Bibliography"/>
    <w:basedOn w:val="Normal"/>
    <w:next w:val="Normal"/>
    <w:uiPriority w:val="37"/>
    <w:unhideWhenUsed/>
    <w:rsid w:val="004C6AD5"/>
  </w:style>
  <w:style w:type="character" w:customStyle="1" w:styleId="Heading2Char">
    <w:name w:val="Heading 2 Char"/>
    <w:basedOn w:val="DefaultParagraphFont"/>
    <w:link w:val="Heading2"/>
    <w:uiPriority w:val="9"/>
    <w:rsid w:val="00B329DE"/>
    <w:rPr>
      <w:rFonts w:ascii="Times New Roman" w:eastAsiaTheme="majorEastAsia" w:hAnsi="Times New Roman" w:cstheme="majorBidi"/>
      <w:color w:val="2E74B5" w:themeColor="accent1" w:themeShade="BF"/>
      <w:sz w:val="26"/>
      <w:szCs w:val="26"/>
    </w:rPr>
  </w:style>
  <w:style w:type="paragraph" w:styleId="BalloonText">
    <w:name w:val="Balloon Text"/>
    <w:basedOn w:val="Normal"/>
    <w:link w:val="BalloonTextChar"/>
    <w:uiPriority w:val="99"/>
    <w:semiHidden/>
    <w:unhideWhenUsed/>
    <w:rsid w:val="00BF33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3DB"/>
    <w:rPr>
      <w:rFonts w:ascii="Tahoma" w:hAnsi="Tahoma" w:cs="Tahoma"/>
      <w:sz w:val="16"/>
      <w:szCs w:val="16"/>
    </w:rPr>
  </w:style>
  <w:style w:type="character" w:styleId="CommentReference">
    <w:name w:val="annotation reference"/>
    <w:basedOn w:val="DefaultParagraphFont"/>
    <w:uiPriority w:val="99"/>
    <w:semiHidden/>
    <w:unhideWhenUsed/>
    <w:rsid w:val="00BF33DB"/>
    <w:rPr>
      <w:sz w:val="16"/>
      <w:szCs w:val="16"/>
    </w:rPr>
  </w:style>
  <w:style w:type="paragraph" w:styleId="CommentText">
    <w:name w:val="annotation text"/>
    <w:basedOn w:val="Normal"/>
    <w:link w:val="CommentTextChar"/>
    <w:uiPriority w:val="99"/>
    <w:semiHidden/>
    <w:unhideWhenUsed/>
    <w:rsid w:val="00BF33DB"/>
    <w:pPr>
      <w:spacing w:line="240" w:lineRule="auto"/>
    </w:pPr>
    <w:rPr>
      <w:sz w:val="20"/>
      <w:szCs w:val="20"/>
    </w:rPr>
  </w:style>
  <w:style w:type="character" w:customStyle="1" w:styleId="CommentTextChar">
    <w:name w:val="Comment Text Char"/>
    <w:basedOn w:val="DefaultParagraphFont"/>
    <w:link w:val="CommentText"/>
    <w:uiPriority w:val="99"/>
    <w:semiHidden/>
    <w:rsid w:val="00BF33DB"/>
    <w:rPr>
      <w:sz w:val="20"/>
      <w:szCs w:val="20"/>
    </w:rPr>
  </w:style>
  <w:style w:type="paragraph" w:styleId="CommentSubject">
    <w:name w:val="annotation subject"/>
    <w:basedOn w:val="CommentText"/>
    <w:next w:val="CommentText"/>
    <w:link w:val="CommentSubjectChar"/>
    <w:uiPriority w:val="99"/>
    <w:semiHidden/>
    <w:unhideWhenUsed/>
    <w:rsid w:val="00BF33DB"/>
    <w:rPr>
      <w:b/>
      <w:bCs/>
    </w:rPr>
  </w:style>
  <w:style w:type="character" w:customStyle="1" w:styleId="CommentSubjectChar">
    <w:name w:val="Comment Subject Char"/>
    <w:basedOn w:val="CommentTextChar"/>
    <w:link w:val="CommentSubject"/>
    <w:uiPriority w:val="99"/>
    <w:semiHidden/>
    <w:rsid w:val="00BF33DB"/>
    <w:rPr>
      <w:b/>
      <w:bCs/>
      <w:sz w:val="20"/>
      <w:szCs w:val="20"/>
    </w:rPr>
  </w:style>
  <w:style w:type="character" w:customStyle="1" w:styleId="Heading3Char">
    <w:name w:val="Heading 3 Char"/>
    <w:basedOn w:val="DefaultParagraphFont"/>
    <w:link w:val="Heading3"/>
    <w:uiPriority w:val="9"/>
    <w:rsid w:val="007C6B9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791E6B"/>
    <w:pPr>
      <w:tabs>
        <w:tab w:val="center" w:pos="4536"/>
        <w:tab w:val="right" w:pos="9072"/>
      </w:tabs>
      <w:spacing w:after="0" w:line="240" w:lineRule="auto"/>
    </w:pPr>
  </w:style>
  <w:style w:type="character" w:customStyle="1" w:styleId="HeaderChar">
    <w:name w:val="Header Char"/>
    <w:basedOn w:val="DefaultParagraphFont"/>
    <w:link w:val="Header"/>
    <w:uiPriority w:val="99"/>
    <w:rsid w:val="00791E6B"/>
  </w:style>
  <w:style w:type="paragraph" w:styleId="Footer">
    <w:name w:val="footer"/>
    <w:basedOn w:val="Normal"/>
    <w:link w:val="FooterChar"/>
    <w:uiPriority w:val="99"/>
    <w:unhideWhenUsed/>
    <w:rsid w:val="00791E6B"/>
    <w:pPr>
      <w:tabs>
        <w:tab w:val="center" w:pos="4536"/>
        <w:tab w:val="right" w:pos="9072"/>
      </w:tabs>
      <w:spacing w:after="0" w:line="240" w:lineRule="auto"/>
    </w:pPr>
  </w:style>
  <w:style w:type="character" w:customStyle="1" w:styleId="FooterChar">
    <w:name w:val="Footer Char"/>
    <w:basedOn w:val="DefaultParagraphFont"/>
    <w:link w:val="Footer"/>
    <w:uiPriority w:val="99"/>
    <w:rsid w:val="00791E6B"/>
  </w:style>
  <w:style w:type="paragraph" w:styleId="Revision">
    <w:name w:val="Revision"/>
    <w:hidden/>
    <w:uiPriority w:val="99"/>
    <w:semiHidden/>
    <w:rsid w:val="009167B9"/>
    <w:pPr>
      <w:spacing w:after="0" w:line="240" w:lineRule="auto"/>
    </w:pPr>
  </w:style>
  <w:style w:type="table" w:styleId="TableGrid">
    <w:name w:val="Table Grid"/>
    <w:basedOn w:val="TableNormal"/>
    <w:uiPriority w:val="39"/>
    <w:rsid w:val="00FD0B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2">
    <w:name w:val="Light Shading Accent 2"/>
    <w:basedOn w:val="TableNormal"/>
    <w:uiPriority w:val="60"/>
    <w:rsid w:val="00AC1084"/>
    <w:pPr>
      <w:spacing w:after="0" w:line="240" w:lineRule="auto"/>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1">
    <w:name w:val="Light Shading Accent 1"/>
    <w:basedOn w:val="TableNormal"/>
    <w:uiPriority w:val="60"/>
    <w:rsid w:val="00AC1084"/>
    <w:pPr>
      <w:spacing w:after="0" w:line="240" w:lineRule="auto"/>
    </w:pPr>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3">
    <w:name w:val="Light Shading Accent 3"/>
    <w:basedOn w:val="TableNormal"/>
    <w:uiPriority w:val="60"/>
    <w:rsid w:val="00AC1084"/>
    <w:pPr>
      <w:spacing w:after="0" w:line="240" w:lineRule="auto"/>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AC1084"/>
    <w:pPr>
      <w:spacing w:after="0" w:line="240" w:lineRule="auto"/>
    </w:pPr>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AC1084"/>
    <w:pPr>
      <w:spacing w:after="0" w:line="240" w:lineRule="auto"/>
    </w:pPr>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NoSpacing">
    <w:name w:val="No Spacing"/>
    <w:link w:val="NoSpacingChar"/>
    <w:uiPriority w:val="1"/>
    <w:qFormat/>
    <w:rsid w:val="00E8231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8231A"/>
    <w:rPr>
      <w:rFonts w:eastAsiaTheme="minorEastAsia"/>
      <w:lang w:val="en-US"/>
    </w:rPr>
  </w:style>
  <w:style w:type="paragraph" w:styleId="TOCHeading">
    <w:name w:val="TOC Heading"/>
    <w:basedOn w:val="Heading1"/>
    <w:next w:val="Normal"/>
    <w:uiPriority w:val="39"/>
    <w:unhideWhenUsed/>
    <w:qFormat/>
    <w:rsid w:val="00FD4A1C"/>
    <w:pPr>
      <w:spacing w:after="0"/>
      <w:jc w:val="left"/>
      <w:outlineLvl w:val="9"/>
    </w:pPr>
    <w:rPr>
      <w:rFonts w:asciiTheme="majorHAnsi" w:hAnsiTheme="majorHAnsi"/>
      <w:lang w:val="en-US"/>
    </w:rPr>
  </w:style>
  <w:style w:type="paragraph" w:styleId="TOC1">
    <w:name w:val="toc 1"/>
    <w:basedOn w:val="Normal"/>
    <w:next w:val="Normal"/>
    <w:autoRedefine/>
    <w:uiPriority w:val="39"/>
    <w:unhideWhenUsed/>
    <w:rsid w:val="00FD4A1C"/>
    <w:pPr>
      <w:spacing w:after="100"/>
    </w:pPr>
  </w:style>
  <w:style w:type="paragraph" w:styleId="TOC2">
    <w:name w:val="toc 2"/>
    <w:basedOn w:val="Normal"/>
    <w:next w:val="Normal"/>
    <w:autoRedefine/>
    <w:uiPriority w:val="39"/>
    <w:unhideWhenUsed/>
    <w:rsid w:val="00FD4A1C"/>
    <w:pPr>
      <w:spacing w:after="100"/>
      <w:ind w:left="240"/>
    </w:pPr>
  </w:style>
  <w:style w:type="paragraph" w:styleId="TOC3">
    <w:name w:val="toc 3"/>
    <w:basedOn w:val="Normal"/>
    <w:next w:val="Normal"/>
    <w:autoRedefine/>
    <w:uiPriority w:val="39"/>
    <w:unhideWhenUsed/>
    <w:rsid w:val="00FD4A1C"/>
    <w:pPr>
      <w:spacing w:after="100"/>
      <w:ind w:left="440"/>
      <w:jc w:val="left"/>
    </w:pPr>
    <w:rPr>
      <w:rFonts w:asciiTheme="minorHAnsi" w:eastAsiaTheme="minorEastAsia" w:hAnsiTheme="minorHAnsi"/>
      <w:sz w:val="22"/>
      <w:lang w:eastAsia="ro-RO"/>
    </w:rPr>
  </w:style>
  <w:style w:type="paragraph" w:styleId="TOC4">
    <w:name w:val="toc 4"/>
    <w:basedOn w:val="Normal"/>
    <w:next w:val="Normal"/>
    <w:autoRedefine/>
    <w:uiPriority w:val="39"/>
    <w:unhideWhenUsed/>
    <w:rsid w:val="00FD4A1C"/>
    <w:pPr>
      <w:spacing w:after="100"/>
      <w:ind w:left="660"/>
      <w:jc w:val="left"/>
    </w:pPr>
    <w:rPr>
      <w:rFonts w:asciiTheme="minorHAnsi" w:eastAsiaTheme="minorEastAsia" w:hAnsiTheme="minorHAnsi"/>
      <w:sz w:val="22"/>
      <w:lang w:eastAsia="ro-RO"/>
    </w:rPr>
  </w:style>
  <w:style w:type="paragraph" w:styleId="TOC5">
    <w:name w:val="toc 5"/>
    <w:basedOn w:val="Normal"/>
    <w:next w:val="Normal"/>
    <w:autoRedefine/>
    <w:uiPriority w:val="39"/>
    <w:unhideWhenUsed/>
    <w:rsid w:val="00FD4A1C"/>
    <w:pPr>
      <w:spacing w:after="100"/>
      <w:ind w:left="880"/>
      <w:jc w:val="left"/>
    </w:pPr>
    <w:rPr>
      <w:rFonts w:asciiTheme="minorHAnsi" w:eastAsiaTheme="minorEastAsia" w:hAnsiTheme="minorHAnsi"/>
      <w:sz w:val="22"/>
      <w:lang w:eastAsia="ro-RO"/>
    </w:rPr>
  </w:style>
  <w:style w:type="paragraph" w:styleId="TOC6">
    <w:name w:val="toc 6"/>
    <w:basedOn w:val="Normal"/>
    <w:next w:val="Normal"/>
    <w:autoRedefine/>
    <w:uiPriority w:val="39"/>
    <w:unhideWhenUsed/>
    <w:rsid w:val="00FD4A1C"/>
    <w:pPr>
      <w:spacing w:after="100"/>
      <w:ind w:left="1100"/>
      <w:jc w:val="left"/>
    </w:pPr>
    <w:rPr>
      <w:rFonts w:asciiTheme="minorHAnsi" w:eastAsiaTheme="minorEastAsia" w:hAnsiTheme="minorHAnsi"/>
      <w:sz w:val="22"/>
      <w:lang w:eastAsia="ro-RO"/>
    </w:rPr>
  </w:style>
  <w:style w:type="paragraph" w:styleId="TOC7">
    <w:name w:val="toc 7"/>
    <w:basedOn w:val="Normal"/>
    <w:next w:val="Normal"/>
    <w:autoRedefine/>
    <w:uiPriority w:val="39"/>
    <w:unhideWhenUsed/>
    <w:rsid w:val="00FD4A1C"/>
    <w:pPr>
      <w:spacing w:after="100"/>
      <w:ind w:left="1320"/>
      <w:jc w:val="left"/>
    </w:pPr>
    <w:rPr>
      <w:rFonts w:asciiTheme="minorHAnsi" w:eastAsiaTheme="minorEastAsia" w:hAnsiTheme="minorHAnsi"/>
      <w:sz w:val="22"/>
      <w:lang w:eastAsia="ro-RO"/>
    </w:rPr>
  </w:style>
  <w:style w:type="paragraph" w:styleId="TOC8">
    <w:name w:val="toc 8"/>
    <w:basedOn w:val="Normal"/>
    <w:next w:val="Normal"/>
    <w:autoRedefine/>
    <w:uiPriority w:val="39"/>
    <w:unhideWhenUsed/>
    <w:rsid w:val="00FD4A1C"/>
    <w:pPr>
      <w:spacing w:after="100"/>
      <w:ind w:left="1540"/>
      <w:jc w:val="left"/>
    </w:pPr>
    <w:rPr>
      <w:rFonts w:asciiTheme="minorHAnsi" w:eastAsiaTheme="minorEastAsia" w:hAnsiTheme="minorHAnsi"/>
      <w:sz w:val="22"/>
      <w:lang w:eastAsia="ro-RO"/>
    </w:rPr>
  </w:style>
  <w:style w:type="paragraph" w:styleId="TOC9">
    <w:name w:val="toc 9"/>
    <w:basedOn w:val="Normal"/>
    <w:next w:val="Normal"/>
    <w:autoRedefine/>
    <w:uiPriority w:val="39"/>
    <w:unhideWhenUsed/>
    <w:rsid w:val="00FD4A1C"/>
    <w:pPr>
      <w:spacing w:after="100"/>
      <w:ind w:left="1760"/>
      <w:jc w:val="left"/>
    </w:pPr>
    <w:rPr>
      <w:rFonts w:asciiTheme="minorHAnsi" w:eastAsiaTheme="minorEastAsia" w:hAnsiTheme="minorHAnsi"/>
      <w:sz w:val="22"/>
      <w:lang w:eastAsia="ro-RO"/>
    </w:rPr>
  </w:style>
  <w:style w:type="character" w:styleId="LineNumber">
    <w:name w:val="line number"/>
    <w:basedOn w:val="DefaultParagraphFont"/>
    <w:uiPriority w:val="99"/>
    <w:semiHidden/>
    <w:unhideWhenUsed/>
    <w:rsid w:val="00541C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5857"/>
    <w:pPr>
      <w:jc w:val="both"/>
    </w:pPr>
    <w:rPr>
      <w:rFonts w:ascii="Times New Roman" w:hAnsi="Times New Roman"/>
      <w:sz w:val="24"/>
    </w:rPr>
  </w:style>
  <w:style w:type="paragraph" w:styleId="Heading1">
    <w:name w:val="heading 1"/>
    <w:basedOn w:val="Normal"/>
    <w:next w:val="Normal"/>
    <w:link w:val="Heading1Char"/>
    <w:uiPriority w:val="9"/>
    <w:qFormat/>
    <w:rsid w:val="00B329DE"/>
    <w:pPr>
      <w:keepNext/>
      <w:keepLines/>
      <w:spacing w:before="240" w:after="200"/>
      <w:outlineLvl w:val="0"/>
    </w:pPr>
    <w:rPr>
      <w:rFonts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329DE"/>
    <w:pPr>
      <w:keepNext/>
      <w:keepLines/>
      <w:spacing w:before="40" w:after="200"/>
      <w:outlineLvl w:val="1"/>
    </w:pPr>
    <w:rPr>
      <w:rFonts w:eastAsiaTheme="majorEastAsia"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C6B9A"/>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5673"/>
    <w:pPr>
      <w:ind w:left="720"/>
      <w:contextualSpacing/>
    </w:pPr>
  </w:style>
  <w:style w:type="character" w:customStyle="1" w:styleId="Heading1Char">
    <w:name w:val="Heading 1 Char"/>
    <w:basedOn w:val="DefaultParagraphFont"/>
    <w:link w:val="Heading1"/>
    <w:uiPriority w:val="9"/>
    <w:rsid w:val="00B329DE"/>
    <w:rPr>
      <w:rFonts w:ascii="Times New Roman" w:eastAsiaTheme="majorEastAsia" w:hAnsi="Times New Roman" w:cstheme="majorBidi"/>
      <w:color w:val="2E74B5" w:themeColor="accent1" w:themeShade="BF"/>
      <w:sz w:val="32"/>
      <w:szCs w:val="32"/>
    </w:rPr>
  </w:style>
  <w:style w:type="character" w:styleId="Hyperlink">
    <w:name w:val="Hyperlink"/>
    <w:basedOn w:val="DefaultParagraphFont"/>
    <w:uiPriority w:val="99"/>
    <w:unhideWhenUsed/>
    <w:rsid w:val="00CB0BC7"/>
    <w:rPr>
      <w:color w:val="0563C1" w:themeColor="hyperlink"/>
      <w:u w:val="single"/>
    </w:rPr>
  </w:style>
  <w:style w:type="paragraph" w:styleId="Bibliography">
    <w:name w:val="Bibliography"/>
    <w:basedOn w:val="Normal"/>
    <w:next w:val="Normal"/>
    <w:uiPriority w:val="37"/>
    <w:unhideWhenUsed/>
    <w:rsid w:val="004C6AD5"/>
  </w:style>
  <w:style w:type="character" w:customStyle="1" w:styleId="Heading2Char">
    <w:name w:val="Heading 2 Char"/>
    <w:basedOn w:val="DefaultParagraphFont"/>
    <w:link w:val="Heading2"/>
    <w:uiPriority w:val="9"/>
    <w:rsid w:val="00B329DE"/>
    <w:rPr>
      <w:rFonts w:ascii="Times New Roman" w:eastAsiaTheme="majorEastAsia" w:hAnsi="Times New Roman" w:cstheme="majorBidi"/>
      <w:color w:val="2E74B5" w:themeColor="accent1" w:themeShade="BF"/>
      <w:sz w:val="26"/>
      <w:szCs w:val="26"/>
    </w:rPr>
  </w:style>
  <w:style w:type="paragraph" w:styleId="BalloonText">
    <w:name w:val="Balloon Text"/>
    <w:basedOn w:val="Normal"/>
    <w:link w:val="BalloonTextChar"/>
    <w:uiPriority w:val="99"/>
    <w:semiHidden/>
    <w:unhideWhenUsed/>
    <w:rsid w:val="00BF33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33DB"/>
    <w:rPr>
      <w:rFonts w:ascii="Tahoma" w:hAnsi="Tahoma" w:cs="Tahoma"/>
      <w:sz w:val="16"/>
      <w:szCs w:val="16"/>
    </w:rPr>
  </w:style>
  <w:style w:type="character" w:styleId="CommentReference">
    <w:name w:val="annotation reference"/>
    <w:basedOn w:val="DefaultParagraphFont"/>
    <w:uiPriority w:val="99"/>
    <w:semiHidden/>
    <w:unhideWhenUsed/>
    <w:rsid w:val="00BF33DB"/>
    <w:rPr>
      <w:sz w:val="16"/>
      <w:szCs w:val="16"/>
    </w:rPr>
  </w:style>
  <w:style w:type="paragraph" w:styleId="CommentText">
    <w:name w:val="annotation text"/>
    <w:basedOn w:val="Normal"/>
    <w:link w:val="CommentTextChar"/>
    <w:uiPriority w:val="99"/>
    <w:semiHidden/>
    <w:unhideWhenUsed/>
    <w:rsid w:val="00BF33DB"/>
    <w:pPr>
      <w:spacing w:line="240" w:lineRule="auto"/>
    </w:pPr>
    <w:rPr>
      <w:sz w:val="20"/>
      <w:szCs w:val="20"/>
    </w:rPr>
  </w:style>
  <w:style w:type="character" w:customStyle="1" w:styleId="CommentTextChar">
    <w:name w:val="Comment Text Char"/>
    <w:basedOn w:val="DefaultParagraphFont"/>
    <w:link w:val="CommentText"/>
    <w:uiPriority w:val="99"/>
    <w:semiHidden/>
    <w:rsid w:val="00BF33DB"/>
    <w:rPr>
      <w:sz w:val="20"/>
      <w:szCs w:val="20"/>
    </w:rPr>
  </w:style>
  <w:style w:type="paragraph" w:styleId="CommentSubject">
    <w:name w:val="annotation subject"/>
    <w:basedOn w:val="CommentText"/>
    <w:next w:val="CommentText"/>
    <w:link w:val="CommentSubjectChar"/>
    <w:uiPriority w:val="99"/>
    <w:semiHidden/>
    <w:unhideWhenUsed/>
    <w:rsid w:val="00BF33DB"/>
    <w:rPr>
      <w:b/>
      <w:bCs/>
    </w:rPr>
  </w:style>
  <w:style w:type="character" w:customStyle="1" w:styleId="CommentSubjectChar">
    <w:name w:val="Comment Subject Char"/>
    <w:basedOn w:val="CommentTextChar"/>
    <w:link w:val="CommentSubject"/>
    <w:uiPriority w:val="99"/>
    <w:semiHidden/>
    <w:rsid w:val="00BF33DB"/>
    <w:rPr>
      <w:b/>
      <w:bCs/>
      <w:sz w:val="20"/>
      <w:szCs w:val="20"/>
    </w:rPr>
  </w:style>
  <w:style w:type="character" w:customStyle="1" w:styleId="Heading3Char">
    <w:name w:val="Heading 3 Char"/>
    <w:basedOn w:val="DefaultParagraphFont"/>
    <w:link w:val="Heading3"/>
    <w:uiPriority w:val="9"/>
    <w:rsid w:val="007C6B9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791E6B"/>
    <w:pPr>
      <w:tabs>
        <w:tab w:val="center" w:pos="4536"/>
        <w:tab w:val="right" w:pos="9072"/>
      </w:tabs>
      <w:spacing w:after="0" w:line="240" w:lineRule="auto"/>
    </w:pPr>
  </w:style>
  <w:style w:type="character" w:customStyle="1" w:styleId="HeaderChar">
    <w:name w:val="Header Char"/>
    <w:basedOn w:val="DefaultParagraphFont"/>
    <w:link w:val="Header"/>
    <w:uiPriority w:val="99"/>
    <w:rsid w:val="00791E6B"/>
  </w:style>
  <w:style w:type="paragraph" w:styleId="Footer">
    <w:name w:val="footer"/>
    <w:basedOn w:val="Normal"/>
    <w:link w:val="FooterChar"/>
    <w:uiPriority w:val="99"/>
    <w:unhideWhenUsed/>
    <w:rsid w:val="00791E6B"/>
    <w:pPr>
      <w:tabs>
        <w:tab w:val="center" w:pos="4536"/>
        <w:tab w:val="right" w:pos="9072"/>
      </w:tabs>
      <w:spacing w:after="0" w:line="240" w:lineRule="auto"/>
    </w:pPr>
  </w:style>
  <w:style w:type="character" w:customStyle="1" w:styleId="FooterChar">
    <w:name w:val="Footer Char"/>
    <w:basedOn w:val="DefaultParagraphFont"/>
    <w:link w:val="Footer"/>
    <w:uiPriority w:val="99"/>
    <w:rsid w:val="00791E6B"/>
  </w:style>
  <w:style w:type="paragraph" w:styleId="Revision">
    <w:name w:val="Revision"/>
    <w:hidden/>
    <w:uiPriority w:val="99"/>
    <w:semiHidden/>
    <w:rsid w:val="009167B9"/>
    <w:pPr>
      <w:spacing w:after="0" w:line="240" w:lineRule="auto"/>
    </w:pPr>
  </w:style>
  <w:style w:type="table" w:styleId="TableGrid">
    <w:name w:val="Table Grid"/>
    <w:basedOn w:val="TableNormal"/>
    <w:uiPriority w:val="39"/>
    <w:rsid w:val="00FD0B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2">
    <w:name w:val="Light Shading Accent 2"/>
    <w:basedOn w:val="TableNormal"/>
    <w:uiPriority w:val="60"/>
    <w:rsid w:val="00AC1084"/>
    <w:pPr>
      <w:spacing w:after="0" w:line="240" w:lineRule="auto"/>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1">
    <w:name w:val="Light Shading Accent 1"/>
    <w:basedOn w:val="TableNormal"/>
    <w:uiPriority w:val="60"/>
    <w:rsid w:val="00AC1084"/>
    <w:pPr>
      <w:spacing w:after="0" w:line="240" w:lineRule="auto"/>
    </w:pPr>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3">
    <w:name w:val="Light Shading Accent 3"/>
    <w:basedOn w:val="TableNormal"/>
    <w:uiPriority w:val="60"/>
    <w:rsid w:val="00AC1084"/>
    <w:pPr>
      <w:spacing w:after="0" w:line="240" w:lineRule="auto"/>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AC1084"/>
    <w:pPr>
      <w:spacing w:after="0" w:line="240" w:lineRule="auto"/>
    </w:pPr>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AC1084"/>
    <w:pPr>
      <w:spacing w:after="0" w:line="240" w:lineRule="auto"/>
    </w:pPr>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NoSpacing">
    <w:name w:val="No Spacing"/>
    <w:link w:val="NoSpacingChar"/>
    <w:uiPriority w:val="1"/>
    <w:qFormat/>
    <w:rsid w:val="00E8231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8231A"/>
    <w:rPr>
      <w:rFonts w:eastAsiaTheme="minorEastAsia"/>
      <w:lang w:val="en-US"/>
    </w:rPr>
  </w:style>
  <w:style w:type="paragraph" w:styleId="TOCHeading">
    <w:name w:val="TOC Heading"/>
    <w:basedOn w:val="Heading1"/>
    <w:next w:val="Normal"/>
    <w:uiPriority w:val="39"/>
    <w:unhideWhenUsed/>
    <w:qFormat/>
    <w:rsid w:val="00FD4A1C"/>
    <w:pPr>
      <w:spacing w:after="0"/>
      <w:jc w:val="left"/>
      <w:outlineLvl w:val="9"/>
    </w:pPr>
    <w:rPr>
      <w:rFonts w:asciiTheme="majorHAnsi" w:hAnsiTheme="majorHAnsi"/>
      <w:lang w:val="en-US"/>
    </w:rPr>
  </w:style>
  <w:style w:type="paragraph" w:styleId="TOC1">
    <w:name w:val="toc 1"/>
    <w:basedOn w:val="Normal"/>
    <w:next w:val="Normal"/>
    <w:autoRedefine/>
    <w:uiPriority w:val="39"/>
    <w:unhideWhenUsed/>
    <w:rsid w:val="00FD4A1C"/>
    <w:pPr>
      <w:spacing w:after="100"/>
    </w:pPr>
  </w:style>
  <w:style w:type="paragraph" w:styleId="TOC2">
    <w:name w:val="toc 2"/>
    <w:basedOn w:val="Normal"/>
    <w:next w:val="Normal"/>
    <w:autoRedefine/>
    <w:uiPriority w:val="39"/>
    <w:unhideWhenUsed/>
    <w:rsid w:val="00FD4A1C"/>
    <w:pPr>
      <w:spacing w:after="100"/>
      <w:ind w:left="240"/>
    </w:pPr>
  </w:style>
  <w:style w:type="paragraph" w:styleId="TOC3">
    <w:name w:val="toc 3"/>
    <w:basedOn w:val="Normal"/>
    <w:next w:val="Normal"/>
    <w:autoRedefine/>
    <w:uiPriority w:val="39"/>
    <w:unhideWhenUsed/>
    <w:rsid w:val="00FD4A1C"/>
    <w:pPr>
      <w:spacing w:after="100"/>
      <w:ind w:left="440"/>
      <w:jc w:val="left"/>
    </w:pPr>
    <w:rPr>
      <w:rFonts w:asciiTheme="minorHAnsi" w:eastAsiaTheme="minorEastAsia" w:hAnsiTheme="minorHAnsi"/>
      <w:sz w:val="22"/>
      <w:lang w:eastAsia="ro-RO"/>
    </w:rPr>
  </w:style>
  <w:style w:type="paragraph" w:styleId="TOC4">
    <w:name w:val="toc 4"/>
    <w:basedOn w:val="Normal"/>
    <w:next w:val="Normal"/>
    <w:autoRedefine/>
    <w:uiPriority w:val="39"/>
    <w:unhideWhenUsed/>
    <w:rsid w:val="00FD4A1C"/>
    <w:pPr>
      <w:spacing w:after="100"/>
      <w:ind w:left="660"/>
      <w:jc w:val="left"/>
    </w:pPr>
    <w:rPr>
      <w:rFonts w:asciiTheme="minorHAnsi" w:eastAsiaTheme="minorEastAsia" w:hAnsiTheme="minorHAnsi"/>
      <w:sz w:val="22"/>
      <w:lang w:eastAsia="ro-RO"/>
    </w:rPr>
  </w:style>
  <w:style w:type="paragraph" w:styleId="TOC5">
    <w:name w:val="toc 5"/>
    <w:basedOn w:val="Normal"/>
    <w:next w:val="Normal"/>
    <w:autoRedefine/>
    <w:uiPriority w:val="39"/>
    <w:unhideWhenUsed/>
    <w:rsid w:val="00FD4A1C"/>
    <w:pPr>
      <w:spacing w:after="100"/>
      <w:ind w:left="880"/>
      <w:jc w:val="left"/>
    </w:pPr>
    <w:rPr>
      <w:rFonts w:asciiTheme="minorHAnsi" w:eastAsiaTheme="minorEastAsia" w:hAnsiTheme="minorHAnsi"/>
      <w:sz w:val="22"/>
      <w:lang w:eastAsia="ro-RO"/>
    </w:rPr>
  </w:style>
  <w:style w:type="paragraph" w:styleId="TOC6">
    <w:name w:val="toc 6"/>
    <w:basedOn w:val="Normal"/>
    <w:next w:val="Normal"/>
    <w:autoRedefine/>
    <w:uiPriority w:val="39"/>
    <w:unhideWhenUsed/>
    <w:rsid w:val="00FD4A1C"/>
    <w:pPr>
      <w:spacing w:after="100"/>
      <w:ind w:left="1100"/>
      <w:jc w:val="left"/>
    </w:pPr>
    <w:rPr>
      <w:rFonts w:asciiTheme="minorHAnsi" w:eastAsiaTheme="minorEastAsia" w:hAnsiTheme="minorHAnsi"/>
      <w:sz w:val="22"/>
      <w:lang w:eastAsia="ro-RO"/>
    </w:rPr>
  </w:style>
  <w:style w:type="paragraph" w:styleId="TOC7">
    <w:name w:val="toc 7"/>
    <w:basedOn w:val="Normal"/>
    <w:next w:val="Normal"/>
    <w:autoRedefine/>
    <w:uiPriority w:val="39"/>
    <w:unhideWhenUsed/>
    <w:rsid w:val="00FD4A1C"/>
    <w:pPr>
      <w:spacing w:after="100"/>
      <w:ind w:left="1320"/>
      <w:jc w:val="left"/>
    </w:pPr>
    <w:rPr>
      <w:rFonts w:asciiTheme="minorHAnsi" w:eastAsiaTheme="minorEastAsia" w:hAnsiTheme="minorHAnsi"/>
      <w:sz w:val="22"/>
      <w:lang w:eastAsia="ro-RO"/>
    </w:rPr>
  </w:style>
  <w:style w:type="paragraph" w:styleId="TOC8">
    <w:name w:val="toc 8"/>
    <w:basedOn w:val="Normal"/>
    <w:next w:val="Normal"/>
    <w:autoRedefine/>
    <w:uiPriority w:val="39"/>
    <w:unhideWhenUsed/>
    <w:rsid w:val="00FD4A1C"/>
    <w:pPr>
      <w:spacing w:after="100"/>
      <w:ind w:left="1540"/>
      <w:jc w:val="left"/>
    </w:pPr>
    <w:rPr>
      <w:rFonts w:asciiTheme="minorHAnsi" w:eastAsiaTheme="minorEastAsia" w:hAnsiTheme="minorHAnsi"/>
      <w:sz w:val="22"/>
      <w:lang w:eastAsia="ro-RO"/>
    </w:rPr>
  </w:style>
  <w:style w:type="paragraph" w:styleId="TOC9">
    <w:name w:val="toc 9"/>
    <w:basedOn w:val="Normal"/>
    <w:next w:val="Normal"/>
    <w:autoRedefine/>
    <w:uiPriority w:val="39"/>
    <w:unhideWhenUsed/>
    <w:rsid w:val="00FD4A1C"/>
    <w:pPr>
      <w:spacing w:after="100"/>
      <w:ind w:left="1760"/>
      <w:jc w:val="left"/>
    </w:pPr>
    <w:rPr>
      <w:rFonts w:asciiTheme="minorHAnsi" w:eastAsiaTheme="minorEastAsia" w:hAnsiTheme="minorHAnsi"/>
      <w:sz w:val="22"/>
      <w:lang w:eastAsia="ro-RO"/>
    </w:rPr>
  </w:style>
  <w:style w:type="character" w:styleId="LineNumber">
    <w:name w:val="line number"/>
    <w:basedOn w:val="DefaultParagraphFont"/>
    <w:uiPriority w:val="99"/>
    <w:semiHidden/>
    <w:unhideWhenUsed/>
    <w:rsid w:val="00541CB9"/>
  </w:style>
</w:styles>
</file>

<file path=word/webSettings.xml><?xml version="1.0" encoding="utf-8"?>
<w:webSettings xmlns:r="http://schemas.openxmlformats.org/officeDocument/2006/relationships" xmlns:w="http://schemas.openxmlformats.org/wordprocessingml/2006/main">
  <w:divs>
    <w:div w:id="2053463">
      <w:bodyDiv w:val="1"/>
      <w:marLeft w:val="0"/>
      <w:marRight w:val="0"/>
      <w:marTop w:val="0"/>
      <w:marBottom w:val="0"/>
      <w:divBdr>
        <w:top w:val="none" w:sz="0" w:space="0" w:color="auto"/>
        <w:left w:val="none" w:sz="0" w:space="0" w:color="auto"/>
        <w:bottom w:val="none" w:sz="0" w:space="0" w:color="auto"/>
        <w:right w:val="none" w:sz="0" w:space="0" w:color="auto"/>
      </w:divBdr>
    </w:div>
    <w:div w:id="3485558">
      <w:bodyDiv w:val="1"/>
      <w:marLeft w:val="0"/>
      <w:marRight w:val="0"/>
      <w:marTop w:val="0"/>
      <w:marBottom w:val="0"/>
      <w:divBdr>
        <w:top w:val="none" w:sz="0" w:space="0" w:color="auto"/>
        <w:left w:val="none" w:sz="0" w:space="0" w:color="auto"/>
        <w:bottom w:val="none" w:sz="0" w:space="0" w:color="auto"/>
        <w:right w:val="none" w:sz="0" w:space="0" w:color="auto"/>
      </w:divBdr>
    </w:div>
    <w:div w:id="4794496">
      <w:bodyDiv w:val="1"/>
      <w:marLeft w:val="0"/>
      <w:marRight w:val="0"/>
      <w:marTop w:val="0"/>
      <w:marBottom w:val="0"/>
      <w:divBdr>
        <w:top w:val="none" w:sz="0" w:space="0" w:color="auto"/>
        <w:left w:val="none" w:sz="0" w:space="0" w:color="auto"/>
        <w:bottom w:val="none" w:sz="0" w:space="0" w:color="auto"/>
        <w:right w:val="none" w:sz="0" w:space="0" w:color="auto"/>
      </w:divBdr>
    </w:div>
    <w:div w:id="5596748">
      <w:bodyDiv w:val="1"/>
      <w:marLeft w:val="0"/>
      <w:marRight w:val="0"/>
      <w:marTop w:val="0"/>
      <w:marBottom w:val="0"/>
      <w:divBdr>
        <w:top w:val="none" w:sz="0" w:space="0" w:color="auto"/>
        <w:left w:val="none" w:sz="0" w:space="0" w:color="auto"/>
        <w:bottom w:val="none" w:sz="0" w:space="0" w:color="auto"/>
        <w:right w:val="none" w:sz="0" w:space="0" w:color="auto"/>
      </w:divBdr>
    </w:div>
    <w:div w:id="6061201">
      <w:bodyDiv w:val="1"/>
      <w:marLeft w:val="0"/>
      <w:marRight w:val="0"/>
      <w:marTop w:val="0"/>
      <w:marBottom w:val="0"/>
      <w:divBdr>
        <w:top w:val="none" w:sz="0" w:space="0" w:color="auto"/>
        <w:left w:val="none" w:sz="0" w:space="0" w:color="auto"/>
        <w:bottom w:val="none" w:sz="0" w:space="0" w:color="auto"/>
        <w:right w:val="none" w:sz="0" w:space="0" w:color="auto"/>
      </w:divBdr>
    </w:div>
    <w:div w:id="6372939">
      <w:bodyDiv w:val="1"/>
      <w:marLeft w:val="0"/>
      <w:marRight w:val="0"/>
      <w:marTop w:val="0"/>
      <w:marBottom w:val="0"/>
      <w:divBdr>
        <w:top w:val="none" w:sz="0" w:space="0" w:color="auto"/>
        <w:left w:val="none" w:sz="0" w:space="0" w:color="auto"/>
        <w:bottom w:val="none" w:sz="0" w:space="0" w:color="auto"/>
        <w:right w:val="none" w:sz="0" w:space="0" w:color="auto"/>
      </w:divBdr>
    </w:div>
    <w:div w:id="7567843">
      <w:bodyDiv w:val="1"/>
      <w:marLeft w:val="0"/>
      <w:marRight w:val="0"/>
      <w:marTop w:val="0"/>
      <w:marBottom w:val="0"/>
      <w:divBdr>
        <w:top w:val="none" w:sz="0" w:space="0" w:color="auto"/>
        <w:left w:val="none" w:sz="0" w:space="0" w:color="auto"/>
        <w:bottom w:val="none" w:sz="0" w:space="0" w:color="auto"/>
        <w:right w:val="none" w:sz="0" w:space="0" w:color="auto"/>
      </w:divBdr>
    </w:div>
    <w:div w:id="8525621">
      <w:bodyDiv w:val="1"/>
      <w:marLeft w:val="0"/>
      <w:marRight w:val="0"/>
      <w:marTop w:val="0"/>
      <w:marBottom w:val="0"/>
      <w:divBdr>
        <w:top w:val="none" w:sz="0" w:space="0" w:color="auto"/>
        <w:left w:val="none" w:sz="0" w:space="0" w:color="auto"/>
        <w:bottom w:val="none" w:sz="0" w:space="0" w:color="auto"/>
        <w:right w:val="none" w:sz="0" w:space="0" w:color="auto"/>
      </w:divBdr>
    </w:div>
    <w:div w:id="8723408">
      <w:bodyDiv w:val="1"/>
      <w:marLeft w:val="0"/>
      <w:marRight w:val="0"/>
      <w:marTop w:val="0"/>
      <w:marBottom w:val="0"/>
      <w:divBdr>
        <w:top w:val="none" w:sz="0" w:space="0" w:color="auto"/>
        <w:left w:val="none" w:sz="0" w:space="0" w:color="auto"/>
        <w:bottom w:val="none" w:sz="0" w:space="0" w:color="auto"/>
        <w:right w:val="none" w:sz="0" w:space="0" w:color="auto"/>
      </w:divBdr>
    </w:div>
    <w:div w:id="11107913">
      <w:bodyDiv w:val="1"/>
      <w:marLeft w:val="0"/>
      <w:marRight w:val="0"/>
      <w:marTop w:val="0"/>
      <w:marBottom w:val="0"/>
      <w:divBdr>
        <w:top w:val="none" w:sz="0" w:space="0" w:color="auto"/>
        <w:left w:val="none" w:sz="0" w:space="0" w:color="auto"/>
        <w:bottom w:val="none" w:sz="0" w:space="0" w:color="auto"/>
        <w:right w:val="none" w:sz="0" w:space="0" w:color="auto"/>
      </w:divBdr>
    </w:div>
    <w:div w:id="11492164">
      <w:bodyDiv w:val="1"/>
      <w:marLeft w:val="0"/>
      <w:marRight w:val="0"/>
      <w:marTop w:val="0"/>
      <w:marBottom w:val="0"/>
      <w:divBdr>
        <w:top w:val="none" w:sz="0" w:space="0" w:color="auto"/>
        <w:left w:val="none" w:sz="0" w:space="0" w:color="auto"/>
        <w:bottom w:val="none" w:sz="0" w:space="0" w:color="auto"/>
        <w:right w:val="none" w:sz="0" w:space="0" w:color="auto"/>
      </w:divBdr>
    </w:div>
    <w:div w:id="12265211">
      <w:bodyDiv w:val="1"/>
      <w:marLeft w:val="0"/>
      <w:marRight w:val="0"/>
      <w:marTop w:val="0"/>
      <w:marBottom w:val="0"/>
      <w:divBdr>
        <w:top w:val="none" w:sz="0" w:space="0" w:color="auto"/>
        <w:left w:val="none" w:sz="0" w:space="0" w:color="auto"/>
        <w:bottom w:val="none" w:sz="0" w:space="0" w:color="auto"/>
        <w:right w:val="none" w:sz="0" w:space="0" w:color="auto"/>
      </w:divBdr>
    </w:div>
    <w:div w:id="12346882">
      <w:bodyDiv w:val="1"/>
      <w:marLeft w:val="0"/>
      <w:marRight w:val="0"/>
      <w:marTop w:val="0"/>
      <w:marBottom w:val="0"/>
      <w:divBdr>
        <w:top w:val="none" w:sz="0" w:space="0" w:color="auto"/>
        <w:left w:val="none" w:sz="0" w:space="0" w:color="auto"/>
        <w:bottom w:val="none" w:sz="0" w:space="0" w:color="auto"/>
        <w:right w:val="none" w:sz="0" w:space="0" w:color="auto"/>
      </w:divBdr>
    </w:div>
    <w:div w:id="13962363">
      <w:bodyDiv w:val="1"/>
      <w:marLeft w:val="0"/>
      <w:marRight w:val="0"/>
      <w:marTop w:val="0"/>
      <w:marBottom w:val="0"/>
      <w:divBdr>
        <w:top w:val="none" w:sz="0" w:space="0" w:color="auto"/>
        <w:left w:val="none" w:sz="0" w:space="0" w:color="auto"/>
        <w:bottom w:val="none" w:sz="0" w:space="0" w:color="auto"/>
        <w:right w:val="none" w:sz="0" w:space="0" w:color="auto"/>
      </w:divBdr>
    </w:div>
    <w:div w:id="17900089">
      <w:bodyDiv w:val="1"/>
      <w:marLeft w:val="0"/>
      <w:marRight w:val="0"/>
      <w:marTop w:val="0"/>
      <w:marBottom w:val="0"/>
      <w:divBdr>
        <w:top w:val="none" w:sz="0" w:space="0" w:color="auto"/>
        <w:left w:val="none" w:sz="0" w:space="0" w:color="auto"/>
        <w:bottom w:val="none" w:sz="0" w:space="0" w:color="auto"/>
        <w:right w:val="none" w:sz="0" w:space="0" w:color="auto"/>
      </w:divBdr>
    </w:div>
    <w:div w:id="18244947">
      <w:bodyDiv w:val="1"/>
      <w:marLeft w:val="0"/>
      <w:marRight w:val="0"/>
      <w:marTop w:val="0"/>
      <w:marBottom w:val="0"/>
      <w:divBdr>
        <w:top w:val="none" w:sz="0" w:space="0" w:color="auto"/>
        <w:left w:val="none" w:sz="0" w:space="0" w:color="auto"/>
        <w:bottom w:val="none" w:sz="0" w:space="0" w:color="auto"/>
        <w:right w:val="none" w:sz="0" w:space="0" w:color="auto"/>
      </w:divBdr>
    </w:div>
    <w:div w:id="18435065">
      <w:bodyDiv w:val="1"/>
      <w:marLeft w:val="0"/>
      <w:marRight w:val="0"/>
      <w:marTop w:val="0"/>
      <w:marBottom w:val="0"/>
      <w:divBdr>
        <w:top w:val="none" w:sz="0" w:space="0" w:color="auto"/>
        <w:left w:val="none" w:sz="0" w:space="0" w:color="auto"/>
        <w:bottom w:val="none" w:sz="0" w:space="0" w:color="auto"/>
        <w:right w:val="none" w:sz="0" w:space="0" w:color="auto"/>
      </w:divBdr>
    </w:div>
    <w:div w:id="18943549">
      <w:bodyDiv w:val="1"/>
      <w:marLeft w:val="0"/>
      <w:marRight w:val="0"/>
      <w:marTop w:val="0"/>
      <w:marBottom w:val="0"/>
      <w:divBdr>
        <w:top w:val="none" w:sz="0" w:space="0" w:color="auto"/>
        <w:left w:val="none" w:sz="0" w:space="0" w:color="auto"/>
        <w:bottom w:val="none" w:sz="0" w:space="0" w:color="auto"/>
        <w:right w:val="none" w:sz="0" w:space="0" w:color="auto"/>
      </w:divBdr>
    </w:div>
    <w:div w:id="19018352">
      <w:bodyDiv w:val="1"/>
      <w:marLeft w:val="0"/>
      <w:marRight w:val="0"/>
      <w:marTop w:val="0"/>
      <w:marBottom w:val="0"/>
      <w:divBdr>
        <w:top w:val="none" w:sz="0" w:space="0" w:color="auto"/>
        <w:left w:val="none" w:sz="0" w:space="0" w:color="auto"/>
        <w:bottom w:val="none" w:sz="0" w:space="0" w:color="auto"/>
        <w:right w:val="none" w:sz="0" w:space="0" w:color="auto"/>
      </w:divBdr>
    </w:div>
    <w:div w:id="19161739">
      <w:bodyDiv w:val="1"/>
      <w:marLeft w:val="0"/>
      <w:marRight w:val="0"/>
      <w:marTop w:val="0"/>
      <w:marBottom w:val="0"/>
      <w:divBdr>
        <w:top w:val="none" w:sz="0" w:space="0" w:color="auto"/>
        <w:left w:val="none" w:sz="0" w:space="0" w:color="auto"/>
        <w:bottom w:val="none" w:sz="0" w:space="0" w:color="auto"/>
        <w:right w:val="none" w:sz="0" w:space="0" w:color="auto"/>
      </w:divBdr>
    </w:div>
    <w:div w:id="20011560">
      <w:bodyDiv w:val="1"/>
      <w:marLeft w:val="0"/>
      <w:marRight w:val="0"/>
      <w:marTop w:val="0"/>
      <w:marBottom w:val="0"/>
      <w:divBdr>
        <w:top w:val="none" w:sz="0" w:space="0" w:color="auto"/>
        <w:left w:val="none" w:sz="0" w:space="0" w:color="auto"/>
        <w:bottom w:val="none" w:sz="0" w:space="0" w:color="auto"/>
        <w:right w:val="none" w:sz="0" w:space="0" w:color="auto"/>
      </w:divBdr>
    </w:div>
    <w:div w:id="22485581">
      <w:bodyDiv w:val="1"/>
      <w:marLeft w:val="0"/>
      <w:marRight w:val="0"/>
      <w:marTop w:val="0"/>
      <w:marBottom w:val="0"/>
      <w:divBdr>
        <w:top w:val="none" w:sz="0" w:space="0" w:color="auto"/>
        <w:left w:val="none" w:sz="0" w:space="0" w:color="auto"/>
        <w:bottom w:val="none" w:sz="0" w:space="0" w:color="auto"/>
        <w:right w:val="none" w:sz="0" w:space="0" w:color="auto"/>
      </w:divBdr>
    </w:div>
    <w:div w:id="26487094">
      <w:bodyDiv w:val="1"/>
      <w:marLeft w:val="0"/>
      <w:marRight w:val="0"/>
      <w:marTop w:val="0"/>
      <w:marBottom w:val="0"/>
      <w:divBdr>
        <w:top w:val="none" w:sz="0" w:space="0" w:color="auto"/>
        <w:left w:val="none" w:sz="0" w:space="0" w:color="auto"/>
        <w:bottom w:val="none" w:sz="0" w:space="0" w:color="auto"/>
        <w:right w:val="none" w:sz="0" w:space="0" w:color="auto"/>
      </w:divBdr>
    </w:div>
    <w:div w:id="27150535">
      <w:bodyDiv w:val="1"/>
      <w:marLeft w:val="0"/>
      <w:marRight w:val="0"/>
      <w:marTop w:val="0"/>
      <w:marBottom w:val="0"/>
      <w:divBdr>
        <w:top w:val="none" w:sz="0" w:space="0" w:color="auto"/>
        <w:left w:val="none" w:sz="0" w:space="0" w:color="auto"/>
        <w:bottom w:val="none" w:sz="0" w:space="0" w:color="auto"/>
        <w:right w:val="none" w:sz="0" w:space="0" w:color="auto"/>
      </w:divBdr>
    </w:div>
    <w:div w:id="28262744">
      <w:bodyDiv w:val="1"/>
      <w:marLeft w:val="0"/>
      <w:marRight w:val="0"/>
      <w:marTop w:val="0"/>
      <w:marBottom w:val="0"/>
      <w:divBdr>
        <w:top w:val="none" w:sz="0" w:space="0" w:color="auto"/>
        <w:left w:val="none" w:sz="0" w:space="0" w:color="auto"/>
        <w:bottom w:val="none" w:sz="0" w:space="0" w:color="auto"/>
        <w:right w:val="none" w:sz="0" w:space="0" w:color="auto"/>
      </w:divBdr>
    </w:div>
    <w:div w:id="30882678">
      <w:bodyDiv w:val="1"/>
      <w:marLeft w:val="0"/>
      <w:marRight w:val="0"/>
      <w:marTop w:val="0"/>
      <w:marBottom w:val="0"/>
      <w:divBdr>
        <w:top w:val="none" w:sz="0" w:space="0" w:color="auto"/>
        <w:left w:val="none" w:sz="0" w:space="0" w:color="auto"/>
        <w:bottom w:val="none" w:sz="0" w:space="0" w:color="auto"/>
        <w:right w:val="none" w:sz="0" w:space="0" w:color="auto"/>
      </w:divBdr>
    </w:div>
    <w:div w:id="32391122">
      <w:bodyDiv w:val="1"/>
      <w:marLeft w:val="0"/>
      <w:marRight w:val="0"/>
      <w:marTop w:val="0"/>
      <w:marBottom w:val="0"/>
      <w:divBdr>
        <w:top w:val="none" w:sz="0" w:space="0" w:color="auto"/>
        <w:left w:val="none" w:sz="0" w:space="0" w:color="auto"/>
        <w:bottom w:val="none" w:sz="0" w:space="0" w:color="auto"/>
        <w:right w:val="none" w:sz="0" w:space="0" w:color="auto"/>
      </w:divBdr>
    </w:div>
    <w:div w:id="35743466">
      <w:bodyDiv w:val="1"/>
      <w:marLeft w:val="0"/>
      <w:marRight w:val="0"/>
      <w:marTop w:val="0"/>
      <w:marBottom w:val="0"/>
      <w:divBdr>
        <w:top w:val="none" w:sz="0" w:space="0" w:color="auto"/>
        <w:left w:val="none" w:sz="0" w:space="0" w:color="auto"/>
        <w:bottom w:val="none" w:sz="0" w:space="0" w:color="auto"/>
        <w:right w:val="none" w:sz="0" w:space="0" w:color="auto"/>
      </w:divBdr>
    </w:div>
    <w:div w:id="35980846">
      <w:bodyDiv w:val="1"/>
      <w:marLeft w:val="0"/>
      <w:marRight w:val="0"/>
      <w:marTop w:val="0"/>
      <w:marBottom w:val="0"/>
      <w:divBdr>
        <w:top w:val="none" w:sz="0" w:space="0" w:color="auto"/>
        <w:left w:val="none" w:sz="0" w:space="0" w:color="auto"/>
        <w:bottom w:val="none" w:sz="0" w:space="0" w:color="auto"/>
        <w:right w:val="none" w:sz="0" w:space="0" w:color="auto"/>
      </w:divBdr>
    </w:div>
    <w:div w:id="37751746">
      <w:bodyDiv w:val="1"/>
      <w:marLeft w:val="0"/>
      <w:marRight w:val="0"/>
      <w:marTop w:val="0"/>
      <w:marBottom w:val="0"/>
      <w:divBdr>
        <w:top w:val="none" w:sz="0" w:space="0" w:color="auto"/>
        <w:left w:val="none" w:sz="0" w:space="0" w:color="auto"/>
        <w:bottom w:val="none" w:sz="0" w:space="0" w:color="auto"/>
        <w:right w:val="none" w:sz="0" w:space="0" w:color="auto"/>
      </w:divBdr>
    </w:div>
    <w:div w:id="39792333">
      <w:bodyDiv w:val="1"/>
      <w:marLeft w:val="0"/>
      <w:marRight w:val="0"/>
      <w:marTop w:val="0"/>
      <w:marBottom w:val="0"/>
      <w:divBdr>
        <w:top w:val="none" w:sz="0" w:space="0" w:color="auto"/>
        <w:left w:val="none" w:sz="0" w:space="0" w:color="auto"/>
        <w:bottom w:val="none" w:sz="0" w:space="0" w:color="auto"/>
        <w:right w:val="none" w:sz="0" w:space="0" w:color="auto"/>
      </w:divBdr>
    </w:div>
    <w:div w:id="40445121">
      <w:bodyDiv w:val="1"/>
      <w:marLeft w:val="0"/>
      <w:marRight w:val="0"/>
      <w:marTop w:val="0"/>
      <w:marBottom w:val="0"/>
      <w:divBdr>
        <w:top w:val="none" w:sz="0" w:space="0" w:color="auto"/>
        <w:left w:val="none" w:sz="0" w:space="0" w:color="auto"/>
        <w:bottom w:val="none" w:sz="0" w:space="0" w:color="auto"/>
        <w:right w:val="none" w:sz="0" w:space="0" w:color="auto"/>
      </w:divBdr>
    </w:div>
    <w:div w:id="40638683">
      <w:bodyDiv w:val="1"/>
      <w:marLeft w:val="0"/>
      <w:marRight w:val="0"/>
      <w:marTop w:val="0"/>
      <w:marBottom w:val="0"/>
      <w:divBdr>
        <w:top w:val="none" w:sz="0" w:space="0" w:color="auto"/>
        <w:left w:val="none" w:sz="0" w:space="0" w:color="auto"/>
        <w:bottom w:val="none" w:sz="0" w:space="0" w:color="auto"/>
        <w:right w:val="none" w:sz="0" w:space="0" w:color="auto"/>
      </w:divBdr>
    </w:div>
    <w:div w:id="40710494">
      <w:bodyDiv w:val="1"/>
      <w:marLeft w:val="0"/>
      <w:marRight w:val="0"/>
      <w:marTop w:val="0"/>
      <w:marBottom w:val="0"/>
      <w:divBdr>
        <w:top w:val="none" w:sz="0" w:space="0" w:color="auto"/>
        <w:left w:val="none" w:sz="0" w:space="0" w:color="auto"/>
        <w:bottom w:val="none" w:sz="0" w:space="0" w:color="auto"/>
        <w:right w:val="none" w:sz="0" w:space="0" w:color="auto"/>
      </w:divBdr>
    </w:div>
    <w:div w:id="41878272">
      <w:bodyDiv w:val="1"/>
      <w:marLeft w:val="0"/>
      <w:marRight w:val="0"/>
      <w:marTop w:val="0"/>
      <w:marBottom w:val="0"/>
      <w:divBdr>
        <w:top w:val="none" w:sz="0" w:space="0" w:color="auto"/>
        <w:left w:val="none" w:sz="0" w:space="0" w:color="auto"/>
        <w:bottom w:val="none" w:sz="0" w:space="0" w:color="auto"/>
        <w:right w:val="none" w:sz="0" w:space="0" w:color="auto"/>
      </w:divBdr>
    </w:div>
    <w:div w:id="42367660">
      <w:bodyDiv w:val="1"/>
      <w:marLeft w:val="0"/>
      <w:marRight w:val="0"/>
      <w:marTop w:val="0"/>
      <w:marBottom w:val="0"/>
      <w:divBdr>
        <w:top w:val="none" w:sz="0" w:space="0" w:color="auto"/>
        <w:left w:val="none" w:sz="0" w:space="0" w:color="auto"/>
        <w:bottom w:val="none" w:sz="0" w:space="0" w:color="auto"/>
        <w:right w:val="none" w:sz="0" w:space="0" w:color="auto"/>
      </w:divBdr>
    </w:div>
    <w:div w:id="46877598">
      <w:bodyDiv w:val="1"/>
      <w:marLeft w:val="0"/>
      <w:marRight w:val="0"/>
      <w:marTop w:val="0"/>
      <w:marBottom w:val="0"/>
      <w:divBdr>
        <w:top w:val="none" w:sz="0" w:space="0" w:color="auto"/>
        <w:left w:val="none" w:sz="0" w:space="0" w:color="auto"/>
        <w:bottom w:val="none" w:sz="0" w:space="0" w:color="auto"/>
        <w:right w:val="none" w:sz="0" w:space="0" w:color="auto"/>
      </w:divBdr>
    </w:div>
    <w:div w:id="46924297">
      <w:bodyDiv w:val="1"/>
      <w:marLeft w:val="0"/>
      <w:marRight w:val="0"/>
      <w:marTop w:val="0"/>
      <w:marBottom w:val="0"/>
      <w:divBdr>
        <w:top w:val="none" w:sz="0" w:space="0" w:color="auto"/>
        <w:left w:val="none" w:sz="0" w:space="0" w:color="auto"/>
        <w:bottom w:val="none" w:sz="0" w:space="0" w:color="auto"/>
        <w:right w:val="none" w:sz="0" w:space="0" w:color="auto"/>
      </w:divBdr>
    </w:div>
    <w:div w:id="48919193">
      <w:bodyDiv w:val="1"/>
      <w:marLeft w:val="0"/>
      <w:marRight w:val="0"/>
      <w:marTop w:val="0"/>
      <w:marBottom w:val="0"/>
      <w:divBdr>
        <w:top w:val="none" w:sz="0" w:space="0" w:color="auto"/>
        <w:left w:val="none" w:sz="0" w:space="0" w:color="auto"/>
        <w:bottom w:val="none" w:sz="0" w:space="0" w:color="auto"/>
        <w:right w:val="none" w:sz="0" w:space="0" w:color="auto"/>
      </w:divBdr>
    </w:div>
    <w:div w:id="49153788">
      <w:bodyDiv w:val="1"/>
      <w:marLeft w:val="0"/>
      <w:marRight w:val="0"/>
      <w:marTop w:val="0"/>
      <w:marBottom w:val="0"/>
      <w:divBdr>
        <w:top w:val="none" w:sz="0" w:space="0" w:color="auto"/>
        <w:left w:val="none" w:sz="0" w:space="0" w:color="auto"/>
        <w:bottom w:val="none" w:sz="0" w:space="0" w:color="auto"/>
        <w:right w:val="none" w:sz="0" w:space="0" w:color="auto"/>
      </w:divBdr>
    </w:div>
    <w:div w:id="51514026">
      <w:bodyDiv w:val="1"/>
      <w:marLeft w:val="0"/>
      <w:marRight w:val="0"/>
      <w:marTop w:val="0"/>
      <w:marBottom w:val="0"/>
      <w:divBdr>
        <w:top w:val="none" w:sz="0" w:space="0" w:color="auto"/>
        <w:left w:val="none" w:sz="0" w:space="0" w:color="auto"/>
        <w:bottom w:val="none" w:sz="0" w:space="0" w:color="auto"/>
        <w:right w:val="none" w:sz="0" w:space="0" w:color="auto"/>
      </w:divBdr>
    </w:div>
    <w:div w:id="52199207">
      <w:bodyDiv w:val="1"/>
      <w:marLeft w:val="0"/>
      <w:marRight w:val="0"/>
      <w:marTop w:val="0"/>
      <w:marBottom w:val="0"/>
      <w:divBdr>
        <w:top w:val="none" w:sz="0" w:space="0" w:color="auto"/>
        <w:left w:val="none" w:sz="0" w:space="0" w:color="auto"/>
        <w:bottom w:val="none" w:sz="0" w:space="0" w:color="auto"/>
        <w:right w:val="none" w:sz="0" w:space="0" w:color="auto"/>
      </w:divBdr>
    </w:div>
    <w:div w:id="52580290">
      <w:bodyDiv w:val="1"/>
      <w:marLeft w:val="0"/>
      <w:marRight w:val="0"/>
      <w:marTop w:val="0"/>
      <w:marBottom w:val="0"/>
      <w:divBdr>
        <w:top w:val="none" w:sz="0" w:space="0" w:color="auto"/>
        <w:left w:val="none" w:sz="0" w:space="0" w:color="auto"/>
        <w:bottom w:val="none" w:sz="0" w:space="0" w:color="auto"/>
        <w:right w:val="none" w:sz="0" w:space="0" w:color="auto"/>
      </w:divBdr>
    </w:div>
    <w:div w:id="53816523">
      <w:bodyDiv w:val="1"/>
      <w:marLeft w:val="0"/>
      <w:marRight w:val="0"/>
      <w:marTop w:val="0"/>
      <w:marBottom w:val="0"/>
      <w:divBdr>
        <w:top w:val="none" w:sz="0" w:space="0" w:color="auto"/>
        <w:left w:val="none" w:sz="0" w:space="0" w:color="auto"/>
        <w:bottom w:val="none" w:sz="0" w:space="0" w:color="auto"/>
        <w:right w:val="none" w:sz="0" w:space="0" w:color="auto"/>
      </w:divBdr>
    </w:div>
    <w:div w:id="54668823">
      <w:bodyDiv w:val="1"/>
      <w:marLeft w:val="0"/>
      <w:marRight w:val="0"/>
      <w:marTop w:val="0"/>
      <w:marBottom w:val="0"/>
      <w:divBdr>
        <w:top w:val="none" w:sz="0" w:space="0" w:color="auto"/>
        <w:left w:val="none" w:sz="0" w:space="0" w:color="auto"/>
        <w:bottom w:val="none" w:sz="0" w:space="0" w:color="auto"/>
        <w:right w:val="none" w:sz="0" w:space="0" w:color="auto"/>
      </w:divBdr>
    </w:div>
    <w:div w:id="54861289">
      <w:bodyDiv w:val="1"/>
      <w:marLeft w:val="0"/>
      <w:marRight w:val="0"/>
      <w:marTop w:val="0"/>
      <w:marBottom w:val="0"/>
      <w:divBdr>
        <w:top w:val="none" w:sz="0" w:space="0" w:color="auto"/>
        <w:left w:val="none" w:sz="0" w:space="0" w:color="auto"/>
        <w:bottom w:val="none" w:sz="0" w:space="0" w:color="auto"/>
        <w:right w:val="none" w:sz="0" w:space="0" w:color="auto"/>
      </w:divBdr>
    </w:div>
    <w:div w:id="55397269">
      <w:bodyDiv w:val="1"/>
      <w:marLeft w:val="0"/>
      <w:marRight w:val="0"/>
      <w:marTop w:val="0"/>
      <w:marBottom w:val="0"/>
      <w:divBdr>
        <w:top w:val="none" w:sz="0" w:space="0" w:color="auto"/>
        <w:left w:val="none" w:sz="0" w:space="0" w:color="auto"/>
        <w:bottom w:val="none" w:sz="0" w:space="0" w:color="auto"/>
        <w:right w:val="none" w:sz="0" w:space="0" w:color="auto"/>
      </w:divBdr>
    </w:div>
    <w:div w:id="57168284">
      <w:bodyDiv w:val="1"/>
      <w:marLeft w:val="0"/>
      <w:marRight w:val="0"/>
      <w:marTop w:val="0"/>
      <w:marBottom w:val="0"/>
      <w:divBdr>
        <w:top w:val="none" w:sz="0" w:space="0" w:color="auto"/>
        <w:left w:val="none" w:sz="0" w:space="0" w:color="auto"/>
        <w:bottom w:val="none" w:sz="0" w:space="0" w:color="auto"/>
        <w:right w:val="none" w:sz="0" w:space="0" w:color="auto"/>
      </w:divBdr>
    </w:div>
    <w:div w:id="57243163">
      <w:bodyDiv w:val="1"/>
      <w:marLeft w:val="0"/>
      <w:marRight w:val="0"/>
      <w:marTop w:val="0"/>
      <w:marBottom w:val="0"/>
      <w:divBdr>
        <w:top w:val="none" w:sz="0" w:space="0" w:color="auto"/>
        <w:left w:val="none" w:sz="0" w:space="0" w:color="auto"/>
        <w:bottom w:val="none" w:sz="0" w:space="0" w:color="auto"/>
        <w:right w:val="none" w:sz="0" w:space="0" w:color="auto"/>
      </w:divBdr>
    </w:div>
    <w:div w:id="57362746">
      <w:bodyDiv w:val="1"/>
      <w:marLeft w:val="0"/>
      <w:marRight w:val="0"/>
      <w:marTop w:val="0"/>
      <w:marBottom w:val="0"/>
      <w:divBdr>
        <w:top w:val="none" w:sz="0" w:space="0" w:color="auto"/>
        <w:left w:val="none" w:sz="0" w:space="0" w:color="auto"/>
        <w:bottom w:val="none" w:sz="0" w:space="0" w:color="auto"/>
        <w:right w:val="none" w:sz="0" w:space="0" w:color="auto"/>
      </w:divBdr>
    </w:div>
    <w:div w:id="59719282">
      <w:bodyDiv w:val="1"/>
      <w:marLeft w:val="0"/>
      <w:marRight w:val="0"/>
      <w:marTop w:val="0"/>
      <w:marBottom w:val="0"/>
      <w:divBdr>
        <w:top w:val="none" w:sz="0" w:space="0" w:color="auto"/>
        <w:left w:val="none" w:sz="0" w:space="0" w:color="auto"/>
        <w:bottom w:val="none" w:sz="0" w:space="0" w:color="auto"/>
        <w:right w:val="none" w:sz="0" w:space="0" w:color="auto"/>
      </w:divBdr>
    </w:div>
    <w:div w:id="61682521">
      <w:bodyDiv w:val="1"/>
      <w:marLeft w:val="0"/>
      <w:marRight w:val="0"/>
      <w:marTop w:val="0"/>
      <w:marBottom w:val="0"/>
      <w:divBdr>
        <w:top w:val="none" w:sz="0" w:space="0" w:color="auto"/>
        <w:left w:val="none" w:sz="0" w:space="0" w:color="auto"/>
        <w:bottom w:val="none" w:sz="0" w:space="0" w:color="auto"/>
        <w:right w:val="none" w:sz="0" w:space="0" w:color="auto"/>
      </w:divBdr>
    </w:div>
    <w:div w:id="63263289">
      <w:bodyDiv w:val="1"/>
      <w:marLeft w:val="0"/>
      <w:marRight w:val="0"/>
      <w:marTop w:val="0"/>
      <w:marBottom w:val="0"/>
      <w:divBdr>
        <w:top w:val="none" w:sz="0" w:space="0" w:color="auto"/>
        <w:left w:val="none" w:sz="0" w:space="0" w:color="auto"/>
        <w:bottom w:val="none" w:sz="0" w:space="0" w:color="auto"/>
        <w:right w:val="none" w:sz="0" w:space="0" w:color="auto"/>
      </w:divBdr>
    </w:div>
    <w:div w:id="65154131">
      <w:bodyDiv w:val="1"/>
      <w:marLeft w:val="0"/>
      <w:marRight w:val="0"/>
      <w:marTop w:val="0"/>
      <w:marBottom w:val="0"/>
      <w:divBdr>
        <w:top w:val="none" w:sz="0" w:space="0" w:color="auto"/>
        <w:left w:val="none" w:sz="0" w:space="0" w:color="auto"/>
        <w:bottom w:val="none" w:sz="0" w:space="0" w:color="auto"/>
        <w:right w:val="none" w:sz="0" w:space="0" w:color="auto"/>
      </w:divBdr>
    </w:div>
    <w:div w:id="65692048">
      <w:bodyDiv w:val="1"/>
      <w:marLeft w:val="0"/>
      <w:marRight w:val="0"/>
      <w:marTop w:val="0"/>
      <w:marBottom w:val="0"/>
      <w:divBdr>
        <w:top w:val="none" w:sz="0" w:space="0" w:color="auto"/>
        <w:left w:val="none" w:sz="0" w:space="0" w:color="auto"/>
        <w:bottom w:val="none" w:sz="0" w:space="0" w:color="auto"/>
        <w:right w:val="none" w:sz="0" w:space="0" w:color="auto"/>
      </w:divBdr>
    </w:div>
    <w:div w:id="65805212">
      <w:bodyDiv w:val="1"/>
      <w:marLeft w:val="0"/>
      <w:marRight w:val="0"/>
      <w:marTop w:val="0"/>
      <w:marBottom w:val="0"/>
      <w:divBdr>
        <w:top w:val="none" w:sz="0" w:space="0" w:color="auto"/>
        <w:left w:val="none" w:sz="0" w:space="0" w:color="auto"/>
        <w:bottom w:val="none" w:sz="0" w:space="0" w:color="auto"/>
        <w:right w:val="none" w:sz="0" w:space="0" w:color="auto"/>
      </w:divBdr>
    </w:div>
    <w:div w:id="65960442">
      <w:bodyDiv w:val="1"/>
      <w:marLeft w:val="0"/>
      <w:marRight w:val="0"/>
      <w:marTop w:val="0"/>
      <w:marBottom w:val="0"/>
      <w:divBdr>
        <w:top w:val="none" w:sz="0" w:space="0" w:color="auto"/>
        <w:left w:val="none" w:sz="0" w:space="0" w:color="auto"/>
        <w:bottom w:val="none" w:sz="0" w:space="0" w:color="auto"/>
        <w:right w:val="none" w:sz="0" w:space="0" w:color="auto"/>
      </w:divBdr>
    </w:div>
    <w:div w:id="67389561">
      <w:bodyDiv w:val="1"/>
      <w:marLeft w:val="0"/>
      <w:marRight w:val="0"/>
      <w:marTop w:val="0"/>
      <w:marBottom w:val="0"/>
      <w:divBdr>
        <w:top w:val="none" w:sz="0" w:space="0" w:color="auto"/>
        <w:left w:val="none" w:sz="0" w:space="0" w:color="auto"/>
        <w:bottom w:val="none" w:sz="0" w:space="0" w:color="auto"/>
        <w:right w:val="none" w:sz="0" w:space="0" w:color="auto"/>
      </w:divBdr>
    </w:div>
    <w:div w:id="68819192">
      <w:bodyDiv w:val="1"/>
      <w:marLeft w:val="0"/>
      <w:marRight w:val="0"/>
      <w:marTop w:val="0"/>
      <w:marBottom w:val="0"/>
      <w:divBdr>
        <w:top w:val="none" w:sz="0" w:space="0" w:color="auto"/>
        <w:left w:val="none" w:sz="0" w:space="0" w:color="auto"/>
        <w:bottom w:val="none" w:sz="0" w:space="0" w:color="auto"/>
        <w:right w:val="none" w:sz="0" w:space="0" w:color="auto"/>
      </w:divBdr>
    </w:div>
    <w:div w:id="69085078">
      <w:bodyDiv w:val="1"/>
      <w:marLeft w:val="0"/>
      <w:marRight w:val="0"/>
      <w:marTop w:val="0"/>
      <w:marBottom w:val="0"/>
      <w:divBdr>
        <w:top w:val="none" w:sz="0" w:space="0" w:color="auto"/>
        <w:left w:val="none" w:sz="0" w:space="0" w:color="auto"/>
        <w:bottom w:val="none" w:sz="0" w:space="0" w:color="auto"/>
        <w:right w:val="none" w:sz="0" w:space="0" w:color="auto"/>
      </w:divBdr>
    </w:div>
    <w:div w:id="69426370">
      <w:bodyDiv w:val="1"/>
      <w:marLeft w:val="0"/>
      <w:marRight w:val="0"/>
      <w:marTop w:val="0"/>
      <w:marBottom w:val="0"/>
      <w:divBdr>
        <w:top w:val="none" w:sz="0" w:space="0" w:color="auto"/>
        <w:left w:val="none" w:sz="0" w:space="0" w:color="auto"/>
        <w:bottom w:val="none" w:sz="0" w:space="0" w:color="auto"/>
        <w:right w:val="none" w:sz="0" w:space="0" w:color="auto"/>
      </w:divBdr>
    </w:div>
    <w:div w:id="72894827">
      <w:bodyDiv w:val="1"/>
      <w:marLeft w:val="0"/>
      <w:marRight w:val="0"/>
      <w:marTop w:val="0"/>
      <w:marBottom w:val="0"/>
      <w:divBdr>
        <w:top w:val="none" w:sz="0" w:space="0" w:color="auto"/>
        <w:left w:val="none" w:sz="0" w:space="0" w:color="auto"/>
        <w:bottom w:val="none" w:sz="0" w:space="0" w:color="auto"/>
        <w:right w:val="none" w:sz="0" w:space="0" w:color="auto"/>
      </w:divBdr>
    </w:div>
    <w:div w:id="73939140">
      <w:bodyDiv w:val="1"/>
      <w:marLeft w:val="0"/>
      <w:marRight w:val="0"/>
      <w:marTop w:val="0"/>
      <w:marBottom w:val="0"/>
      <w:divBdr>
        <w:top w:val="none" w:sz="0" w:space="0" w:color="auto"/>
        <w:left w:val="none" w:sz="0" w:space="0" w:color="auto"/>
        <w:bottom w:val="none" w:sz="0" w:space="0" w:color="auto"/>
        <w:right w:val="none" w:sz="0" w:space="0" w:color="auto"/>
      </w:divBdr>
    </w:div>
    <w:div w:id="74595747">
      <w:bodyDiv w:val="1"/>
      <w:marLeft w:val="0"/>
      <w:marRight w:val="0"/>
      <w:marTop w:val="0"/>
      <w:marBottom w:val="0"/>
      <w:divBdr>
        <w:top w:val="none" w:sz="0" w:space="0" w:color="auto"/>
        <w:left w:val="none" w:sz="0" w:space="0" w:color="auto"/>
        <w:bottom w:val="none" w:sz="0" w:space="0" w:color="auto"/>
        <w:right w:val="none" w:sz="0" w:space="0" w:color="auto"/>
      </w:divBdr>
    </w:div>
    <w:div w:id="75522326">
      <w:bodyDiv w:val="1"/>
      <w:marLeft w:val="0"/>
      <w:marRight w:val="0"/>
      <w:marTop w:val="0"/>
      <w:marBottom w:val="0"/>
      <w:divBdr>
        <w:top w:val="none" w:sz="0" w:space="0" w:color="auto"/>
        <w:left w:val="none" w:sz="0" w:space="0" w:color="auto"/>
        <w:bottom w:val="none" w:sz="0" w:space="0" w:color="auto"/>
        <w:right w:val="none" w:sz="0" w:space="0" w:color="auto"/>
      </w:divBdr>
    </w:div>
    <w:div w:id="75901232">
      <w:bodyDiv w:val="1"/>
      <w:marLeft w:val="0"/>
      <w:marRight w:val="0"/>
      <w:marTop w:val="0"/>
      <w:marBottom w:val="0"/>
      <w:divBdr>
        <w:top w:val="none" w:sz="0" w:space="0" w:color="auto"/>
        <w:left w:val="none" w:sz="0" w:space="0" w:color="auto"/>
        <w:bottom w:val="none" w:sz="0" w:space="0" w:color="auto"/>
        <w:right w:val="none" w:sz="0" w:space="0" w:color="auto"/>
      </w:divBdr>
    </w:div>
    <w:div w:id="76248408">
      <w:bodyDiv w:val="1"/>
      <w:marLeft w:val="0"/>
      <w:marRight w:val="0"/>
      <w:marTop w:val="0"/>
      <w:marBottom w:val="0"/>
      <w:divBdr>
        <w:top w:val="none" w:sz="0" w:space="0" w:color="auto"/>
        <w:left w:val="none" w:sz="0" w:space="0" w:color="auto"/>
        <w:bottom w:val="none" w:sz="0" w:space="0" w:color="auto"/>
        <w:right w:val="none" w:sz="0" w:space="0" w:color="auto"/>
      </w:divBdr>
    </w:div>
    <w:div w:id="76251070">
      <w:bodyDiv w:val="1"/>
      <w:marLeft w:val="0"/>
      <w:marRight w:val="0"/>
      <w:marTop w:val="0"/>
      <w:marBottom w:val="0"/>
      <w:divBdr>
        <w:top w:val="none" w:sz="0" w:space="0" w:color="auto"/>
        <w:left w:val="none" w:sz="0" w:space="0" w:color="auto"/>
        <w:bottom w:val="none" w:sz="0" w:space="0" w:color="auto"/>
        <w:right w:val="none" w:sz="0" w:space="0" w:color="auto"/>
      </w:divBdr>
    </w:div>
    <w:div w:id="77336315">
      <w:bodyDiv w:val="1"/>
      <w:marLeft w:val="0"/>
      <w:marRight w:val="0"/>
      <w:marTop w:val="0"/>
      <w:marBottom w:val="0"/>
      <w:divBdr>
        <w:top w:val="none" w:sz="0" w:space="0" w:color="auto"/>
        <w:left w:val="none" w:sz="0" w:space="0" w:color="auto"/>
        <w:bottom w:val="none" w:sz="0" w:space="0" w:color="auto"/>
        <w:right w:val="none" w:sz="0" w:space="0" w:color="auto"/>
      </w:divBdr>
    </w:div>
    <w:div w:id="77481042">
      <w:bodyDiv w:val="1"/>
      <w:marLeft w:val="0"/>
      <w:marRight w:val="0"/>
      <w:marTop w:val="0"/>
      <w:marBottom w:val="0"/>
      <w:divBdr>
        <w:top w:val="none" w:sz="0" w:space="0" w:color="auto"/>
        <w:left w:val="none" w:sz="0" w:space="0" w:color="auto"/>
        <w:bottom w:val="none" w:sz="0" w:space="0" w:color="auto"/>
        <w:right w:val="none" w:sz="0" w:space="0" w:color="auto"/>
      </w:divBdr>
    </w:div>
    <w:div w:id="77874779">
      <w:bodyDiv w:val="1"/>
      <w:marLeft w:val="0"/>
      <w:marRight w:val="0"/>
      <w:marTop w:val="0"/>
      <w:marBottom w:val="0"/>
      <w:divBdr>
        <w:top w:val="none" w:sz="0" w:space="0" w:color="auto"/>
        <w:left w:val="none" w:sz="0" w:space="0" w:color="auto"/>
        <w:bottom w:val="none" w:sz="0" w:space="0" w:color="auto"/>
        <w:right w:val="none" w:sz="0" w:space="0" w:color="auto"/>
      </w:divBdr>
    </w:div>
    <w:div w:id="78411643">
      <w:bodyDiv w:val="1"/>
      <w:marLeft w:val="0"/>
      <w:marRight w:val="0"/>
      <w:marTop w:val="0"/>
      <w:marBottom w:val="0"/>
      <w:divBdr>
        <w:top w:val="none" w:sz="0" w:space="0" w:color="auto"/>
        <w:left w:val="none" w:sz="0" w:space="0" w:color="auto"/>
        <w:bottom w:val="none" w:sz="0" w:space="0" w:color="auto"/>
        <w:right w:val="none" w:sz="0" w:space="0" w:color="auto"/>
      </w:divBdr>
    </w:div>
    <w:div w:id="80109280">
      <w:bodyDiv w:val="1"/>
      <w:marLeft w:val="0"/>
      <w:marRight w:val="0"/>
      <w:marTop w:val="0"/>
      <w:marBottom w:val="0"/>
      <w:divBdr>
        <w:top w:val="none" w:sz="0" w:space="0" w:color="auto"/>
        <w:left w:val="none" w:sz="0" w:space="0" w:color="auto"/>
        <w:bottom w:val="none" w:sz="0" w:space="0" w:color="auto"/>
        <w:right w:val="none" w:sz="0" w:space="0" w:color="auto"/>
      </w:divBdr>
    </w:div>
    <w:div w:id="80755964">
      <w:bodyDiv w:val="1"/>
      <w:marLeft w:val="0"/>
      <w:marRight w:val="0"/>
      <w:marTop w:val="0"/>
      <w:marBottom w:val="0"/>
      <w:divBdr>
        <w:top w:val="none" w:sz="0" w:space="0" w:color="auto"/>
        <w:left w:val="none" w:sz="0" w:space="0" w:color="auto"/>
        <w:bottom w:val="none" w:sz="0" w:space="0" w:color="auto"/>
        <w:right w:val="none" w:sz="0" w:space="0" w:color="auto"/>
      </w:divBdr>
    </w:div>
    <w:div w:id="87119437">
      <w:bodyDiv w:val="1"/>
      <w:marLeft w:val="0"/>
      <w:marRight w:val="0"/>
      <w:marTop w:val="0"/>
      <w:marBottom w:val="0"/>
      <w:divBdr>
        <w:top w:val="none" w:sz="0" w:space="0" w:color="auto"/>
        <w:left w:val="none" w:sz="0" w:space="0" w:color="auto"/>
        <w:bottom w:val="none" w:sz="0" w:space="0" w:color="auto"/>
        <w:right w:val="none" w:sz="0" w:space="0" w:color="auto"/>
      </w:divBdr>
    </w:div>
    <w:div w:id="89129140">
      <w:bodyDiv w:val="1"/>
      <w:marLeft w:val="0"/>
      <w:marRight w:val="0"/>
      <w:marTop w:val="0"/>
      <w:marBottom w:val="0"/>
      <w:divBdr>
        <w:top w:val="none" w:sz="0" w:space="0" w:color="auto"/>
        <w:left w:val="none" w:sz="0" w:space="0" w:color="auto"/>
        <w:bottom w:val="none" w:sz="0" w:space="0" w:color="auto"/>
        <w:right w:val="none" w:sz="0" w:space="0" w:color="auto"/>
      </w:divBdr>
    </w:div>
    <w:div w:id="89396757">
      <w:bodyDiv w:val="1"/>
      <w:marLeft w:val="0"/>
      <w:marRight w:val="0"/>
      <w:marTop w:val="0"/>
      <w:marBottom w:val="0"/>
      <w:divBdr>
        <w:top w:val="none" w:sz="0" w:space="0" w:color="auto"/>
        <w:left w:val="none" w:sz="0" w:space="0" w:color="auto"/>
        <w:bottom w:val="none" w:sz="0" w:space="0" w:color="auto"/>
        <w:right w:val="none" w:sz="0" w:space="0" w:color="auto"/>
      </w:divBdr>
    </w:div>
    <w:div w:id="90518451">
      <w:bodyDiv w:val="1"/>
      <w:marLeft w:val="0"/>
      <w:marRight w:val="0"/>
      <w:marTop w:val="0"/>
      <w:marBottom w:val="0"/>
      <w:divBdr>
        <w:top w:val="none" w:sz="0" w:space="0" w:color="auto"/>
        <w:left w:val="none" w:sz="0" w:space="0" w:color="auto"/>
        <w:bottom w:val="none" w:sz="0" w:space="0" w:color="auto"/>
        <w:right w:val="none" w:sz="0" w:space="0" w:color="auto"/>
      </w:divBdr>
    </w:div>
    <w:div w:id="90519163">
      <w:bodyDiv w:val="1"/>
      <w:marLeft w:val="0"/>
      <w:marRight w:val="0"/>
      <w:marTop w:val="0"/>
      <w:marBottom w:val="0"/>
      <w:divBdr>
        <w:top w:val="none" w:sz="0" w:space="0" w:color="auto"/>
        <w:left w:val="none" w:sz="0" w:space="0" w:color="auto"/>
        <w:bottom w:val="none" w:sz="0" w:space="0" w:color="auto"/>
        <w:right w:val="none" w:sz="0" w:space="0" w:color="auto"/>
      </w:divBdr>
    </w:div>
    <w:div w:id="92362357">
      <w:bodyDiv w:val="1"/>
      <w:marLeft w:val="0"/>
      <w:marRight w:val="0"/>
      <w:marTop w:val="0"/>
      <w:marBottom w:val="0"/>
      <w:divBdr>
        <w:top w:val="none" w:sz="0" w:space="0" w:color="auto"/>
        <w:left w:val="none" w:sz="0" w:space="0" w:color="auto"/>
        <w:bottom w:val="none" w:sz="0" w:space="0" w:color="auto"/>
        <w:right w:val="none" w:sz="0" w:space="0" w:color="auto"/>
      </w:divBdr>
    </w:div>
    <w:div w:id="92633961">
      <w:bodyDiv w:val="1"/>
      <w:marLeft w:val="0"/>
      <w:marRight w:val="0"/>
      <w:marTop w:val="0"/>
      <w:marBottom w:val="0"/>
      <w:divBdr>
        <w:top w:val="none" w:sz="0" w:space="0" w:color="auto"/>
        <w:left w:val="none" w:sz="0" w:space="0" w:color="auto"/>
        <w:bottom w:val="none" w:sz="0" w:space="0" w:color="auto"/>
        <w:right w:val="none" w:sz="0" w:space="0" w:color="auto"/>
      </w:divBdr>
    </w:div>
    <w:div w:id="93092246">
      <w:bodyDiv w:val="1"/>
      <w:marLeft w:val="0"/>
      <w:marRight w:val="0"/>
      <w:marTop w:val="0"/>
      <w:marBottom w:val="0"/>
      <w:divBdr>
        <w:top w:val="none" w:sz="0" w:space="0" w:color="auto"/>
        <w:left w:val="none" w:sz="0" w:space="0" w:color="auto"/>
        <w:bottom w:val="none" w:sz="0" w:space="0" w:color="auto"/>
        <w:right w:val="none" w:sz="0" w:space="0" w:color="auto"/>
      </w:divBdr>
    </w:div>
    <w:div w:id="93289392">
      <w:bodyDiv w:val="1"/>
      <w:marLeft w:val="0"/>
      <w:marRight w:val="0"/>
      <w:marTop w:val="0"/>
      <w:marBottom w:val="0"/>
      <w:divBdr>
        <w:top w:val="none" w:sz="0" w:space="0" w:color="auto"/>
        <w:left w:val="none" w:sz="0" w:space="0" w:color="auto"/>
        <w:bottom w:val="none" w:sz="0" w:space="0" w:color="auto"/>
        <w:right w:val="none" w:sz="0" w:space="0" w:color="auto"/>
      </w:divBdr>
    </w:div>
    <w:div w:id="95368013">
      <w:bodyDiv w:val="1"/>
      <w:marLeft w:val="0"/>
      <w:marRight w:val="0"/>
      <w:marTop w:val="0"/>
      <w:marBottom w:val="0"/>
      <w:divBdr>
        <w:top w:val="none" w:sz="0" w:space="0" w:color="auto"/>
        <w:left w:val="none" w:sz="0" w:space="0" w:color="auto"/>
        <w:bottom w:val="none" w:sz="0" w:space="0" w:color="auto"/>
        <w:right w:val="none" w:sz="0" w:space="0" w:color="auto"/>
      </w:divBdr>
    </w:div>
    <w:div w:id="95567161">
      <w:bodyDiv w:val="1"/>
      <w:marLeft w:val="0"/>
      <w:marRight w:val="0"/>
      <w:marTop w:val="0"/>
      <w:marBottom w:val="0"/>
      <w:divBdr>
        <w:top w:val="none" w:sz="0" w:space="0" w:color="auto"/>
        <w:left w:val="none" w:sz="0" w:space="0" w:color="auto"/>
        <w:bottom w:val="none" w:sz="0" w:space="0" w:color="auto"/>
        <w:right w:val="none" w:sz="0" w:space="0" w:color="auto"/>
      </w:divBdr>
    </w:div>
    <w:div w:id="95831668">
      <w:bodyDiv w:val="1"/>
      <w:marLeft w:val="0"/>
      <w:marRight w:val="0"/>
      <w:marTop w:val="0"/>
      <w:marBottom w:val="0"/>
      <w:divBdr>
        <w:top w:val="none" w:sz="0" w:space="0" w:color="auto"/>
        <w:left w:val="none" w:sz="0" w:space="0" w:color="auto"/>
        <w:bottom w:val="none" w:sz="0" w:space="0" w:color="auto"/>
        <w:right w:val="none" w:sz="0" w:space="0" w:color="auto"/>
      </w:divBdr>
    </w:div>
    <w:div w:id="96565049">
      <w:bodyDiv w:val="1"/>
      <w:marLeft w:val="0"/>
      <w:marRight w:val="0"/>
      <w:marTop w:val="0"/>
      <w:marBottom w:val="0"/>
      <w:divBdr>
        <w:top w:val="none" w:sz="0" w:space="0" w:color="auto"/>
        <w:left w:val="none" w:sz="0" w:space="0" w:color="auto"/>
        <w:bottom w:val="none" w:sz="0" w:space="0" w:color="auto"/>
        <w:right w:val="none" w:sz="0" w:space="0" w:color="auto"/>
      </w:divBdr>
    </w:div>
    <w:div w:id="96947485">
      <w:bodyDiv w:val="1"/>
      <w:marLeft w:val="0"/>
      <w:marRight w:val="0"/>
      <w:marTop w:val="0"/>
      <w:marBottom w:val="0"/>
      <w:divBdr>
        <w:top w:val="none" w:sz="0" w:space="0" w:color="auto"/>
        <w:left w:val="none" w:sz="0" w:space="0" w:color="auto"/>
        <w:bottom w:val="none" w:sz="0" w:space="0" w:color="auto"/>
        <w:right w:val="none" w:sz="0" w:space="0" w:color="auto"/>
      </w:divBdr>
    </w:div>
    <w:div w:id="97989206">
      <w:bodyDiv w:val="1"/>
      <w:marLeft w:val="0"/>
      <w:marRight w:val="0"/>
      <w:marTop w:val="0"/>
      <w:marBottom w:val="0"/>
      <w:divBdr>
        <w:top w:val="none" w:sz="0" w:space="0" w:color="auto"/>
        <w:left w:val="none" w:sz="0" w:space="0" w:color="auto"/>
        <w:bottom w:val="none" w:sz="0" w:space="0" w:color="auto"/>
        <w:right w:val="none" w:sz="0" w:space="0" w:color="auto"/>
      </w:divBdr>
    </w:div>
    <w:div w:id="98062945">
      <w:bodyDiv w:val="1"/>
      <w:marLeft w:val="0"/>
      <w:marRight w:val="0"/>
      <w:marTop w:val="0"/>
      <w:marBottom w:val="0"/>
      <w:divBdr>
        <w:top w:val="none" w:sz="0" w:space="0" w:color="auto"/>
        <w:left w:val="none" w:sz="0" w:space="0" w:color="auto"/>
        <w:bottom w:val="none" w:sz="0" w:space="0" w:color="auto"/>
        <w:right w:val="none" w:sz="0" w:space="0" w:color="auto"/>
      </w:divBdr>
    </w:div>
    <w:div w:id="99225343">
      <w:bodyDiv w:val="1"/>
      <w:marLeft w:val="0"/>
      <w:marRight w:val="0"/>
      <w:marTop w:val="0"/>
      <w:marBottom w:val="0"/>
      <w:divBdr>
        <w:top w:val="none" w:sz="0" w:space="0" w:color="auto"/>
        <w:left w:val="none" w:sz="0" w:space="0" w:color="auto"/>
        <w:bottom w:val="none" w:sz="0" w:space="0" w:color="auto"/>
        <w:right w:val="none" w:sz="0" w:space="0" w:color="auto"/>
      </w:divBdr>
    </w:div>
    <w:div w:id="100760034">
      <w:bodyDiv w:val="1"/>
      <w:marLeft w:val="0"/>
      <w:marRight w:val="0"/>
      <w:marTop w:val="0"/>
      <w:marBottom w:val="0"/>
      <w:divBdr>
        <w:top w:val="none" w:sz="0" w:space="0" w:color="auto"/>
        <w:left w:val="none" w:sz="0" w:space="0" w:color="auto"/>
        <w:bottom w:val="none" w:sz="0" w:space="0" w:color="auto"/>
        <w:right w:val="none" w:sz="0" w:space="0" w:color="auto"/>
      </w:divBdr>
    </w:div>
    <w:div w:id="102579137">
      <w:bodyDiv w:val="1"/>
      <w:marLeft w:val="0"/>
      <w:marRight w:val="0"/>
      <w:marTop w:val="0"/>
      <w:marBottom w:val="0"/>
      <w:divBdr>
        <w:top w:val="none" w:sz="0" w:space="0" w:color="auto"/>
        <w:left w:val="none" w:sz="0" w:space="0" w:color="auto"/>
        <w:bottom w:val="none" w:sz="0" w:space="0" w:color="auto"/>
        <w:right w:val="none" w:sz="0" w:space="0" w:color="auto"/>
      </w:divBdr>
    </w:div>
    <w:div w:id="105733856">
      <w:bodyDiv w:val="1"/>
      <w:marLeft w:val="0"/>
      <w:marRight w:val="0"/>
      <w:marTop w:val="0"/>
      <w:marBottom w:val="0"/>
      <w:divBdr>
        <w:top w:val="none" w:sz="0" w:space="0" w:color="auto"/>
        <w:left w:val="none" w:sz="0" w:space="0" w:color="auto"/>
        <w:bottom w:val="none" w:sz="0" w:space="0" w:color="auto"/>
        <w:right w:val="none" w:sz="0" w:space="0" w:color="auto"/>
      </w:divBdr>
    </w:div>
    <w:div w:id="106245157">
      <w:bodyDiv w:val="1"/>
      <w:marLeft w:val="0"/>
      <w:marRight w:val="0"/>
      <w:marTop w:val="0"/>
      <w:marBottom w:val="0"/>
      <w:divBdr>
        <w:top w:val="none" w:sz="0" w:space="0" w:color="auto"/>
        <w:left w:val="none" w:sz="0" w:space="0" w:color="auto"/>
        <w:bottom w:val="none" w:sz="0" w:space="0" w:color="auto"/>
        <w:right w:val="none" w:sz="0" w:space="0" w:color="auto"/>
      </w:divBdr>
    </w:div>
    <w:div w:id="108820226">
      <w:bodyDiv w:val="1"/>
      <w:marLeft w:val="0"/>
      <w:marRight w:val="0"/>
      <w:marTop w:val="0"/>
      <w:marBottom w:val="0"/>
      <w:divBdr>
        <w:top w:val="none" w:sz="0" w:space="0" w:color="auto"/>
        <w:left w:val="none" w:sz="0" w:space="0" w:color="auto"/>
        <w:bottom w:val="none" w:sz="0" w:space="0" w:color="auto"/>
        <w:right w:val="none" w:sz="0" w:space="0" w:color="auto"/>
      </w:divBdr>
    </w:div>
    <w:div w:id="109906663">
      <w:bodyDiv w:val="1"/>
      <w:marLeft w:val="0"/>
      <w:marRight w:val="0"/>
      <w:marTop w:val="0"/>
      <w:marBottom w:val="0"/>
      <w:divBdr>
        <w:top w:val="none" w:sz="0" w:space="0" w:color="auto"/>
        <w:left w:val="none" w:sz="0" w:space="0" w:color="auto"/>
        <w:bottom w:val="none" w:sz="0" w:space="0" w:color="auto"/>
        <w:right w:val="none" w:sz="0" w:space="0" w:color="auto"/>
      </w:divBdr>
    </w:div>
    <w:div w:id="112484546">
      <w:bodyDiv w:val="1"/>
      <w:marLeft w:val="0"/>
      <w:marRight w:val="0"/>
      <w:marTop w:val="0"/>
      <w:marBottom w:val="0"/>
      <w:divBdr>
        <w:top w:val="none" w:sz="0" w:space="0" w:color="auto"/>
        <w:left w:val="none" w:sz="0" w:space="0" w:color="auto"/>
        <w:bottom w:val="none" w:sz="0" w:space="0" w:color="auto"/>
        <w:right w:val="none" w:sz="0" w:space="0" w:color="auto"/>
      </w:divBdr>
    </w:div>
    <w:div w:id="112788939">
      <w:bodyDiv w:val="1"/>
      <w:marLeft w:val="0"/>
      <w:marRight w:val="0"/>
      <w:marTop w:val="0"/>
      <w:marBottom w:val="0"/>
      <w:divBdr>
        <w:top w:val="none" w:sz="0" w:space="0" w:color="auto"/>
        <w:left w:val="none" w:sz="0" w:space="0" w:color="auto"/>
        <w:bottom w:val="none" w:sz="0" w:space="0" w:color="auto"/>
        <w:right w:val="none" w:sz="0" w:space="0" w:color="auto"/>
      </w:divBdr>
    </w:div>
    <w:div w:id="112866270">
      <w:bodyDiv w:val="1"/>
      <w:marLeft w:val="0"/>
      <w:marRight w:val="0"/>
      <w:marTop w:val="0"/>
      <w:marBottom w:val="0"/>
      <w:divBdr>
        <w:top w:val="none" w:sz="0" w:space="0" w:color="auto"/>
        <w:left w:val="none" w:sz="0" w:space="0" w:color="auto"/>
        <w:bottom w:val="none" w:sz="0" w:space="0" w:color="auto"/>
        <w:right w:val="none" w:sz="0" w:space="0" w:color="auto"/>
      </w:divBdr>
    </w:div>
    <w:div w:id="115032516">
      <w:bodyDiv w:val="1"/>
      <w:marLeft w:val="0"/>
      <w:marRight w:val="0"/>
      <w:marTop w:val="0"/>
      <w:marBottom w:val="0"/>
      <w:divBdr>
        <w:top w:val="none" w:sz="0" w:space="0" w:color="auto"/>
        <w:left w:val="none" w:sz="0" w:space="0" w:color="auto"/>
        <w:bottom w:val="none" w:sz="0" w:space="0" w:color="auto"/>
        <w:right w:val="none" w:sz="0" w:space="0" w:color="auto"/>
      </w:divBdr>
    </w:div>
    <w:div w:id="115100676">
      <w:bodyDiv w:val="1"/>
      <w:marLeft w:val="0"/>
      <w:marRight w:val="0"/>
      <w:marTop w:val="0"/>
      <w:marBottom w:val="0"/>
      <w:divBdr>
        <w:top w:val="none" w:sz="0" w:space="0" w:color="auto"/>
        <w:left w:val="none" w:sz="0" w:space="0" w:color="auto"/>
        <w:bottom w:val="none" w:sz="0" w:space="0" w:color="auto"/>
        <w:right w:val="none" w:sz="0" w:space="0" w:color="auto"/>
      </w:divBdr>
    </w:div>
    <w:div w:id="116417614">
      <w:bodyDiv w:val="1"/>
      <w:marLeft w:val="0"/>
      <w:marRight w:val="0"/>
      <w:marTop w:val="0"/>
      <w:marBottom w:val="0"/>
      <w:divBdr>
        <w:top w:val="none" w:sz="0" w:space="0" w:color="auto"/>
        <w:left w:val="none" w:sz="0" w:space="0" w:color="auto"/>
        <w:bottom w:val="none" w:sz="0" w:space="0" w:color="auto"/>
        <w:right w:val="none" w:sz="0" w:space="0" w:color="auto"/>
      </w:divBdr>
    </w:div>
    <w:div w:id="117577643">
      <w:bodyDiv w:val="1"/>
      <w:marLeft w:val="0"/>
      <w:marRight w:val="0"/>
      <w:marTop w:val="0"/>
      <w:marBottom w:val="0"/>
      <w:divBdr>
        <w:top w:val="none" w:sz="0" w:space="0" w:color="auto"/>
        <w:left w:val="none" w:sz="0" w:space="0" w:color="auto"/>
        <w:bottom w:val="none" w:sz="0" w:space="0" w:color="auto"/>
        <w:right w:val="none" w:sz="0" w:space="0" w:color="auto"/>
      </w:divBdr>
    </w:div>
    <w:div w:id="120340806">
      <w:bodyDiv w:val="1"/>
      <w:marLeft w:val="0"/>
      <w:marRight w:val="0"/>
      <w:marTop w:val="0"/>
      <w:marBottom w:val="0"/>
      <w:divBdr>
        <w:top w:val="none" w:sz="0" w:space="0" w:color="auto"/>
        <w:left w:val="none" w:sz="0" w:space="0" w:color="auto"/>
        <w:bottom w:val="none" w:sz="0" w:space="0" w:color="auto"/>
        <w:right w:val="none" w:sz="0" w:space="0" w:color="auto"/>
      </w:divBdr>
    </w:div>
    <w:div w:id="121660398">
      <w:bodyDiv w:val="1"/>
      <w:marLeft w:val="0"/>
      <w:marRight w:val="0"/>
      <w:marTop w:val="0"/>
      <w:marBottom w:val="0"/>
      <w:divBdr>
        <w:top w:val="none" w:sz="0" w:space="0" w:color="auto"/>
        <w:left w:val="none" w:sz="0" w:space="0" w:color="auto"/>
        <w:bottom w:val="none" w:sz="0" w:space="0" w:color="auto"/>
        <w:right w:val="none" w:sz="0" w:space="0" w:color="auto"/>
      </w:divBdr>
    </w:div>
    <w:div w:id="122164450">
      <w:bodyDiv w:val="1"/>
      <w:marLeft w:val="0"/>
      <w:marRight w:val="0"/>
      <w:marTop w:val="0"/>
      <w:marBottom w:val="0"/>
      <w:divBdr>
        <w:top w:val="none" w:sz="0" w:space="0" w:color="auto"/>
        <w:left w:val="none" w:sz="0" w:space="0" w:color="auto"/>
        <w:bottom w:val="none" w:sz="0" w:space="0" w:color="auto"/>
        <w:right w:val="none" w:sz="0" w:space="0" w:color="auto"/>
      </w:divBdr>
    </w:div>
    <w:div w:id="125242393">
      <w:bodyDiv w:val="1"/>
      <w:marLeft w:val="0"/>
      <w:marRight w:val="0"/>
      <w:marTop w:val="0"/>
      <w:marBottom w:val="0"/>
      <w:divBdr>
        <w:top w:val="none" w:sz="0" w:space="0" w:color="auto"/>
        <w:left w:val="none" w:sz="0" w:space="0" w:color="auto"/>
        <w:bottom w:val="none" w:sz="0" w:space="0" w:color="auto"/>
        <w:right w:val="none" w:sz="0" w:space="0" w:color="auto"/>
      </w:divBdr>
    </w:div>
    <w:div w:id="125513096">
      <w:bodyDiv w:val="1"/>
      <w:marLeft w:val="0"/>
      <w:marRight w:val="0"/>
      <w:marTop w:val="0"/>
      <w:marBottom w:val="0"/>
      <w:divBdr>
        <w:top w:val="none" w:sz="0" w:space="0" w:color="auto"/>
        <w:left w:val="none" w:sz="0" w:space="0" w:color="auto"/>
        <w:bottom w:val="none" w:sz="0" w:space="0" w:color="auto"/>
        <w:right w:val="none" w:sz="0" w:space="0" w:color="auto"/>
      </w:divBdr>
    </w:div>
    <w:div w:id="129444009">
      <w:bodyDiv w:val="1"/>
      <w:marLeft w:val="0"/>
      <w:marRight w:val="0"/>
      <w:marTop w:val="0"/>
      <w:marBottom w:val="0"/>
      <w:divBdr>
        <w:top w:val="none" w:sz="0" w:space="0" w:color="auto"/>
        <w:left w:val="none" w:sz="0" w:space="0" w:color="auto"/>
        <w:bottom w:val="none" w:sz="0" w:space="0" w:color="auto"/>
        <w:right w:val="none" w:sz="0" w:space="0" w:color="auto"/>
      </w:divBdr>
    </w:div>
    <w:div w:id="130368693">
      <w:bodyDiv w:val="1"/>
      <w:marLeft w:val="0"/>
      <w:marRight w:val="0"/>
      <w:marTop w:val="0"/>
      <w:marBottom w:val="0"/>
      <w:divBdr>
        <w:top w:val="none" w:sz="0" w:space="0" w:color="auto"/>
        <w:left w:val="none" w:sz="0" w:space="0" w:color="auto"/>
        <w:bottom w:val="none" w:sz="0" w:space="0" w:color="auto"/>
        <w:right w:val="none" w:sz="0" w:space="0" w:color="auto"/>
      </w:divBdr>
    </w:div>
    <w:div w:id="132676158">
      <w:bodyDiv w:val="1"/>
      <w:marLeft w:val="0"/>
      <w:marRight w:val="0"/>
      <w:marTop w:val="0"/>
      <w:marBottom w:val="0"/>
      <w:divBdr>
        <w:top w:val="none" w:sz="0" w:space="0" w:color="auto"/>
        <w:left w:val="none" w:sz="0" w:space="0" w:color="auto"/>
        <w:bottom w:val="none" w:sz="0" w:space="0" w:color="auto"/>
        <w:right w:val="none" w:sz="0" w:space="0" w:color="auto"/>
      </w:divBdr>
    </w:div>
    <w:div w:id="132792790">
      <w:bodyDiv w:val="1"/>
      <w:marLeft w:val="0"/>
      <w:marRight w:val="0"/>
      <w:marTop w:val="0"/>
      <w:marBottom w:val="0"/>
      <w:divBdr>
        <w:top w:val="none" w:sz="0" w:space="0" w:color="auto"/>
        <w:left w:val="none" w:sz="0" w:space="0" w:color="auto"/>
        <w:bottom w:val="none" w:sz="0" w:space="0" w:color="auto"/>
        <w:right w:val="none" w:sz="0" w:space="0" w:color="auto"/>
      </w:divBdr>
    </w:div>
    <w:div w:id="132916444">
      <w:bodyDiv w:val="1"/>
      <w:marLeft w:val="0"/>
      <w:marRight w:val="0"/>
      <w:marTop w:val="0"/>
      <w:marBottom w:val="0"/>
      <w:divBdr>
        <w:top w:val="none" w:sz="0" w:space="0" w:color="auto"/>
        <w:left w:val="none" w:sz="0" w:space="0" w:color="auto"/>
        <w:bottom w:val="none" w:sz="0" w:space="0" w:color="auto"/>
        <w:right w:val="none" w:sz="0" w:space="0" w:color="auto"/>
      </w:divBdr>
    </w:div>
    <w:div w:id="134756861">
      <w:bodyDiv w:val="1"/>
      <w:marLeft w:val="0"/>
      <w:marRight w:val="0"/>
      <w:marTop w:val="0"/>
      <w:marBottom w:val="0"/>
      <w:divBdr>
        <w:top w:val="none" w:sz="0" w:space="0" w:color="auto"/>
        <w:left w:val="none" w:sz="0" w:space="0" w:color="auto"/>
        <w:bottom w:val="none" w:sz="0" w:space="0" w:color="auto"/>
        <w:right w:val="none" w:sz="0" w:space="0" w:color="auto"/>
      </w:divBdr>
    </w:div>
    <w:div w:id="135800615">
      <w:bodyDiv w:val="1"/>
      <w:marLeft w:val="0"/>
      <w:marRight w:val="0"/>
      <w:marTop w:val="0"/>
      <w:marBottom w:val="0"/>
      <w:divBdr>
        <w:top w:val="none" w:sz="0" w:space="0" w:color="auto"/>
        <w:left w:val="none" w:sz="0" w:space="0" w:color="auto"/>
        <w:bottom w:val="none" w:sz="0" w:space="0" w:color="auto"/>
        <w:right w:val="none" w:sz="0" w:space="0" w:color="auto"/>
      </w:divBdr>
    </w:div>
    <w:div w:id="137113818">
      <w:bodyDiv w:val="1"/>
      <w:marLeft w:val="0"/>
      <w:marRight w:val="0"/>
      <w:marTop w:val="0"/>
      <w:marBottom w:val="0"/>
      <w:divBdr>
        <w:top w:val="none" w:sz="0" w:space="0" w:color="auto"/>
        <w:left w:val="none" w:sz="0" w:space="0" w:color="auto"/>
        <w:bottom w:val="none" w:sz="0" w:space="0" w:color="auto"/>
        <w:right w:val="none" w:sz="0" w:space="0" w:color="auto"/>
      </w:divBdr>
    </w:div>
    <w:div w:id="137187197">
      <w:bodyDiv w:val="1"/>
      <w:marLeft w:val="0"/>
      <w:marRight w:val="0"/>
      <w:marTop w:val="0"/>
      <w:marBottom w:val="0"/>
      <w:divBdr>
        <w:top w:val="none" w:sz="0" w:space="0" w:color="auto"/>
        <w:left w:val="none" w:sz="0" w:space="0" w:color="auto"/>
        <w:bottom w:val="none" w:sz="0" w:space="0" w:color="auto"/>
        <w:right w:val="none" w:sz="0" w:space="0" w:color="auto"/>
      </w:divBdr>
    </w:div>
    <w:div w:id="137577534">
      <w:bodyDiv w:val="1"/>
      <w:marLeft w:val="0"/>
      <w:marRight w:val="0"/>
      <w:marTop w:val="0"/>
      <w:marBottom w:val="0"/>
      <w:divBdr>
        <w:top w:val="none" w:sz="0" w:space="0" w:color="auto"/>
        <w:left w:val="none" w:sz="0" w:space="0" w:color="auto"/>
        <w:bottom w:val="none" w:sz="0" w:space="0" w:color="auto"/>
        <w:right w:val="none" w:sz="0" w:space="0" w:color="auto"/>
      </w:divBdr>
    </w:div>
    <w:div w:id="139465316">
      <w:bodyDiv w:val="1"/>
      <w:marLeft w:val="0"/>
      <w:marRight w:val="0"/>
      <w:marTop w:val="0"/>
      <w:marBottom w:val="0"/>
      <w:divBdr>
        <w:top w:val="none" w:sz="0" w:space="0" w:color="auto"/>
        <w:left w:val="none" w:sz="0" w:space="0" w:color="auto"/>
        <w:bottom w:val="none" w:sz="0" w:space="0" w:color="auto"/>
        <w:right w:val="none" w:sz="0" w:space="0" w:color="auto"/>
      </w:divBdr>
    </w:div>
    <w:div w:id="141242000">
      <w:bodyDiv w:val="1"/>
      <w:marLeft w:val="0"/>
      <w:marRight w:val="0"/>
      <w:marTop w:val="0"/>
      <w:marBottom w:val="0"/>
      <w:divBdr>
        <w:top w:val="none" w:sz="0" w:space="0" w:color="auto"/>
        <w:left w:val="none" w:sz="0" w:space="0" w:color="auto"/>
        <w:bottom w:val="none" w:sz="0" w:space="0" w:color="auto"/>
        <w:right w:val="none" w:sz="0" w:space="0" w:color="auto"/>
      </w:divBdr>
    </w:div>
    <w:div w:id="145442146">
      <w:bodyDiv w:val="1"/>
      <w:marLeft w:val="0"/>
      <w:marRight w:val="0"/>
      <w:marTop w:val="0"/>
      <w:marBottom w:val="0"/>
      <w:divBdr>
        <w:top w:val="none" w:sz="0" w:space="0" w:color="auto"/>
        <w:left w:val="none" w:sz="0" w:space="0" w:color="auto"/>
        <w:bottom w:val="none" w:sz="0" w:space="0" w:color="auto"/>
        <w:right w:val="none" w:sz="0" w:space="0" w:color="auto"/>
      </w:divBdr>
    </w:div>
    <w:div w:id="147597849">
      <w:bodyDiv w:val="1"/>
      <w:marLeft w:val="0"/>
      <w:marRight w:val="0"/>
      <w:marTop w:val="0"/>
      <w:marBottom w:val="0"/>
      <w:divBdr>
        <w:top w:val="none" w:sz="0" w:space="0" w:color="auto"/>
        <w:left w:val="none" w:sz="0" w:space="0" w:color="auto"/>
        <w:bottom w:val="none" w:sz="0" w:space="0" w:color="auto"/>
        <w:right w:val="none" w:sz="0" w:space="0" w:color="auto"/>
      </w:divBdr>
    </w:div>
    <w:div w:id="148252840">
      <w:bodyDiv w:val="1"/>
      <w:marLeft w:val="0"/>
      <w:marRight w:val="0"/>
      <w:marTop w:val="0"/>
      <w:marBottom w:val="0"/>
      <w:divBdr>
        <w:top w:val="none" w:sz="0" w:space="0" w:color="auto"/>
        <w:left w:val="none" w:sz="0" w:space="0" w:color="auto"/>
        <w:bottom w:val="none" w:sz="0" w:space="0" w:color="auto"/>
        <w:right w:val="none" w:sz="0" w:space="0" w:color="auto"/>
      </w:divBdr>
    </w:div>
    <w:div w:id="151681757">
      <w:bodyDiv w:val="1"/>
      <w:marLeft w:val="0"/>
      <w:marRight w:val="0"/>
      <w:marTop w:val="0"/>
      <w:marBottom w:val="0"/>
      <w:divBdr>
        <w:top w:val="none" w:sz="0" w:space="0" w:color="auto"/>
        <w:left w:val="none" w:sz="0" w:space="0" w:color="auto"/>
        <w:bottom w:val="none" w:sz="0" w:space="0" w:color="auto"/>
        <w:right w:val="none" w:sz="0" w:space="0" w:color="auto"/>
      </w:divBdr>
    </w:div>
    <w:div w:id="152841141">
      <w:bodyDiv w:val="1"/>
      <w:marLeft w:val="0"/>
      <w:marRight w:val="0"/>
      <w:marTop w:val="0"/>
      <w:marBottom w:val="0"/>
      <w:divBdr>
        <w:top w:val="none" w:sz="0" w:space="0" w:color="auto"/>
        <w:left w:val="none" w:sz="0" w:space="0" w:color="auto"/>
        <w:bottom w:val="none" w:sz="0" w:space="0" w:color="auto"/>
        <w:right w:val="none" w:sz="0" w:space="0" w:color="auto"/>
      </w:divBdr>
    </w:div>
    <w:div w:id="154806284">
      <w:bodyDiv w:val="1"/>
      <w:marLeft w:val="0"/>
      <w:marRight w:val="0"/>
      <w:marTop w:val="0"/>
      <w:marBottom w:val="0"/>
      <w:divBdr>
        <w:top w:val="none" w:sz="0" w:space="0" w:color="auto"/>
        <w:left w:val="none" w:sz="0" w:space="0" w:color="auto"/>
        <w:bottom w:val="none" w:sz="0" w:space="0" w:color="auto"/>
        <w:right w:val="none" w:sz="0" w:space="0" w:color="auto"/>
      </w:divBdr>
    </w:div>
    <w:div w:id="157158742">
      <w:bodyDiv w:val="1"/>
      <w:marLeft w:val="0"/>
      <w:marRight w:val="0"/>
      <w:marTop w:val="0"/>
      <w:marBottom w:val="0"/>
      <w:divBdr>
        <w:top w:val="none" w:sz="0" w:space="0" w:color="auto"/>
        <w:left w:val="none" w:sz="0" w:space="0" w:color="auto"/>
        <w:bottom w:val="none" w:sz="0" w:space="0" w:color="auto"/>
        <w:right w:val="none" w:sz="0" w:space="0" w:color="auto"/>
      </w:divBdr>
    </w:div>
    <w:div w:id="158351094">
      <w:bodyDiv w:val="1"/>
      <w:marLeft w:val="0"/>
      <w:marRight w:val="0"/>
      <w:marTop w:val="0"/>
      <w:marBottom w:val="0"/>
      <w:divBdr>
        <w:top w:val="none" w:sz="0" w:space="0" w:color="auto"/>
        <w:left w:val="none" w:sz="0" w:space="0" w:color="auto"/>
        <w:bottom w:val="none" w:sz="0" w:space="0" w:color="auto"/>
        <w:right w:val="none" w:sz="0" w:space="0" w:color="auto"/>
      </w:divBdr>
    </w:div>
    <w:div w:id="159082699">
      <w:bodyDiv w:val="1"/>
      <w:marLeft w:val="0"/>
      <w:marRight w:val="0"/>
      <w:marTop w:val="0"/>
      <w:marBottom w:val="0"/>
      <w:divBdr>
        <w:top w:val="none" w:sz="0" w:space="0" w:color="auto"/>
        <w:left w:val="none" w:sz="0" w:space="0" w:color="auto"/>
        <w:bottom w:val="none" w:sz="0" w:space="0" w:color="auto"/>
        <w:right w:val="none" w:sz="0" w:space="0" w:color="auto"/>
      </w:divBdr>
    </w:div>
    <w:div w:id="159932960">
      <w:bodyDiv w:val="1"/>
      <w:marLeft w:val="0"/>
      <w:marRight w:val="0"/>
      <w:marTop w:val="0"/>
      <w:marBottom w:val="0"/>
      <w:divBdr>
        <w:top w:val="none" w:sz="0" w:space="0" w:color="auto"/>
        <w:left w:val="none" w:sz="0" w:space="0" w:color="auto"/>
        <w:bottom w:val="none" w:sz="0" w:space="0" w:color="auto"/>
        <w:right w:val="none" w:sz="0" w:space="0" w:color="auto"/>
      </w:divBdr>
    </w:div>
    <w:div w:id="163518031">
      <w:bodyDiv w:val="1"/>
      <w:marLeft w:val="0"/>
      <w:marRight w:val="0"/>
      <w:marTop w:val="0"/>
      <w:marBottom w:val="0"/>
      <w:divBdr>
        <w:top w:val="none" w:sz="0" w:space="0" w:color="auto"/>
        <w:left w:val="none" w:sz="0" w:space="0" w:color="auto"/>
        <w:bottom w:val="none" w:sz="0" w:space="0" w:color="auto"/>
        <w:right w:val="none" w:sz="0" w:space="0" w:color="auto"/>
      </w:divBdr>
    </w:div>
    <w:div w:id="164905095">
      <w:bodyDiv w:val="1"/>
      <w:marLeft w:val="0"/>
      <w:marRight w:val="0"/>
      <w:marTop w:val="0"/>
      <w:marBottom w:val="0"/>
      <w:divBdr>
        <w:top w:val="none" w:sz="0" w:space="0" w:color="auto"/>
        <w:left w:val="none" w:sz="0" w:space="0" w:color="auto"/>
        <w:bottom w:val="none" w:sz="0" w:space="0" w:color="auto"/>
        <w:right w:val="none" w:sz="0" w:space="0" w:color="auto"/>
      </w:divBdr>
    </w:div>
    <w:div w:id="164979253">
      <w:bodyDiv w:val="1"/>
      <w:marLeft w:val="0"/>
      <w:marRight w:val="0"/>
      <w:marTop w:val="0"/>
      <w:marBottom w:val="0"/>
      <w:divBdr>
        <w:top w:val="none" w:sz="0" w:space="0" w:color="auto"/>
        <w:left w:val="none" w:sz="0" w:space="0" w:color="auto"/>
        <w:bottom w:val="none" w:sz="0" w:space="0" w:color="auto"/>
        <w:right w:val="none" w:sz="0" w:space="0" w:color="auto"/>
      </w:divBdr>
    </w:div>
    <w:div w:id="165173455">
      <w:bodyDiv w:val="1"/>
      <w:marLeft w:val="0"/>
      <w:marRight w:val="0"/>
      <w:marTop w:val="0"/>
      <w:marBottom w:val="0"/>
      <w:divBdr>
        <w:top w:val="none" w:sz="0" w:space="0" w:color="auto"/>
        <w:left w:val="none" w:sz="0" w:space="0" w:color="auto"/>
        <w:bottom w:val="none" w:sz="0" w:space="0" w:color="auto"/>
        <w:right w:val="none" w:sz="0" w:space="0" w:color="auto"/>
      </w:divBdr>
    </w:div>
    <w:div w:id="170805090">
      <w:bodyDiv w:val="1"/>
      <w:marLeft w:val="0"/>
      <w:marRight w:val="0"/>
      <w:marTop w:val="0"/>
      <w:marBottom w:val="0"/>
      <w:divBdr>
        <w:top w:val="none" w:sz="0" w:space="0" w:color="auto"/>
        <w:left w:val="none" w:sz="0" w:space="0" w:color="auto"/>
        <w:bottom w:val="none" w:sz="0" w:space="0" w:color="auto"/>
        <w:right w:val="none" w:sz="0" w:space="0" w:color="auto"/>
      </w:divBdr>
    </w:div>
    <w:div w:id="172963561">
      <w:bodyDiv w:val="1"/>
      <w:marLeft w:val="0"/>
      <w:marRight w:val="0"/>
      <w:marTop w:val="0"/>
      <w:marBottom w:val="0"/>
      <w:divBdr>
        <w:top w:val="none" w:sz="0" w:space="0" w:color="auto"/>
        <w:left w:val="none" w:sz="0" w:space="0" w:color="auto"/>
        <w:bottom w:val="none" w:sz="0" w:space="0" w:color="auto"/>
        <w:right w:val="none" w:sz="0" w:space="0" w:color="auto"/>
      </w:divBdr>
    </w:div>
    <w:div w:id="174656647">
      <w:bodyDiv w:val="1"/>
      <w:marLeft w:val="0"/>
      <w:marRight w:val="0"/>
      <w:marTop w:val="0"/>
      <w:marBottom w:val="0"/>
      <w:divBdr>
        <w:top w:val="none" w:sz="0" w:space="0" w:color="auto"/>
        <w:left w:val="none" w:sz="0" w:space="0" w:color="auto"/>
        <w:bottom w:val="none" w:sz="0" w:space="0" w:color="auto"/>
        <w:right w:val="none" w:sz="0" w:space="0" w:color="auto"/>
      </w:divBdr>
    </w:div>
    <w:div w:id="175774730">
      <w:bodyDiv w:val="1"/>
      <w:marLeft w:val="0"/>
      <w:marRight w:val="0"/>
      <w:marTop w:val="0"/>
      <w:marBottom w:val="0"/>
      <w:divBdr>
        <w:top w:val="none" w:sz="0" w:space="0" w:color="auto"/>
        <w:left w:val="none" w:sz="0" w:space="0" w:color="auto"/>
        <w:bottom w:val="none" w:sz="0" w:space="0" w:color="auto"/>
        <w:right w:val="none" w:sz="0" w:space="0" w:color="auto"/>
      </w:divBdr>
    </w:div>
    <w:div w:id="176308555">
      <w:bodyDiv w:val="1"/>
      <w:marLeft w:val="0"/>
      <w:marRight w:val="0"/>
      <w:marTop w:val="0"/>
      <w:marBottom w:val="0"/>
      <w:divBdr>
        <w:top w:val="none" w:sz="0" w:space="0" w:color="auto"/>
        <w:left w:val="none" w:sz="0" w:space="0" w:color="auto"/>
        <w:bottom w:val="none" w:sz="0" w:space="0" w:color="auto"/>
        <w:right w:val="none" w:sz="0" w:space="0" w:color="auto"/>
      </w:divBdr>
    </w:div>
    <w:div w:id="178084441">
      <w:bodyDiv w:val="1"/>
      <w:marLeft w:val="0"/>
      <w:marRight w:val="0"/>
      <w:marTop w:val="0"/>
      <w:marBottom w:val="0"/>
      <w:divBdr>
        <w:top w:val="none" w:sz="0" w:space="0" w:color="auto"/>
        <w:left w:val="none" w:sz="0" w:space="0" w:color="auto"/>
        <w:bottom w:val="none" w:sz="0" w:space="0" w:color="auto"/>
        <w:right w:val="none" w:sz="0" w:space="0" w:color="auto"/>
      </w:divBdr>
    </w:div>
    <w:div w:id="179123825">
      <w:bodyDiv w:val="1"/>
      <w:marLeft w:val="0"/>
      <w:marRight w:val="0"/>
      <w:marTop w:val="0"/>
      <w:marBottom w:val="0"/>
      <w:divBdr>
        <w:top w:val="none" w:sz="0" w:space="0" w:color="auto"/>
        <w:left w:val="none" w:sz="0" w:space="0" w:color="auto"/>
        <w:bottom w:val="none" w:sz="0" w:space="0" w:color="auto"/>
        <w:right w:val="none" w:sz="0" w:space="0" w:color="auto"/>
      </w:divBdr>
    </w:div>
    <w:div w:id="180361226">
      <w:bodyDiv w:val="1"/>
      <w:marLeft w:val="0"/>
      <w:marRight w:val="0"/>
      <w:marTop w:val="0"/>
      <w:marBottom w:val="0"/>
      <w:divBdr>
        <w:top w:val="none" w:sz="0" w:space="0" w:color="auto"/>
        <w:left w:val="none" w:sz="0" w:space="0" w:color="auto"/>
        <w:bottom w:val="none" w:sz="0" w:space="0" w:color="auto"/>
        <w:right w:val="none" w:sz="0" w:space="0" w:color="auto"/>
      </w:divBdr>
    </w:div>
    <w:div w:id="180629077">
      <w:bodyDiv w:val="1"/>
      <w:marLeft w:val="0"/>
      <w:marRight w:val="0"/>
      <w:marTop w:val="0"/>
      <w:marBottom w:val="0"/>
      <w:divBdr>
        <w:top w:val="none" w:sz="0" w:space="0" w:color="auto"/>
        <w:left w:val="none" w:sz="0" w:space="0" w:color="auto"/>
        <w:bottom w:val="none" w:sz="0" w:space="0" w:color="auto"/>
        <w:right w:val="none" w:sz="0" w:space="0" w:color="auto"/>
      </w:divBdr>
    </w:div>
    <w:div w:id="181436346">
      <w:bodyDiv w:val="1"/>
      <w:marLeft w:val="0"/>
      <w:marRight w:val="0"/>
      <w:marTop w:val="0"/>
      <w:marBottom w:val="0"/>
      <w:divBdr>
        <w:top w:val="none" w:sz="0" w:space="0" w:color="auto"/>
        <w:left w:val="none" w:sz="0" w:space="0" w:color="auto"/>
        <w:bottom w:val="none" w:sz="0" w:space="0" w:color="auto"/>
        <w:right w:val="none" w:sz="0" w:space="0" w:color="auto"/>
      </w:divBdr>
    </w:div>
    <w:div w:id="182675374">
      <w:bodyDiv w:val="1"/>
      <w:marLeft w:val="0"/>
      <w:marRight w:val="0"/>
      <w:marTop w:val="0"/>
      <w:marBottom w:val="0"/>
      <w:divBdr>
        <w:top w:val="none" w:sz="0" w:space="0" w:color="auto"/>
        <w:left w:val="none" w:sz="0" w:space="0" w:color="auto"/>
        <w:bottom w:val="none" w:sz="0" w:space="0" w:color="auto"/>
        <w:right w:val="none" w:sz="0" w:space="0" w:color="auto"/>
      </w:divBdr>
    </w:div>
    <w:div w:id="183133441">
      <w:bodyDiv w:val="1"/>
      <w:marLeft w:val="0"/>
      <w:marRight w:val="0"/>
      <w:marTop w:val="0"/>
      <w:marBottom w:val="0"/>
      <w:divBdr>
        <w:top w:val="none" w:sz="0" w:space="0" w:color="auto"/>
        <w:left w:val="none" w:sz="0" w:space="0" w:color="auto"/>
        <w:bottom w:val="none" w:sz="0" w:space="0" w:color="auto"/>
        <w:right w:val="none" w:sz="0" w:space="0" w:color="auto"/>
      </w:divBdr>
    </w:div>
    <w:div w:id="184561015">
      <w:bodyDiv w:val="1"/>
      <w:marLeft w:val="0"/>
      <w:marRight w:val="0"/>
      <w:marTop w:val="0"/>
      <w:marBottom w:val="0"/>
      <w:divBdr>
        <w:top w:val="none" w:sz="0" w:space="0" w:color="auto"/>
        <w:left w:val="none" w:sz="0" w:space="0" w:color="auto"/>
        <w:bottom w:val="none" w:sz="0" w:space="0" w:color="auto"/>
        <w:right w:val="none" w:sz="0" w:space="0" w:color="auto"/>
      </w:divBdr>
    </w:div>
    <w:div w:id="185219755">
      <w:bodyDiv w:val="1"/>
      <w:marLeft w:val="0"/>
      <w:marRight w:val="0"/>
      <w:marTop w:val="0"/>
      <w:marBottom w:val="0"/>
      <w:divBdr>
        <w:top w:val="none" w:sz="0" w:space="0" w:color="auto"/>
        <w:left w:val="none" w:sz="0" w:space="0" w:color="auto"/>
        <w:bottom w:val="none" w:sz="0" w:space="0" w:color="auto"/>
        <w:right w:val="none" w:sz="0" w:space="0" w:color="auto"/>
      </w:divBdr>
    </w:div>
    <w:div w:id="188642623">
      <w:bodyDiv w:val="1"/>
      <w:marLeft w:val="0"/>
      <w:marRight w:val="0"/>
      <w:marTop w:val="0"/>
      <w:marBottom w:val="0"/>
      <w:divBdr>
        <w:top w:val="none" w:sz="0" w:space="0" w:color="auto"/>
        <w:left w:val="none" w:sz="0" w:space="0" w:color="auto"/>
        <w:bottom w:val="none" w:sz="0" w:space="0" w:color="auto"/>
        <w:right w:val="none" w:sz="0" w:space="0" w:color="auto"/>
      </w:divBdr>
    </w:div>
    <w:div w:id="189270395">
      <w:bodyDiv w:val="1"/>
      <w:marLeft w:val="0"/>
      <w:marRight w:val="0"/>
      <w:marTop w:val="0"/>
      <w:marBottom w:val="0"/>
      <w:divBdr>
        <w:top w:val="none" w:sz="0" w:space="0" w:color="auto"/>
        <w:left w:val="none" w:sz="0" w:space="0" w:color="auto"/>
        <w:bottom w:val="none" w:sz="0" w:space="0" w:color="auto"/>
        <w:right w:val="none" w:sz="0" w:space="0" w:color="auto"/>
      </w:divBdr>
    </w:div>
    <w:div w:id="190343830">
      <w:bodyDiv w:val="1"/>
      <w:marLeft w:val="0"/>
      <w:marRight w:val="0"/>
      <w:marTop w:val="0"/>
      <w:marBottom w:val="0"/>
      <w:divBdr>
        <w:top w:val="none" w:sz="0" w:space="0" w:color="auto"/>
        <w:left w:val="none" w:sz="0" w:space="0" w:color="auto"/>
        <w:bottom w:val="none" w:sz="0" w:space="0" w:color="auto"/>
        <w:right w:val="none" w:sz="0" w:space="0" w:color="auto"/>
      </w:divBdr>
    </w:div>
    <w:div w:id="190605618">
      <w:bodyDiv w:val="1"/>
      <w:marLeft w:val="0"/>
      <w:marRight w:val="0"/>
      <w:marTop w:val="0"/>
      <w:marBottom w:val="0"/>
      <w:divBdr>
        <w:top w:val="none" w:sz="0" w:space="0" w:color="auto"/>
        <w:left w:val="none" w:sz="0" w:space="0" w:color="auto"/>
        <w:bottom w:val="none" w:sz="0" w:space="0" w:color="auto"/>
        <w:right w:val="none" w:sz="0" w:space="0" w:color="auto"/>
      </w:divBdr>
    </w:div>
    <w:div w:id="190921037">
      <w:bodyDiv w:val="1"/>
      <w:marLeft w:val="0"/>
      <w:marRight w:val="0"/>
      <w:marTop w:val="0"/>
      <w:marBottom w:val="0"/>
      <w:divBdr>
        <w:top w:val="none" w:sz="0" w:space="0" w:color="auto"/>
        <w:left w:val="none" w:sz="0" w:space="0" w:color="auto"/>
        <w:bottom w:val="none" w:sz="0" w:space="0" w:color="auto"/>
        <w:right w:val="none" w:sz="0" w:space="0" w:color="auto"/>
      </w:divBdr>
    </w:div>
    <w:div w:id="191188823">
      <w:bodyDiv w:val="1"/>
      <w:marLeft w:val="0"/>
      <w:marRight w:val="0"/>
      <w:marTop w:val="0"/>
      <w:marBottom w:val="0"/>
      <w:divBdr>
        <w:top w:val="none" w:sz="0" w:space="0" w:color="auto"/>
        <w:left w:val="none" w:sz="0" w:space="0" w:color="auto"/>
        <w:bottom w:val="none" w:sz="0" w:space="0" w:color="auto"/>
        <w:right w:val="none" w:sz="0" w:space="0" w:color="auto"/>
      </w:divBdr>
    </w:div>
    <w:div w:id="191380273">
      <w:bodyDiv w:val="1"/>
      <w:marLeft w:val="0"/>
      <w:marRight w:val="0"/>
      <w:marTop w:val="0"/>
      <w:marBottom w:val="0"/>
      <w:divBdr>
        <w:top w:val="none" w:sz="0" w:space="0" w:color="auto"/>
        <w:left w:val="none" w:sz="0" w:space="0" w:color="auto"/>
        <w:bottom w:val="none" w:sz="0" w:space="0" w:color="auto"/>
        <w:right w:val="none" w:sz="0" w:space="0" w:color="auto"/>
      </w:divBdr>
    </w:div>
    <w:div w:id="192111963">
      <w:bodyDiv w:val="1"/>
      <w:marLeft w:val="0"/>
      <w:marRight w:val="0"/>
      <w:marTop w:val="0"/>
      <w:marBottom w:val="0"/>
      <w:divBdr>
        <w:top w:val="none" w:sz="0" w:space="0" w:color="auto"/>
        <w:left w:val="none" w:sz="0" w:space="0" w:color="auto"/>
        <w:bottom w:val="none" w:sz="0" w:space="0" w:color="auto"/>
        <w:right w:val="none" w:sz="0" w:space="0" w:color="auto"/>
      </w:divBdr>
    </w:div>
    <w:div w:id="192502947">
      <w:bodyDiv w:val="1"/>
      <w:marLeft w:val="0"/>
      <w:marRight w:val="0"/>
      <w:marTop w:val="0"/>
      <w:marBottom w:val="0"/>
      <w:divBdr>
        <w:top w:val="none" w:sz="0" w:space="0" w:color="auto"/>
        <w:left w:val="none" w:sz="0" w:space="0" w:color="auto"/>
        <w:bottom w:val="none" w:sz="0" w:space="0" w:color="auto"/>
        <w:right w:val="none" w:sz="0" w:space="0" w:color="auto"/>
      </w:divBdr>
    </w:div>
    <w:div w:id="192619879">
      <w:bodyDiv w:val="1"/>
      <w:marLeft w:val="0"/>
      <w:marRight w:val="0"/>
      <w:marTop w:val="0"/>
      <w:marBottom w:val="0"/>
      <w:divBdr>
        <w:top w:val="none" w:sz="0" w:space="0" w:color="auto"/>
        <w:left w:val="none" w:sz="0" w:space="0" w:color="auto"/>
        <w:bottom w:val="none" w:sz="0" w:space="0" w:color="auto"/>
        <w:right w:val="none" w:sz="0" w:space="0" w:color="auto"/>
      </w:divBdr>
    </w:div>
    <w:div w:id="193035224">
      <w:bodyDiv w:val="1"/>
      <w:marLeft w:val="0"/>
      <w:marRight w:val="0"/>
      <w:marTop w:val="0"/>
      <w:marBottom w:val="0"/>
      <w:divBdr>
        <w:top w:val="none" w:sz="0" w:space="0" w:color="auto"/>
        <w:left w:val="none" w:sz="0" w:space="0" w:color="auto"/>
        <w:bottom w:val="none" w:sz="0" w:space="0" w:color="auto"/>
        <w:right w:val="none" w:sz="0" w:space="0" w:color="auto"/>
      </w:divBdr>
    </w:div>
    <w:div w:id="193273100">
      <w:bodyDiv w:val="1"/>
      <w:marLeft w:val="0"/>
      <w:marRight w:val="0"/>
      <w:marTop w:val="0"/>
      <w:marBottom w:val="0"/>
      <w:divBdr>
        <w:top w:val="none" w:sz="0" w:space="0" w:color="auto"/>
        <w:left w:val="none" w:sz="0" w:space="0" w:color="auto"/>
        <w:bottom w:val="none" w:sz="0" w:space="0" w:color="auto"/>
        <w:right w:val="none" w:sz="0" w:space="0" w:color="auto"/>
      </w:divBdr>
    </w:div>
    <w:div w:id="193274628">
      <w:bodyDiv w:val="1"/>
      <w:marLeft w:val="0"/>
      <w:marRight w:val="0"/>
      <w:marTop w:val="0"/>
      <w:marBottom w:val="0"/>
      <w:divBdr>
        <w:top w:val="none" w:sz="0" w:space="0" w:color="auto"/>
        <w:left w:val="none" w:sz="0" w:space="0" w:color="auto"/>
        <w:bottom w:val="none" w:sz="0" w:space="0" w:color="auto"/>
        <w:right w:val="none" w:sz="0" w:space="0" w:color="auto"/>
      </w:divBdr>
    </w:div>
    <w:div w:id="194512294">
      <w:bodyDiv w:val="1"/>
      <w:marLeft w:val="0"/>
      <w:marRight w:val="0"/>
      <w:marTop w:val="0"/>
      <w:marBottom w:val="0"/>
      <w:divBdr>
        <w:top w:val="none" w:sz="0" w:space="0" w:color="auto"/>
        <w:left w:val="none" w:sz="0" w:space="0" w:color="auto"/>
        <w:bottom w:val="none" w:sz="0" w:space="0" w:color="auto"/>
        <w:right w:val="none" w:sz="0" w:space="0" w:color="auto"/>
      </w:divBdr>
    </w:div>
    <w:div w:id="196282574">
      <w:bodyDiv w:val="1"/>
      <w:marLeft w:val="0"/>
      <w:marRight w:val="0"/>
      <w:marTop w:val="0"/>
      <w:marBottom w:val="0"/>
      <w:divBdr>
        <w:top w:val="none" w:sz="0" w:space="0" w:color="auto"/>
        <w:left w:val="none" w:sz="0" w:space="0" w:color="auto"/>
        <w:bottom w:val="none" w:sz="0" w:space="0" w:color="auto"/>
        <w:right w:val="none" w:sz="0" w:space="0" w:color="auto"/>
      </w:divBdr>
    </w:div>
    <w:div w:id="196356514">
      <w:bodyDiv w:val="1"/>
      <w:marLeft w:val="0"/>
      <w:marRight w:val="0"/>
      <w:marTop w:val="0"/>
      <w:marBottom w:val="0"/>
      <w:divBdr>
        <w:top w:val="none" w:sz="0" w:space="0" w:color="auto"/>
        <w:left w:val="none" w:sz="0" w:space="0" w:color="auto"/>
        <w:bottom w:val="none" w:sz="0" w:space="0" w:color="auto"/>
        <w:right w:val="none" w:sz="0" w:space="0" w:color="auto"/>
      </w:divBdr>
    </w:div>
    <w:div w:id="196698696">
      <w:bodyDiv w:val="1"/>
      <w:marLeft w:val="0"/>
      <w:marRight w:val="0"/>
      <w:marTop w:val="0"/>
      <w:marBottom w:val="0"/>
      <w:divBdr>
        <w:top w:val="none" w:sz="0" w:space="0" w:color="auto"/>
        <w:left w:val="none" w:sz="0" w:space="0" w:color="auto"/>
        <w:bottom w:val="none" w:sz="0" w:space="0" w:color="auto"/>
        <w:right w:val="none" w:sz="0" w:space="0" w:color="auto"/>
      </w:divBdr>
    </w:div>
    <w:div w:id="198200712">
      <w:bodyDiv w:val="1"/>
      <w:marLeft w:val="0"/>
      <w:marRight w:val="0"/>
      <w:marTop w:val="0"/>
      <w:marBottom w:val="0"/>
      <w:divBdr>
        <w:top w:val="none" w:sz="0" w:space="0" w:color="auto"/>
        <w:left w:val="none" w:sz="0" w:space="0" w:color="auto"/>
        <w:bottom w:val="none" w:sz="0" w:space="0" w:color="auto"/>
        <w:right w:val="none" w:sz="0" w:space="0" w:color="auto"/>
      </w:divBdr>
    </w:div>
    <w:div w:id="198469372">
      <w:bodyDiv w:val="1"/>
      <w:marLeft w:val="0"/>
      <w:marRight w:val="0"/>
      <w:marTop w:val="0"/>
      <w:marBottom w:val="0"/>
      <w:divBdr>
        <w:top w:val="none" w:sz="0" w:space="0" w:color="auto"/>
        <w:left w:val="none" w:sz="0" w:space="0" w:color="auto"/>
        <w:bottom w:val="none" w:sz="0" w:space="0" w:color="auto"/>
        <w:right w:val="none" w:sz="0" w:space="0" w:color="auto"/>
      </w:divBdr>
    </w:div>
    <w:div w:id="199557497">
      <w:bodyDiv w:val="1"/>
      <w:marLeft w:val="0"/>
      <w:marRight w:val="0"/>
      <w:marTop w:val="0"/>
      <w:marBottom w:val="0"/>
      <w:divBdr>
        <w:top w:val="none" w:sz="0" w:space="0" w:color="auto"/>
        <w:left w:val="none" w:sz="0" w:space="0" w:color="auto"/>
        <w:bottom w:val="none" w:sz="0" w:space="0" w:color="auto"/>
        <w:right w:val="none" w:sz="0" w:space="0" w:color="auto"/>
      </w:divBdr>
    </w:div>
    <w:div w:id="201671387">
      <w:bodyDiv w:val="1"/>
      <w:marLeft w:val="0"/>
      <w:marRight w:val="0"/>
      <w:marTop w:val="0"/>
      <w:marBottom w:val="0"/>
      <w:divBdr>
        <w:top w:val="none" w:sz="0" w:space="0" w:color="auto"/>
        <w:left w:val="none" w:sz="0" w:space="0" w:color="auto"/>
        <w:bottom w:val="none" w:sz="0" w:space="0" w:color="auto"/>
        <w:right w:val="none" w:sz="0" w:space="0" w:color="auto"/>
      </w:divBdr>
    </w:div>
    <w:div w:id="202980184">
      <w:bodyDiv w:val="1"/>
      <w:marLeft w:val="0"/>
      <w:marRight w:val="0"/>
      <w:marTop w:val="0"/>
      <w:marBottom w:val="0"/>
      <w:divBdr>
        <w:top w:val="none" w:sz="0" w:space="0" w:color="auto"/>
        <w:left w:val="none" w:sz="0" w:space="0" w:color="auto"/>
        <w:bottom w:val="none" w:sz="0" w:space="0" w:color="auto"/>
        <w:right w:val="none" w:sz="0" w:space="0" w:color="auto"/>
      </w:divBdr>
    </w:div>
    <w:div w:id="203490742">
      <w:bodyDiv w:val="1"/>
      <w:marLeft w:val="0"/>
      <w:marRight w:val="0"/>
      <w:marTop w:val="0"/>
      <w:marBottom w:val="0"/>
      <w:divBdr>
        <w:top w:val="none" w:sz="0" w:space="0" w:color="auto"/>
        <w:left w:val="none" w:sz="0" w:space="0" w:color="auto"/>
        <w:bottom w:val="none" w:sz="0" w:space="0" w:color="auto"/>
        <w:right w:val="none" w:sz="0" w:space="0" w:color="auto"/>
      </w:divBdr>
    </w:div>
    <w:div w:id="204561533">
      <w:bodyDiv w:val="1"/>
      <w:marLeft w:val="0"/>
      <w:marRight w:val="0"/>
      <w:marTop w:val="0"/>
      <w:marBottom w:val="0"/>
      <w:divBdr>
        <w:top w:val="none" w:sz="0" w:space="0" w:color="auto"/>
        <w:left w:val="none" w:sz="0" w:space="0" w:color="auto"/>
        <w:bottom w:val="none" w:sz="0" w:space="0" w:color="auto"/>
        <w:right w:val="none" w:sz="0" w:space="0" w:color="auto"/>
      </w:divBdr>
    </w:div>
    <w:div w:id="205222122">
      <w:bodyDiv w:val="1"/>
      <w:marLeft w:val="0"/>
      <w:marRight w:val="0"/>
      <w:marTop w:val="0"/>
      <w:marBottom w:val="0"/>
      <w:divBdr>
        <w:top w:val="none" w:sz="0" w:space="0" w:color="auto"/>
        <w:left w:val="none" w:sz="0" w:space="0" w:color="auto"/>
        <w:bottom w:val="none" w:sz="0" w:space="0" w:color="auto"/>
        <w:right w:val="none" w:sz="0" w:space="0" w:color="auto"/>
      </w:divBdr>
    </w:div>
    <w:div w:id="208303763">
      <w:bodyDiv w:val="1"/>
      <w:marLeft w:val="0"/>
      <w:marRight w:val="0"/>
      <w:marTop w:val="0"/>
      <w:marBottom w:val="0"/>
      <w:divBdr>
        <w:top w:val="none" w:sz="0" w:space="0" w:color="auto"/>
        <w:left w:val="none" w:sz="0" w:space="0" w:color="auto"/>
        <w:bottom w:val="none" w:sz="0" w:space="0" w:color="auto"/>
        <w:right w:val="none" w:sz="0" w:space="0" w:color="auto"/>
      </w:divBdr>
    </w:div>
    <w:div w:id="208684251">
      <w:bodyDiv w:val="1"/>
      <w:marLeft w:val="0"/>
      <w:marRight w:val="0"/>
      <w:marTop w:val="0"/>
      <w:marBottom w:val="0"/>
      <w:divBdr>
        <w:top w:val="none" w:sz="0" w:space="0" w:color="auto"/>
        <w:left w:val="none" w:sz="0" w:space="0" w:color="auto"/>
        <w:bottom w:val="none" w:sz="0" w:space="0" w:color="auto"/>
        <w:right w:val="none" w:sz="0" w:space="0" w:color="auto"/>
      </w:divBdr>
    </w:div>
    <w:div w:id="208880923">
      <w:bodyDiv w:val="1"/>
      <w:marLeft w:val="0"/>
      <w:marRight w:val="0"/>
      <w:marTop w:val="0"/>
      <w:marBottom w:val="0"/>
      <w:divBdr>
        <w:top w:val="none" w:sz="0" w:space="0" w:color="auto"/>
        <w:left w:val="none" w:sz="0" w:space="0" w:color="auto"/>
        <w:bottom w:val="none" w:sz="0" w:space="0" w:color="auto"/>
        <w:right w:val="none" w:sz="0" w:space="0" w:color="auto"/>
      </w:divBdr>
    </w:div>
    <w:div w:id="211815866">
      <w:bodyDiv w:val="1"/>
      <w:marLeft w:val="0"/>
      <w:marRight w:val="0"/>
      <w:marTop w:val="0"/>
      <w:marBottom w:val="0"/>
      <w:divBdr>
        <w:top w:val="none" w:sz="0" w:space="0" w:color="auto"/>
        <w:left w:val="none" w:sz="0" w:space="0" w:color="auto"/>
        <w:bottom w:val="none" w:sz="0" w:space="0" w:color="auto"/>
        <w:right w:val="none" w:sz="0" w:space="0" w:color="auto"/>
      </w:divBdr>
    </w:div>
    <w:div w:id="215313141">
      <w:bodyDiv w:val="1"/>
      <w:marLeft w:val="0"/>
      <w:marRight w:val="0"/>
      <w:marTop w:val="0"/>
      <w:marBottom w:val="0"/>
      <w:divBdr>
        <w:top w:val="none" w:sz="0" w:space="0" w:color="auto"/>
        <w:left w:val="none" w:sz="0" w:space="0" w:color="auto"/>
        <w:bottom w:val="none" w:sz="0" w:space="0" w:color="auto"/>
        <w:right w:val="none" w:sz="0" w:space="0" w:color="auto"/>
      </w:divBdr>
    </w:div>
    <w:div w:id="219286856">
      <w:bodyDiv w:val="1"/>
      <w:marLeft w:val="0"/>
      <w:marRight w:val="0"/>
      <w:marTop w:val="0"/>
      <w:marBottom w:val="0"/>
      <w:divBdr>
        <w:top w:val="none" w:sz="0" w:space="0" w:color="auto"/>
        <w:left w:val="none" w:sz="0" w:space="0" w:color="auto"/>
        <w:bottom w:val="none" w:sz="0" w:space="0" w:color="auto"/>
        <w:right w:val="none" w:sz="0" w:space="0" w:color="auto"/>
      </w:divBdr>
    </w:div>
    <w:div w:id="221255125">
      <w:bodyDiv w:val="1"/>
      <w:marLeft w:val="0"/>
      <w:marRight w:val="0"/>
      <w:marTop w:val="0"/>
      <w:marBottom w:val="0"/>
      <w:divBdr>
        <w:top w:val="none" w:sz="0" w:space="0" w:color="auto"/>
        <w:left w:val="none" w:sz="0" w:space="0" w:color="auto"/>
        <w:bottom w:val="none" w:sz="0" w:space="0" w:color="auto"/>
        <w:right w:val="none" w:sz="0" w:space="0" w:color="auto"/>
      </w:divBdr>
    </w:div>
    <w:div w:id="223031914">
      <w:bodyDiv w:val="1"/>
      <w:marLeft w:val="0"/>
      <w:marRight w:val="0"/>
      <w:marTop w:val="0"/>
      <w:marBottom w:val="0"/>
      <w:divBdr>
        <w:top w:val="none" w:sz="0" w:space="0" w:color="auto"/>
        <w:left w:val="none" w:sz="0" w:space="0" w:color="auto"/>
        <w:bottom w:val="none" w:sz="0" w:space="0" w:color="auto"/>
        <w:right w:val="none" w:sz="0" w:space="0" w:color="auto"/>
      </w:divBdr>
    </w:div>
    <w:div w:id="223299218">
      <w:bodyDiv w:val="1"/>
      <w:marLeft w:val="0"/>
      <w:marRight w:val="0"/>
      <w:marTop w:val="0"/>
      <w:marBottom w:val="0"/>
      <w:divBdr>
        <w:top w:val="none" w:sz="0" w:space="0" w:color="auto"/>
        <w:left w:val="none" w:sz="0" w:space="0" w:color="auto"/>
        <w:bottom w:val="none" w:sz="0" w:space="0" w:color="auto"/>
        <w:right w:val="none" w:sz="0" w:space="0" w:color="auto"/>
      </w:divBdr>
    </w:div>
    <w:div w:id="229658027">
      <w:bodyDiv w:val="1"/>
      <w:marLeft w:val="0"/>
      <w:marRight w:val="0"/>
      <w:marTop w:val="0"/>
      <w:marBottom w:val="0"/>
      <w:divBdr>
        <w:top w:val="none" w:sz="0" w:space="0" w:color="auto"/>
        <w:left w:val="none" w:sz="0" w:space="0" w:color="auto"/>
        <w:bottom w:val="none" w:sz="0" w:space="0" w:color="auto"/>
        <w:right w:val="none" w:sz="0" w:space="0" w:color="auto"/>
      </w:divBdr>
    </w:div>
    <w:div w:id="229778472">
      <w:bodyDiv w:val="1"/>
      <w:marLeft w:val="0"/>
      <w:marRight w:val="0"/>
      <w:marTop w:val="0"/>
      <w:marBottom w:val="0"/>
      <w:divBdr>
        <w:top w:val="none" w:sz="0" w:space="0" w:color="auto"/>
        <w:left w:val="none" w:sz="0" w:space="0" w:color="auto"/>
        <w:bottom w:val="none" w:sz="0" w:space="0" w:color="auto"/>
        <w:right w:val="none" w:sz="0" w:space="0" w:color="auto"/>
      </w:divBdr>
    </w:div>
    <w:div w:id="232352254">
      <w:bodyDiv w:val="1"/>
      <w:marLeft w:val="0"/>
      <w:marRight w:val="0"/>
      <w:marTop w:val="0"/>
      <w:marBottom w:val="0"/>
      <w:divBdr>
        <w:top w:val="none" w:sz="0" w:space="0" w:color="auto"/>
        <w:left w:val="none" w:sz="0" w:space="0" w:color="auto"/>
        <w:bottom w:val="none" w:sz="0" w:space="0" w:color="auto"/>
        <w:right w:val="none" w:sz="0" w:space="0" w:color="auto"/>
      </w:divBdr>
    </w:div>
    <w:div w:id="233855057">
      <w:bodyDiv w:val="1"/>
      <w:marLeft w:val="0"/>
      <w:marRight w:val="0"/>
      <w:marTop w:val="0"/>
      <w:marBottom w:val="0"/>
      <w:divBdr>
        <w:top w:val="none" w:sz="0" w:space="0" w:color="auto"/>
        <w:left w:val="none" w:sz="0" w:space="0" w:color="auto"/>
        <w:bottom w:val="none" w:sz="0" w:space="0" w:color="auto"/>
        <w:right w:val="none" w:sz="0" w:space="0" w:color="auto"/>
      </w:divBdr>
    </w:div>
    <w:div w:id="239676373">
      <w:bodyDiv w:val="1"/>
      <w:marLeft w:val="0"/>
      <w:marRight w:val="0"/>
      <w:marTop w:val="0"/>
      <w:marBottom w:val="0"/>
      <w:divBdr>
        <w:top w:val="none" w:sz="0" w:space="0" w:color="auto"/>
        <w:left w:val="none" w:sz="0" w:space="0" w:color="auto"/>
        <w:bottom w:val="none" w:sz="0" w:space="0" w:color="auto"/>
        <w:right w:val="none" w:sz="0" w:space="0" w:color="auto"/>
      </w:divBdr>
    </w:div>
    <w:div w:id="242764969">
      <w:bodyDiv w:val="1"/>
      <w:marLeft w:val="0"/>
      <w:marRight w:val="0"/>
      <w:marTop w:val="0"/>
      <w:marBottom w:val="0"/>
      <w:divBdr>
        <w:top w:val="none" w:sz="0" w:space="0" w:color="auto"/>
        <w:left w:val="none" w:sz="0" w:space="0" w:color="auto"/>
        <w:bottom w:val="none" w:sz="0" w:space="0" w:color="auto"/>
        <w:right w:val="none" w:sz="0" w:space="0" w:color="auto"/>
      </w:divBdr>
    </w:div>
    <w:div w:id="244071419">
      <w:bodyDiv w:val="1"/>
      <w:marLeft w:val="0"/>
      <w:marRight w:val="0"/>
      <w:marTop w:val="0"/>
      <w:marBottom w:val="0"/>
      <w:divBdr>
        <w:top w:val="none" w:sz="0" w:space="0" w:color="auto"/>
        <w:left w:val="none" w:sz="0" w:space="0" w:color="auto"/>
        <w:bottom w:val="none" w:sz="0" w:space="0" w:color="auto"/>
        <w:right w:val="none" w:sz="0" w:space="0" w:color="auto"/>
      </w:divBdr>
    </w:div>
    <w:div w:id="244461152">
      <w:bodyDiv w:val="1"/>
      <w:marLeft w:val="0"/>
      <w:marRight w:val="0"/>
      <w:marTop w:val="0"/>
      <w:marBottom w:val="0"/>
      <w:divBdr>
        <w:top w:val="none" w:sz="0" w:space="0" w:color="auto"/>
        <w:left w:val="none" w:sz="0" w:space="0" w:color="auto"/>
        <w:bottom w:val="none" w:sz="0" w:space="0" w:color="auto"/>
        <w:right w:val="none" w:sz="0" w:space="0" w:color="auto"/>
      </w:divBdr>
    </w:div>
    <w:div w:id="244725873">
      <w:bodyDiv w:val="1"/>
      <w:marLeft w:val="0"/>
      <w:marRight w:val="0"/>
      <w:marTop w:val="0"/>
      <w:marBottom w:val="0"/>
      <w:divBdr>
        <w:top w:val="none" w:sz="0" w:space="0" w:color="auto"/>
        <w:left w:val="none" w:sz="0" w:space="0" w:color="auto"/>
        <w:bottom w:val="none" w:sz="0" w:space="0" w:color="auto"/>
        <w:right w:val="none" w:sz="0" w:space="0" w:color="auto"/>
      </w:divBdr>
    </w:div>
    <w:div w:id="246774127">
      <w:bodyDiv w:val="1"/>
      <w:marLeft w:val="0"/>
      <w:marRight w:val="0"/>
      <w:marTop w:val="0"/>
      <w:marBottom w:val="0"/>
      <w:divBdr>
        <w:top w:val="none" w:sz="0" w:space="0" w:color="auto"/>
        <w:left w:val="none" w:sz="0" w:space="0" w:color="auto"/>
        <w:bottom w:val="none" w:sz="0" w:space="0" w:color="auto"/>
        <w:right w:val="none" w:sz="0" w:space="0" w:color="auto"/>
      </w:divBdr>
    </w:div>
    <w:div w:id="247158313">
      <w:bodyDiv w:val="1"/>
      <w:marLeft w:val="0"/>
      <w:marRight w:val="0"/>
      <w:marTop w:val="0"/>
      <w:marBottom w:val="0"/>
      <w:divBdr>
        <w:top w:val="none" w:sz="0" w:space="0" w:color="auto"/>
        <w:left w:val="none" w:sz="0" w:space="0" w:color="auto"/>
        <w:bottom w:val="none" w:sz="0" w:space="0" w:color="auto"/>
        <w:right w:val="none" w:sz="0" w:space="0" w:color="auto"/>
      </w:divBdr>
    </w:div>
    <w:div w:id="249705699">
      <w:bodyDiv w:val="1"/>
      <w:marLeft w:val="0"/>
      <w:marRight w:val="0"/>
      <w:marTop w:val="0"/>
      <w:marBottom w:val="0"/>
      <w:divBdr>
        <w:top w:val="none" w:sz="0" w:space="0" w:color="auto"/>
        <w:left w:val="none" w:sz="0" w:space="0" w:color="auto"/>
        <w:bottom w:val="none" w:sz="0" w:space="0" w:color="auto"/>
        <w:right w:val="none" w:sz="0" w:space="0" w:color="auto"/>
      </w:divBdr>
    </w:div>
    <w:div w:id="250548961">
      <w:bodyDiv w:val="1"/>
      <w:marLeft w:val="0"/>
      <w:marRight w:val="0"/>
      <w:marTop w:val="0"/>
      <w:marBottom w:val="0"/>
      <w:divBdr>
        <w:top w:val="none" w:sz="0" w:space="0" w:color="auto"/>
        <w:left w:val="none" w:sz="0" w:space="0" w:color="auto"/>
        <w:bottom w:val="none" w:sz="0" w:space="0" w:color="auto"/>
        <w:right w:val="none" w:sz="0" w:space="0" w:color="auto"/>
      </w:divBdr>
    </w:div>
    <w:div w:id="252713683">
      <w:bodyDiv w:val="1"/>
      <w:marLeft w:val="0"/>
      <w:marRight w:val="0"/>
      <w:marTop w:val="0"/>
      <w:marBottom w:val="0"/>
      <w:divBdr>
        <w:top w:val="none" w:sz="0" w:space="0" w:color="auto"/>
        <w:left w:val="none" w:sz="0" w:space="0" w:color="auto"/>
        <w:bottom w:val="none" w:sz="0" w:space="0" w:color="auto"/>
        <w:right w:val="none" w:sz="0" w:space="0" w:color="auto"/>
      </w:divBdr>
    </w:div>
    <w:div w:id="254824564">
      <w:bodyDiv w:val="1"/>
      <w:marLeft w:val="0"/>
      <w:marRight w:val="0"/>
      <w:marTop w:val="0"/>
      <w:marBottom w:val="0"/>
      <w:divBdr>
        <w:top w:val="none" w:sz="0" w:space="0" w:color="auto"/>
        <w:left w:val="none" w:sz="0" w:space="0" w:color="auto"/>
        <w:bottom w:val="none" w:sz="0" w:space="0" w:color="auto"/>
        <w:right w:val="none" w:sz="0" w:space="0" w:color="auto"/>
      </w:divBdr>
    </w:div>
    <w:div w:id="256910337">
      <w:bodyDiv w:val="1"/>
      <w:marLeft w:val="0"/>
      <w:marRight w:val="0"/>
      <w:marTop w:val="0"/>
      <w:marBottom w:val="0"/>
      <w:divBdr>
        <w:top w:val="none" w:sz="0" w:space="0" w:color="auto"/>
        <w:left w:val="none" w:sz="0" w:space="0" w:color="auto"/>
        <w:bottom w:val="none" w:sz="0" w:space="0" w:color="auto"/>
        <w:right w:val="none" w:sz="0" w:space="0" w:color="auto"/>
      </w:divBdr>
    </w:div>
    <w:div w:id="257446618">
      <w:bodyDiv w:val="1"/>
      <w:marLeft w:val="0"/>
      <w:marRight w:val="0"/>
      <w:marTop w:val="0"/>
      <w:marBottom w:val="0"/>
      <w:divBdr>
        <w:top w:val="none" w:sz="0" w:space="0" w:color="auto"/>
        <w:left w:val="none" w:sz="0" w:space="0" w:color="auto"/>
        <w:bottom w:val="none" w:sz="0" w:space="0" w:color="auto"/>
        <w:right w:val="none" w:sz="0" w:space="0" w:color="auto"/>
      </w:divBdr>
    </w:div>
    <w:div w:id="257832793">
      <w:bodyDiv w:val="1"/>
      <w:marLeft w:val="0"/>
      <w:marRight w:val="0"/>
      <w:marTop w:val="0"/>
      <w:marBottom w:val="0"/>
      <w:divBdr>
        <w:top w:val="none" w:sz="0" w:space="0" w:color="auto"/>
        <w:left w:val="none" w:sz="0" w:space="0" w:color="auto"/>
        <w:bottom w:val="none" w:sz="0" w:space="0" w:color="auto"/>
        <w:right w:val="none" w:sz="0" w:space="0" w:color="auto"/>
      </w:divBdr>
    </w:div>
    <w:div w:id="260065030">
      <w:bodyDiv w:val="1"/>
      <w:marLeft w:val="0"/>
      <w:marRight w:val="0"/>
      <w:marTop w:val="0"/>
      <w:marBottom w:val="0"/>
      <w:divBdr>
        <w:top w:val="none" w:sz="0" w:space="0" w:color="auto"/>
        <w:left w:val="none" w:sz="0" w:space="0" w:color="auto"/>
        <w:bottom w:val="none" w:sz="0" w:space="0" w:color="auto"/>
        <w:right w:val="none" w:sz="0" w:space="0" w:color="auto"/>
      </w:divBdr>
    </w:div>
    <w:div w:id="260375165">
      <w:bodyDiv w:val="1"/>
      <w:marLeft w:val="0"/>
      <w:marRight w:val="0"/>
      <w:marTop w:val="0"/>
      <w:marBottom w:val="0"/>
      <w:divBdr>
        <w:top w:val="none" w:sz="0" w:space="0" w:color="auto"/>
        <w:left w:val="none" w:sz="0" w:space="0" w:color="auto"/>
        <w:bottom w:val="none" w:sz="0" w:space="0" w:color="auto"/>
        <w:right w:val="none" w:sz="0" w:space="0" w:color="auto"/>
      </w:divBdr>
    </w:div>
    <w:div w:id="261380428">
      <w:bodyDiv w:val="1"/>
      <w:marLeft w:val="0"/>
      <w:marRight w:val="0"/>
      <w:marTop w:val="0"/>
      <w:marBottom w:val="0"/>
      <w:divBdr>
        <w:top w:val="none" w:sz="0" w:space="0" w:color="auto"/>
        <w:left w:val="none" w:sz="0" w:space="0" w:color="auto"/>
        <w:bottom w:val="none" w:sz="0" w:space="0" w:color="auto"/>
        <w:right w:val="none" w:sz="0" w:space="0" w:color="auto"/>
      </w:divBdr>
    </w:div>
    <w:div w:id="264729310">
      <w:bodyDiv w:val="1"/>
      <w:marLeft w:val="0"/>
      <w:marRight w:val="0"/>
      <w:marTop w:val="0"/>
      <w:marBottom w:val="0"/>
      <w:divBdr>
        <w:top w:val="none" w:sz="0" w:space="0" w:color="auto"/>
        <w:left w:val="none" w:sz="0" w:space="0" w:color="auto"/>
        <w:bottom w:val="none" w:sz="0" w:space="0" w:color="auto"/>
        <w:right w:val="none" w:sz="0" w:space="0" w:color="auto"/>
      </w:divBdr>
    </w:div>
    <w:div w:id="265189210">
      <w:bodyDiv w:val="1"/>
      <w:marLeft w:val="0"/>
      <w:marRight w:val="0"/>
      <w:marTop w:val="0"/>
      <w:marBottom w:val="0"/>
      <w:divBdr>
        <w:top w:val="none" w:sz="0" w:space="0" w:color="auto"/>
        <w:left w:val="none" w:sz="0" w:space="0" w:color="auto"/>
        <w:bottom w:val="none" w:sz="0" w:space="0" w:color="auto"/>
        <w:right w:val="none" w:sz="0" w:space="0" w:color="auto"/>
      </w:divBdr>
    </w:div>
    <w:div w:id="266083984">
      <w:bodyDiv w:val="1"/>
      <w:marLeft w:val="0"/>
      <w:marRight w:val="0"/>
      <w:marTop w:val="0"/>
      <w:marBottom w:val="0"/>
      <w:divBdr>
        <w:top w:val="none" w:sz="0" w:space="0" w:color="auto"/>
        <w:left w:val="none" w:sz="0" w:space="0" w:color="auto"/>
        <w:bottom w:val="none" w:sz="0" w:space="0" w:color="auto"/>
        <w:right w:val="none" w:sz="0" w:space="0" w:color="auto"/>
      </w:divBdr>
    </w:div>
    <w:div w:id="266305456">
      <w:bodyDiv w:val="1"/>
      <w:marLeft w:val="0"/>
      <w:marRight w:val="0"/>
      <w:marTop w:val="0"/>
      <w:marBottom w:val="0"/>
      <w:divBdr>
        <w:top w:val="none" w:sz="0" w:space="0" w:color="auto"/>
        <w:left w:val="none" w:sz="0" w:space="0" w:color="auto"/>
        <w:bottom w:val="none" w:sz="0" w:space="0" w:color="auto"/>
        <w:right w:val="none" w:sz="0" w:space="0" w:color="auto"/>
      </w:divBdr>
    </w:div>
    <w:div w:id="267004526">
      <w:bodyDiv w:val="1"/>
      <w:marLeft w:val="0"/>
      <w:marRight w:val="0"/>
      <w:marTop w:val="0"/>
      <w:marBottom w:val="0"/>
      <w:divBdr>
        <w:top w:val="none" w:sz="0" w:space="0" w:color="auto"/>
        <w:left w:val="none" w:sz="0" w:space="0" w:color="auto"/>
        <w:bottom w:val="none" w:sz="0" w:space="0" w:color="auto"/>
        <w:right w:val="none" w:sz="0" w:space="0" w:color="auto"/>
      </w:divBdr>
    </w:div>
    <w:div w:id="267930159">
      <w:bodyDiv w:val="1"/>
      <w:marLeft w:val="0"/>
      <w:marRight w:val="0"/>
      <w:marTop w:val="0"/>
      <w:marBottom w:val="0"/>
      <w:divBdr>
        <w:top w:val="none" w:sz="0" w:space="0" w:color="auto"/>
        <w:left w:val="none" w:sz="0" w:space="0" w:color="auto"/>
        <w:bottom w:val="none" w:sz="0" w:space="0" w:color="auto"/>
        <w:right w:val="none" w:sz="0" w:space="0" w:color="auto"/>
      </w:divBdr>
    </w:div>
    <w:div w:id="268128781">
      <w:bodyDiv w:val="1"/>
      <w:marLeft w:val="0"/>
      <w:marRight w:val="0"/>
      <w:marTop w:val="0"/>
      <w:marBottom w:val="0"/>
      <w:divBdr>
        <w:top w:val="none" w:sz="0" w:space="0" w:color="auto"/>
        <w:left w:val="none" w:sz="0" w:space="0" w:color="auto"/>
        <w:bottom w:val="none" w:sz="0" w:space="0" w:color="auto"/>
        <w:right w:val="none" w:sz="0" w:space="0" w:color="auto"/>
      </w:divBdr>
    </w:div>
    <w:div w:id="269245427">
      <w:bodyDiv w:val="1"/>
      <w:marLeft w:val="0"/>
      <w:marRight w:val="0"/>
      <w:marTop w:val="0"/>
      <w:marBottom w:val="0"/>
      <w:divBdr>
        <w:top w:val="none" w:sz="0" w:space="0" w:color="auto"/>
        <w:left w:val="none" w:sz="0" w:space="0" w:color="auto"/>
        <w:bottom w:val="none" w:sz="0" w:space="0" w:color="auto"/>
        <w:right w:val="none" w:sz="0" w:space="0" w:color="auto"/>
      </w:divBdr>
    </w:div>
    <w:div w:id="271866653">
      <w:bodyDiv w:val="1"/>
      <w:marLeft w:val="0"/>
      <w:marRight w:val="0"/>
      <w:marTop w:val="0"/>
      <w:marBottom w:val="0"/>
      <w:divBdr>
        <w:top w:val="none" w:sz="0" w:space="0" w:color="auto"/>
        <w:left w:val="none" w:sz="0" w:space="0" w:color="auto"/>
        <w:bottom w:val="none" w:sz="0" w:space="0" w:color="auto"/>
        <w:right w:val="none" w:sz="0" w:space="0" w:color="auto"/>
      </w:divBdr>
    </w:div>
    <w:div w:id="273558319">
      <w:bodyDiv w:val="1"/>
      <w:marLeft w:val="0"/>
      <w:marRight w:val="0"/>
      <w:marTop w:val="0"/>
      <w:marBottom w:val="0"/>
      <w:divBdr>
        <w:top w:val="none" w:sz="0" w:space="0" w:color="auto"/>
        <w:left w:val="none" w:sz="0" w:space="0" w:color="auto"/>
        <w:bottom w:val="none" w:sz="0" w:space="0" w:color="auto"/>
        <w:right w:val="none" w:sz="0" w:space="0" w:color="auto"/>
      </w:divBdr>
    </w:div>
    <w:div w:id="274022386">
      <w:bodyDiv w:val="1"/>
      <w:marLeft w:val="0"/>
      <w:marRight w:val="0"/>
      <w:marTop w:val="0"/>
      <w:marBottom w:val="0"/>
      <w:divBdr>
        <w:top w:val="none" w:sz="0" w:space="0" w:color="auto"/>
        <w:left w:val="none" w:sz="0" w:space="0" w:color="auto"/>
        <w:bottom w:val="none" w:sz="0" w:space="0" w:color="auto"/>
        <w:right w:val="none" w:sz="0" w:space="0" w:color="auto"/>
      </w:divBdr>
    </w:div>
    <w:div w:id="275069103">
      <w:bodyDiv w:val="1"/>
      <w:marLeft w:val="0"/>
      <w:marRight w:val="0"/>
      <w:marTop w:val="0"/>
      <w:marBottom w:val="0"/>
      <w:divBdr>
        <w:top w:val="none" w:sz="0" w:space="0" w:color="auto"/>
        <w:left w:val="none" w:sz="0" w:space="0" w:color="auto"/>
        <w:bottom w:val="none" w:sz="0" w:space="0" w:color="auto"/>
        <w:right w:val="none" w:sz="0" w:space="0" w:color="auto"/>
      </w:divBdr>
    </w:div>
    <w:div w:id="276059194">
      <w:bodyDiv w:val="1"/>
      <w:marLeft w:val="0"/>
      <w:marRight w:val="0"/>
      <w:marTop w:val="0"/>
      <w:marBottom w:val="0"/>
      <w:divBdr>
        <w:top w:val="none" w:sz="0" w:space="0" w:color="auto"/>
        <w:left w:val="none" w:sz="0" w:space="0" w:color="auto"/>
        <w:bottom w:val="none" w:sz="0" w:space="0" w:color="auto"/>
        <w:right w:val="none" w:sz="0" w:space="0" w:color="auto"/>
      </w:divBdr>
    </w:div>
    <w:div w:id="277488201">
      <w:bodyDiv w:val="1"/>
      <w:marLeft w:val="0"/>
      <w:marRight w:val="0"/>
      <w:marTop w:val="0"/>
      <w:marBottom w:val="0"/>
      <w:divBdr>
        <w:top w:val="none" w:sz="0" w:space="0" w:color="auto"/>
        <w:left w:val="none" w:sz="0" w:space="0" w:color="auto"/>
        <w:bottom w:val="none" w:sz="0" w:space="0" w:color="auto"/>
        <w:right w:val="none" w:sz="0" w:space="0" w:color="auto"/>
      </w:divBdr>
    </w:div>
    <w:div w:id="279530830">
      <w:bodyDiv w:val="1"/>
      <w:marLeft w:val="0"/>
      <w:marRight w:val="0"/>
      <w:marTop w:val="0"/>
      <w:marBottom w:val="0"/>
      <w:divBdr>
        <w:top w:val="none" w:sz="0" w:space="0" w:color="auto"/>
        <w:left w:val="none" w:sz="0" w:space="0" w:color="auto"/>
        <w:bottom w:val="none" w:sz="0" w:space="0" w:color="auto"/>
        <w:right w:val="none" w:sz="0" w:space="0" w:color="auto"/>
      </w:divBdr>
    </w:div>
    <w:div w:id="281418761">
      <w:bodyDiv w:val="1"/>
      <w:marLeft w:val="0"/>
      <w:marRight w:val="0"/>
      <w:marTop w:val="0"/>
      <w:marBottom w:val="0"/>
      <w:divBdr>
        <w:top w:val="none" w:sz="0" w:space="0" w:color="auto"/>
        <w:left w:val="none" w:sz="0" w:space="0" w:color="auto"/>
        <w:bottom w:val="none" w:sz="0" w:space="0" w:color="auto"/>
        <w:right w:val="none" w:sz="0" w:space="0" w:color="auto"/>
      </w:divBdr>
    </w:div>
    <w:div w:id="281763267">
      <w:bodyDiv w:val="1"/>
      <w:marLeft w:val="0"/>
      <w:marRight w:val="0"/>
      <w:marTop w:val="0"/>
      <w:marBottom w:val="0"/>
      <w:divBdr>
        <w:top w:val="none" w:sz="0" w:space="0" w:color="auto"/>
        <w:left w:val="none" w:sz="0" w:space="0" w:color="auto"/>
        <w:bottom w:val="none" w:sz="0" w:space="0" w:color="auto"/>
        <w:right w:val="none" w:sz="0" w:space="0" w:color="auto"/>
      </w:divBdr>
    </w:div>
    <w:div w:id="281768591">
      <w:bodyDiv w:val="1"/>
      <w:marLeft w:val="0"/>
      <w:marRight w:val="0"/>
      <w:marTop w:val="0"/>
      <w:marBottom w:val="0"/>
      <w:divBdr>
        <w:top w:val="none" w:sz="0" w:space="0" w:color="auto"/>
        <w:left w:val="none" w:sz="0" w:space="0" w:color="auto"/>
        <w:bottom w:val="none" w:sz="0" w:space="0" w:color="auto"/>
        <w:right w:val="none" w:sz="0" w:space="0" w:color="auto"/>
      </w:divBdr>
    </w:div>
    <w:div w:id="282198328">
      <w:bodyDiv w:val="1"/>
      <w:marLeft w:val="0"/>
      <w:marRight w:val="0"/>
      <w:marTop w:val="0"/>
      <w:marBottom w:val="0"/>
      <w:divBdr>
        <w:top w:val="none" w:sz="0" w:space="0" w:color="auto"/>
        <w:left w:val="none" w:sz="0" w:space="0" w:color="auto"/>
        <w:bottom w:val="none" w:sz="0" w:space="0" w:color="auto"/>
        <w:right w:val="none" w:sz="0" w:space="0" w:color="auto"/>
      </w:divBdr>
    </w:div>
    <w:div w:id="282660587">
      <w:bodyDiv w:val="1"/>
      <w:marLeft w:val="0"/>
      <w:marRight w:val="0"/>
      <w:marTop w:val="0"/>
      <w:marBottom w:val="0"/>
      <w:divBdr>
        <w:top w:val="none" w:sz="0" w:space="0" w:color="auto"/>
        <w:left w:val="none" w:sz="0" w:space="0" w:color="auto"/>
        <w:bottom w:val="none" w:sz="0" w:space="0" w:color="auto"/>
        <w:right w:val="none" w:sz="0" w:space="0" w:color="auto"/>
      </w:divBdr>
    </w:div>
    <w:div w:id="284971831">
      <w:bodyDiv w:val="1"/>
      <w:marLeft w:val="0"/>
      <w:marRight w:val="0"/>
      <w:marTop w:val="0"/>
      <w:marBottom w:val="0"/>
      <w:divBdr>
        <w:top w:val="none" w:sz="0" w:space="0" w:color="auto"/>
        <w:left w:val="none" w:sz="0" w:space="0" w:color="auto"/>
        <w:bottom w:val="none" w:sz="0" w:space="0" w:color="auto"/>
        <w:right w:val="none" w:sz="0" w:space="0" w:color="auto"/>
      </w:divBdr>
    </w:div>
    <w:div w:id="285350709">
      <w:bodyDiv w:val="1"/>
      <w:marLeft w:val="0"/>
      <w:marRight w:val="0"/>
      <w:marTop w:val="0"/>
      <w:marBottom w:val="0"/>
      <w:divBdr>
        <w:top w:val="none" w:sz="0" w:space="0" w:color="auto"/>
        <w:left w:val="none" w:sz="0" w:space="0" w:color="auto"/>
        <w:bottom w:val="none" w:sz="0" w:space="0" w:color="auto"/>
        <w:right w:val="none" w:sz="0" w:space="0" w:color="auto"/>
      </w:divBdr>
    </w:div>
    <w:div w:id="287128917">
      <w:bodyDiv w:val="1"/>
      <w:marLeft w:val="0"/>
      <w:marRight w:val="0"/>
      <w:marTop w:val="0"/>
      <w:marBottom w:val="0"/>
      <w:divBdr>
        <w:top w:val="none" w:sz="0" w:space="0" w:color="auto"/>
        <w:left w:val="none" w:sz="0" w:space="0" w:color="auto"/>
        <w:bottom w:val="none" w:sz="0" w:space="0" w:color="auto"/>
        <w:right w:val="none" w:sz="0" w:space="0" w:color="auto"/>
      </w:divBdr>
    </w:div>
    <w:div w:id="287931250">
      <w:bodyDiv w:val="1"/>
      <w:marLeft w:val="0"/>
      <w:marRight w:val="0"/>
      <w:marTop w:val="0"/>
      <w:marBottom w:val="0"/>
      <w:divBdr>
        <w:top w:val="none" w:sz="0" w:space="0" w:color="auto"/>
        <w:left w:val="none" w:sz="0" w:space="0" w:color="auto"/>
        <w:bottom w:val="none" w:sz="0" w:space="0" w:color="auto"/>
        <w:right w:val="none" w:sz="0" w:space="0" w:color="auto"/>
      </w:divBdr>
    </w:div>
    <w:div w:id="288240653">
      <w:bodyDiv w:val="1"/>
      <w:marLeft w:val="0"/>
      <w:marRight w:val="0"/>
      <w:marTop w:val="0"/>
      <w:marBottom w:val="0"/>
      <w:divBdr>
        <w:top w:val="none" w:sz="0" w:space="0" w:color="auto"/>
        <w:left w:val="none" w:sz="0" w:space="0" w:color="auto"/>
        <w:bottom w:val="none" w:sz="0" w:space="0" w:color="auto"/>
        <w:right w:val="none" w:sz="0" w:space="0" w:color="auto"/>
      </w:divBdr>
    </w:div>
    <w:div w:id="288515220">
      <w:bodyDiv w:val="1"/>
      <w:marLeft w:val="0"/>
      <w:marRight w:val="0"/>
      <w:marTop w:val="0"/>
      <w:marBottom w:val="0"/>
      <w:divBdr>
        <w:top w:val="none" w:sz="0" w:space="0" w:color="auto"/>
        <w:left w:val="none" w:sz="0" w:space="0" w:color="auto"/>
        <w:bottom w:val="none" w:sz="0" w:space="0" w:color="auto"/>
        <w:right w:val="none" w:sz="0" w:space="0" w:color="auto"/>
      </w:divBdr>
    </w:div>
    <w:div w:id="288901485">
      <w:bodyDiv w:val="1"/>
      <w:marLeft w:val="0"/>
      <w:marRight w:val="0"/>
      <w:marTop w:val="0"/>
      <w:marBottom w:val="0"/>
      <w:divBdr>
        <w:top w:val="none" w:sz="0" w:space="0" w:color="auto"/>
        <w:left w:val="none" w:sz="0" w:space="0" w:color="auto"/>
        <w:bottom w:val="none" w:sz="0" w:space="0" w:color="auto"/>
        <w:right w:val="none" w:sz="0" w:space="0" w:color="auto"/>
      </w:divBdr>
    </w:div>
    <w:div w:id="292056876">
      <w:bodyDiv w:val="1"/>
      <w:marLeft w:val="0"/>
      <w:marRight w:val="0"/>
      <w:marTop w:val="0"/>
      <w:marBottom w:val="0"/>
      <w:divBdr>
        <w:top w:val="none" w:sz="0" w:space="0" w:color="auto"/>
        <w:left w:val="none" w:sz="0" w:space="0" w:color="auto"/>
        <w:bottom w:val="none" w:sz="0" w:space="0" w:color="auto"/>
        <w:right w:val="none" w:sz="0" w:space="0" w:color="auto"/>
      </w:divBdr>
    </w:div>
    <w:div w:id="292176052">
      <w:bodyDiv w:val="1"/>
      <w:marLeft w:val="0"/>
      <w:marRight w:val="0"/>
      <w:marTop w:val="0"/>
      <w:marBottom w:val="0"/>
      <w:divBdr>
        <w:top w:val="none" w:sz="0" w:space="0" w:color="auto"/>
        <w:left w:val="none" w:sz="0" w:space="0" w:color="auto"/>
        <w:bottom w:val="none" w:sz="0" w:space="0" w:color="auto"/>
        <w:right w:val="none" w:sz="0" w:space="0" w:color="auto"/>
      </w:divBdr>
    </w:div>
    <w:div w:id="292444016">
      <w:bodyDiv w:val="1"/>
      <w:marLeft w:val="0"/>
      <w:marRight w:val="0"/>
      <w:marTop w:val="0"/>
      <w:marBottom w:val="0"/>
      <w:divBdr>
        <w:top w:val="none" w:sz="0" w:space="0" w:color="auto"/>
        <w:left w:val="none" w:sz="0" w:space="0" w:color="auto"/>
        <w:bottom w:val="none" w:sz="0" w:space="0" w:color="auto"/>
        <w:right w:val="none" w:sz="0" w:space="0" w:color="auto"/>
      </w:divBdr>
    </w:div>
    <w:div w:id="292834997">
      <w:bodyDiv w:val="1"/>
      <w:marLeft w:val="0"/>
      <w:marRight w:val="0"/>
      <w:marTop w:val="0"/>
      <w:marBottom w:val="0"/>
      <w:divBdr>
        <w:top w:val="none" w:sz="0" w:space="0" w:color="auto"/>
        <w:left w:val="none" w:sz="0" w:space="0" w:color="auto"/>
        <w:bottom w:val="none" w:sz="0" w:space="0" w:color="auto"/>
        <w:right w:val="none" w:sz="0" w:space="0" w:color="auto"/>
      </w:divBdr>
    </w:div>
    <w:div w:id="292836628">
      <w:bodyDiv w:val="1"/>
      <w:marLeft w:val="0"/>
      <w:marRight w:val="0"/>
      <w:marTop w:val="0"/>
      <w:marBottom w:val="0"/>
      <w:divBdr>
        <w:top w:val="none" w:sz="0" w:space="0" w:color="auto"/>
        <w:left w:val="none" w:sz="0" w:space="0" w:color="auto"/>
        <w:bottom w:val="none" w:sz="0" w:space="0" w:color="auto"/>
        <w:right w:val="none" w:sz="0" w:space="0" w:color="auto"/>
      </w:divBdr>
    </w:div>
    <w:div w:id="294406248">
      <w:bodyDiv w:val="1"/>
      <w:marLeft w:val="0"/>
      <w:marRight w:val="0"/>
      <w:marTop w:val="0"/>
      <w:marBottom w:val="0"/>
      <w:divBdr>
        <w:top w:val="none" w:sz="0" w:space="0" w:color="auto"/>
        <w:left w:val="none" w:sz="0" w:space="0" w:color="auto"/>
        <w:bottom w:val="none" w:sz="0" w:space="0" w:color="auto"/>
        <w:right w:val="none" w:sz="0" w:space="0" w:color="auto"/>
      </w:divBdr>
    </w:div>
    <w:div w:id="295527256">
      <w:bodyDiv w:val="1"/>
      <w:marLeft w:val="0"/>
      <w:marRight w:val="0"/>
      <w:marTop w:val="0"/>
      <w:marBottom w:val="0"/>
      <w:divBdr>
        <w:top w:val="none" w:sz="0" w:space="0" w:color="auto"/>
        <w:left w:val="none" w:sz="0" w:space="0" w:color="auto"/>
        <w:bottom w:val="none" w:sz="0" w:space="0" w:color="auto"/>
        <w:right w:val="none" w:sz="0" w:space="0" w:color="auto"/>
      </w:divBdr>
    </w:div>
    <w:div w:id="296179167">
      <w:bodyDiv w:val="1"/>
      <w:marLeft w:val="0"/>
      <w:marRight w:val="0"/>
      <w:marTop w:val="0"/>
      <w:marBottom w:val="0"/>
      <w:divBdr>
        <w:top w:val="none" w:sz="0" w:space="0" w:color="auto"/>
        <w:left w:val="none" w:sz="0" w:space="0" w:color="auto"/>
        <w:bottom w:val="none" w:sz="0" w:space="0" w:color="auto"/>
        <w:right w:val="none" w:sz="0" w:space="0" w:color="auto"/>
      </w:divBdr>
    </w:div>
    <w:div w:id="297035590">
      <w:bodyDiv w:val="1"/>
      <w:marLeft w:val="0"/>
      <w:marRight w:val="0"/>
      <w:marTop w:val="0"/>
      <w:marBottom w:val="0"/>
      <w:divBdr>
        <w:top w:val="none" w:sz="0" w:space="0" w:color="auto"/>
        <w:left w:val="none" w:sz="0" w:space="0" w:color="auto"/>
        <w:bottom w:val="none" w:sz="0" w:space="0" w:color="auto"/>
        <w:right w:val="none" w:sz="0" w:space="0" w:color="auto"/>
      </w:divBdr>
    </w:div>
    <w:div w:id="297342577">
      <w:bodyDiv w:val="1"/>
      <w:marLeft w:val="0"/>
      <w:marRight w:val="0"/>
      <w:marTop w:val="0"/>
      <w:marBottom w:val="0"/>
      <w:divBdr>
        <w:top w:val="none" w:sz="0" w:space="0" w:color="auto"/>
        <w:left w:val="none" w:sz="0" w:space="0" w:color="auto"/>
        <w:bottom w:val="none" w:sz="0" w:space="0" w:color="auto"/>
        <w:right w:val="none" w:sz="0" w:space="0" w:color="auto"/>
      </w:divBdr>
    </w:div>
    <w:div w:id="298221463">
      <w:bodyDiv w:val="1"/>
      <w:marLeft w:val="0"/>
      <w:marRight w:val="0"/>
      <w:marTop w:val="0"/>
      <w:marBottom w:val="0"/>
      <w:divBdr>
        <w:top w:val="none" w:sz="0" w:space="0" w:color="auto"/>
        <w:left w:val="none" w:sz="0" w:space="0" w:color="auto"/>
        <w:bottom w:val="none" w:sz="0" w:space="0" w:color="auto"/>
        <w:right w:val="none" w:sz="0" w:space="0" w:color="auto"/>
      </w:divBdr>
    </w:div>
    <w:div w:id="298270975">
      <w:bodyDiv w:val="1"/>
      <w:marLeft w:val="0"/>
      <w:marRight w:val="0"/>
      <w:marTop w:val="0"/>
      <w:marBottom w:val="0"/>
      <w:divBdr>
        <w:top w:val="none" w:sz="0" w:space="0" w:color="auto"/>
        <w:left w:val="none" w:sz="0" w:space="0" w:color="auto"/>
        <w:bottom w:val="none" w:sz="0" w:space="0" w:color="auto"/>
        <w:right w:val="none" w:sz="0" w:space="0" w:color="auto"/>
      </w:divBdr>
    </w:div>
    <w:div w:id="298537908">
      <w:bodyDiv w:val="1"/>
      <w:marLeft w:val="0"/>
      <w:marRight w:val="0"/>
      <w:marTop w:val="0"/>
      <w:marBottom w:val="0"/>
      <w:divBdr>
        <w:top w:val="none" w:sz="0" w:space="0" w:color="auto"/>
        <w:left w:val="none" w:sz="0" w:space="0" w:color="auto"/>
        <w:bottom w:val="none" w:sz="0" w:space="0" w:color="auto"/>
        <w:right w:val="none" w:sz="0" w:space="0" w:color="auto"/>
      </w:divBdr>
    </w:div>
    <w:div w:id="301888609">
      <w:bodyDiv w:val="1"/>
      <w:marLeft w:val="0"/>
      <w:marRight w:val="0"/>
      <w:marTop w:val="0"/>
      <w:marBottom w:val="0"/>
      <w:divBdr>
        <w:top w:val="none" w:sz="0" w:space="0" w:color="auto"/>
        <w:left w:val="none" w:sz="0" w:space="0" w:color="auto"/>
        <w:bottom w:val="none" w:sz="0" w:space="0" w:color="auto"/>
        <w:right w:val="none" w:sz="0" w:space="0" w:color="auto"/>
      </w:divBdr>
    </w:div>
    <w:div w:id="303851903">
      <w:bodyDiv w:val="1"/>
      <w:marLeft w:val="0"/>
      <w:marRight w:val="0"/>
      <w:marTop w:val="0"/>
      <w:marBottom w:val="0"/>
      <w:divBdr>
        <w:top w:val="none" w:sz="0" w:space="0" w:color="auto"/>
        <w:left w:val="none" w:sz="0" w:space="0" w:color="auto"/>
        <w:bottom w:val="none" w:sz="0" w:space="0" w:color="auto"/>
        <w:right w:val="none" w:sz="0" w:space="0" w:color="auto"/>
      </w:divBdr>
    </w:div>
    <w:div w:id="304547645">
      <w:bodyDiv w:val="1"/>
      <w:marLeft w:val="0"/>
      <w:marRight w:val="0"/>
      <w:marTop w:val="0"/>
      <w:marBottom w:val="0"/>
      <w:divBdr>
        <w:top w:val="none" w:sz="0" w:space="0" w:color="auto"/>
        <w:left w:val="none" w:sz="0" w:space="0" w:color="auto"/>
        <w:bottom w:val="none" w:sz="0" w:space="0" w:color="auto"/>
        <w:right w:val="none" w:sz="0" w:space="0" w:color="auto"/>
      </w:divBdr>
    </w:div>
    <w:div w:id="304700247">
      <w:bodyDiv w:val="1"/>
      <w:marLeft w:val="0"/>
      <w:marRight w:val="0"/>
      <w:marTop w:val="0"/>
      <w:marBottom w:val="0"/>
      <w:divBdr>
        <w:top w:val="none" w:sz="0" w:space="0" w:color="auto"/>
        <w:left w:val="none" w:sz="0" w:space="0" w:color="auto"/>
        <w:bottom w:val="none" w:sz="0" w:space="0" w:color="auto"/>
        <w:right w:val="none" w:sz="0" w:space="0" w:color="auto"/>
      </w:divBdr>
    </w:div>
    <w:div w:id="309291178">
      <w:bodyDiv w:val="1"/>
      <w:marLeft w:val="0"/>
      <w:marRight w:val="0"/>
      <w:marTop w:val="0"/>
      <w:marBottom w:val="0"/>
      <w:divBdr>
        <w:top w:val="none" w:sz="0" w:space="0" w:color="auto"/>
        <w:left w:val="none" w:sz="0" w:space="0" w:color="auto"/>
        <w:bottom w:val="none" w:sz="0" w:space="0" w:color="auto"/>
        <w:right w:val="none" w:sz="0" w:space="0" w:color="auto"/>
      </w:divBdr>
    </w:div>
    <w:div w:id="312832341">
      <w:bodyDiv w:val="1"/>
      <w:marLeft w:val="0"/>
      <w:marRight w:val="0"/>
      <w:marTop w:val="0"/>
      <w:marBottom w:val="0"/>
      <w:divBdr>
        <w:top w:val="none" w:sz="0" w:space="0" w:color="auto"/>
        <w:left w:val="none" w:sz="0" w:space="0" w:color="auto"/>
        <w:bottom w:val="none" w:sz="0" w:space="0" w:color="auto"/>
        <w:right w:val="none" w:sz="0" w:space="0" w:color="auto"/>
      </w:divBdr>
    </w:div>
    <w:div w:id="313216825">
      <w:bodyDiv w:val="1"/>
      <w:marLeft w:val="0"/>
      <w:marRight w:val="0"/>
      <w:marTop w:val="0"/>
      <w:marBottom w:val="0"/>
      <w:divBdr>
        <w:top w:val="none" w:sz="0" w:space="0" w:color="auto"/>
        <w:left w:val="none" w:sz="0" w:space="0" w:color="auto"/>
        <w:bottom w:val="none" w:sz="0" w:space="0" w:color="auto"/>
        <w:right w:val="none" w:sz="0" w:space="0" w:color="auto"/>
      </w:divBdr>
    </w:div>
    <w:div w:id="313723118">
      <w:bodyDiv w:val="1"/>
      <w:marLeft w:val="0"/>
      <w:marRight w:val="0"/>
      <w:marTop w:val="0"/>
      <w:marBottom w:val="0"/>
      <w:divBdr>
        <w:top w:val="none" w:sz="0" w:space="0" w:color="auto"/>
        <w:left w:val="none" w:sz="0" w:space="0" w:color="auto"/>
        <w:bottom w:val="none" w:sz="0" w:space="0" w:color="auto"/>
        <w:right w:val="none" w:sz="0" w:space="0" w:color="auto"/>
      </w:divBdr>
    </w:div>
    <w:div w:id="315885625">
      <w:bodyDiv w:val="1"/>
      <w:marLeft w:val="0"/>
      <w:marRight w:val="0"/>
      <w:marTop w:val="0"/>
      <w:marBottom w:val="0"/>
      <w:divBdr>
        <w:top w:val="none" w:sz="0" w:space="0" w:color="auto"/>
        <w:left w:val="none" w:sz="0" w:space="0" w:color="auto"/>
        <w:bottom w:val="none" w:sz="0" w:space="0" w:color="auto"/>
        <w:right w:val="none" w:sz="0" w:space="0" w:color="auto"/>
      </w:divBdr>
    </w:div>
    <w:div w:id="316615894">
      <w:bodyDiv w:val="1"/>
      <w:marLeft w:val="0"/>
      <w:marRight w:val="0"/>
      <w:marTop w:val="0"/>
      <w:marBottom w:val="0"/>
      <w:divBdr>
        <w:top w:val="none" w:sz="0" w:space="0" w:color="auto"/>
        <w:left w:val="none" w:sz="0" w:space="0" w:color="auto"/>
        <w:bottom w:val="none" w:sz="0" w:space="0" w:color="auto"/>
        <w:right w:val="none" w:sz="0" w:space="0" w:color="auto"/>
      </w:divBdr>
    </w:div>
    <w:div w:id="319119383">
      <w:bodyDiv w:val="1"/>
      <w:marLeft w:val="0"/>
      <w:marRight w:val="0"/>
      <w:marTop w:val="0"/>
      <w:marBottom w:val="0"/>
      <w:divBdr>
        <w:top w:val="none" w:sz="0" w:space="0" w:color="auto"/>
        <w:left w:val="none" w:sz="0" w:space="0" w:color="auto"/>
        <w:bottom w:val="none" w:sz="0" w:space="0" w:color="auto"/>
        <w:right w:val="none" w:sz="0" w:space="0" w:color="auto"/>
      </w:divBdr>
    </w:div>
    <w:div w:id="322200272">
      <w:bodyDiv w:val="1"/>
      <w:marLeft w:val="0"/>
      <w:marRight w:val="0"/>
      <w:marTop w:val="0"/>
      <w:marBottom w:val="0"/>
      <w:divBdr>
        <w:top w:val="none" w:sz="0" w:space="0" w:color="auto"/>
        <w:left w:val="none" w:sz="0" w:space="0" w:color="auto"/>
        <w:bottom w:val="none" w:sz="0" w:space="0" w:color="auto"/>
        <w:right w:val="none" w:sz="0" w:space="0" w:color="auto"/>
      </w:divBdr>
    </w:div>
    <w:div w:id="322898948">
      <w:bodyDiv w:val="1"/>
      <w:marLeft w:val="0"/>
      <w:marRight w:val="0"/>
      <w:marTop w:val="0"/>
      <w:marBottom w:val="0"/>
      <w:divBdr>
        <w:top w:val="none" w:sz="0" w:space="0" w:color="auto"/>
        <w:left w:val="none" w:sz="0" w:space="0" w:color="auto"/>
        <w:bottom w:val="none" w:sz="0" w:space="0" w:color="auto"/>
        <w:right w:val="none" w:sz="0" w:space="0" w:color="auto"/>
      </w:divBdr>
    </w:div>
    <w:div w:id="323896055">
      <w:bodyDiv w:val="1"/>
      <w:marLeft w:val="0"/>
      <w:marRight w:val="0"/>
      <w:marTop w:val="0"/>
      <w:marBottom w:val="0"/>
      <w:divBdr>
        <w:top w:val="none" w:sz="0" w:space="0" w:color="auto"/>
        <w:left w:val="none" w:sz="0" w:space="0" w:color="auto"/>
        <w:bottom w:val="none" w:sz="0" w:space="0" w:color="auto"/>
        <w:right w:val="none" w:sz="0" w:space="0" w:color="auto"/>
      </w:divBdr>
    </w:div>
    <w:div w:id="324473845">
      <w:bodyDiv w:val="1"/>
      <w:marLeft w:val="0"/>
      <w:marRight w:val="0"/>
      <w:marTop w:val="0"/>
      <w:marBottom w:val="0"/>
      <w:divBdr>
        <w:top w:val="none" w:sz="0" w:space="0" w:color="auto"/>
        <w:left w:val="none" w:sz="0" w:space="0" w:color="auto"/>
        <w:bottom w:val="none" w:sz="0" w:space="0" w:color="auto"/>
        <w:right w:val="none" w:sz="0" w:space="0" w:color="auto"/>
      </w:divBdr>
    </w:div>
    <w:div w:id="326131130">
      <w:bodyDiv w:val="1"/>
      <w:marLeft w:val="0"/>
      <w:marRight w:val="0"/>
      <w:marTop w:val="0"/>
      <w:marBottom w:val="0"/>
      <w:divBdr>
        <w:top w:val="none" w:sz="0" w:space="0" w:color="auto"/>
        <w:left w:val="none" w:sz="0" w:space="0" w:color="auto"/>
        <w:bottom w:val="none" w:sz="0" w:space="0" w:color="auto"/>
        <w:right w:val="none" w:sz="0" w:space="0" w:color="auto"/>
      </w:divBdr>
    </w:div>
    <w:div w:id="327943352">
      <w:bodyDiv w:val="1"/>
      <w:marLeft w:val="0"/>
      <w:marRight w:val="0"/>
      <w:marTop w:val="0"/>
      <w:marBottom w:val="0"/>
      <w:divBdr>
        <w:top w:val="none" w:sz="0" w:space="0" w:color="auto"/>
        <w:left w:val="none" w:sz="0" w:space="0" w:color="auto"/>
        <w:bottom w:val="none" w:sz="0" w:space="0" w:color="auto"/>
        <w:right w:val="none" w:sz="0" w:space="0" w:color="auto"/>
      </w:divBdr>
    </w:div>
    <w:div w:id="329715663">
      <w:bodyDiv w:val="1"/>
      <w:marLeft w:val="0"/>
      <w:marRight w:val="0"/>
      <w:marTop w:val="0"/>
      <w:marBottom w:val="0"/>
      <w:divBdr>
        <w:top w:val="none" w:sz="0" w:space="0" w:color="auto"/>
        <w:left w:val="none" w:sz="0" w:space="0" w:color="auto"/>
        <w:bottom w:val="none" w:sz="0" w:space="0" w:color="auto"/>
        <w:right w:val="none" w:sz="0" w:space="0" w:color="auto"/>
      </w:divBdr>
    </w:div>
    <w:div w:id="329718232">
      <w:bodyDiv w:val="1"/>
      <w:marLeft w:val="0"/>
      <w:marRight w:val="0"/>
      <w:marTop w:val="0"/>
      <w:marBottom w:val="0"/>
      <w:divBdr>
        <w:top w:val="none" w:sz="0" w:space="0" w:color="auto"/>
        <w:left w:val="none" w:sz="0" w:space="0" w:color="auto"/>
        <w:bottom w:val="none" w:sz="0" w:space="0" w:color="auto"/>
        <w:right w:val="none" w:sz="0" w:space="0" w:color="auto"/>
      </w:divBdr>
    </w:div>
    <w:div w:id="331182627">
      <w:bodyDiv w:val="1"/>
      <w:marLeft w:val="0"/>
      <w:marRight w:val="0"/>
      <w:marTop w:val="0"/>
      <w:marBottom w:val="0"/>
      <w:divBdr>
        <w:top w:val="none" w:sz="0" w:space="0" w:color="auto"/>
        <w:left w:val="none" w:sz="0" w:space="0" w:color="auto"/>
        <w:bottom w:val="none" w:sz="0" w:space="0" w:color="auto"/>
        <w:right w:val="none" w:sz="0" w:space="0" w:color="auto"/>
      </w:divBdr>
    </w:div>
    <w:div w:id="331834673">
      <w:bodyDiv w:val="1"/>
      <w:marLeft w:val="0"/>
      <w:marRight w:val="0"/>
      <w:marTop w:val="0"/>
      <w:marBottom w:val="0"/>
      <w:divBdr>
        <w:top w:val="none" w:sz="0" w:space="0" w:color="auto"/>
        <w:left w:val="none" w:sz="0" w:space="0" w:color="auto"/>
        <w:bottom w:val="none" w:sz="0" w:space="0" w:color="auto"/>
        <w:right w:val="none" w:sz="0" w:space="0" w:color="auto"/>
      </w:divBdr>
    </w:div>
    <w:div w:id="332268421">
      <w:bodyDiv w:val="1"/>
      <w:marLeft w:val="0"/>
      <w:marRight w:val="0"/>
      <w:marTop w:val="0"/>
      <w:marBottom w:val="0"/>
      <w:divBdr>
        <w:top w:val="none" w:sz="0" w:space="0" w:color="auto"/>
        <w:left w:val="none" w:sz="0" w:space="0" w:color="auto"/>
        <w:bottom w:val="none" w:sz="0" w:space="0" w:color="auto"/>
        <w:right w:val="none" w:sz="0" w:space="0" w:color="auto"/>
      </w:divBdr>
    </w:div>
    <w:div w:id="332952239">
      <w:bodyDiv w:val="1"/>
      <w:marLeft w:val="0"/>
      <w:marRight w:val="0"/>
      <w:marTop w:val="0"/>
      <w:marBottom w:val="0"/>
      <w:divBdr>
        <w:top w:val="none" w:sz="0" w:space="0" w:color="auto"/>
        <w:left w:val="none" w:sz="0" w:space="0" w:color="auto"/>
        <w:bottom w:val="none" w:sz="0" w:space="0" w:color="auto"/>
        <w:right w:val="none" w:sz="0" w:space="0" w:color="auto"/>
      </w:divBdr>
    </w:div>
    <w:div w:id="333270093">
      <w:bodyDiv w:val="1"/>
      <w:marLeft w:val="0"/>
      <w:marRight w:val="0"/>
      <w:marTop w:val="0"/>
      <w:marBottom w:val="0"/>
      <w:divBdr>
        <w:top w:val="none" w:sz="0" w:space="0" w:color="auto"/>
        <w:left w:val="none" w:sz="0" w:space="0" w:color="auto"/>
        <w:bottom w:val="none" w:sz="0" w:space="0" w:color="auto"/>
        <w:right w:val="none" w:sz="0" w:space="0" w:color="auto"/>
      </w:divBdr>
    </w:div>
    <w:div w:id="334116241">
      <w:bodyDiv w:val="1"/>
      <w:marLeft w:val="0"/>
      <w:marRight w:val="0"/>
      <w:marTop w:val="0"/>
      <w:marBottom w:val="0"/>
      <w:divBdr>
        <w:top w:val="none" w:sz="0" w:space="0" w:color="auto"/>
        <w:left w:val="none" w:sz="0" w:space="0" w:color="auto"/>
        <w:bottom w:val="none" w:sz="0" w:space="0" w:color="auto"/>
        <w:right w:val="none" w:sz="0" w:space="0" w:color="auto"/>
      </w:divBdr>
    </w:div>
    <w:div w:id="334919811">
      <w:bodyDiv w:val="1"/>
      <w:marLeft w:val="0"/>
      <w:marRight w:val="0"/>
      <w:marTop w:val="0"/>
      <w:marBottom w:val="0"/>
      <w:divBdr>
        <w:top w:val="none" w:sz="0" w:space="0" w:color="auto"/>
        <w:left w:val="none" w:sz="0" w:space="0" w:color="auto"/>
        <w:bottom w:val="none" w:sz="0" w:space="0" w:color="auto"/>
        <w:right w:val="none" w:sz="0" w:space="0" w:color="auto"/>
      </w:divBdr>
    </w:div>
    <w:div w:id="336690019">
      <w:bodyDiv w:val="1"/>
      <w:marLeft w:val="0"/>
      <w:marRight w:val="0"/>
      <w:marTop w:val="0"/>
      <w:marBottom w:val="0"/>
      <w:divBdr>
        <w:top w:val="none" w:sz="0" w:space="0" w:color="auto"/>
        <w:left w:val="none" w:sz="0" w:space="0" w:color="auto"/>
        <w:bottom w:val="none" w:sz="0" w:space="0" w:color="auto"/>
        <w:right w:val="none" w:sz="0" w:space="0" w:color="auto"/>
      </w:divBdr>
    </w:div>
    <w:div w:id="337466874">
      <w:bodyDiv w:val="1"/>
      <w:marLeft w:val="0"/>
      <w:marRight w:val="0"/>
      <w:marTop w:val="0"/>
      <w:marBottom w:val="0"/>
      <w:divBdr>
        <w:top w:val="none" w:sz="0" w:space="0" w:color="auto"/>
        <w:left w:val="none" w:sz="0" w:space="0" w:color="auto"/>
        <w:bottom w:val="none" w:sz="0" w:space="0" w:color="auto"/>
        <w:right w:val="none" w:sz="0" w:space="0" w:color="auto"/>
      </w:divBdr>
    </w:div>
    <w:div w:id="338389690">
      <w:bodyDiv w:val="1"/>
      <w:marLeft w:val="0"/>
      <w:marRight w:val="0"/>
      <w:marTop w:val="0"/>
      <w:marBottom w:val="0"/>
      <w:divBdr>
        <w:top w:val="none" w:sz="0" w:space="0" w:color="auto"/>
        <w:left w:val="none" w:sz="0" w:space="0" w:color="auto"/>
        <w:bottom w:val="none" w:sz="0" w:space="0" w:color="auto"/>
        <w:right w:val="none" w:sz="0" w:space="0" w:color="auto"/>
      </w:divBdr>
    </w:div>
    <w:div w:id="341013153">
      <w:bodyDiv w:val="1"/>
      <w:marLeft w:val="0"/>
      <w:marRight w:val="0"/>
      <w:marTop w:val="0"/>
      <w:marBottom w:val="0"/>
      <w:divBdr>
        <w:top w:val="none" w:sz="0" w:space="0" w:color="auto"/>
        <w:left w:val="none" w:sz="0" w:space="0" w:color="auto"/>
        <w:bottom w:val="none" w:sz="0" w:space="0" w:color="auto"/>
        <w:right w:val="none" w:sz="0" w:space="0" w:color="auto"/>
      </w:divBdr>
    </w:div>
    <w:div w:id="341471104">
      <w:bodyDiv w:val="1"/>
      <w:marLeft w:val="0"/>
      <w:marRight w:val="0"/>
      <w:marTop w:val="0"/>
      <w:marBottom w:val="0"/>
      <w:divBdr>
        <w:top w:val="none" w:sz="0" w:space="0" w:color="auto"/>
        <w:left w:val="none" w:sz="0" w:space="0" w:color="auto"/>
        <w:bottom w:val="none" w:sz="0" w:space="0" w:color="auto"/>
        <w:right w:val="none" w:sz="0" w:space="0" w:color="auto"/>
      </w:divBdr>
    </w:div>
    <w:div w:id="344132454">
      <w:bodyDiv w:val="1"/>
      <w:marLeft w:val="0"/>
      <w:marRight w:val="0"/>
      <w:marTop w:val="0"/>
      <w:marBottom w:val="0"/>
      <w:divBdr>
        <w:top w:val="none" w:sz="0" w:space="0" w:color="auto"/>
        <w:left w:val="none" w:sz="0" w:space="0" w:color="auto"/>
        <w:bottom w:val="none" w:sz="0" w:space="0" w:color="auto"/>
        <w:right w:val="none" w:sz="0" w:space="0" w:color="auto"/>
      </w:divBdr>
    </w:div>
    <w:div w:id="344286649">
      <w:bodyDiv w:val="1"/>
      <w:marLeft w:val="0"/>
      <w:marRight w:val="0"/>
      <w:marTop w:val="0"/>
      <w:marBottom w:val="0"/>
      <w:divBdr>
        <w:top w:val="none" w:sz="0" w:space="0" w:color="auto"/>
        <w:left w:val="none" w:sz="0" w:space="0" w:color="auto"/>
        <w:bottom w:val="none" w:sz="0" w:space="0" w:color="auto"/>
        <w:right w:val="none" w:sz="0" w:space="0" w:color="auto"/>
      </w:divBdr>
    </w:div>
    <w:div w:id="346370494">
      <w:bodyDiv w:val="1"/>
      <w:marLeft w:val="0"/>
      <w:marRight w:val="0"/>
      <w:marTop w:val="0"/>
      <w:marBottom w:val="0"/>
      <w:divBdr>
        <w:top w:val="none" w:sz="0" w:space="0" w:color="auto"/>
        <w:left w:val="none" w:sz="0" w:space="0" w:color="auto"/>
        <w:bottom w:val="none" w:sz="0" w:space="0" w:color="auto"/>
        <w:right w:val="none" w:sz="0" w:space="0" w:color="auto"/>
      </w:divBdr>
    </w:div>
    <w:div w:id="347341728">
      <w:bodyDiv w:val="1"/>
      <w:marLeft w:val="0"/>
      <w:marRight w:val="0"/>
      <w:marTop w:val="0"/>
      <w:marBottom w:val="0"/>
      <w:divBdr>
        <w:top w:val="none" w:sz="0" w:space="0" w:color="auto"/>
        <w:left w:val="none" w:sz="0" w:space="0" w:color="auto"/>
        <w:bottom w:val="none" w:sz="0" w:space="0" w:color="auto"/>
        <w:right w:val="none" w:sz="0" w:space="0" w:color="auto"/>
      </w:divBdr>
    </w:div>
    <w:div w:id="347606478">
      <w:bodyDiv w:val="1"/>
      <w:marLeft w:val="0"/>
      <w:marRight w:val="0"/>
      <w:marTop w:val="0"/>
      <w:marBottom w:val="0"/>
      <w:divBdr>
        <w:top w:val="none" w:sz="0" w:space="0" w:color="auto"/>
        <w:left w:val="none" w:sz="0" w:space="0" w:color="auto"/>
        <w:bottom w:val="none" w:sz="0" w:space="0" w:color="auto"/>
        <w:right w:val="none" w:sz="0" w:space="0" w:color="auto"/>
      </w:divBdr>
    </w:div>
    <w:div w:id="350304832">
      <w:bodyDiv w:val="1"/>
      <w:marLeft w:val="0"/>
      <w:marRight w:val="0"/>
      <w:marTop w:val="0"/>
      <w:marBottom w:val="0"/>
      <w:divBdr>
        <w:top w:val="none" w:sz="0" w:space="0" w:color="auto"/>
        <w:left w:val="none" w:sz="0" w:space="0" w:color="auto"/>
        <w:bottom w:val="none" w:sz="0" w:space="0" w:color="auto"/>
        <w:right w:val="none" w:sz="0" w:space="0" w:color="auto"/>
      </w:divBdr>
    </w:div>
    <w:div w:id="350374345">
      <w:bodyDiv w:val="1"/>
      <w:marLeft w:val="0"/>
      <w:marRight w:val="0"/>
      <w:marTop w:val="0"/>
      <w:marBottom w:val="0"/>
      <w:divBdr>
        <w:top w:val="none" w:sz="0" w:space="0" w:color="auto"/>
        <w:left w:val="none" w:sz="0" w:space="0" w:color="auto"/>
        <w:bottom w:val="none" w:sz="0" w:space="0" w:color="auto"/>
        <w:right w:val="none" w:sz="0" w:space="0" w:color="auto"/>
      </w:divBdr>
    </w:div>
    <w:div w:id="350573486">
      <w:bodyDiv w:val="1"/>
      <w:marLeft w:val="0"/>
      <w:marRight w:val="0"/>
      <w:marTop w:val="0"/>
      <w:marBottom w:val="0"/>
      <w:divBdr>
        <w:top w:val="none" w:sz="0" w:space="0" w:color="auto"/>
        <w:left w:val="none" w:sz="0" w:space="0" w:color="auto"/>
        <w:bottom w:val="none" w:sz="0" w:space="0" w:color="auto"/>
        <w:right w:val="none" w:sz="0" w:space="0" w:color="auto"/>
      </w:divBdr>
    </w:div>
    <w:div w:id="351224064">
      <w:bodyDiv w:val="1"/>
      <w:marLeft w:val="0"/>
      <w:marRight w:val="0"/>
      <w:marTop w:val="0"/>
      <w:marBottom w:val="0"/>
      <w:divBdr>
        <w:top w:val="none" w:sz="0" w:space="0" w:color="auto"/>
        <w:left w:val="none" w:sz="0" w:space="0" w:color="auto"/>
        <w:bottom w:val="none" w:sz="0" w:space="0" w:color="auto"/>
        <w:right w:val="none" w:sz="0" w:space="0" w:color="auto"/>
      </w:divBdr>
    </w:div>
    <w:div w:id="351955722">
      <w:bodyDiv w:val="1"/>
      <w:marLeft w:val="0"/>
      <w:marRight w:val="0"/>
      <w:marTop w:val="0"/>
      <w:marBottom w:val="0"/>
      <w:divBdr>
        <w:top w:val="none" w:sz="0" w:space="0" w:color="auto"/>
        <w:left w:val="none" w:sz="0" w:space="0" w:color="auto"/>
        <w:bottom w:val="none" w:sz="0" w:space="0" w:color="auto"/>
        <w:right w:val="none" w:sz="0" w:space="0" w:color="auto"/>
      </w:divBdr>
    </w:div>
    <w:div w:id="353727214">
      <w:bodyDiv w:val="1"/>
      <w:marLeft w:val="0"/>
      <w:marRight w:val="0"/>
      <w:marTop w:val="0"/>
      <w:marBottom w:val="0"/>
      <w:divBdr>
        <w:top w:val="none" w:sz="0" w:space="0" w:color="auto"/>
        <w:left w:val="none" w:sz="0" w:space="0" w:color="auto"/>
        <w:bottom w:val="none" w:sz="0" w:space="0" w:color="auto"/>
        <w:right w:val="none" w:sz="0" w:space="0" w:color="auto"/>
      </w:divBdr>
    </w:div>
    <w:div w:id="354884274">
      <w:bodyDiv w:val="1"/>
      <w:marLeft w:val="0"/>
      <w:marRight w:val="0"/>
      <w:marTop w:val="0"/>
      <w:marBottom w:val="0"/>
      <w:divBdr>
        <w:top w:val="none" w:sz="0" w:space="0" w:color="auto"/>
        <w:left w:val="none" w:sz="0" w:space="0" w:color="auto"/>
        <w:bottom w:val="none" w:sz="0" w:space="0" w:color="auto"/>
        <w:right w:val="none" w:sz="0" w:space="0" w:color="auto"/>
      </w:divBdr>
    </w:div>
    <w:div w:id="356203436">
      <w:bodyDiv w:val="1"/>
      <w:marLeft w:val="0"/>
      <w:marRight w:val="0"/>
      <w:marTop w:val="0"/>
      <w:marBottom w:val="0"/>
      <w:divBdr>
        <w:top w:val="none" w:sz="0" w:space="0" w:color="auto"/>
        <w:left w:val="none" w:sz="0" w:space="0" w:color="auto"/>
        <w:bottom w:val="none" w:sz="0" w:space="0" w:color="auto"/>
        <w:right w:val="none" w:sz="0" w:space="0" w:color="auto"/>
      </w:divBdr>
    </w:div>
    <w:div w:id="358513063">
      <w:bodyDiv w:val="1"/>
      <w:marLeft w:val="0"/>
      <w:marRight w:val="0"/>
      <w:marTop w:val="0"/>
      <w:marBottom w:val="0"/>
      <w:divBdr>
        <w:top w:val="none" w:sz="0" w:space="0" w:color="auto"/>
        <w:left w:val="none" w:sz="0" w:space="0" w:color="auto"/>
        <w:bottom w:val="none" w:sz="0" w:space="0" w:color="auto"/>
        <w:right w:val="none" w:sz="0" w:space="0" w:color="auto"/>
      </w:divBdr>
    </w:div>
    <w:div w:id="358894704">
      <w:bodyDiv w:val="1"/>
      <w:marLeft w:val="0"/>
      <w:marRight w:val="0"/>
      <w:marTop w:val="0"/>
      <w:marBottom w:val="0"/>
      <w:divBdr>
        <w:top w:val="none" w:sz="0" w:space="0" w:color="auto"/>
        <w:left w:val="none" w:sz="0" w:space="0" w:color="auto"/>
        <w:bottom w:val="none" w:sz="0" w:space="0" w:color="auto"/>
        <w:right w:val="none" w:sz="0" w:space="0" w:color="auto"/>
      </w:divBdr>
    </w:div>
    <w:div w:id="359018804">
      <w:bodyDiv w:val="1"/>
      <w:marLeft w:val="0"/>
      <w:marRight w:val="0"/>
      <w:marTop w:val="0"/>
      <w:marBottom w:val="0"/>
      <w:divBdr>
        <w:top w:val="none" w:sz="0" w:space="0" w:color="auto"/>
        <w:left w:val="none" w:sz="0" w:space="0" w:color="auto"/>
        <w:bottom w:val="none" w:sz="0" w:space="0" w:color="auto"/>
        <w:right w:val="none" w:sz="0" w:space="0" w:color="auto"/>
      </w:divBdr>
    </w:div>
    <w:div w:id="361445092">
      <w:bodyDiv w:val="1"/>
      <w:marLeft w:val="0"/>
      <w:marRight w:val="0"/>
      <w:marTop w:val="0"/>
      <w:marBottom w:val="0"/>
      <w:divBdr>
        <w:top w:val="none" w:sz="0" w:space="0" w:color="auto"/>
        <w:left w:val="none" w:sz="0" w:space="0" w:color="auto"/>
        <w:bottom w:val="none" w:sz="0" w:space="0" w:color="auto"/>
        <w:right w:val="none" w:sz="0" w:space="0" w:color="auto"/>
      </w:divBdr>
    </w:div>
    <w:div w:id="361784225">
      <w:bodyDiv w:val="1"/>
      <w:marLeft w:val="0"/>
      <w:marRight w:val="0"/>
      <w:marTop w:val="0"/>
      <w:marBottom w:val="0"/>
      <w:divBdr>
        <w:top w:val="none" w:sz="0" w:space="0" w:color="auto"/>
        <w:left w:val="none" w:sz="0" w:space="0" w:color="auto"/>
        <w:bottom w:val="none" w:sz="0" w:space="0" w:color="auto"/>
        <w:right w:val="none" w:sz="0" w:space="0" w:color="auto"/>
      </w:divBdr>
    </w:div>
    <w:div w:id="363216588">
      <w:bodyDiv w:val="1"/>
      <w:marLeft w:val="0"/>
      <w:marRight w:val="0"/>
      <w:marTop w:val="0"/>
      <w:marBottom w:val="0"/>
      <w:divBdr>
        <w:top w:val="none" w:sz="0" w:space="0" w:color="auto"/>
        <w:left w:val="none" w:sz="0" w:space="0" w:color="auto"/>
        <w:bottom w:val="none" w:sz="0" w:space="0" w:color="auto"/>
        <w:right w:val="none" w:sz="0" w:space="0" w:color="auto"/>
      </w:divBdr>
    </w:div>
    <w:div w:id="365108834">
      <w:bodyDiv w:val="1"/>
      <w:marLeft w:val="0"/>
      <w:marRight w:val="0"/>
      <w:marTop w:val="0"/>
      <w:marBottom w:val="0"/>
      <w:divBdr>
        <w:top w:val="none" w:sz="0" w:space="0" w:color="auto"/>
        <w:left w:val="none" w:sz="0" w:space="0" w:color="auto"/>
        <w:bottom w:val="none" w:sz="0" w:space="0" w:color="auto"/>
        <w:right w:val="none" w:sz="0" w:space="0" w:color="auto"/>
      </w:divBdr>
    </w:div>
    <w:div w:id="366612453">
      <w:bodyDiv w:val="1"/>
      <w:marLeft w:val="0"/>
      <w:marRight w:val="0"/>
      <w:marTop w:val="0"/>
      <w:marBottom w:val="0"/>
      <w:divBdr>
        <w:top w:val="none" w:sz="0" w:space="0" w:color="auto"/>
        <w:left w:val="none" w:sz="0" w:space="0" w:color="auto"/>
        <w:bottom w:val="none" w:sz="0" w:space="0" w:color="auto"/>
        <w:right w:val="none" w:sz="0" w:space="0" w:color="auto"/>
      </w:divBdr>
    </w:div>
    <w:div w:id="367754631">
      <w:bodyDiv w:val="1"/>
      <w:marLeft w:val="0"/>
      <w:marRight w:val="0"/>
      <w:marTop w:val="0"/>
      <w:marBottom w:val="0"/>
      <w:divBdr>
        <w:top w:val="none" w:sz="0" w:space="0" w:color="auto"/>
        <w:left w:val="none" w:sz="0" w:space="0" w:color="auto"/>
        <w:bottom w:val="none" w:sz="0" w:space="0" w:color="auto"/>
        <w:right w:val="none" w:sz="0" w:space="0" w:color="auto"/>
      </w:divBdr>
    </w:div>
    <w:div w:id="369191180">
      <w:bodyDiv w:val="1"/>
      <w:marLeft w:val="0"/>
      <w:marRight w:val="0"/>
      <w:marTop w:val="0"/>
      <w:marBottom w:val="0"/>
      <w:divBdr>
        <w:top w:val="none" w:sz="0" w:space="0" w:color="auto"/>
        <w:left w:val="none" w:sz="0" w:space="0" w:color="auto"/>
        <w:bottom w:val="none" w:sz="0" w:space="0" w:color="auto"/>
        <w:right w:val="none" w:sz="0" w:space="0" w:color="auto"/>
      </w:divBdr>
    </w:div>
    <w:div w:id="370808613">
      <w:bodyDiv w:val="1"/>
      <w:marLeft w:val="0"/>
      <w:marRight w:val="0"/>
      <w:marTop w:val="0"/>
      <w:marBottom w:val="0"/>
      <w:divBdr>
        <w:top w:val="none" w:sz="0" w:space="0" w:color="auto"/>
        <w:left w:val="none" w:sz="0" w:space="0" w:color="auto"/>
        <w:bottom w:val="none" w:sz="0" w:space="0" w:color="auto"/>
        <w:right w:val="none" w:sz="0" w:space="0" w:color="auto"/>
      </w:divBdr>
    </w:div>
    <w:div w:id="371275747">
      <w:bodyDiv w:val="1"/>
      <w:marLeft w:val="0"/>
      <w:marRight w:val="0"/>
      <w:marTop w:val="0"/>
      <w:marBottom w:val="0"/>
      <w:divBdr>
        <w:top w:val="none" w:sz="0" w:space="0" w:color="auto"/>
        <w:left w:val="none" w:sz="0" w:space="0" w:color="auto"/>
        <w:bottom w:val="none" w:sz="0" w:space="0" w:color="auto"/>
        <w:right w:val="none" w:sz="0" w:space="0" w:color="auto"/>
      </w:divBdr>
    </w:div>
    <w:div w:id="371462797">
      <w:bodyDiv w:val="1"/>
      <w:marLeft w:val="0"/>
      <w:marRight w:val="0"/>
      <w:marTop w:val="0"/>
      <w:marBottom w:val="0"/>
      <w:divBdr>
        <w:top w:val="none" w:sz="0" w:space="0" w:color="auto"/>
        <w:left w:val="none" w:sz="0" w:space="0" w:color="auto"/>
        <w:bottom w:val="none" w:sz="0" w:space="0" w:color="auto"/>
        <w:right w:val="none" w:sz="0" w:space="0" w:color="auto"/>
      </w:divBdr>
    </w:div>
    <w:div w:id="371657967">
      <w:bodyDiv w:val="1"/>
      <w:marLeft w:val="0"/>
      <w:marRight w:val="0"/>
      <w:marTop w:val="0"/>
      <w:marBottom w:val="0"/>
      <w:divBdr>
        <w:top w:val="none" w:sz="0" w:space="0" w:color="auto"/>
        <w:left w:val="none" w:sz="0" w:space="0" w:color="auto"/>
        <w:bottom w:val="none" w:sz="0" w:space="0" w:color="auto"/>
        <w:right w:val="none" w:sz="0" w:space="0" w:color="auto"/>
      </w:divBdr>
    </w:div>
    <w:div w:id="372121978">
      <w:bodyDiv w:val="1"/>
      <w:marLeft w:val="0"/>
      <w:marRight w:val="0"/>
      <w:marTop w:val="0"/>
      <w:marBottom w:val="0"/>
      <w:divBdr>
        <w:top w:val="none" w:sz="0" w:space="0" w:color="auto"/>
        <w:left w:val="none" w:sz="0" w:space="0" w:color="auto"/>
        <w:bottom w:val="none" w:sz="0" w:space="0" w:color="auto"/>
        <w:right w:val="none" w:sz="0" w:space="0" w:color="auto"/>
      </w:divBdr>
    </w:div>
    <w:div w:id="372269647">
      <w:bodyDiv w:val="1"/>
      <w:marLeft w:val="0"/>
      <w:marRight w:val="0"/>
      <w:marTop w:val="0"/>
      <w:marBottom w:val="0"/>
      <w:divBdr>
        <w:top w:val="none" w:sz="0" w:space="0" w:color="auto"/>
        <w:left w:val="none" w:sz="0" w:space="0" w:color="auto"/>
        <w:bottom w:val="none" w:sz="0" w:space="0" w:color="auto"/>
        <w:right w:val="none" w:sz="0" w:space="0" w:color="auto"/>
      </w:divBdr>
    </w:div>
    <w:div w:id="373314423">
      <w:bodyDiv w:val="1"/>
      <w:marLeft w:val="0"/>
      <w:marRight w:val="0"/>
      <w:marTop w:val="0"/>
      <w:marBottom w:val="0"/>
      <w:divBdr>
        <w:top w:val="none" w:sz="0" w:space="0" w:color="auto"/>
        <w:left w:val="none" w:sz="0" w:space="0" w:color="auto"/>
        <w:bottom w:val="none" w:sz="0" w:space="0" w:color="auto"/>
        <w:right w:val="none" w:sz="0" w:space="0" w:color="auto"/>
      </w:divBdr>
    </w:div>
    <w:div w:id="374431099">
      <w:bodyDiv w:val="1"/>
      <w:marLeft w:val="0"/>
      <w:marRight w:val="0"/>
      <w:marTop w:val="0"/>
      <w:marBottom w:val="0"/>
      <w:divBdr>
        <w:top w:val="none" w:sz="0" w:space="0" w:color="auto"/>
        <w:left w:val="none" w:sz="0" w:space="0" w:color="auto"/>
        <w:bottom w:val="none" w:sz="0" w:space="0" w:color="auto"/>
        <w:right w:val="none" w:sz="0" w:space="0" w:color="auto"/>
      </w:divBdr>
    </w:div>
    <w:div w:id="374694346">
      <w:bodyDiv w:val="1"/>
      <w:marLeft w:val="0"/>
      <w:marRight w:val="0"/>
      <w:marTop w:val="0"/>
      <w:marBottom w:val="0"/>
      <w:divBdr>
        <w:top w:val="none" w:sz="0" w:space="0" w:color="auto"/>
        <w:left w:val="none" w:sz="0" w:space="0" w:color="auto"/>
        <w:bottom w:val="none" w:sz="0" w:space="0" w:color="auto"/>
        <w:right w:val="none" w:sz="0" w:space="0" w:color="auto"/>
      </w:divBdr>
    </w:div>
    <w:div w:id="376055771">
      <w:bodyDiv w:val="1"/>
      <w:marLeft w:val="0"/>
      <w:marRight w:val="0"/>
      <w:marTop w:val="0"/>
      <w:marBottom w:val="0"/>
      <w:divBdr>
        <w:top w:val="none" w:sz="0" w:space="0" w:color="auto"/>
        <w:left w:val="none" w:sz="0" w:space="0" w:color="auto"/>
        <w:bottom w:val="none" w:sz="0" w:space="0" w:color="auto"/>
        <w:right w:val="none" w:sz="0" w:space="0" w:color="auto"/>
      </w:divBdr>
    </w:div>
    <w:div w:id="377290836">
      <w:bodyDiv w:val="1"/>
      <w:marLeft w:val="0"/>
      <w:marRight w:val="0"/>
      <w:marTop w:val="0"/>
      <w:marBottom w:val="0"/>
      <w:divBdr>
        <w:top w:val="none" w:sz="0" w:space="0" w:color="auto"/>
        <w:left w:val="none" w:sz="0" w:space="0" w:color="auto"/>
        <w:bottom w:val="none" w:sz="0" w:space="0" w:color="auto"/>
        <w:right w:val="none" w:sz="0" w:space="0" w:color="auto"/>
      </w:divBdr>
    </w:div>
    <w:div w:id="379789349">
      <w:bodyDiv w:val="1"/>
      <w:marLeft w:val="0"/>
      <w:marRight w:val="0"/>
      <w:marTop w:val="0"/>
      <w:marBottom w:val="0"/>
      <w:divBdr>
        <w:top w:val="none" w:sz="0" w:space="0" w:color="auto"/>
        <w:left w:val="none" w:sz="0" w:space="0" w:color="auto"/>
        <w:bottom w:val="none" w:sz="0" w:space="0" w:color="auto"/>
        <w:right w:val="none" w:sz="0" w:space="0" w:color="auto"/>
      </w:divBdr>
    </w:div>
    <w:div w:id="381950866">
      <w:bodyDiv w:val="1"/>
      <w:marLeft w:val="0"/>
      <w:marRight w:val="0"/>
      <w:marTop w:val="0"/>
      <w:marBottom w:val="0"/>
      <w:divBdr>
        <w:top w:val="none" w:sz="0" w:space="0" w:color="auto"/>
        <w:left w:val="none" w:sz="0" w:space="0" w:color="auto"/>
        <w:bottom w:val="none" w:sz="0" w:space="0" w:color="auto"/>
        <w:right w:val="none" w:sz="0" w:space="0" w:color="auto"/>
      </w:divBdr>
    </w:div>
    <w:div w:id="382024153">
      <w:bodyDiv w:val="1"/>
      <w:marLeft w:val="0"/>
      <w:marRight w:val="0"/>
      <w:marTop w:val="0"/>
      <w:marBottom w:val="0"/>
      <w:divBdr>
        <w:top w:val="none" w:sz="0" w:space="0" w:color="auto"/>
        <w:left w:val="none" w:sz="0" w:space="0" w:color="auto"/>
        <w:bottom w:val="none" w:sz="0" w:space="0" w:color="auto"/>
        <w:right w:val="none" w:sz="0" w:space="0" w:color="auto"/>
      </w:divBdr>
    </w:div>
    <w:div w:id="382558751">
      <w:bodyDiv w:val="1"/>
      <w:marLeft w:val="0"/>
      <w:marRight w:val="0"/>
      <w:marTop w:val="0"/>
      <w:marBottom w:val="0"/>
      <w:divBdr>
        <w:top w:val="none" w:sz="0" w:space="0" w:color="auto"/>
        <w:left w:val="none" w:sz="0" w:space="0" w:color="auto"/>
        <w:bottom w:val="none" w:sz="0" w:space="0" w:color="auto"/>
        <w:right w:val="none" w:sz="0" w:space="0" w:color="auto"/>
      </w:divBdr>
    </w:div>
    <w:div w:id="386804729">
      <w:bodyDiv w:val="1"/>
      <w:marLeft w:val="0"/>
      <w:marRight w:val="0"/>
      <w:marTop w:val="0"/>
      <w:marBottom w:val="0"/>
      <w:divBdr>
        <w:top w:val="none" w:sz="0" w:space="0" w:color="auto"/>
        <w:left w:val="none" w:sz="0" w:space="0" w:color="auto"/>
        <w:bottom w:val="none" w:sz="0" w:space="0" w:color="auto"/>
        <w:right w:val="none" w:sz="0" w:space="0" w:color="auto"/>
      </w:divBdr>
    </w:div>
    <w:div w:id="387151175">
      <w:bodyDiv w:val="1"/>
      <w:marLeft w:val="0"/>
      <w:marRight w:val="0"/>
      <w:marTop w:val="0"/>
      <w:marBottom w:val="0"/>
      <w:divBdr>
        <w:top w:val="none" w:sz="0" w:space="0" w:color="auto"/>
        <w:left w:val="none" w:sz="0" w:space="0" w:color="auto"/>
        <w:bottom w:val="none" w:sz="0" w:space="0" w:color="auto"/>
        <w:right w:val="none" w:sz="0" w:space="0" w:color="auto"/>
      </w:divBdr>
    </w:div>
    <w:div w:id="388112212">
      <w:bodyDiv w:val="1"/>
      <w:marLeft w:val="0"/>
      <w:marRight w:val="0"/>
      <w:marTop w:val="0"/>
      <w:marBottom w:val="0"/>
      <w:divBdr>
        <w:top w:val="none" w:sz="0" w:space="0" w:color="auto"/>
        <w:left w:val="none" w:sz="0" w:space="0" w:color="auto"/>
        <w:bottom w:val="none" w:sz="0" w:space="0" w:color="auto"/>
        <w:right w:val="none" w:sz="0" w:space="0" w:color="auto"/>
      </w:divBdr>
    </w:div>
    <w:div w:id="388581340">
      <w:bodyDiv w:val="1"/>
      <w:marLeft w:val="0"/>
      <w:marRight w:val="0"/>
      <w:marTop w:val="0"/>
      <w:marBottom w:val="0"/>
      <w:divBdr>
        <w:top w:val="none" w:sz="0" w:space="0" w:color="auto"/>
        <w:left w:val="none" w:sz="0" w:space="0" w:color="auto"/>
        <w:bottom w:val="none" w:sz="0" w:space="0" w:color="auto"/>
        <w:right w:val="none" w:sz="0" w:space="0" w:color="auto"/>
      </w:divBdr>
    </w:div>
    <w:div w:id="389034701">
      <w:bodyDiv w:val="1"/>
      <w:marLeft w:val="0"/>
      <w:marRight w:val="0"/>
      <w:marTop w:val="0"/>
      <w:marBottom w:val="0"/>
      <w:divBdr>
        <w:top w:val="none" w:sz="0" w:space="0" w:color="auto"/>
        <w:left w:val="none" w:sz="0" w:space="0" w:color="auto"/>
        <w:bottom w:val="none" w:sz="0" w:space="0" w:color="auto"/>
        <w:right w:val="none" w:sz="0" w:space="0" w:color="auto"/>
      </w:divBdr>
    </w:div>
    <w:div w:id="389305491">
      <w:bodyDiv w:val="1"/>
      <w:marLeft w:val="0"/>
      <w:marRight w:val="0"/>
      <w:marTop w:val="0"/>
      <w:marBottom w:val="0"/>
      <w:divBdr>
        <w:top w:val="none" w:sz="0" w:space="0" w:color="auto"/>
        <w:left w:val="none" w:sz="0" w:space="0" w:color="auto"/>
        <w:bottom w:val="none" w:sz="0" w:space="0" w:color="auto"/>
        <w:right w:val="none" w:sz="0" w:space="0" w:color="auto"/>
      </w:divBdr>
    </w:div>
    <w:div w:id="397485079">
      <w:bodyDiv w:val="1"/>
      <w:marLeft w:val="0"/>
      <w:marRight w:val="0"/>
      <w:marTop w:val="0"/>
      <w:marBottom w:val="0"/>
      <w:divBdr>
        <w:top w:val="none" w:sz="0" w:space="0" w:color="auto"/>
        <w:left w:val="none" w:sz="0" w:space="0" w:color="auto"/>
        <w:bottom w:val="none" w:sz="0" w:space="0" w:color="auto"/>
        <w:right w:val="none" w:sz="0" w:space="0" w:color="auto"/>
      </w:divBdr>
    </w:div>
    <w:div w:id="400714391">
      <w:bodyDiv w:val="1"/>
      <w:marLeft w:val="0"/>
      <w:marRight w:val="0"/>
      <w:marTop w:val="0"/>
      <w:marBottom w:val="0"/>
      <w:divBdr>
        <w:top w:val="none" w:sz="0" w:space="0" w:color="auto"/>
        <w:left w:val="none" w:sz="0" w:space="0" w:color="auto"/>
        <w:bottom w:val="none" w:sz="0" w:space="0" w:color="auto"/>
        <w:right w:val="none" w:sz="0" w:space="0" w:color="auto"/>
      </w:divBdr>
    </w:div>
    <w:div w:id="402071630">
      <w:bodyDiv w:val="1"/>
      <w:marLeft w:val="0"/>
      <w:marRight w:val="0"/>
      <w:marTop w:val="0"/>
      <w:marBottom w:val="0"/>
      <w:divBdr>
        <w:top w:val="none" w:sz="0" w:space="0" w:color="auto"/>
        <w:left w:val="none" w:sz="0" w:space="0" w:color="auto"/>
        <w:bottom w:val="none" w:sz="0" w:space="0" w:color="auto"/>
        <w:right w:val="none" w:sz="0" w:space="0" w:color="auto"/>
      </w:divBdr>
    </w:div>
    <w:div w:id="404768610">
      <w:bodyDiv w:val="1"/>
      <w:marLeft w:val="0"/>
      <w:marRight w:val="0"/>
      <w:marTop w:val="0"/>
      <w:marBottom w:val="0"/>
      <w:divBdr>
        <w:top w:val="none" w:sz="0" w:space="0" w:color="auto"/>
        <w:left w:val="none" w:sz="0" w:space="0" w:color="auto"/>
        <w:bottom w:val="none" w:sz="0" w:space="0" w:color="auto"/>
        <w:right w:val="none" w:sz="0" w:space="0" w:color="auto"/>
      </w:divBdr>
    </w:div>
    <w:div w:id="405569498">
      <w:bodyDiv w:val="1"/>
      <w:marLeft w:val="0"/>
      <w:marRight w:val="0"/>
      <w:marTop w:val="0"/>
      <w:marBottom w:val="0"/>
      <w:divBdr>
        <w:top w:val="none" w:sz="0" w:space="0" w:color="auto"/>
        <w:left w:val="none" w:sz="0" w:space="0" w:color="auto"/>
        <w:bottom w:val="none" w:sz="0" w:space="0" w:color="auto"/>
        <w:right w:val="none" w:sz="0" w:space="0" w:color="auto"/>
      </w:divBdr>
    </w:div>
    <w:div w:id="405809279">
      <w:bodyDiv w:val="1"/>
      <w:marLeft w:val="0"/>
      <w:marRight w:val="0"/>
      <w:marTop w:val="0"/>
      <w:marBottom w:val="0"/>
      <w:divBdr>
        <w:top w:val="none" w:sz="0" w:space="0" w:color="auto"/>
        <w:left w:val="none" w:sz="0" w:space="0" w:color="auto"/>
        <w:bottom w:val="none" w:sz="0" w:space="0" w:color="auto"/>
        <w:right w:val="none" w:sz="0" w:space="0" w:color="auto"/>
      </w:divBdr>
    </w:div>
    <w:div w:id="406537147">
      <w:bodyDiv w:val="1"/>
      <w:marLeft w:val="0"/>
      <w:marRight w:val="0"/>
      <w:marTop w:val="0"/>
      <w:marBottom w:val="0"/>
      <w:divBdr>
        <w:top w:val="none" w:sz="0" w:space="0" w:color="auto"/>
        <w:left w:val="none" w:sz="0" w:space="0" w:color="auto"/>
        <w:bottom w:val="none" w:sz="0" w:space="0" w:color="auto"/>
        <w:right w:val="none" w:sz="0" w:space="0" w:color="auto"/>
      </w:divBdr>
    </w:div>
    <w:div w:id="408187304">
      <w:bodyDiv w:val="1"/>
      <w:marLeft w:val="0"/>
      <w:marRight w:val="0"/>
      <w:marTop w:val="0"/>
      <w:marBottom w:val="0"/>
      <w:divBdr>
        <w:top w:val="none" w:sz="0" w:space="0" w:color="auto"/>
        <w:left w:val="none" w:sz="0" w:space="0" w:color="auto"/>
        <w:bottom w:val="none" w:sz="0" w:space="0" w:color="auto"/>
        <w:right w:val="none" w:sz="0" w:space="0" w:color="auto"/>
      </w:divBdr>
    </w:div>
    <w:div w:id="410659771">
      <w:bodyDiv w:val="1"/>
      <w:marLeft w:val="0"/>
      <w:marRight w:val="0"/>
      <w:marTop w:val="0"/>
      <w:marBottom w:val="0"/>
      <w:divBdr>
        <w:top w:val="none" w:sz="0" w:space="0" w:color="auto"/>
        <w:left w:val="none" w:sz="0" w:space="0" w:color="auto"/>
        <w:bottom w:val="none" w:sz="0" w:space="0" w:color="auto"/>
        <w:right w:val="none" w:sz="0" w:space="0" w:color="auto"/>
      </w:divBdr>
    </w:div>
    <w:div w:id="411969022">
      <w:bodyDiv w:val="1"/>
      <w:marLeft w:val="0"/>
      <w:marRight w:val="0"/>
      <w:marTop w:val="0"/>
      <w:marBottom w:val="0"/>
      <w:divBdr>
        <w:top w:val="none" w:sz="0" w:space="0" w:color="auto"/>
        <w:left w:val="none" w:sz="0" w:space="0" w:color="auto"/>
        <w:bottom w:val="none" w:sz="0" w:space="0" w:color="auto"/>
        <w:right w:val="none" w:sz="0" w:space="0" w:color="auto"/>
      </w:divBdr>
    </w:div>
    <w:div w:id="412167652">
      <w:bodyDiv w:val="1"/>
      <w:marLeft w:val="0"/>
      <w:marRight w:val="0"/>
      <w:marTop w:val="0"/>
      <w:marBottom w:val="0"/>
      <w:divBdr>
        <w:top w:val="none" w:sz="0" w:space="0" w:color="auto"/>
        <w:left w:val="none" w:sz="0" w:space="0" w:color="auto"/>
        <w:bottom w:val="none" w:sz="0" w:space="0" w:color="auto"/>
        <w:right w:val="none" w:sz="0" w:space="0" w:color="auto"/>
      </w:divBdr>
    </w:div>
    <w:div w:id="415328956">
      <w:bodyDiv w:val="1"/>
      <w:marLeft w:val="0"/>
      <w:marRight w:val="0"/>
      <w:marTop w:val="0"/>
      <w:marBottom w:val="0"/>
      <w:divBdr>
        <w:top w:val="none" w:sz="0" w:space="0" w:color="auto"/>
        <w:left w:val="none" w:sz="0" w:space="0" w:color="auto"/>
        <w:bottom w:val="none" w:sz="0" w:space="0" w:color="auto"/>
        <w:right w:val="none" w:sz="0" w:space="0" w:color="auto"/>
      </w:divBdr>
    </w:div>
    <w:div w:id="416174156">
      <w:bodyDiv w:val="1"/>
      <w:marLeft w:val="0"/>
      <w:marRight w:val="0"/>
      <w:marTop w:val="0"/>
      <w:marBottom w:val="0"/>
      <w:divBdr>
        <w:top w:val="none" w:sz="0" w:space="0" w:color="auto"/>
        <w:left w:val="none" w:sz="0" w:space="0" w:color="auto"/>
        <w:bottom w:val="none" w:sz="0" w:space="0" w:color="auto"/>
        <w:right w:val="none" w:sz="0" w:space="0" w:color="auto"/>
      </w:divBdr>
    </w:div>
    <w:div w:id="416900190">
      <w:bodyDiv w:val="1"/>
      <w:marLeft w:val="0"/>
      <w:marRight w:val="0"/>
      <w:marTop w:val="0"/>
      <w:marBottom w:val="0"/>
      <w:divBdr>
        <w:top w:val="none" w:sz="0" w:space="0" w:color="auto"/>
        <w:left w:val="none" w:sz="0" w:space="0" w:color="auto"/>
        <w:bottom w:val="none" w:sz="0" w:space="0" w:color="auto"/>
        <w:right w:val="none" w:sz="0" w:space="0" w:color="auto"/>
      </w:divBdr>
    </w:div>
    <w:div w:id="417286029">
      <w:bodyDiv w:val="1"/>
      <w:marLeft w:val="0"/>
      <w:marRight w:val="0"/>
      <w:marTop w:val="0"/>
      <w:marBottom w:val="0"/>
      <w:divBdr>
        <w:top w:val="none" w:sz="0" w:space="0" w:color="auto"/>
        <w:left w:val="none" w:sz="0" w:space="0" w:color="auto"/>
        <w:bottom w:val="none" w:sz="0" w:space="0" w:color="auto"/>
        <w:right w:val="none" w:sz="0" w:space="0" w:color="auto"/>
      </w:divBdr>
    </w:div>
    <w:div w:id="417992842">
      <w:bodyDiv w:val="1"/>
      <w:marLeft w:val="0"/>
      <w:marRight w:val="0"/>
      <w:marTop w:val="0"/>
      <w:marBottom w:val="0"/>
      <w:divBdr>
        <w:top w:val="none" w:sz="0" w:space="0" w:color="auto"/>
        <w:left w:val="none" w:sz="0" w:space="0" w:color="auto"/>
        <w:bottom w:val="none" w:sz="0" w:space="0" w:color="auto"/>
        <w:right w:val="none" w:sz="0" w:space="0" w:color="auto"/>
      </w:divBdr>
    </w:div>
    <w:div w:id="418605236">
      <w:bodyDiv w:val="1"/>
      <w:marLeft w:val="0"/>
      <w:marRight w:val="0"/>
      <w:marTop w:val="0"/>
      <w:marBottom w:val="0"/>
      <w:divBdr>
        <w:top w:val="none" w:sz="0" w:space="0" w:color="auto"/>
        <w:left w:val="none" w:sz="0" w:space="0" w:color="auto"/>
        <w:bottom w:val="none" w:sz="0" w:space="0" w:color="auto"/>
        <w:right w:val="none" w:sz="0" w:space="0" w:color="auto"/>
      </w:divBdr>
    </w:div>
    <w:div w:id="419253514">
      <w:bodyDiv w:val="1"/>
      <w:marLeft w:val="0"/>
      <w:marRight w:val="0"/>
      <w:marTop w:val="0"/>
      <w:marBottom w:val="0"/>
      <w:divBdr>
        <w:top w:val="none" w:sz="0" w:space="0" w:color="auto"/>
        <w:left w:val="none" w:sz="0" w:space="0" w:color="auto"/>
        <w:bottom w:val="none" w:sz="0" w:space="0" w:color="auto"/>
        <w:right w:val="none" w:sz="0" w:space="0" w:color="auto"/>
      </w:divBdr>
    </w:div>
    <w:div w:id="421612009">
      <w:bodyDiv w:val="1"/>
      <w:marLeft w:val="0"/>
      <w:marRight w:val="0"/>
      <w:marTop w:val="0"/>
      <w:marBottom w:val="0"/>
      <w:divBdr>
        <w:top w:val="none" w:sz="0" w:space="0" w:color="auto"/>
        <w:left w:val="none" w:sz="0" w:space="0" w:color="auto"/>
        <w:bottom w:val="none" w:sz="0" w:space="0" w:color="auto"/>
        <w:right w:val="none" w:sz="0" w:space="0" w:color="auto"/>
      </w:divBdr>
    </w:div>
    <w:div w:id="422452599">
      <w:bodyDiv w:val="1"/>
      <w:marLeft w:val="0"/>
      <w:marRight w:val="0"/>
      <w:marTop w:val="0"/>
      <w:marBottom w:val="0"/>
      <w:divBdr>
        <w:top w:val="none" w:sz="0" w:space="0" w:color="auto"/>
        <w:left w:val="none" w:sz="0" w:space="0" w:color="auto"/>
        <w:bottom w:val="none" w:sz="0" w:space="0" w:color="auto"/>
        <w:right w:val="none" w:sz="0" w:space="0" w:color="auto"/>
      </w:divBdr>
    </w:div>
    <w:div w:id="423648434">
      <w:bodyDiv w:val="1"/>
      <w:marLeft w:val="0"/>
      <w:marRight w:val="0"/>
      <w:marTop w:val="0"/>
      <w:marBottom w:val="0"/>
      <w:divBdr>
        <w:top w:val="none" w:sz="0" w:space="0" w:color="auto"/>
        <w:left w:val="none" w:sz="0" w:space="0" w:color="auto"/>
        <w:bottom w:val="none" w:sz="0" w:space="0" w:color="auto"/>
        <w:right w:val="none" w:sz="0" w:space="0" w:color="auto"/>
      </w:divBdr>
    </w:div>
    <w:div w:id="427308943">
      <w:bodyDiv w:val="1"/>
      <w:marLeft w:val="0"/>
      <w:marRight w:val="0"/>
      <w:marTop w:val="0"/>
      <w:marBottom w:val="0"/>
      <w:divBdr>
        <w:top w:val="none" w:sz="0" w:space="0" w:color="auto"/>
        <w:left w:val="none" w:sz="0" w:space="0" w:color="auto"/>
        <w:bottom w:val="none" w:sz="0" w:space="0" w:color="auto"/>
        <w:right w:val="none" w:sz="0" w:space="0" w:color="auto"/>
      </w:divBdr>
    </w:div>
    <w:div w:id="428046363">
      <w:bodyDiv w:val="1"/>
      <w:marLeft w:val="0"/>
      <w:marRight w:val="0"/>
      <w:marTop w:val="0"/>
      <w:marBottom w:val="0"/>
      <w:divBdr>
        <w:top w:val="none" w:sz="0" w:space="0" w:color="auto"/>
        <w:left w:val="none" w:sz="0" w:space="0" w:color="auto"/>
        <w:bottom w:val="none" w:sz="0" w:space="0" w:color="auto"/>
        <w:right w:val="none" w:sz="0" w:space="0" w:color="auto"/>
      </w:divBdr>
    </w:div>
    <w:div w:id="432634601">
      <w:bodyDiv w:val="1"/>
      <w:marLeft w:val="0"/>
      <w:marRight w:val="0"/>
      <w:marTop w:val="0"/>
      <w:marBottom w:val="0"/>
      <w:divBdr>
        <w:top w:val="none" w:sz="0" w:space="0" w:color="auto"/>
        <w:left w:val="none" w:sz="0" w:space="0" w:color="auto"/>
        <w:bottom w:val="none" w:sz="0" w:space="0" w:color="auto"/>
        <w:right w:val="none" w:sz="0" w:space="0" w:color="auto"/>
      </w:divBdr>
    </w:div>
    <w:div w:id="435708637">
      <w:bodyDiv w:val="1"/>
      <w:marLeft w:val="0"/>
      <w:marRight w:val="0"/>
      <w:marTop w:val="0"/>
      <w:marBottom w:val="0"/>
      <w:divBdr>
        <w:top w:val="none" w:sz="0" w:space="0" w:color="auto"/>
        <w:left w:val="none" w:sz="0" w:space="0" w:color="auto"/>
        <w:bottom w:val="none" w:sz="0" w:space="0" w:color="auto"/>
        <w:right w:val="none" w:sz="0" w:space="0" w:color="auto"/>
      </w:divBdr>
    </w:div>
    <w:div w:id="438912762">
      <w:bodyDiv w:val="1"/>
      <w:marLeft w:val="0"/>
      <w:marRight w:val="0"/>
      <w:marTop w:val="0"/>
      <w:marBottom w:val="0"/>
      <w:divBdr>
        <w:top w:val="none" w:sz="0" w:space="0" w:color="auto"/>
        <w:left w:val="none" w:sz="0" w:space="0" w:color="auto"/>
        <w:bottom w:val="none" w:sz="0" w:space="0" w:color="auto"/>
        <w:right w:val="none" w:sz="0" w:space="0" w:color="auto"/>
      </w:divBdr>
    </w:div>
    <w:div w:id="439028025">
      <w:bodyDiv w:val="1"/>
      <w:marLeft w:val="0"/>
      <w:marRight w:val="0"/>
      <w:marTop w:val="0"/>
      <w:marBottom w:val="0"/>
      <w:divBdr>
        <w:top w:val="none" w:sz="0" w:space="0" w:color="auto"/>
        <w:left w:val="none" w:sz="0" w:space="0" w:color="auto"/>
        <w:bottom w:val="none" w:sz="0" w:space="0" w:color="auto"/>
        <w:right w:val="none" w:sz="0" w:space="0" w:color="auto"/>
      </w:divBdr>
    </w:div>
    <w:div w:id="440104924">
      <w:bodyDiv w:val="1"/>
      <w:marLeft w:val="0"/>
      <w:marRight w:val="0"/>
      <w:marTop w:val="0"/>
      <w:marBottom w:val="0"/>
      <w:divBdr>
        <w:top w:val="none" w:sz="0" w:space="0" w:color="auto"/>
        <w:left w:val="none" w:sz="0" w:space="0" w:color="auto"/>
        <w:bottom w:val="none" w:sz="0" w:space="0" w:color="auto"/>
        <w:right w:val="none" w:sz="0" w:space="0" w:color="auto"/>
      </w:divBdr>
    </w:div>
    <w:div w:id="441649515">
      <w:bodyDiv w:val="1"/>
      <w:marLeft w:val="0"/>
      <w:marRight w:val="0"/>
      <w:marTop w:val="0"/>
      <w:marBottom w:val="0"/>
      <w:divBdr>
        <w:top w:val="none" w:sz="0" w:space="0" w:color="auto"/>
        <w:left w:val="none" w:sz="0" w:space="0" w:color="auto"/>
        <w:bottom w:val="none" w:sz="0" w:space="0" w:color="auto"/>
        <w:right w:val="none" w:sz="0" w:space="0" w:color="auto"/>
      </w:divBdr>
    </w:div>
    <w:div w:id="441800236">
      <w:bodyDiv w:val="1"/>
      <w:marLeft w:val="0"/>
      <w:marRight w:val="0"/>
      <w:marTop w:val="0"/>
      <w:marBottom w:val="0"/>
      <w:divBdr>
        <w:top w:val="none" w:sz="0" w:space="0" w:color="auto"/>
        <w:left w:val="none" w:sz="0" w:space="0" w:color="auto"/>
        <w:bottom w:val="none" w:sz="0" w:space="0" w:color="auto"/>
        <w:right w:val="none" w:sz="0" w:space="0" w:color="auto"/>
      </w:divBdr>
    </w:div>
    <w:div w:id="444427601">
      <w:bodyDiv w:val="1"/>
      <w:marLeft w:val="0"/>
      <w:marRight w:val="0"/>
      <w:marTop w:val="0"/>
      <w:marBottom w:val="0"/>
      <w:divBdr>
        <w:top w:val="none" w:sz="0" w:space="0" w:color="auto"/>
        <w:left w:val="none" w:sz="0" w:space="0" w:color="auto"/>
        <w:bottom w:val="none" w:sz="0" w:space="0" w:color="auto"/>
        <w:right w:val="none" w:sz="0" w:space="0" w:color="auto"/>
      </w:divBdr>
    </w:div>
    <w:div w:id="444734430">
      <w:bodyDiv w:val="1"/>
      <w:marLeft w:val="0"/>
      <w:marRight w:val="0"/>
      <w:marTop w:val="0"/>
      <w:marBottom w:val="0"/>
      <w:divBdr>
        <w:top w:val="none" w:sz="0" w:space="0" w:color="auto"/>
        <w:left w:val="none" w:sz="0" w:space="0" w:color="auto"/>
        <w:bottom w:val="none" w:sz="0" w:space="0" w:color="auto"/>
        <w:right w:val="none" w:sz="0" w:space="0" w:color="auto"/>
      </w:divBdr>
    </w:div>
    <w:div w:id="446658626">
      <w:bodyDiv w:val="1"/>
      <w:marLeft w:val="0"/>
      <w:marRight w:val="0"/>
      <w:marTop w:val="0"/>
      <w:marBottom w:val="0"/>
      <w:divBdr>
        <w:top w:val="none" w:sz="0" w:space="0" w:color="auto"/>
        <w:left w:val="none" w:sz="0" w:space="0" w:color="auto"/>
        <w:bottom w:val="none" w:sz="0" w:space="0" w:color="auto"/>
        <w:right w:val="none" w:sz="0" w:space="0" w:color="auto"/>
      </w:divBdr>
    </w:div>
    <w:div w:id="446777981">
      <w:bodyDiv w:val="1"/>
      <w:marLeft w:val="0"/>
      <w:marRight w:val="0"/>
      <w:marTop w:val="0"/>
      <w:marBottom w:val="0"/>
      <w:divBdr>
        <w:top w:val="none" w:sz="0" w:space="0" w:color="auto"/>
        <w:left w:val="none" w:sz="0" w:space="0" w:color="auto"/>
        <w:bottom w:val="none" w:sz="0" w:space="0" w:color="auto"/>
        <w:right w:val="none" w:sz="0" w:space="0" w:color="auto"/>
      </w:divBdr>
    </w:div>
    <w:div w:id="447816100">
      <w:bodyDiv w:val="1"/>
      <w:marLeft w:val="0"/>
      <w:marRight w:val="0"/>
      <w:marTop w:val="0"/>
      <w:marBottom w:val="0"/>
      <w:divBdr>
        <w:top w:val="none" w:sz="0" w:space="0" w:color="auto"/>
        <w:left w:val="none" w:sz="0" w:space="0" w:color="auto"/>
        <w:bottom w:val="none" w:sz="0" w:space="0" w:color="auto"/>
        <w:right w:val="none" w:sz="0" w:space="0" w:color="auto"/>
      </w:divBdr>
    </w:div>
    <w:div w:id="448399072">
      <w:bodyDiv w:val="1"/>
      <w:marLeft w:val="0"/>
      <w:marRight w:val="0"/>
      <w:marTop w:val="0"/>
      <w:marBottom w:val="0"/>
      <w:divBdr>
        <w:top w:val="none" w:sz="0" w:space="0" w:color="auto"/>
        <w:left w:val="none" w:sz="0" w:space="0" w:color="auto"/>
        <w:bottom w:val="none" w:sz="0" w:space="0" w:color="auto"/>
        <w:right w:val="none" w:sz="0" w:space="0" w:color="auto"/>
      </w:divBdr>
    </w:div>
    <w:div w:id="450322183">
      <w:bodyDiv w:val="1"/>
      <w:marLeft w:val="0"/>
      <w:marRight w:val="0"/>
      <w:marTop w:val="0"/>
      <w:marBottom w:val="0"/>
      <w:divBdr>
        <w:top w:val="none" w:sz="0" w:space="0" w:color="auto"/>
        <w:left w:val="none" w:sz="0" w:space="0" w:color="auto"/>
        <w:bottom w:val="none" w:sz="0" w:space="0" w:color="auto"/>
        <w:right w:val="none" w:sz="0" w:space="0" w:color="auto"/>
      </w:divBdr>
    </w:div>
    <w:div w:id="450437077">
      <w:bodyDiv w:val="1"/>
      <w:marLeft w:val="0"/>
      <w:marRight w:val="0"/>
      <w:marTop w:val="0"/>
      <w:marBottom w:val="0"/>
      <w:divBdr>
        <w:top w:val="none" w:sz="0" w:space="0" w:color="auto"/>
        <w:left w:val="none" w:sz="0" w:space="0" w:color="auto"/>
        <w:bottom w:val="none" w:sz="0" w:space="0" w:color="auto"/>
        <w:right w:val="none" w:sz="0" w:space="0" w:color="auto"/>
      </w:divBdr>
    </w:div>
    <w:div w:id="450560827">
      <w:bodyDiv w:val="1"/>
      <w:marLeft w:val="0"/>
      <w:marRight w:val="0"/>
      <w:marTop w:val="0"/>
      <w:marBottom w:val="0"/>
      <w:divBdr>
        <w:top w:val="none" w:sz="0" w:space="0" w:color="auto"/>
        <w:left w:val="none" w:sz="0" w:space="0" w:color="auto"/>
        <w:bottom w:val="none" w:sz="0" w:space="0" w:color="auto"/>
        <w:right w:val="none" w:sz="0" w:space="0" w:color="auto"/>
      </w:divBdr>
    </w:div>
    <w:div w:id="450829995">
      <w:bodyDiv w:val="1"/>
      <w:marLeft w:val="0"/>
      <w:marRight w:val="0"/>
      <w:marTop w:val="0"/>
      <w:marBottom w:val="0"/>
      <w:divBdr>
        <w:top w:val="none" w:sz="0" w:space="0" w:color="auto"/>
        <w:left w:val="none" w:sz="0" w:space="0" w:color="auto"/>
        <w:bottom w:val="none" w:sz="0" w:space="0" w:color="auto"/>
        <w:right w:val="none" w:sz="0" w:space="0" w:color="auto"/>
      </w:divBdr>
    </w:div>
    <w:div w:id="450977044">
      <w:bodyDiv w:val="1"/>
      <w:marLeft w:val="0"/>
      <w:marRight w:val="0"/>
      <w:marTop w:val="0"/>
      <w:marBottom w:val="0"/>
      <w:divBdr>
        <w:top w:val="none" w:sz="0" w:space="0" w:color="auto"/>
        <w:left w:val="none" w:sz="0" w:space="0" w:color="auto"/>
        <w:bottom w:val="none" w:sz="0" w:space="0" w:color="auto"/>
        <w:right w:val="none" w:sz="0" w:space="0" w:color="auto"/>
      </w:divBdr>
    </w:div>
    <w:div w:id="457722872">
      <w:bodyDiv w:val="1"/>
      <w:marLeft w:val="0"/>
      <w:marRight w:val="0"/>
      <w:marTop w:val="0"/>
      <w:marBottom w:val="0"/>
      <w:divBdr>
        <w:top w:val="none" w:sz="0" w:space="0" w:color="auto"/>
        <w:left w:val="none" w:sz="0" w:space="0" w:color="auto"/>
        <w:bottom w:val="none" w:sz="0" w:space="0" w:color="auto"/>
        <w:right w:val="none" w:sz="0" w:space="0" w:color="auto"/>
      </w:divBdr>
    </w:div>
    <w:div w:id="457989579">
      <w:bodyDiv w:val="1"/>
      <w:marLeft w:val="0"/>
      <w:marRight w:val="0"/>
      <w:marTop w:val="0"/>
      <w:marBottom w:val="0"/>
      <w:divBdr>
        <w:top w:val="none" w:sz="0" w:space="0" w:color="auto"/>
        <w:left w:val="none" w:sz="0" w:space="0" w:color="auto"/>
        <w:bottom w:val="none" w:sz="0" w:space="0" w:color="auto"/>
        <w:right w:val="none" w:sz="0" w:space="0" w:color="auto"/>
      </w:divBdr>
    </w:div>
    <w:div w:id="458454434">
      <w:bodyDiv w:val="1"/>
      <w:marLeft w:val="0"/>
      <w:marRight w:val="0"/>
      <w:marTop w:val="0"/>
      <w:marBottom w:val="0"/>
      <w:divBdr>
        <w:top w:val="none" w:sz="0" w:space="0" w:color="auto"/>
        <w:left w:val="none" w:sz="0" w:space="0" w:color="auto"/>
        <w:bottom w:val="none" w:sz="0" w:space="0" w:color="auto"/>
        <w:right w:val="none" w:sz="0" w:space="0" w:color="auto"/>
      </w:divBdr>
    </w:div>
    <w:div w:id="458572498">
      <w:bodyDiv w:val="1"/>
      <w:marLeft w:val="0"/>
      <w:marRight w:val="0"/>
      <w:marTop w:val="0"/>
      <w:marBottom w:val="0"/>
      <w:divBdr>
        <w:top w:val="none" w:sz="0" w:space="0" w:color="auto"/>
        <w:left w:val="none" w:sz="0" w:space="0" w:color="auto"/>
        <w:bottom w:val="none" w:sz="0" w:space="0" w:color="auto"/>
        <w:right w:val="none" w:sz="0" w:space="0" w:color="auto"/>
      </w:divBdr>
    </w:div>
    <w:div w:id="459419203">
      <w:bodyDiv w:val="1"/>
      <w:marLeft w:val="0"/>
      <w:marRight w:val="0"/>
      <w:marTop w:val="0"/>
      <w:marBottom w:val="0"/>
      <w:divBdr>
        <w:top w:val="none" w:sz="0" w:space="0" w:color="auto"/>
        <w:left w:val="none" w:sz="0" w:space="0" w:color="auto"/>
        <w:bottom w:val="none" w:sz="0" w:space="0" w:color="auto"/>
        <w:right w:val="none" w:sz="0" w:space="0" w:color="auto"/>
      </w:divBdr>
    </w:div>
    <w:div w:id="459684967">
      <w:bodyDiv w:val="1"/>
      <w:marLeft w:val="0"/>
      <w:marRight w:val="0"/>
      <w:marTop w:val="0"/>
      <w:marBottom w:val="0"/>
      <w:divBdr>
        <w:top w:val="none" w:sz="0" w:space="0" w:color="auto"/>
        <w:left w:val="none" w:sz="0" w:space="0" w:color="auto"/>
        <w:bottom w:val="none" w:sz="0" w:space="0" w:color="auto"/>
        <w:right w:val="none" w:sz="0" w:space="0" w:color="auto"/>
      </w:divBdr>
    </w:div>
    <w:div w:id="462432431">
      <w:bodyDiv w:val="1"/>
      <w:marLeft w:val="0"/>
      <w:marRight w:val="0"/>
      <w:marTop w:val="0"/>
      <w:marBottom w:val="0"/>
      <w:divBdr>
        <w:top w:val="none" w:sz="0" w:space="0" w:color="auto"/>
        <w:left w:val="none" w:sz="0" w:space="0" w:color="auto"/>
        <w:bottom w:val="none" w:sz="0" w:space="0" w:color="auto"/>
        <w:right w:val="none" w:sz="0" w:space="0" w:color="auto"/>
      </w:divBdr>
    </w:div>
    <w:div w:id="463080799">
      <w:bodyDiv w:val="1"/>
      <w:marLeft w:val="0"/>
      <w:marRight w:val="0"/>
      <w:marTop w:val="0"/>
      <w:marBottom w:val="0"/>
      <w:divBdr>
        <w:top w:val="none" w:sz="0" w:space="0" w:color="auto"/>
        <w:left w:val="none" w:sz="0" w:space="0" w:color="auto"/>
        <w:bottom w:val="none" w:sz="0" w:space="0" w:color="auto"/>
        <w:right w:val="none" w:sz="0" w:space="0" w:color="auto"/>
      </w:divBdr>
    </w:div>
    <w:div w:id="464541370">
      <w:bodyDiv w:val="1"/>
      <w:marLeft w:val="0"/>
      <w:marRight w:val="0"/>
      <w:marTop w:val="0"/>
      <w:marBottom w:val="0"/>
      <w:divBdr>
        <w:top w:val="none" w:sz="0" w:space="0" w:color="auto"/>
        <w:left w:val="none" w:sz="0" w:space="0" w:color="auto"/>
        <w:bottom w:val="none" w:sz="0" w:space="0" w:color="auto"/>
        <w:right w:val="none" w:sz="0" w:space="0" w:color="auto"/>
      </w:divBdr>
    </w:div>
    <w:div w:id="464813252">
      <w:bodyDiv w:val="1"/>
      <w:marLeft w:val="0"/>
      <w:marRight w:val="0"/>
      <w:marTop w:val="0"/>
      <w:marBottom w:val="0"/>
      <w:divBdr>
        <w:top w:val="none" w:sz="0" w:space="0" w:color="auto"/>
        <w:left w:val="none" w:sz="0" w:space="0" w:color="auto"/>
        <w:bottom w:val="none" w:sz="0" w:space="0" w:color="auto"/>
        <w:right w:val="none" w:sz="0" w:space="0" w:color="auto"/>
      </w:divBdr>
    </w:div>
    <w:div w:id="464934773">
      <w:bodyDiv w:val="1"/>
      <w:marLeft w:val="0"/>
      <w:marRight w:val="0"/>
      <w:marTop w:val="0"/>
      <w:marBottom w:val="0"/>
      <w:divBdr>
        <w:top w:val="none" w:sz="0" w:space="0" w:color="auto"/>
        <w:left w:val="none" w:sz="0" w:space="0" w:color="auto"/>
        <w:bottom w:val="none" w:sz="0" w:space="0" w:color="auto"/>
        <w:right w:val="none" w:sz="0" w:space="0" w:color="auto"/>
      </w:divBdr>
    </w:div>
    <w:div w:id="467743898">
      <w:bodyDiv w:val="1"/>
      <w:marLeft w:val="0"/>
      <w:marRight w:val="0"/>
      <w:marTop w:val="0"/>
      <w:marBottom w:val="0"/>
      <w:divBdr>
        <w:top w:val="none" w:sz="0" w:space="0" w:color="auto"/>
        <w:left w:val="none" w:sz="0" w:space="0" w:color="auto"/>
        <w:bottom w:val="none" w:sz="0" w:space="0" w:color="auto"/>
        <w:right w:val="none" w:sz="0" w:space="0" w:color="auto"/>
      </w:divBdr>
    </w:div>
    <w:div w:id="468981133">
      <w:bodyDiv w:val="1"/>
      <w:marLeft w:val="0"/>
      <w:marRight w:val="0"/>
      <w:marTop w:val="0"/>
      <w:marBottom w:val="0"/>
      <w:divBdr>
        <w:top w:val="none" w:sz="0" w:space="0" w:color="auto"/>
        <w:left w:val="none" w:sz="0" w:space="0" w:color="auto"/>
        <w:bottom w:val="none" w:sz="0" w:space="0" w:color="auto"/>
        <w:right w:val="none" w:sz="0" w:space="0" w:color="auto"/>
      </w:divBdr>
    </w:div>
    <w:div w:id="469060568">
      <w:bodyDiv w:val="1"/>
      <w:marLeft w:val="0"/>
      <w:marRight w:val="0"/>
      <w:marTop w:val="0"/>
      <w:marBottom w:val="0"/>
      <w:divBdr>
        <w:top w:val="none" w:sz="0" w:space="0" w:color="auto"/>
        <w:left w:val="none" w:sz="0" w:space="0" w:color="auto"/>
        <w:bottom w:val="none" w:sz="0" w:space="0" w:color="auto"/>
        <w:right w:val="none" w:sz="0" w:space="0" w:color="auto"/>
      </w:divBdr>
    </w:div>
    <w:div w:id="469592230">
      <w:bodyDiv w:val="1"/>
      <w:marLeft w:val="0"/>
      <w:marRight w:val="0"/>
      <w:marTop w:val="0"/>
      <w:marBottom w:val="0"/>
      <w:divBdr>
        <w:top w:val="none" w:sz="0" w:space="0" w:color="auto"/>
        <w:left w:val="none" w:sz="0" w:space="0" w:color="auto"/>
        <w:bottom w:val="none" w:sz="0" w:space="0" w:color="auto"/>
        <w:right w:val="none" w:sz="0" w:space="0" w:color="auto"/>
      </w:divBdr>
    </w:div>
    <w:div w:id="469828918">
      <w:bodyDiv w:val="1"/>
      <w:marLeft w:val="0"/>
      <w:marRight w:val="0"/>
      <w:marTop w:val="0"/>
      <w:marBottom w:val="0"/>
      <w:divBdr>
        <w:top w:val="none" w:sz="0" w:space="0" w:color="auto"/>
        <w:left w:val="none" w:sz="0" w:space="0" w:color="auto"/>
        <w:bottom w:val="none" w:sz="0" w:space="0" w:color="auto"/>
        <w:right w:val="none" w:sz="0" w:space="0" w:color="auto"/>
      </w:divBdr>
    </w:div>
    <w:div w:id="470363356">
      <w:bodyDiv w:val="1"/>
      <w:marLeft w:val="0"/>
      <w:marRight w:val="0"/>
      <w:marTop w:val="0"/>
      <w:marBottom w:val="0"/>
      <w:divBdr>
        <w:top w:val="none" w:sz="0" w:space="0" w:color="auto"/>
        <w:left w:val="none" w:sz="0" w:space="0" w:color="auto"/>
        <w:bottom w:val="none" w:sz="0" w:space="0" w:color="auto"/>
        <w:right w:val="none" w:sz="0" w:space="0" w:color="auto"/>
      </w:divBdr>
    </w:div>
    <w:div w:id="472018092">
      <w:bodyDiv w:val="1"/>
      <w:marLeft w:val="0"/>
      <w:marRight w:val="0"/>
      <w:marTop w:val="0"/>
      <w:marBottom w:val="0"/>
      <w:divBdr>
        <w:top w:val="none" w:sz="0" w:space="0" w:color="auto"/>
        <w:left w:val="none" w:sz="0" w:space="0" w:color="auto"/>
        <w:bottom w:val="none" w:sz="0" w:space="0" w:color="auto"/>
        <w:right w:val="none" w:sz="0" w:space="0" w:color="auto"/>
      </w:divBdr>
    </w:div>
    <w:div w:id="472866924">
      <w:bodyDiv w:val="1"/>
      <w:marLeft w:val="0"/>
      <w:marRight w:val="0"/>
      <w:marTop w:val="0"/>
      <w:marBottom w:val="0"/>
      <w:divBdr>
        <w:top w:val="none" w:sz="0" w:space="0" w:color="auto"/>
        <w:left w:val="none" w:sz="0" w:space="0" w:color="auto"/>
        <w:bottom w:val="none" w:sz="0" w:space="0" w:color="auto"/>
        <w:right w:val="none" w:sz="0" w:space="0" w:color="auto"/>
      </w:divBdr>
    </w:div>
    <w:div w:id="475293375">
      <w:bodyDiv w:val="1"/>
      <w:marLeft w:val="0"/>
      <w:marRight w:val="0"/>
      <w:marTop w:val="0"/>
      <w:marBottom w:val="0"/>
      <w:divBdr>
        <w:top w:val="none" w:sz="0" w:space="0" w:color="auto"/>
        <w:left w:val="none" w:sz="0" w:space="0" w:color="auto"/>
        <w:bottom w:val="none" w:sz="0" w:space="0" w:color="auto"/>
        <w:right w:val="none" w:sz="0" w:space="0" w:color="auto"/>
      </w:divBdr>
    </w:div>
    <w:div w:id="475991703">
      <w:bodyDiv w:val="1"/>
      <w:marLeft w:val="0"/>
      <w:marRight w:val="0"/>
      <w:marTop w:val="0"/>
      <w:marBottom w:val="0"/>
      <w:divBdr>
        <w:top w:val="none" w:sz="0" w:space="0" w:color="auto"/>
        <w:left w:val="none" w:sz="0" w:space="0" w:color="auto"/>
        <w:bottom w:val="none" w:sz="0" w:space="0" w:color="auto"/>
        <w:right w:val="none" w:sz="0" w:space="0" w:color="auto"/>
      </w:divBdr>
    </w:div>
    <w:div w:id="476343833">
      <w:bodyDiv w:val="1"/>
      <w:marLeft w:val="0"/>
      <w:marRight w:val="0"/>
      <w:marTop w:val="0"/>
      <w:marBottom w:val="0"/>
      <w:divBdr>
        <w:top w:val="none" w:sz="0" w:space="0" w:color="auto"/>
        <w:left w:val="none" w:sz="0" w:space="0" w:color="auto"/>
        <w:bottom w:val="none" w:sz="0" w:space="0" w:color="auto"/>
        <w:right w:val="none" w:sz="0" w:space="0" w:color="auto"/>
      </w:divBdr>
    </w:div>
    <w:div w:id="477066808">
      <w:bodyDiv w:val="1"/>
      <w:marLeft w:val="0"/>
      <w:marRight w:val="0"/>
      <w:marTop w:val="0"/>
      <w:marBottom w:val="0"/>
      <w:divBdr>
        <w:top w:val="none" w:sz="0" w:space="0" w:color="auto"/>
        <w:left w:val="none" w:sz="0" w:space="0" w:color="auto"/>
        <w:bottom w:val="none" w:sz="0" w:space="0" w:color="auto"/>
        <w:right w:val="none" w:sz="0" w:space="0" w:color="auto"/>
      </w:divBdr>
    </w:div>
    <w:div w:id="479269759">
      <w:bodyDiv w:val="1"/>
      <w:marLeft w:val="0"/>
      <w:marRight w:val="0"/>
      <w:marTop w:val="0"/>
      <w:marBottom w:val="0"/>
      <w:divBdr>
        <w:top w:val="none" w:sz="0" w:space="0" w:color="auto"/>
        <w:left w:val="none" w:sz="0" w:space="0" w:color="auto"/>
        <w:bottom w:val="none" w:sz="0" w:space="0" w:color="auto"/>
        <w:right w:val="none" w:sz="0" w:space="0" w:color="auto"/>
      </w:divBdr>
    </w:div>
    <w:div w:id="479880515">
      <w:bodyDiv w:val="1"/>
      <w:marLeft w:val="0"/>
      <w:marRight w:val="0"/>
      <w:marTop w:val="0"/>
      <w:marBottom w:val="0"/>
      <w:divBdr>
        <w:top w:val="none" w:sz="0" w:space="0" w:color="auto"/>
        <w:left w:val="none" w:sz="0" w:space="0" w:color="auto"/>
        <w:bottom w:val="none" w:sz="0" w:space="0" w:color="auto"/>
        <w:right w:val="none" w:sz="0" w:space="0" w:color="auto"/>
      </w:divBdr>
    </w:div>
    <w:div w:id="481118652">
      <w:bodyDiv w:val="1"/>
      <w:marLeft w:val="0"/>
      <w:marRight w:val="0"/>
      <w:marTop w:val="0"/>
      <w:marBottom w:val="0"/>
      <w:divBdr>
        <w:top w:val="none" w:sz="0" w:space="0" w:color="auto"/>
        <w:left w:val="none" w:sz="0" w:space="0" w:color="auto"/>
        <w:bottom w:val="none" w:sz="0" w:space="0" w:color="auto"/>
        <w:right w:val="none" w:sz="0" w:space="0" w:color="auto"/>
      </w:divBdr>
    </w:div>
    <w:div w:id="481430157">
      <w:bodyDiv w:val="1"/>
      <w:marLeft w:val="0"/>
      <w:marRight w:val="0"/>
      <w:marTop w:val="0"/>
      <w:marBottom w:val="0"/>
      <w:divBdr>
        <w:top w:val="none" w:sz="0" w:space="0" w:color="auto"/>
        <w:left w:val="none" w:sz="0" w:space="0" w:color="auto"/>
        <w:bottom w:val="none" w:sz="0" w:space="0" w:color="auto"/>
        <w:right w:val="none" w:sz="0" w:space="0" w:color="auto"/>
      </w:divBdr>
    </w:div>
    <w:div w:id="482744650">
      <w:bodyDiv w:val="1"/>
      <w:marLeft w:val="0"/>
      <w:marRight w:val="0"/>
      <w:marTop w:val="0"/>
      <w:marBottom w:val="0"/>
      <w:divBdr>
        <w:top w:val="none" w:sz="0" w:space="0" w:color="auto"/>
        <w:left w:val="none" w:sz="0" w:space="0" w:color="auto"/>
        <w:bottom w:val="none" w:sz="0" w:space="0" w:color="auto"/>
        <w:right w:val="none" w:sz="0" w:space="0" w:color="auto"/>
      </w:divBdr>
    </w:div>
    <w:div w:id="483203029">
      <w:bodyDiv w:val="1"/>
      <w:marLeft w:val="0"/>
      <w:marRight w:val="0"/>
      <w:marTop w:val="0"/>
      <w:marBottom w:val="0"/>
      <w:divBdr>
        <w:top w:val="none" w:sz="0" w:space="0" w:color="auto"/>
        <w:left w:val="none" w:sz="0" w:space="0" w:color="auto"/>
        <w:bottom w:val="none" w:sz="0" w:space="0" w:color="auto"/>
        <w:right w:val="none" w:sz="0" w:space="0" w:color="auto"/>
      </w:divBdr>
    </w:div>
    <w:div w:id="485560135">
      <w:bodyDiv w:val="1"/>
      <w:marLeft w:val="0"/>
      <w:marRight w:val="0"/>
      <w:marTop w:val="0"/>
      <w:marBottom w:val="0"/>
      <w:divBdr>
        <w:top w:val="none" w:sz="0" w:space="0" w:color="auto"/>
        <w:left w:val="none" w:sz="0" w:space="0" w:color="auto"/>
        <w:bottom w:val="none" w:sz="0" w:space="0" w:color="auto"/>
        <w:right w:val="none" w:sz="0" w:space="0" w:color="auto"/>
      </w:divBdr>
    </w:div>
    <w:div w:id="486360922">
      <w:bodyDiv w:val="1"/>
      <w:marLeft w:val="0"/>
      <w:marRight w:val="0"/>
      <w:marTop w:val="0"/>
      <w:marBottom w:val="0"/>
      <w:divBdr>
        <w:top w:val="none" w:sz="0" w:space="0" w:color="auto"/>
        <w:left w:val="none" w:sz="0" w:space="0" w:color="auto"/>
        <w:bottom w:val="none" w:sz="0" w:space="0" w:color="auto"/>
        <w:right w:val="none" w:sz="0" w:space="0" w:color="auto"/>
      </w:divBdr>
    </w:div>
    <w:div w:id="486753491">
      <w:bodyDiv w:val="1"/>
      <w:marLeft w:val="0"/>
      <w:marRight w:val="0"/>
      <w:marTop w:val="0"/>
      <w:marBottom w:val="0"/>
      <w:divBdr>
        <w:top w:val="none" w:sz="0" w:space="0" w:color="auto"/>
        <w:left w:val="none" w:sz="0" w:space="0" w:color="auto"/>
        <w:bottom w:val="none" w:sz="0" w:space="0" w:color="auto"/>
        <w:right w:val="none" w:sz="0" w:space="0" w:color="auto"/>
      </w:divBdr>
    </w:div>
    <w:div w:id="490147524">
      <w:bodyDiv w:val="1"/>
      <w:marLeft w:val="0"/>
      <w:marRight w:val="0"/>
      <w:marTop w:val="0"/>
      <w:marBottom w:val="0"/>
      <w:divBdr>
        <w:top w:val="none" w:sz="0" w:space="0" w:color="auto"/>
        <w:left w:val="none" w:sz="0" w:space="0" w:color="auto"/>
        <w:bottom w:val="none" w:sz="0" w:space="0" w:color="auto"/>
        <w:right w:val="none" w:sz="0" w:space="0" w:color="auto"/>
      </w:divBdr>
    </w:div>
    <w:div w:id="491019679">
      <w:bodyDiv w:val="1"/>
      <w:marLeft w:val="0"/>
      <w:marRight w:val="0"/>
      <w:marTop w:val="0"/>
      <w:marBottom w:val="0"/>
      <w:divBdr>
        <w:top w:val="none" w:sz="0" w:space="0" w:color="auto"/>
        <w:left w:val="none" w:sz="0" w:space="0" w:color="auto"/>
        <w:bottom w:val="none" w:sz="0" w:space="0" w:color="auto"/>
        <w:right w:val="none" w:sz="0" w:space="0" w:color="auto"/>
      </w:divBdr>
    </w:div>
    <w:div w:id="494414355">
      <w:bodyDiv w:val="1"/>
      <w:marLeft w:val="0"/>
      <w:marRight w:val="0"/>
      <w:marTop w:val="0"/>
      <w:marBottom w:val="0"/>
      <w:divBdr>
        <w:top w:val="none" w:sz="0" w:space="0" w:color="auto"/>
        <w:left w:val="none" w:sz="0" w:space="0" w:color="auto"/>
        <w:bottom w:val="none" w:sz="0" w:space="0" w:color="auto"/>
        <w:right w:val="none" w:sz="0" w:space="0" w:color="auto"/>
      </w:divBdr>
    </w:div>
    <w:div w:id="494733549">
      <w:bodyDiv w:val="1"/>
      <w:marLeft w:val="0"/>
      <w:marRight w:val="0"/>
      <w:marTop w:val="0"/>
      <w:marBottom w:val="0"/>
      <w:divBdr>
        <w:top w:val="none" w:sz="0" w:space="0" w:color="auto"/>
        <w:left w:val="none" w:sz="0" w:space="0" w:color="auto"/>
        <w:bottom w:val="none" w:sz="0" w:space="0" w:color="auto"/>
        <w:right w:val="none" w:sz="0" w:space="0" w:color="auto"/>
      </w:divBdr>
    </w:div>
    <w:div w:id="496923204">
      <w:bodyDiv w:val="1"/>
      <w:marLeft w:val="0"/>
      <w:marRight w:val="0"/>
      <w:marTop w:val="0"/>
      <w:marBottom w:val="0"/>
      <w:divBdr>
        <w:top w:val="none" w:sz="0" w:space="0" w:color="auto"/>
        <w:left w:val="none" w:sz="0" w:space="0" w:color="auto"/>
        <w:bottom w:val="none" w:sz="0" w:space="0" w:color="auto"/>
        <w:right w:val="none" w:sz="0" w:space="0" w:color="auto"/>
      </w:divBdr>
    </w:div>
    <w:div w:id="497814365">
      <w:bodyDiv w:val="1"/>
      <w:marLeft w:val="0"/>
      <w:marRight w:val="0"/>
      <w:marTop w:val="0"/>
      <w:marBottom w:val="0"/>
      <w:divBdr>
        <w:top w:val="none" w:sz="0" w:space="0" w:color="auto"/>
        <w:left w:val="none" w:sz="0" w:space="0" w:color="auto"/>
        <w:bottom w:val="none" w:sz="0" w:space="0" w:color="auto"/>
        <w:right w:val="none" w:sz="0" w:space="0" w:color="auto"/>
      </w:divBdr>
    </w:div>
    <w:div w:id="500006826">
      <w:bodyDiv w:val="1"/>
      <w:marLeft w:val="0"/>
      <w:marRight w:val="0"/>
      <w:marTop w:val="0"/>
      <w:marBottom w:val="0"/>
      <w:divBdr>
        <w:top w:val="none" w:sz="0" w:space="0" w:color="auto"/>
        <w:left w:val="none" w:sz="0" w:space="0" w:color="auto"/>
        <w:bottom w:val="none" w:sz="0" w:space="0" w:color="auto"/>
        <w:right w:val="none" w:sz="0" w:space="0" w:color="auto"/>
      </w:divBdr>
    </w:div>
    <w:div w:id="500122075">
      <w:bodyDiv w:val="1"/>
      <w:marLeft w:val="0"/>
      <w:marRight w:val="0"/>
      <w:marTop w:val="0"/>
      <w:marBottom w:val="0"/>
      <w:divBdr>
        <w:top w:val="none" w:sz="0" w:space="0" w:color="auto"/>
        <w:left w:val="none" w:sz="0" w:space="0" w:color="auto"/>
        <w:bottom w:val="none" w:sz="0" w:space="0" w:color="auto"/>
        <w:right w:val="none" w:sz="0" w:space="0" w:color="auto"/>
      </w:divBdr>
    </w:div>
    <w:div w:id="500658276">
      <w:bodyDiv w:val="1"/>
      <w:marLeft w:val="0"/>
      <w:marRight w:val="0"/>
      <w:marTop w:val="0"/>
      <w:marBottom w:val="0"/>
      <w:divBdr>
        <w:top w:val="none" w:sz="0" w:space="0" w:color="auto"/>
        <w:left w:val="none" w:sz="0" w:space="0" w:color="auto"/>
        <w:bottom w:val="none" w:sz="0" w:space="0" w:color="auto"/>
        <w:right w:val="none" w:sz="0" w:space="0" w:color="auto"/>
      </w:divBdr>
    </w:div>
    <w:div w:id="502011063">
      <w:bodyDiv w:val="1"/>
      <w:marLeft w:val="0"/>
      <w:marRight w:val="0"/>
      <w:marTop w:val="0"/>
      <w:marBottom w:val="0"/>
      <w:divBdr>
        <w:top w:val="none" w:sz="0" w:space="0" w:color="auto"/>
        <w:left w:val="none" w:sz="0" w:space="0" w:color="auto"/>
        <w:bottom w:val="none" w:sz="0" w:space="0" w:color="auto"/>
        <w:right w:val="none" w:sz="0" w:space="0" w:color="auto"/>
      </w:divBdr>
    </w:div>
    <w:div w:id="502283746">
      <w:bodyDiv w:val="1"/>
      <w:marLeft w:val="0"/>
      <w:marRight w:val="0"/>
      <w:marTop w:val="0"/>
      <w:marBottom w:val="0"/>
      <w:divBdr>
        <w:top w:val="none" w:sz="0" w:space="0" w:color="auto"/>
        <w:left w:val="none" w:sz="0" w:space="0" w:color="auto"/>
        <w:bottom w:val="none" w:sz="0" w:space="0" w:color="auto"/>
        <w:right w:val="none" w:sz="0" w:space="0" w:color="auto"/>
      </w:divBdr>
    </w:div>
    <w:div w:id="502743896">
      <w:bodyDiv w:val="1"/>
      <w:marLeft w:val="0"/>
      <w:marRight w:val="0"/>
      <w:marTop w:val="0"/>
      <w:marBottom w:val="0"/>
      <w:divBdr>
        <w:top w:val="none" w:sz="0" w:space="0" w:color="auto"/>
        <w:left w:val="none" w:sz="0" w:space="0" w:color="auto"/>
        <w:bottom w:val="none" w:sz="0" w:space="0" w:color="auto"/>
        <w:right w:val="none" w:sz="0" w:space="0" w:color="auto"/>
      </w:divBdr>
    </w:div>
    <w:div w:id="503127440">
      <w:bodyDiv w:val="1"/>
      <w:marLeft w:val="0"/>
      <w:marRight w:val="0"/>
      <w:marTop w:val="0"/>
      <w:marBottom w:val="0"/>
      <w:divBdr>
        <w:top w:val="none" w:sz="0" w:space="0" w:color="auto"/>
        <w:left w:val="none" w:sz="0" w:space="0" w:color="auto"/>
        <w:bottom w:val="none" w:sz="0" w:space="0" w:color="auto"/>
        <w:right w:val="none" w:sz="0" w:space="0" w:color="auto"/>
      </w:divBdr>
    </w:div>
    <w:div w:id="503788233">
      <w:bodyDiv w:val="1"/>
      <w:marLeft w:val="0"/>
      <w:marRight w:val="0"/>
      <w:marTop w:val="0"/>
      <w:marBottom w:val="0"/>
      <w:divBdr>
        <w:top w:val="none" w:sz="0" w:space="0" w:color="auto"/>
        <w:left w:val="none" w:sz="0" w:space="0" w:color="auto"/>
        <w:bottom w:val="none" w:sz="0" w:space="0" w:color="auto"/>
        <w:right w:val="none" w:sz="0" w:space="0" w:color="auto"/>
      </w:divBdr>
    </w:div>
    <w:div w:id="505171220">
      <w:bodyDiv w:val="1"/>
      <w:marLeft w:val="0"/>
      <w:marRight w:val="0"/>
      <w:marTop w:val="0"/>
      <w:marBottom w:val="0"/>
      <w:divBdr>
        <w:top w:val="none" w:sz="0" w:space="0" w:color="auto"/>
        <w:left w:val="none" w:sz="0" w:space="0" w:color="auto"/>
        <w:bottom w:val="none" w:sz="0" w:space="0" w:color="auto"/>
        <w:right w:val="none" w:sz="0" w:space="0" w:color="auto"/>
      </w:divBdr>
    </w:div>
    <w:div w:id="509299584">
      <w:bodyDiv w:val="1"/>
      <w:marLeft w:val="0"/>
      <w:marRight w:val="0"/>
      <w:marTop w:val="0"/>
      <w:marBottom w:val="0"/>
      <w:divBdr>
        <w:top w:val="none" w:sz="0" w:space="0" w:color="auto"/>
        <w:left w:val="none" w:sz="0" w:space="0" w:color="auto"/>
        <w:bottom w:val="none" w:sz="0" w:space="0" w:color="auto"/>
        <w:right w:val="none" w:sz="0" w:space="0" w:color="auto"/>
      </w:divBdr>
    </w:div>
    <w:div w:id="509568161">
      <w:bodyDiv w:val="1"/>
      <w:marLeft w:val="0"/>
      <w:marRight w:val="0"/>
      <w:marTop w:val="0"/>
      <w:marBottom w:val="0"/>
      <w:divBdr>
        <w:top w:val="none" w:sz="0" w:space="0" w:color="auto"/>
        <w:left w:val="none" w:sz="0" w:space="0" w:color="auto"/>
        <w:bottom w:val="none" w:sz="0" w:space="0" w:color="auto"/>
        <w:right w:val="none" w:sz="0" w:space="0" w:color="auto"/>
      </w:divBdr>
    </w:div>
    <w:div w:id="510610923">
      <w:bodyDiv w:val="1"/>
      <w:marLeft w:val="0"/>
      <w:marRight w:val="0"/>
      <w:marTop w:val="0"/>
      <w:marBottom w:val="0"/>
      <w:divBdr>
        <w:top w:val="none" w:sz="0" w:space="0" w:color="auto"/>
        <w:left w:val="none" w:sz="0" w:space="0" w:color="auto"/>
        <w:bottom w:val="none" w:sz="0" w:space="0" w:color="auto"/>
        <w:right w:val="none" w:sz="0" w:space="0" w:color="auto"/>
      </w:divBdr>
    </w:div>
    <w:div w:id="512109083">
      <w:bodyDiv w:val="1"/>
      <w:marLeft w:val="0"/>
      <w:marRight w:val="0"/>
      <w:marTop w:val="0"/>
      <w:marBottom w:val="0"/>
      <w:divBdr>
        <w:top w:val="none" w:sz="0" w:space="0" w:color="auto"/>
        <w:left w:val="none" w:sz="0" w:space="0" w:color="auto"/>
        <w:bottom w:val="none" w:sz="0" w:space="0" w:color="auto"/>
        <w:right w:val="none" w:sz="0" w:space="0" w:color="auto"/>
      </w:divBdr>
    </w:div>
    <w:div w:id="512649276">
      <w:bodyDiv w:val="1"/>
      <w:marLeft w:val="0"/>
      <w:marRight w:val="0"/>
      <w:marTop w:val="0"/>
      <w:marBottom w:val="0"/>
      <w:divBdr>
        <w:top w:val="none" w:sz="0" w:space="0" w:color="auto"/>
        <w:left w:val="none" w:sz="0" w:space="0" w:color="auto"/>
        <w:bottom w:val="none" w:sz="0" w:space="0" w:color="auto"/>
        <w:right w:val="none" w:sz="0" w:space="0" w:color="auto"/>
      </w:divBdr>
    </w:div>
    <w:div w:id="512761496">
      <w:bodyDiv w:val="1"/>
      <w:marLeft w:val="0"/>
      <w:marRight w:val="0"/>
      <w:marTop w:val="0"/>
      <w:marBottom w:val="0"/>
      <w:divBdr>
        <w:top w:val="none" w:sz="0" w:space="0" w:color="auto"/>
        <w:left w:val="none" w:sz="0" w:space="0" w:color="auto"/>
        <w:bottom w:val="none" w:sz="0" w:space="0" w:color="auto"/>
        <w:right w:val="none" w:sz="0" w:space="0" w:color="auto"/>
      </w:divBdr>
    </w:div>
    <w:div w:id="513500563">
      <w:bodyDiv w:val="1"/>
      <w:marLeft w:val="0"/>
      <w:marRight w:val="0"/>
      <w:marTop w:val="0"/>
      <w:marBottom w:val="0"/>
      <w:divBdr>
        <w:top w:val="none" w:sz="0" w:space="0" w:color="auto"/>
        <w:left w:val="none" w:sz="0" w:space="0" w:color="auto"/>
        <w:bottom w:val="none" w:sz="0" w:space="0" w:color="auto"/>
        <w:right w:val="none" w:sz="0" w:space="0" w:color="auto"/>
      </w:divBdr>
    </w:div>
    <w:div w:id="514348943">
      <w:bodyDiv w:val="1"/>
      <w:marLeft w:val="0"/>
      <w:marRight w:val="0"/>
      <w:marTop w:val="0"/>
      <w:marBottom w:val="0"/>
      <w:divBdr>
        <w:top w:val="none" w:sz="0" w:space="0" w:color="auto"/>
        <w:left w:val="none" w:sz="0" w:space="0" w:color="auto"/>
        <w:bottom w:val="none" w:sz="0" w:space="0" w:color="auto"/>
        <w:right w:val="none" w:sz="0" w:space="0" w:color="auto"/>
      </w:divBdr>
    </w:div>
    <w:div w:id="514539781">
      <w:bodyDiv w:val="1"/>
      <w:marLeft w:val="0"/>
      <w:marRight w:val="0"/>
      <w:marTop w:val="0"/>
      <w:marBottom w:val="0"/>
      <w:divBdr>
        <w:top w:val="none" w:sz="0" w:space="0" w:color="auto"/>
        <w:left w:val="none" w:sz="0" w:space="0" w:color="auto"/>
        <w:bottom w:val="none" w:sz="0" w:space="0" w:color="auto"/>
        <w:right w:val="none" w:sz="0" w:space="0" w:color="auto"/>
      </w:divBdr>
    </w:div>
    <w:div w:id="515732965">
      <w:bodyDiv w:val="1"/>
      <w:marLeft w:val="0"/>
      <w:marRight w:val="0"/>
      <w:marTop w:val="0"/>
      <w:marBottom w:val="0"/>
      <w:divBdr>
        <w:top w:val="none" w:sz="0" w:space="0" w:color="auto"/>
        <w:left w:val="none" w:sz="0" w:space="0" w:color="auto"/>
        <w:bottom w:val="none" w:sz="0" w:space="0" w:color="auto"/>
        <w:right w:val="none" w:sz="0" w:space="0" w:color="auto"/>
      </w:divBdr>
    </w:div>
    <w:div w:id="516237975">
      <w:bodyDiv w:val="1"/>
      <w:marLeft w:val="0"/>
      <w:marRight w:val="0"/>
      <w:marTop w:val="0"/>
      <w:marBottom w:val="0"/>
      <w:divBdr>
        <w:top w:val="none" w:sz="0" w:space="0" w:color="auto"/>
        <w:left w:val="none" w:sz="0" w:space="0" w:color="auto"/>
        <w:bottom w:val="none" w:sz="0" w:space="0" w:color="auto"/>
        <w:right w:val="none" w:sz="0" w:space="0" w:color="auto"/>
      </w:divBdr>
    </w:div>
    <w:div w:id="517160783">
      <w:bodyDiv w:val="1"/>
      <w:marLeft w:val="0"/>
      <w:marRight w:val="0"/>
      <w:marTop w:val="0"/>
      <w:marBottom w:val="0"/>
      <w:divBdr>
        <w:top w:val="none" w:sz="0" w:space="0" w:color="auto"/>
        <w:left w:val="none" w:sz="0" w:space="0" w:color="auto"/>
        <w:bottom w:val="none" w:sz="0" w:space="0" w:color="auto"/>
        <w:right w:val="none" w:sz="0" w:space="0" w:color="auto"/>
      </w:divBdr>
    </w:div>
    <w:div w:id="517230673">
      <w:bodyDiv w:val="1"/>
      <w:marLeft w:val="0"/>
      <w:marRight w:val="0"/>
      <w:marTop w:val="0"/>
      <w:marBottom w:val="0"/>
      <w:divBdr>
        <w:top w:val="none" w:sz="0" w:space="0" w:color="auto"/>
        <w:left w:val="none" w:sz="0" w:space="0" w:color="auto"/>
        <w:bottom w:val="none" w:sz="0" w:space="0" w:color="auto"/>
        <w:right w:val="none" w:sz="0" w:space="0" w:color="auto"/>
      </w:divBdr>
    </w:div>
    <w:div w:id="519588154">
      <w:bodyDiv w:val="1"/>
      <w:marLeft w:val="0"/>
      <w:marRight w:val="0"/>
      <w:marTop w:val="0"/>
      <w:marBottom w:val="0"/>
      <w:divBdr>
        <w:top w:val="none" w:sz="0" w:space="0" w:color="auto"/>
        <w:left w:val="none" w:sz="0" w:space="0" w:color="auto"/>
        <w:bottom w:val="none" w:sz="0" w:space="0" w:color="auto"/>
        <w:right w:val="none" w:sz="0" w:space="0" w:color="auto"/>
      </w:divBdr>
    </w:div>
    <w:div w:id="519705170">
      <w:bodyDiv w:val="1"/>
      <w:marLeft w:val="0"/>
      <w:marRight w:val="0"/>
      <w:marTop w:val="0"/>
      <w:marBottom w:val="0"/>
      <w:divBdr>
        <w:top w:val="none" w:sz="0" w:space="0" w:color="auto"/>
        <w:left w:val="none" w:sz="0" w:space="0" w:color="auto"/>
        <w:bottom w:val="none" w:sz="0" w:space="0" w:color="auto"/>
        <w:right w:val="none" w:sz="0" w:space="0" w:color="auto"/>
      </w:divBdr>
    </w:div>
    <w:div w:id="520824631">
      <w:bodyDiv w:val="1"/>
      <w:marLeft w:val="0"/>
      <w:marRight w:val="0"/>
      <w:marTop w:val="0"/>
      <w:marBottom w:val="0"/>
      <w:divBdr>
        <w:top w:val="none" w:sz="0" w:space="0" w:color="auto"/>
        <w:left w:val="none" w:sz="0" w:space="0" w:color="auto"/>
        <w:bottom w:val="none" w:sz="0" w:space="0" w:color="auto"/>
        <w:right w:val="none" w:sz="0" w:space="0" w:color="auto"/>
      </w:divBdr>
    </w:div>
    <w:div w:id="523981673">
      <w:bodyDiv w:val="1"/>
      <w:marLeft w:val="0"/>
      <w:marRight w:val="0"/>
      <w:marTop w:val="0"/>
      <w:marBottom w:val="0"/>
      <w:divBdr>
        <w:top w:val="none" w:sz="0" w:space="0" w:color="auto"/>
        <w:left w:val="none" w:sz="0" w:space="0" w:color="auto"/>
        <w:bottom w:val="none" w:sz="0" w:space="0" w:color="auto"/>
        <w:right w:val="none" w:sz="0" w:space="0" w:color="auto"/>
      </w:divBdr>
    </w:div>
    <w:div w:id="529419297">
      <w:bodyDiv w:val="1"/>
      <w:marLeft w:val="0"/>
      <w:marRight w:val="0"/>
      <w:marTop w:val="0"/>
      <w:marBottom w:val="0"/>
      <w:divBdr>
        <w:top w:val="none" w:sz="0" w:space="0" w:color="auto"/>
        <w:left w:val="none" w:sz="0" w:space="0" w:color="auto"/>
        <w:bottom w:val="none" w:sz="0" w:space="0" w:color="auto"/>
        <w:right w:val="none" w:sz="0" w:space="0" w:color="auto"/>
      </w:divBdr>
    </w:div>
    <w:div w:id="531261978">
      <w:bodyDiv w:val="1"/>
      <w:marLeft w:val="0"/>
      <w:marRight w:val="0"/>
      <w:marTop w:val="0"/>
      <w:marBottom w:val="0"/>
      <w:divBdr>
        <w:top w:val="none" w:sz="0" w:space="0" w:color="auto"/>
        <w:left w:val="none" w:sz="0" w:space="0" w:color="auto"/>
        <w:bottom w:val="none" w:sz="0" w:space="0" w:color="auto"/>
        <w:right w:val="none" w:sz="0" w:space="0" w:color="auto"/>
      </w:divBdr>
    </w:div>
    <w:div w:id="532503608">
      <w:bodyDiv w:val="1"/>
      <w:marLeft w:val="0"/>
      <w:marRight w:val="0"/>
      <w:marTop w:val="0"/>
      <w:marBottom w:val="0"/>
      <w:divBdr>
        <w:top w:val="none" w:sz="0" w:space="0" w:color="auto"/>
        <w:left w:val="none" w:sz="0" w:space="0" w:color="auto"/>
        <w:bottom w:val="none" w:sz="0" w:space="0" w:color="auto"/>
        <w:right w:val="none" w:sz="0" w:space="0" w:color="auto"/>
      </w:divBdr>
    </w:div>
    <w:div w:id="532573042">
      <w:bodyDiv w:val="1"/>
      <w:marLeft w:val="0"/>
      <w:marRight w:val="0"/>
      <w:marTop w:val="0"/>
      <w:marBottom w:val="0"/>
      <w:divBdr>
        <w:top w:val="none" w:sz="0" w:space="0" w:color="auto"/>
        <w:left w:val="none" w:sz="0" w:space="0" w:color="auto"/>
        <w:bottom w:val="none" w:sz="0" w:space="0" w:color="auto"/>
        <w:right w:val="none" w:sz="0" w:space="0" w:color="auto"/>
      </w:divBdr>
    </w:div>
    <w:div w:id="534734215">
      <w:bodyDiv w:val="1"/>
      <w:marLeft w:val="0"/>
      <w:marRight w:val="0"/>
      <w:marTop w:val="0"/>
      <w:marBottom w:val="0"/>
      <w:divBdr>
        <w:top w:val="none" w:sz="0" w:space="0" w:color="auto"/>
        <w:left w:val="none" w:sz="0" w:space="0" w:color="auto"/>
        <w:bottom w:val="none" w:sz="0" w:space="0" w:color="auto"/>
        <w:right w:val="none" w:sz="0" w:space="0" w:color="auto"/>
      </w:divBdr>
    </w:div>
    <w:div w:id="535657706">
      <w:bodyDiv w:val="1"/>
      <w:marLeft w:val="0"/>
      <w:marRight w:val="0"/>
      <w:marTop w:val="0"/>
      <w:marBottom w:val="0"/>
      <w:divBdr>
        <w:top w:val="none" w:sz="0" w:space="0" w:color="auto"/>
        <w:left w:val="none" w:sz="0" w:space="0" w:color="auto"/>
        <w:bottom w:val="none" w:sz="0" w:space="0" w:color="auto"/>
        <w:right w:val="none" w:sz="0" w:space="0" w:color="auto"/>
      </w:divBdr>
    </w:div>
    <w:div w:id="535705081">
      <w:bodyDiv w:val="1"/>
      <w:marLeft w:val="0"/>
      <w:marRight w:val="0"/>
      <w:marTop w:val="0"/>
      <w:marBottom w:val="0"/>
      <w:divBdr>
        <w:top w:val="none" w:sz="0" w:space="0" w:color="auto"/>
        <w:left w:val="none" w:sz="0" w:space="0" w:color="auto"/>
        <w:bottom w:val="none" w:sz="0" w:space="0" w:color="auto"/>
        <w:right w:val="none" w:sz="0" w:space="0" w:color="auto"/>
      </w:divBdr>
    </w:div>
    <w:div w:id="538976290">
      <w:bodyDiv w:val="1"/>
      <w:marLeft w:val="0"/>
      <w:marRight w:val="0"/>
      <w:marTop w:val="0"/>
      <w:marBottom w:val="0"/>
      <w:divBdr>
        <w:top w:val="none" w:sz="0" w:space="0" w:color="auto"/>
        <w:left w:val="none" w:sz="0" w:space="0" w:color="auto"/>
        <w:bottom w:val="none" w:sz="0" w:space="0" w:color="auto"/>
        <w:right w:val="none" w:sz="0" w:space="0" w:color="auto"/>
      </w:divBdr>
    </w:div>
    <w:div w:id="540023061">
      <w:bodyDiv w:val="1"/>
      <w:marLeft w:val="0"/>
      <w:marRight w:val="0"/>
      <w:marTop w:val="0"/>
      <w:marBottom w:val="0"/>
      <w:divBdr>
        <w:top w:val="none" w:sz="0" w:space="0" w:color="auto"/>
        <w:left w:val="none" w:sz="0" w:space="0" w:color="auto"/>
        <w:bottom w:val="none" w:sz="0" w:space="0" w:color="auto"/>
        <w:right w:val="none" w:sz="0" w:space="0" w:color="auto"/>
      </w:divBdr>
    </w:div>
    <w:div w:id="540167494">
      <w:bodyDiv w:val="1"/>
      <w:marLeft w:val="0"/>
      <w:marRight w:val="0"/>
      <w:marTop w:val="0"/>
      <w:marBottom w:val="0"/>
      <w:divBdr>
        <w:top w:val="none" w:sz="0" w:space="0" w:color="auto"/>
        <w:left w:val="none" w:sz="0" w:space="0" w:color="auto"/>
        <w:bottom w:val="none" w:sz="0" w:space="0" w:color="auto"/>
        <w:right w:val="none" w:sz="0" w:space="0" w:color="auto"/>
      </w:divBdr>
    </w:div>
    <w:div w:id="540358729">
      <w:bodyDiv w:val="1"/>
      <w:marLeft w:val="0"/>
      <w:marRight w:val="0"/>
      <w:marTop w:val="0"/>
      <w:marBottom w:val="0"/>
      <w:divBdr>
        <w:top w:val="none" w:sz="0" w:space="0" w:color="auto"/>
        <w:left w:val="none" w:sz="0" w:space="0" w:color="auto"/>
        <w:bottom w:val="none" w:sz="0" w:space="0" w:color="auto"/>
        <w:right w:val="none" w:sz="0" w:space="0" w:color="auto"/>
      </w:divBdr>
    </w:div>
    <w:div w:id="541096639">
      <w:bodyDiv w:val="1"/>
      <w:marLeft w:val="0"/>
      <w:marRight w:val="0"/>
      <w:marTop w:val="0"/>
      <w:marBottom w:val="0"/>
      <w:divBdr>
        <w:top w:val="none" w:sz="0" w:space="0" w:color="auto"/>
        <w:left w:val="none" w:sz="0" w:space="0" w:color="auto"/>
        <w:bottom w:val="none" w:sz="0" w:space="0" w:color="auto"/>
        <w:right w:val="none" w:sz="0" w:space="0" w:color="auto"/>
      </w:divBdr>
    </w:div>
    <w:div w:id="541988494">
      <w:bodyDiv w:val="1"/>
      <w:marLeft w:val="0"/>
      <w:marRight w:val="0"/>
      <w:marTop w:val="0"/>
      <w:marBottom w:val="0"/>
      <w:divBdr>
        <w:top w:val="none" w:sz="0" w:space="0" w:color="auto"/>
        <w:left w:val="none" w:sz="0" w:space="0" w:color="auto"/>
        <w:bottom w:val="none" w:sz="0" w:space="0" w:color="auto"/>
        <w:right w:val="none" w:sz="0" w:space="0" w:color="auto"/>
      </w:divBdr>
    </w:div>
    <w:div w:id="543250152">
      <w:bodyDiv w:val="1"/>
      <w:marLeft w:val="0"/>
      <w:marRight w:val="0"/>
      <w:marTop w:val="0"/>
      <w:marBottom w:val="0"/>
      <w:divBdr>
        <w:top w:val="none" w:sz="0" w:space="0" w:color="auto"/>
        <w:left w:val="none" w:sz="0" w:space="0" w:color="auto"/>
        <w:bottom w:val="none" w:sz="0" w:space="0" w:color="auto"/>
        <w:right w:val="none" w:sz="0" w:space="0" w:color="auto"/>
      </w:divBdr>
    </w:div>
    <w:div w:id="544485134">
      <w:bodyDiv w:val="1"/>
      <w:marLeft w:val="0"/>
      <w:marRight w:val="0"/>
      <w:marTop w:val="0"/>
      <w:marBottom w:val="0"/>
      <w:divBdr>
        <w:top w:val="none" w:sz="0" w:space="0" w:color="auto"/>
        <w:left w:val="none" w:sz="0" w:space="0" w:color="auto"/>
        <w:bottom w:val="none" w:sz="0" w:space="0" w:color="auto"/>
        <w:right w:val="none" w:sz="0" w:space="0" w:color="auto"/>
      </w:divBdr>
    </w:div>
    <w:div w:id="545140558">
      <w:bodyDiv w:val="1"/>
      <w:marLeft w:val="0"/>
      <w:marRight w:val="0"/>
      <w:marTop w:val="0"/>
      <w:marBottom w:val="0"/>
      <w:divBdr>
        <w:top w:val="none" w:sz="0" w:space="0" w:color="auto"/>
        <w:left w:val="none" w:sz="0" w:space="0" w:color="auto"/>
        <w:bottom w:val="none" w:sz="0" w:space="0" w:color="auto"/>
        <w:right w:val="none" w:sz="0" w:space="0" w:color="auto"/>
      </w:divBdr>
    </w:div>
    <w:div w:id="546602325">
      <w:bodyDiv w:val="1"/>
      <w:marLeft w:val="0"/>
      <w:marRight w:val="0"/>
      <w:marTop w:val="0"/>
      <w:marBottom w:val="0"/>
      <w:divBdr>
        <w:top w:val="none" w:sz="0" w:space="0" w:color="auto"/>
        <w:left w:val="none" w:sz="0" w:space="0" w:color="auto"/>
        <w:bottom w:val="none" w:sz="0" w:space="0" w:color="auto"/>
        <w:right w:val="none" w:sz="0" w:space="0" w:color="auto"/>
      </w:divBdr>
    </w:div>
    <w:div w:id="546836619">
      <w:bodyDiv w:val="1"/>
      <w:marLeft w:val="0"/>
      <w:marRight w:val="0"/>
      <w:marTop w:val="0"/>
      <w:marBottom w:val="0"/>
      <w:divBdr>
        <w:top w:val="none" w:sz="0" w:space="0" w:color="auto"/>
        <w:left w:val="none" w:sz="0" w:space="0" w:color="auto"/>
        <w:bottom w:val="none" w:sz="0" w:space="0" w:color="auto"/>
        <w:right w:val="none" w:sz="0" w:space="0" w:color="auto"/>
      </w:divBdr>
    </w:div>
    <w:div w:id="547298339">
      <w:bodyDiv w:val="1"/>
      <w:marLeft w:val="0"/>
      <w:marRight w:val="0"/>
      <w:marTop w:val="0"/>
      <w:marBottom w:val="0"/>
      <w:divBdr>
        <w:top w:val="none" w:sz="0" w:space="0" w:color="auto"/>
        <w:left w:val="none" w:sz="0" w:space="0" w:color="auto"/>
        <w:bottom w:val="none" w:sz="0" w:space="0" w:color="auto"/>
        <w:right w:val="none" w:sz="0" w:space="0" w:color="auto"/>
      </w:divBdr>
    </w:div>
    <w:div w:id="547299398">
      <w:bodyDiv w:val="1"/>
      <w:marLeft w:val="0"/>
      <w:marRight w:val="0"/>
      <w:marTop w:val="0"/>
      <w:marBottom w:val="0"/>
      <w:divBdr>
        <w:top w:val="none" w:sz="0" w:space="0" w:color="auto"/>
        <w:left w:val="none" w:sz="0" w:space="0" w:color="auto"/>
        <w:bottom w:val="none" w:sz="0" w:space="0" w:color="auto"/>
        <w:right w:val="none" w:sz="0" w:space="0" w:color="auto"/>
      </w:divBdr>
    </w:div>
    <w:div w:id="548080036">
      <w:bodyDiv w:val="1"/>
      <w:marLeft w:val="0"/>
      <w:marRight w:val="0"/>
      <w:marTop w:val="0"/>
      <w:marBottom w:val="0"/>
      <w:divBdr>
        <w:top w:val="none" w:sz="0" w:space="0" w:color="auto"/>
        <w:left w:val="none" w:sz="0" w:space="0" w:color="auto"/>
        <w:bottom w:val="none" w:sz="0" w:space="0" w:color="auto"/>
        <w:right w:val="none" w:sz="0" w:space="0" w:color="auto"/>
      </w:divBdr>
    </w:div>
    <w:div w:id="550962856">
      <w:bodyDiv w:val="1"/>
      <w:marLeft w:val="0"/>
      <w:marRight w:val="0"/>
      <w:marTop w:val="0"/>
      <w:marBottom w:val="0"/>
      <w:divBdr>
        <w:top w:val="none" w:sz="0" w:space="0" w:color="auto"/>
        <w:left w:val="none" w:sz="0" w:space="0" w:color="auto"/>
        <w:bottom w:val="none" w:sz="0" w:space="0" w:color="auto"/>
        <w:right w:val="none" w:sz="0" w:space="0" w:color="auto"/>
      </w:divBdr>
    </w:div>
    <w:div w:id="551968398">
      <w:bodyDiv w:val="1"/>
      <w:marLeft w:val="0"/>
      <w:marRight w:val="0"/>
      <w:marTop w:val="0"/>
      <w:marBottom w:val="0"/>
      <w:divBdr>
        <w:top w:val="none" w:sz="0" w:space="0" w:color="auto"/>
        <w:left w:val="none" w:sz="0" w:space="0" w:color="auto"/>
        <w:bottom w:val="none" w:sz="0" w:space="0" w:color="auto"/>
        <w:right w:val="none" w:sz="0" w:space="0" w:color="auto"/>
      </w:divBdr>
    </w:div>
    <w:div w:id="552351387">
      <w:bodyDiv w:val="1"/>
      <w:marLeft w:val="0"/>
      <w:marRight w:val="0"/>
      <w:marTop w:val="0"/>
      <w:marBottom w:val="0"/>
      <w:divBdr>
        <w:top w:val="none" w:sz="0" w:space="0" w:color="auto"/>
        <w:left w:val="none" w:sz="0" w:space="0" w:color="auto"/>
        <w:bottom w:val="none" w:sz="0" w:space="0" w:color="auto"/>
        <w:right w:val="none" w:sz="0" w:space="0" w:color="auto"/>
      </w:divBdr>
    </w:div>
    <w:div w:id="554203818">
      <w:bodyDiv w:val="1"/>
      <w:marLeft w:val="0"/>
      <w:marRight w:val="0"/>
      <w:marTop w:val="0"/>
      <w:marBottom w:val="0"/>
      <w:divBdr>
        <w:top w:val="none" w:sz="0" w:space="0" w:color="auto"/>
        <w:left w:val="none" w:sz="0" w:space="0" w:color="auto"/>
        <w:bottom w:val="none" w:sz="0" w:space="0" w:color="auto"/>
        <w:right w:val="none" w:sz="0" w:space="0" w:color="auto"/>
      </w:divBdr>
    </w:div>
    <w:div w:id="554701600">
      <w:bodyDiv w:val="1"/>
      <w:marLeft w:val="0"/>
      <w:marRight w:val="0"/>
      <w:marTop w:val="0"/>
      <w:marBottom w:val="0"/>
      <w:divBdr>
        <w:top w:val="none" w:sz="0" w:space="0" w:color="auto"/>
        <w:left w:val="none" w:sz="0" w:space="0" w:color="auto"/>
        <w:bottom w:val="none" w:sz="0" w:space="0" w:color="auto"/>
        <w:right w:val="none" w:sz="0" w:space="0" w:color="auto"/>
      </w:divBdr>
    </w:div>
    <w:div w:id="555240413">
      <w:bodyDiv w:val="1"/>
      <w:marLeft w:val="0"/>
      <w:marRight w:val="0"/>
      <w:marTop w:val="0"/>
      <w:marBottom w:val="0"/>
      <w:divBdr>
        <w:top w:val="none" w:sz="0" w:space="0" w:color="auto"/>
        <w:left w:val="none" w:sz="0" w:space="0" w:color="auto"/>
        <w:bottom w:val="none" w:sz="0" w:space="0" w:color="auto"/>
        <w:right w:val="none" w:sz="0" w:space="0" w:color="auto"/>
      </w:divBdr>
    </w:div>
    <w:div w:id="555895341">
      <w:bodyDiv w:val="1"/>
      <w:marLeft w:val="0"/>
      <w:marRight w:val="0"/>
      <w:marTop w:val="0"/>
      <w:marBottom w:val="0"/>
      <w:divBdr>
        <w:top w:val="none" w:sz="0" w:space="0" w:color="auto"/>
        <w:left w:val="none" w:sz="0" w:space="0" w:color="auto"/>
        <w:bottom w:val="none" w:sz="0" w:space="0" w:color="auto"/>
        <w:right w:val="none" w:sz="0" w:space="0" w:color="auto"/>
      </w:divBdr>
    </w:div>
    <w:div w:id="557669206">
      <w:bodyDiv w:val="1"/>
      <w:marLeft w:val="0"/>
      <w:marRight w:val="0"/>
      <w:marTop w:val="0"/>
      <w:marBottom w:val="0"/>
      <w:divBdr>
        <w:top w:val="none" w:sz="0" w:space="0" w:color="auto"/>
        <w:left w:val="none" w:sz="0" w:space="0" w:color="auto"/>
        <w:bottom w:val="none" w:sz="0" w:space="0" w:color="auto"/>
        <w:right w:val="none" w:sz="0" w:space="0" w:color="auto"/>
      </w:divBdr>
    </w:div>
    <w:div w:id="558636901">
      <w:bodyDiv w:val="1"/>
      <w:marLeft w:val="0"/>
      <w:marRight w:val="0"/>
      <w:marTop w:val="0"/>
      <w:marBottom w:val="0"/>
      <w:divBdr>
        <w:top w:val="none" w:sz="0" w:space="0" w:color="auto"/>
        <w:left w:val="none" w:sz="0" w:space="0" w:color="auto"/>
        <w:bottom w:val="none" w:sz="0" w:space="0" w:color="auto"/>
        <w:right w:val="none" w:sz="0" w:space="0" w:color="auto"/>
      </w:divBdr>
    </w:div>
    <w:div w:id="561139818">
      <w:bodyDiv w:val="1"/>
      <w:marLeft w:val="0"/>
      <w:marRight w:val="0"/>
      <w:marTop w:val="0"/>
      <w:marBottom w:val="0"/>
      <w:divBdr>
        <w:top w:val="none" w:sz="0" w:space="0" w:color="auto"/>
        <w:left w:val="none" w:sz="0" w:space="0" w:color="auto"/>
        <w:bottom w:val="none" w:sz="0" w:space="0" w:color="auto"/>
        <w:right w:val="none" w:sz="0" w:space="0" w:color="auto"/>
      </w:divBdr>
    </w:div>
    <w:div w:id="562375697">
      <w:bodyDiv w:val="1"/>
      <w:marLeft w:val="0"/>
      <w:marRight w:val="0"/>
      <w:marTop w:val="0"/>
      <w:marBottom w:val="0"/>
      <w:divBdr>
        <w:top w:val="none" w:sz="0" w:space="0" w:color="auto"/>
        <w:left w:val="none" w:sz="0" w:space="0" w:color="auto"/>
        <w:bottom w:val="none" w:sz="0" w:space="0" w:color="auto"/>
        <w:right w:val="none" w:sz="0" w:space="0" w:color="auto"/>
      </w:divBdr>
    </w:div>
    <w:div w:id="565385561">
      <w:bodyDiv w:val="1"/>
      <w:marLeft w:val="0"/>
      <w:marRight w:val="0"/>
      <w:marTop w:val="0"/>
      <w:marBottom w:val="0"/>
      <w:divBdr>
        <w:top w:val="none" w:sz="0" w:space="0" w:color="auto"/>
        <w:left w:val="none" w:sz="0" w:space="0" w:color="auto"/>
        <w:bottom w:val="none" w:sz="0" w:space="0" w:color="auto"/>
        <w:right w:val="none" w:sz="0" w:space="0" w:color="auto"/>
      </w:divBdr>
    </w:div>
    <w:div w:id="566261273">
      <w:bodyDiv w:val="1"/>
      <w:marLeft w:val="0"/>
      <w:marRight w:val="0"/>
      <w:marTop w:val="0"/>
      <w:marBottom w:val="0"/>
      <w:divBdr>
        <w:top w:val="none" w:sz="0" w:space="0" w:color="auto"/>
        <w:left w:val="none" w:sz="0" w:space="0" w:color="auto"/>
        <w:bottom w:val="none" w:sz="0" w:space="0" w:color="auto"/>
        <w:right w:val="none" w:sz="0" w:space="0" w:color="auto"/>
      </w:divBdr>
    </w:div>
    <w:div w:id="566576712">
      <w:bodyDiv w:val="1"/>
      <w:marLeft w:val="0"/>
      <w:marRight w:val="0"/>
      <w:marTop w:val="0"/>
      <w:marBottom w:val="0"/>
      <w:divBdr>
        <w:top w:val="none" w:sz="0" w:space="0" w:color="auto"/>
        <w:left w:val="none" w:sz="0" w:space="0" w:color="auto"/>
        <w:bottom w:val="none" w:sz="0" w:space="0" w:color="auto"/>
        <w:right w:val="none" w:sz="0" w:space="0" w:color="auto"/>
      </w:divBdr>
    </w:div>
    <w:div w:id="567418785">
      <w:bodyDiv w:val="1"/>
      <w:marLeft w:val="0"/>
      <w:marRight w:val="0"/>
      <w:marTop w:val="0"/>
      <w:marBottom w:val="0"/>
      <w:divBdr>
        <w:top w:val="none" w:sz="0" w:space="0" w:color="auto"/>
        <w:left w:val="none" w:sz="0" w:space="0" w:color="auto"/>
        <w:bottom w:val="none" w:sz="0" w:space="0" w:color="auto"/>
        <w:right w:val="none" w:sz="0" w:space="0" w:color="auto"/>
      </w:divBdr>
    </w:div>
    <w:div w:id="570844943">
      <w:bodyDiv w:val="1"/>
      <w:marLeft w:val="0"/>
      <w:marRight w:val="0"/>
      <w:marTop w:val="0"/>
      <w:marBottom w:val="0"/>
      <w:divBdr>
        <w:top w:val="none" w:sz="0" w:space="0" w:color="auto"/>
        <w:left w:val="none" w:sz="0" w:space="0" w:color="auto"/>
        <w:bottom w:val="none" w:sz="0" w:space="0" w:color="auto"/>
        <w:right w:val="none" w:sz="0" w:space="0" w:color="auto"/>
      </w:divBdr>
    </w:div>
    <w:div w:id="572858684">
      <w:bodyDiv w:val="1"/>
      <w:marLeft w:val="0"/>
      <w:marRight w:val="0"/>
      <w:marTop w:val="0"/>
      <w:marBottom w:val="0"/>
      <w:divBdr>
        <w:top w:val="none" w:sz="0" w:space="0" w:color="auto"/>
        <w:left w:val="none" w:sz="0" w:space="0" w:color="auto"/>
        <w:bottom w:val="none" w:sz="0" w:space="0" w:color="auto"/>
        <w:right w:val="none" w:sz="0" w:space="0" w:color="auto"/>
      </w:divBdr>
    </w:div>
    <w:div w:id="575018167">
      <w:bodyDiv w:val="1"/>
      <w:marLeft w:val="0"/>
      <w:marRight w:val="0"/>
      <w:marTop w:val="0"/>
      <w:marBottom w:val="0"/>
      <w:divBdr>
        <w:top w:val="none" w:sz="0" w:space="0" w:color="auto"/>
        <w:left w:val="none" w:sz="0" w:space="0" w:color="auto"/>
        <w:bottom w:val="none" w:sz="0" w:space="0" w:color="auto"/>
        <w:right w:val="none" w:sz="0" w:space="0" w:color="auto"/>
      </w:divBdr>
    </w:div>
    <w:div w:id="575242168">
      <w:bodyDiv w:val="1"/>
      <w:marLeft w:val="0"/>
      <w:marRight w:val="0"/>
      <w:marTop w:val="0"/>
      <w:marBottom w:val="0"/>
      <w:divBdr>
        <w:top w:val="none" w:sz="0" w:space="0" w:color="auto"/>
        <w:left w:val="none" w:sz="0" w:space="0" w:color="auto"/>
        <w:bottom w:val="none" w:sz="0" w:space="0" w:color="auto"/>
        <w:right w:val="none" w:sz="0" w:space="0" w:color="auto"/>
      </w:divBdr>
    </w:div>
    <w:div w:id="577831738">
      <w:bodyDiv w:val="1"/>
      <w:marLeft w:val="0"/>
      <w:marRight w:val="0"/>
      <w:marTop w:val="0"/>
      <w:marBottom w:val="0"/>
      <w:divBdr>
        <w:top w:val="none" w:sz="0" w:space="0" w:color="auto"/>
        <w:left w:val="none" w:sz="0" w:space="0" w:color="auto"/>
        <w:bottom w:val="none" w:sz="0" w:space="0" w:color="auto"/>
        <w:right w:val="none" w:sz="0" w:space="0" w:color="auto"/>
      </w:divBdr>
    </w:div>
    <w:div w:id="578175951">
      <w:bodyDiv w:val="1"/>
      <w:marLeft w:val="0"/>
      <w:marRight w:val="0"/>
      <w:marTop w:val="0"/>
      <w:marBottom w:val="0"/>
      <w:divBdr>
        <w:top w:val="none" w:sz="0" w:space="0" w:color="auto"/>
        <w:left w:val="none" w:sz="0" w:space="0" w:color="auto"/>
        <w:bottom w:val="none" w:sz="0" w:space="0" w:color="auto"/>
        <w:right w:val="none" w:sz="0" w:space="0" w:color="auto"/>
      </w:divBdr>
    </w:div>
    <w:div w:id="578713287">
      <w:bodyDiv w:val="1"/>
      <w:marLeft w:val="0"/>
      <w:marRight w:val="0"/>
      <w:marTop w:val="0"/>
      <w:marBottom w:val="0"/>
      <w:divBdr>
        <w:top w:val="none" w:sz="0" w:space="0" w:color="auto"/>
        <w:left w:val="none" w:sz="0" w:space="0" w:color="auto"/>
        <w:bottom w:val="none" w:sz="0" w:space="0" w:color="auto"/>
        <w:right w:val="none" w:sz="0" w:space="0" w:color="auto"/>
      </w:divBdr>
    </w:div>
    <w:div w:id="580261601">
      <w:bodyDiv w:val="1"/>
      <w:marLeft w:val="0"/>
      <w:marRight w:val="0"/>
      <w:marTop w:val="0"/>
      <w:marBottom w:val="0"/>
      <w:divBdr>
        <w:top w:val="none" w:sz="0" w:space="0" w:color="auto"/>
        <w:left w:val="none" w:sz="0" w:space="0" w:color="auto"/>
        <w:bottom w:val="none" w:sz="0" w:space="0" w:color="auto"/>
        <w:right w:val="none" w:sz="0" w:space="0" w:color="auto"/>
      </w:divBdr>
    </w:div>
    <w:div w:id="580333223">
      <w:bodyDiv w:val="1"/>
      <w:marLeft w:val="0"/>
      <w:marRight w:val="0"/>
      <w:marTop w:val="0"/>
      <w:marBottom w:val="0"/>
      <w:divBdr>
        <w:top w:val="none" w:sz="0" w:space="0" w:color="auto"/>
        <w:left w:val="none" w:sz="0" w:space="0" w:color="auto"/>
        <w:bottom w:val="none" w:sz="0" w:space="0" w:color="auto"/>
        <w:right w:val="none" w:sz="0" w:space="0" w:color="auto"/>
      </w:divBdr>
    </w:div>
    <w:div w:id="580792183">
      <w:bodyDiv w:val="1"/>
      <w:marLeft w:val="0"/>
      <w:marRight w:val="0"/>
      <w:marTop w:val="0"/>
      <w:marBottom w:val="0"/>
      <w:divBdr>
        <w:top w:val="none" w:sz="0" w:space="0" w:color="auto"/>
        <w:left w:val="none" w:sz="0" w:space="0" w:color="auto"/>
        <w:bottom w:val="none" w:sz="0" w:space="0" w:color="auto"/>
        <w:right w:val="none" w:sz="0" w:space="0" w:color="auto"/>
      </w:divBdr>
    </w:div>
    <w:div w:id="581722365">
      <w:bodyDiv w:val="1"/>
      <w:marLeft w:val="0"/>
      <w:marRight w:val="0"/>
      <w:marTop w:val="0"/>
      <w:marBottom w:val="0"/>
      <w:divBdr>
        <w:top w:val="none" w:sz="0" w:space="0" w:color="auto"/>
        <w:left w:val="none" w:sz="0" w:space="0" w:color="auto"/>
        <w:bottom w:val="none" w:sz="0" w:space="0" w:color="auto"/>
        <w:right w:val="none" w:sz="0" w:space="0" w:color="auto"/>
      </w:divBdr>
    </w:div>
    <w:div w:id="583413126">
      <w:bodyDiv w:val="1"/>
      <w:marLeft w:val="0"/>
      <w:marRight w:val="0"/>
      <w:marTop w:val="0"/>
      <w:marBottom w:val="0"/>
      <w:divBdr>
        <w:top w:val="none" w:sz="0" w:space="0" w:color="auto"/>
        <w:left w:val="none" w:sz="0" w:space="0" w:color="auto"/>
        <w:bottom w:val="none" w:sz="0" w:space="0" w:color="auto"/>
        <w:right w:val="none" w:sz="0" w:space="0" w:color="auto"/>
      </w:divBdr>
    </w:div>
    <w:div w:id="584537077">
      <w:bodyDiv w:val="1"/>
      <w:marLeft w:val="0"/>
      <w:marRight w:val="0"/>
      <w:marTop w:val="0"/>
      <w:marBottom w:val="0"/>
      <w:divBdr>
        <w:top w:val="none" w:sz="0" w:space="0" w:color="auto"/>
        <w:left w:val="none" w:sz="0" w:space="0" w:color="auto"/>
        <w:bottom w:val="none" w:sz="0" w:space="0" w:color="auto"/>
        <w:right w:val="none" w:sz="0" w:space="0" w:color="auto"/>
      </w:divBdr>
    </w:div>
    <w:div w:id="586693894">
      <w:bodyDiv w:val="1"/>
      <w:marLeft w:val="0"/>
      <w:marRight w:val="0"/>
      <w:marTop w:val="0"/>
      <w:marBottom w:val="0"/>
      <w:divBdr>
        <w:top w:val="none" w:sz="0" w:space="0" w:color="auto"/>
        <w:left w:val="none" w:sz="0" w:space="0" w:color="auto"/>
        <w:bottom w:val="none" w:sz="0" w:space="0" w:color="auto"/>
        <w:right w:val="none" w:sz="0" w:space="0" w:color="auto"/>
      </w:divBdr>
    </w:div>
    <w:div w:id="587887087">
      <w:bodyDiv w:val="1"/>
      <w:marLeft w:val="0"/>
      <w:marRight w:val="0"/>
      <w:marTop w:val="0"/>
      <w:marBottom w:val="0"/>
      <w:divBdr>
        <w:top w:val="none" w:sz="0" w:space="0" w:color="auto"/>
        <w:left w:val="none" w:sz="0" w:space="0" w:color="auto"/>
        <w:bottom w:val="none" w:sz="0" w:space="0" w:color="auto"/>
        <w:right w:val="none" w:sz="0" w:space="0" w:color="auto"/>
      </w:divBdr>
    </w:div>
    <w:div w:id="591355301">
      <w:bodyDiv w:val="1"/>
      <w:marLeft w:val="0"/>
      <w:marRight w:val="0"/>
      <w:marTop w:val="0"/>
      <w:marBottom w:val="0"/>
      <w:divBdr>
        <w:top w:val="none" w:sz="0" w:space="0" w:color="auto"/>
        <w:left w:val="none" w:sz="0" w:space="0" w:color="auto"/>
        <w:bottom w:val="none" w:sz="0" w:space="0" w:color="auto"/>
        <w:right w:val="none" w:sz="0" w:space="0" w:color="auto"/>
      </w:divBdr>
    </w:div>
    <w:div w:id="591476095">
      <w:bodyDiv w:val="1"/>
      <w:marLeft w:val="0"/>
      <w:marRight w:val="0"/>
      <w:marTop w:val="0"/>
      <w:marBottom w:val="0"/>
      <w:divBdr>
        <w:top w:val="none" w:sz="0" w:space="0" w:color="auto"/>
        <w:left w:val="none" w:sz="0" w:space="0" w:color="auto"/>
        <w:bottom w:val="none" w:sz="0" w:space="0" w:color="auto"/>
        <w:right w:val="none" w:sz="0" w:space="0" w:color="auto"/>
      </w:divBdr>
    </w:div>
    <w:div w:id="592126492">
      <w:bodyDiv w:val="1"/>
      <w:marLeft w:val="0"/>
      <w:marRight w:val="0"/>
      <w:marTop w:val="0"/>
      <w:marBottom w:val="0"/>
      <w:divBdr>
        <w:top w:val="none" w:sz="0" w:space="0" w:color="auto"/>
        <w:left w:val="none" w:sz="0" w:space="0" w:color="auto"/>
        <w:bottom w:val="none" w:sz="0" w:space="0" w:color="auto"/>
        <w:right w:val="none" w:sz="0" w:space="0" w:color="auto"/>
      </w:divBdr>
    </w:div>
    <w:div w:id="594360139">
      <w:bodyDiv w:val="1"/>
      <w:marLeft w:val="0"/>
      <w:marRight w:val="0"/>
      <w:marTop w:val="0"/>
      <w:marBottom w:val="0"/>
      <w:divBdr>
        <w:top w:val="none" w:sz="0" w:space="0" w:color="auto"/>
        <w:left w:val="none" w:sz="0" w:space="0" w:color="auto"/>
        <w:bottom w:val="none" w:sz="0" w:space="0" w:color="auto"/>
        <w:right w:val="none" w:sz="0" w:space="0" w:color="auto"/>
      </w:divBdr>
    </w:div>
    <w:div w:id="595022741">
      <w:bodyDiv w:val="1"/>
      <w:marLeft w:val="0"/>
      <w:marRight w:val="0"/>
      <w:marTop w:val="0"/>
      <w:marBottom w:val="0"/>
      <w:divBdr>
        <w:top w:val="none" w:sz="0" w:space="0" w:color="auto"/>
        <w:left w:val="none" w:sz="0" w:space="0" w:color="auto"/>
        <w:bottom w:val="none" w:sz="0" w:space="0" w:color="auto"/>
        <w:right w:val="none" w:sz="0" w:space="0" w:color="auto"/>
      </w:divBdr>
    </w:div>
    <w:div w:id="597834431">
      <w:bodyDiv w:val="1"/>
      <w:marLeft w:val="0"/>
      <w:marRight w:val="0"/>
      <w:marTop w:val="0"/>
      <w:marBottom w:val="0"/>
      <w:divBdr>
        <w:top w:val="none" w:sz="0" w:space="0" w:color="auto"/>
        <w:left w:val="none" w:sz="0" w:space="0" w:color="auto"/>
        <w:bottom w:val="none" w:sz="0" w:space="0" w:color="auto"/>
        <w:right w:val="none" w:sz="0" w:space="0" w:color="auto"/>
      </w:divBdr>
    </w:div>
    <w:div w:id="602031377">
      <w:bodyDiv w:val="1"/>
      <w:marLeft w:val="0"/>
      <w:marRight w:val="0"/>
      <w:marTop w:val="0"/>
      <w:marBottom w:val="0"/>
      <w:divBdr>
        <w:top w:val="none" w:sz="0" w:space="0" w:color="auto"/>
        <w:left w:val="none" w:sz="0" w:space="0" w:color="auto"/>
        <w:bottom w:val="none" w:sz="0" w:space="0" w:color="auto"/>
        <w:right w:val="none" w:sz="0" w:space="0" w:color="auto"/>
      </w:divBdr>
    </w:div>
    <w:div w:id="603416923">
      <w:bodyDiv w:val="1"/>
      <w:marLeft w:val="0"/>
      <w:marRight w:val="0"/>
      <w:marTop w:val="0"/>
      <w:marBottom w:val="0"/>
      <w:divBdr>
        <w:top w:val="none" w:sz="0" w:space="0" w:color="auto"/>
        <w:left w:val="none" w:sz="0" w:space="0" w:color="auto"/>
        <w:bottom w:val="none" w:sz="0" w:space="0" w:color="auto"/>
        <w:right w:val="none" w:sz="0" w:space="0" w:color="auto"/>
      </w:divBdr>
    </w:div>
    <w:div w:id="603459541">
      <w:bodyDiv w:val="1"/>
      <w:marLeft w:val="0"/>
      <w:marRight w:val="0"/>
      <w:marTop w:val="0"/>
      <w:marBottom w:val="0"/>
      <w:divBdr>
        <w:top w:val="none" w:sz="0" w:space="0" w:color="auto"/>
        <w:left w:val="none" w:sz="0" w:space="0" w:color="auto"/>
        <w:bottom w:val="none" w:sz="0" w:space="0" w:color="auto"/>
        <w:right w:val="none" w:sz="0" w:space="0" w:color="auto"/>
      </w:divBdr>
    </w:div>
    <w:div w:id="603733757">
      <w:bodyDiv w:val="1"/>
      <w:marLeft w:val="0"/>
      <w:marRight w:val="0"/>
      <w:marTop w:val="0"/>
      <w:marBottom w:val="0"/>
      <w:divBdr>
        <w:top w:val="none" w:sz="0" w:space="0" w:color="auto"/>
        <w:left w:val="none" w:sz="0" w:space="0" w:color="auto"/>
        <w:bottom w:val="none" w:sz="0" w:space="0" w:color="auto"/>
        <w:right w:val="none" w:sz="0" w:space="0" w:color="auto"/>
      </w:divBdr>
    </w:div>
    <w:div w:id="603853247">
      <w:bodyDiv w:val="1"/>
      <w:marLeft w:val="0"/>
      <w:marRight w:val="0"/>
      <w:marTop w:val="0"/>
      <w:marBottom w:val="0"/>
      <w:divBdr>
        <w:top w:val="none" w:sz="0" w:space="0" w:color="auto"/>
        <w:left w:val="none" w:sz="0" w:space="0" w:color="auto"/>
        <w:bottom w:val="none" w:sz="0" w:space="0" w:color="auto"/>
        <w:right w:val="none" w:sz="0" w:space="0" w:color="auto"/>
      </w:divBdr>
    </w:div>
    <w:div w:id="604927840">
      <w:bodyDiv w:val="1"/>
      <w:marLeft w:val="0"/>
      <w:marRight w:val="0"/>
      <w:marTop w:val="0"/>
      <w:marBottom w:val="0"/>
      <w:divBdr>
        <w:top w:val="none" w:sz="0" w:space="0" w:color="auto"/>
        <w:left w:val="none" w:sz="0" w:space="0" w:color="auto"/>
        <w:bottom w:val="none" w:sz="0" w:space="0" w:color="auto"/>
        <w:right w:val="none" w:sz="0" w:space="0" w:color="auto"/>
      </w:divBdr>
    </w:div>
    <w:div w:id="605380546">
      <w:bodyDiv w:val="1"/>
      <w:marLeft w:val="0"/>
      <w:marRight w:val="0"/>
      <w:marTop w:val="0"/>
      <w:marBottom w:val="0"/>
      <w:divBdr>
        <w:top w:val="none" w:sz="0" w:space="0" w:color="auto"/>
        <w:left w:val="none" w:sz="0" w:space="0" w:color="auto"/>
        <w:bottom w:val="none" w:sz="0" w:space="0" w:color="auto"/>
        <w:right w:val="none" w:sz="0" w:space="0" w:color="auto"/>
      </w:divBdr>
    </w:div>
    <w:div w:id="606037468">
      <w:bodyDiv w:val="1"/>
      <w:marLeft w:val="0"/>
      <w:marRight w:val="0"/>
      <w:marTop w:val="0"/>
      <w:marBottom w:val="0"/>
      <w:divBdr>
        <w:top w:val="none" w:sz="0" w:space="0" w:color="auto"/>
        <w:left w:val="none" w:sz="0" w:space="0" w:color="auto"/>
        <w:bottom w:val="none" w:sz="0" w:space="0" w:color="auto"/>
        <w:right w:val="none" w:sz="0" w:space="0" w:color="auto"/>
      </w:divBdr>
    </w:div>
    <w:div w:id="607739780">
      <w:bodyDiv w:val="1"/>
      <w:marLeft w:val="0"/>
      <w:marRight w:val="0"/>
      <w:marTop w:val="0"/>
      <w:marBottom w:val="0"/>
      <w:divBdr>
        <w:top w:val="none" w:sz="0" w:space="0" w:color="auto"/>
        <w:left w:val="none" w:sz="0" w:space="0" w:color="auto"/>
        <w:bottom w:val="none" w:sz="0" w:space="0" w:color="auto"/>
        <w:right w:val="none" w:sz="0" w:space="0" w:color="auto"/>
      </w:divBdr>
    </w:div>
    <w:div w:id="610282765">
      <w:bodyDiv w:val="1"/>
      <w:marLeft w:val="0"/>
      <w:marRight w:val="0"/>
      <w:marTop w:val="0"/>
      <w:marBottom w:val="0"/>
      <w:divBdr>
        <w:top w:val="none" w:sz="0" w:space="0" w:color="auto"/>
        <w:left w:val="none" w:sz="0" w:space="0" w:color="auto"/>
        <w:bottom w:val="none" w:sz="0" w:space="0" w:color="auto"/>
        <w:right w:val="none" w:sz="0" w:space="0" w:color="auto"/>
      </w:divBdr>
    </w:div>
    <w:div w:id="611128951">
      <w:bodyDiv w:val="1"/>
      <w:marLeft w:val="0"/>
      <w:marRight w:val="0"/>
      <w:marTop w:val="0"/>
      <w:marBottom w:val="0"/>
      <w:divBdr>
        <w:top w:val="none" w:sz="0" w:space="0" w:color="auto"/>
        <w:left w:val="none" w:sz="0" w:space="0" w:color="auto"/>
        <w:bottom w:val="none" w:sz="0" w:space="0" w:color="auto"/>
        <w:right w:val="none" w:sz="0" w:space="0" w:color="auto"/>
      </w:divBdr>
    </w:div>
    <w:div w:id="611203098">
      <w:bodyDiv w:val="1"/>
      <w:marLeft w:val="0"/>
      <w:marRight w:val="0"/>
      <w:marTop w:val="0"/>
      <w:marBottom w:val="0"/>
      <w:divBdr>
        <w:top w:val="none" w:sz="0" w:space="0" w:color="auto"/>
        <w:left w:val="none" w:sz="0" w:space="0" w:color="auto"/>
        <w:bottom w:val="none" w:sz="0" w:space="0" w:color="auto"/>
        <w:right w:val="none" w:sz="0" w:space="0" w:color="auto"/>
      </w:divBdr>
    </w:div>
    <w:div w:id="611473371">
      <w:bodyDiv w:val="1"/>
      <w:marLeft w:val="0"/>
      <w:marRight w:val="0"/>
      <w:marTop w:val="0"/>
      <w:marBottom w:val="0"/>
      <w:divBdr>
        <w:top w:val="none" w:sz="0" w:space="0" w:color="auto"/>
        <w:left w:val="none" w:sz="0" w:space="0" w:color="auto"/>
        <w:bottom w:val="none" w:sz="0" w:space="0" w:color="auto"/>
        <w:right w:val="none" w:sz="0" w:space="0" w:color="auto"/>
      </w:divBdr>
    </w:div>
    <w:div w:id="613173149">
      <w:bodyDiv w:val="1"/>
      <w:marLeft w:val="0"/>
      <w:marRight w:val="0"/>
      <w:marTop w:val="0"/>
      <w:marBottom w:val="0"/>
      <w:divBdr>
        <w:top w:val="none" w:sz="0" w:space="0" w:color="auto"/>
        <w:left w:val="none" w:sz="0" w:space="0" w:color="auto"/>
        <w:bottom w:val="none" w:sz="0" w:space="0" w:color="auto"/>
        <w:right w:val="none" w:sz="0" w:space="0" w:color="auto"/>
      </w:divBdr>
    </w:div>
    <w:div w:id="613174783">
      <w:bodyDiv w:val="1"/>
      <w:marLeft w:val="0"/>
      <w:marRight w:val="0"/>
      <w:marTop w:val="0"/>
      <w:marBottom w:val="0"/>
      <w:divBdr>
        <w:top w:val="none" w:sz="0" w:space="0" w:color="auto"/>
        <w:left w:val="none" w:sz="0" w:space="0" w:color="auto"/>
        <w:bottom w:val="none" w:sz="0" w:space="0" w:color="auto"/>
        <w:right w:val="none" w:sz="0" w:space="0" w:color="auto"/>
      </w:divBdr>
    </w:div>
    <w:div w:id="613682134">
      <w:bodyDiv w:val="1"/>
      <w:marLeft w:val="0"/>
      <w:marRight w:val="0"/>
      <w:marTop w:val="0"/>
      <w:marBottom w:val="0"/>
      <w:divBdr>
        <w:top w:val="none" w:sz="0" w:space="0" w:color="auto"/>
        <w:left w:val="none" w:sz="0" w:space="0" w:color="auto"/>
        <w:bottom w:val="none" w:sz="0" w:space="0" w:color="auto"/>
        <w:right w:val="none" w:sz="0" w:space="0" w:color="auto"/>
      </w:divBdr>
    </w:div>
    <w:div w:id="615525959">
      <w:bodyDiv w:val="1"/>
      <w:marLeft w:val="0"/>
      <w:marRight w:val="0"/>
      <w:marTop w:val="0"/>
      <w:marBottom w:val="0"/>
      <w:divBdr>
        <w:top w:val="none" w:sz="0" w:space="0" w:color="auto"/>
        <w:left w:val="none" w:sz="0" w:space="0" w:color="auto"/>
        <w:bottom w:val="none" w:sz="0" w:space="0" w:color="auto"/>
        <w:right w:val="none" w:sz="0" w:space="0" w:color="auto"/>
      </w:divBdr>
    </w:div>
    <w:div w:id="616259676">
      <w:bodyDiv w:val="1"/>
      <w:marLeft w:val="0"/>
      <w:marRight w:val="0"/>
      <w:marTop w:val="0"/>
      <w:marBottom w:val="0"/>
      <w:divBdr>
        <w:top w:val="none" w:sz="0" w:space="0" w:color="auto"/>
        <w:left w:val="none" w:sz="0" w:space="0" w:color="auto"/>
        <w:bottom w:val="none" w:sz="0" w:space="0" w:color="auto"/>
        <w:right w:val="none" w:sz="0" w:space="0" w:color="auto"/>
      </w:divBdr>
    </w:div>
    <w:div w:id="616329812">
      <w:bodyDiv w:val="1"/>
      <w:marLeft w:val="0"/>
      <w:marRight w:val="0"/>
      <w:marTop w:val="0"/>
      <w:marBottom w:val="0"/>
      <w:divBdr>
        <w:top w:val="none" w:sz="0" w:space="0" w:color="auto"/>
        <w:left w:val="none" w:sz="0" w:space="0" w:color="auto"/>
        <w:bottom w:val="none" w:sz="0" w:space="0" w:color="auto"/>
        <w:right w:val="none" w:sz="0" w:space="0" w:color="auto"/>
      </w:divBdr>
    </w:div>
    <w:div w:id="617564369">
      <w:bodyDiv w:val="1"/>
      <w:marLeft w:val="0"/>
      <w:marRight w:val="0"/>
      <w:marTop w:val="0"/>
      <w:marBottom w:val="0"/>
      <w:divBdr>
        <w:top w:val="none" w:sz="0" w:space="0" w:color="auto"/>
        <w:left w:val="none" w:sz="0" w:space="0" w:color="auto"/>
        <w:bottom w:val="none" w:sz="0" w:space="0" w:color="auto"/>
        <w:right w:val="none" w:sz="0" w:space="0" w:color="auto"/>
      </w:divBdr>
    </w:div>
    <w:div w:id="617683247">
      <w:bodyDiv w:val="1"/>
      <w:marLeft w:val="0"/>
      <w:marRight w:val="0"/>
      <w:marTop w:val="0"/>
      <w:marBottom w:val="0"/>
      <w:divBdr>
        <w:top w:val="none" w:sz="0" w:space="0" w:color="auto"/>
        <w:left w:val="none" w:sz="0" w:space="0" w:color="auto"/>
        <w:bottom w:val="none" w:sz="0" w:space="0" w:color="auto"/>
        <w:right w:val="none" w:sz="0" w:space="0" w:color="auto"/>
      </w:divBdr>
    </w:div>
    <w:div w:id="618872828">
      <w:bodyDiv w:val="1"/>
      <w:marLeft w:val="0"/>
      <w:marRight w:val="0"/>
      <w:marTop w:val="0"/>
      <w:marBottom w:val="0"/>
      <w:divBdr>
        <w:top w:val="none" w:sz="0" w:space="0" w:color="auto"/>
        <w:left w:val="none" w:sz="0" w:space="0" w:color="auto"/>
        <w:bottom w:val="none" w:sz="0" w:space="0" w:color="auto"/>
        <w:right w:val="none" w:sz="0" w:space="0" w:color="auto"/>
      </w:divBdr>
    </w:div>
    <w:div w:id="619071578">
      <w:bodyDiv w:val="1"/>
      <w:marLeft w:val="0"/>
      <w:marRight w:val="0"/>
      <w:marTop w:val="0"/>
      <w:marBottom w:val="0"/>
      <w:divBdr>
        <w:top w:val="none" w:sz="0" w:space="0" w:color="auto"/>
        <w:left w:val="none" w:sz="0" w:space="0" w:color="auto"/>
        <w:bottom w:val="none" w:sz="0" w:space="0" w:color="auto"/>
        <w:right w:val="none" w:sz="0" w:space="0" w:color="auto"/>
      </w:divBdr>
    </w:div>
    <w:div w:id="619721531">
      <w:bodyDiv w:val="1"/>
      <w:marLeft w:val="0"/>
      <w:marRight w:val="0"/>
      <w:marTop w:val="0"/>
      <w:marBottom w:val="0"/>
      <w:divBdr>
        <w:top w:val="none" w:sz="0" w:space="0" w:color="auto"/>
        <w:left w:val="none" w:sz="0" w:space="0" w:color="auto"/>
        <w:bottom w:val="none" w:sz="0" w:space="0" w:color="auto"/>
        <w:right w:val="none" w:sz="0" w:space="0" w:color="auto"/>
      </w:divBdr>
    </w:div>
    <w:div w:id="622082247">
      <w:bodyDiv w:val="1"/>
      <w:marLeft w:val="0"/>
      <w:marRight w:val="0"/>
      <w:marTop w:val="0"/>
      <w:marBottom w:val="0"/>
      <w:divBdr>
        <w:top w:val="none" w:sz="0" w:space="0" w:color="auto"/>
        <w:left w:val="none" w:sz="0" w:space="0" w:color="auto"/>
        <w:bottom w:val="none" w:sz="0" w:space="0" w:color="auto"/>
        <w:right w:val="none" w:sz="0" w:space="0" w:color="auto"/>
      </w:divBdr>
    </w:div>
    <w:div w:id="626397104">
      <w:bodyDiv w:val="1"/>
      <w:marLeft w:val="0"/>
      <w:marRight w:val="0"/>
      <w:marTop w:val="0"/>
      <w:marBottom w:val="0"/>
      <w:divBdr>
        <w:top w:val="none" w:sz="0" w:space="0" w:color="auto"/>
        <w:left w:val="none" w:sz="0" w:space="0" w:color="auto"/>
        <w:bottom w:val="none" w:sz="0" w:space="0" w:color="auto"/>
        <w:right w:val="none" w:sz="0" w:space="0" w:color="auto"/>
      </w:divBdr>
    </w:div>
    <w:div w:id="629555439">
      <w:bodyDiv w:val="1"/>
      <w:marLeft w:val="0"/>
      <w:marRight w:val="0"/>
      <w:marTop w:val="0"/>
      <w:marBottom w:val="0"/>
      <w:divBdr>
        <w:top w:val="none" w:sz="0" w:space="0" w:color="auto"/>
        <w:left w:val="none" w:sz="0" w:space="0" w:color="auto"/>
        <w:bottom w:val="none" w:sz="0" w:space="0" w:color="auto"/>
        <w:right w:val="none" w:sz="0" w:space="0" w:color="auto"/>
      </w:divBdr>
    </w:div>
    <w:div w:id="630598280">
      <w:bodyDiv w:val="1"/>
      <w:marLeft w:val="0"/>
      <w:marRight w:val="0"/>
      <w:marTop w:val="0"/>
      <w:marBottom w:val="0"/>
      <w:divBdr>
        <w:top w:val="none" w:sz="0" w:space="0" w:color="auto"/>
        <w:left w:val="none" w:sz="0" w:space="0" w:color="auto"/>
        <w:bottom w:val="none" w:sz="0" w:space="0" w:color="auto"/>
        <w:right w:val="none" w:sz="0" w:space="0" w:color="auto"/>
      </w:divBdr>
    </w:div>
    <w:div w:id="631441994">
      <w:bodyDiv w:val="1"/>
      <w:marLeft w:val="0"/>
      <w:marRight w:val="0"/>
      <w:marTop w:val="0"/>
      <w:marBottom w:val="0"/>
      <w:divBdr>
        <w:top w:val="none" w:sz="0" w:space="0" w:color="auto"/>
        <w:left w:val="none" w:sz="0" w:space="0" w:color="auto"/>
        <w:bottom w:val="none" w:sz="0" w:space="0" w:color="auto"/>
        <w:right w:val="none" w:sz="0" w:space="0" w:color="auto"/>
      </w:divBdr>
    </w:div>
    <w:div w:id="633371098">
      <w:bodyDiv w:val="1"/>
      <w:marLeft w:val="0"/>
      <w:marRight w:val="0"/>
      <w:marTop w:val="0"/>
      <w:marBottom w:val="0"/>
      <w:divBdr>
        <w:top w:val="none" w:sz="0" w:space="0" w:color="auto"/>
        <w:left w:val="none" w:sz="0" w:space="0" w:color="auto"/>
        <w:bottom w:val="none" w:sz="0" w:space="0" w:color="auto"/>
        <w:right w:val="none" w:sz="0" w:space="0" w:color="auto"/>
      </w:divBdr>
    </w:div>
    <w:div w:id="641467271">
      <w:bodyDiv w:val="1"/>
      <w:marLeft w:val="0"/>
      <w:marRight w:val="0"/>
      <w:marTop w:val="0"/>
      <w:marBottom w:val="0"/>
      <w:divBdr>
        <w:top w:val="none" w:sz="0" w:space="0" w:color="auto"/>
        <w:left w:val="none" w:sz="0" w:space="0" w:color="auto"/>
        <w:bottom w:val="none" w:sz="0" w:space="0" w:color="auto"/>
        <w:right w:val="none" w:sz="0" w:space="0" w:color="auto"/>
      </w:divBdr>
    </w:div>
    <w:div w:id="641883712">
      <w:bodyDiv w:val="1"/>
      <w:marLeft w:val="0"/>
      <w:marRight w:val="0"/>
      <w:marTop w:val="0"/>
      <w:marBottom w:val="0"/>
      <w:divBdr>
        <w:top w:val="none" w:sz="0" w:space="0" w:color="auto"/>
        <w:left w:val="none" w:sz="0" w:space="0" w:color="auto"/>
        <w:bottom w:val="none" w:sz="0" w:space="0" w:color="auto"/>
        <w:right w:val="none" w:sz="0" w:space="0" w:color="auto"/>
      </w:divBdr>
    </w:div>
    <w:div w:id="642734194">
      <w:bodyDiv w:val="1"/>
      <w:marLeft w:val="0"/>
      <w:marRight w:val="0"/>
      <w:marTop w:val="0"/>
      <w:marBottom w:val="0"/>
      <w:divBdr>
        <w:top w:val="none" w:sz="0" w:space="0" w:color="auto"/>
        <w:left w:val="none" w:sz="0" w:space="0" w:color="auto"/>
        <w:bottom w:val="none" w:sz="0" w:space="0" w:color="auto"/>
        <w:right w:val="none" w:sz="0" w:space="0" w:color="auto"/>
      </w:divBdr>
    </w:div>
    <w:div w:id="642781038">
      <w:bodyDiv w:val="1"/>
      <w:marLeft w:val="0"/>
      <w:marRight w:val="0"/>
      <w:marTop w:val="0"/>
      <w:marBottom w:val="0"/>
      <w:divBdr>
        <w:top w:val="none" w:sz="0" w:space="0" w:color="auto"/>
        <w:left w:val="none" w:sz="0" w:space="0" w:color="auto"/>
        <w:bottom w:val="none" w:sz="0" w:space="0" w:color="auto"/>
        <w:right w:val="none" w:sz="0" w:space="0" w:color="auto"/>
      </w:divBdr>
    </w:div>
    <w:div w:id="645471278">
      <w:bodyDiv w:val="1"/>
      <w:marLeft w:val="0"/>
      <w:marRight w:val="0"/>
      <w:marTop w:val="0"/>
      <w:marBottom w:val="0"/>
      <w:divBdr>
        <w:top w:val="none" w:sz="0" w:space="0" w:color="auto"/>
        <w:left w:val="none" w:sz="0" w:space="0" w:color="auto"/>
        <w:bottom w:val="none" w:sz="0" w:space="0" w:color="auto"/>
        <w:right w:val="none" w:sz="0" w:space="0" w:color="auto"/>
      </w:divBdr>
    </w:div>
    <w:div w:id="645742487">
      <w:bodyDiv w:val="1"/>
      <w:marLeft w:val="0"/>
      <w:marRight w:val="0"/>
      <w:marTop w:val="0"/>
      <w:marBottom w:val="0"/>
      <w:divBdr>
        <w:top w:val="none" w:sz="0" w:space="0" w:color="auto"/>
        <w:left w:val="none" w:sz="0" w:space="0" w:color="auto"/>
        <w:bottom w:val="none" w:sz="0" w:space="0" w:color="auto"/>
        <w:right w:val="none" w:sz="0" w:space="0" w:color="auto"/>
      </w:divBdr>
    </w:div>
    <w:div w:id="645857953">
      <w:bodyDiv w:val="1"/>
      <w:marLeft w:val="0"/>
      <w:marRight w:val="0"/>
      <w:marTop w:val="0"/>
      <w:marBottom w:val="0"/>
      <w:divBdr>
        <w:top w:val="none" w:sz="0" w:space="0" w:color="auto"/>
        <w:left w:val="none" w:sz="0" w:space="0" w:color="auto"/>
        <w:bottom w:val="none" w:sz="0" w:space="0" w:color="auto"/>
        <w:right w:val="none" w:sz="0" w:space="0" w:color="auto"/>
      </w:divBdr>
    </w:div>
    <w:div w:id="646208038">
      <w:bodyDiv w:val="1"/>
      <w:marLeft w:val="0"/>
      <w:marRight w:val="0"/>
      <w:marTop w:val="0"/>
      <w:marBottom w:val="0"/>
      <w:divBdr>
        <w:top w:val="none" w:sz="0" w:space="0" w:color="auto"/>
        <w:left w:val="none" w:sz="0" w:space="0" w:color="auto"/>
        <w:bottom w:val="none" w:sz="0" w:space="0" w:color="auto"/>
        <w:right w:val="none" w:sz="0" w:space="0" w:color="auto"/>
      </w:divBdr>
    </w:div>
    <w:div w:id="646280388">
      <w:bodyDiv w:val="1"/>
      <w:marLeft w:val="0"/>
      <w:marRight w:val="0"/>
      <w:marTop w:val="0"/>
      <w:marBottom w:val="0"/>
      <w:divBdr>
        <w:top w:val="none" w:sz="0" w:space="0" w:color="auto"/>
        <w:left w:val="none" w:sz="0" w:space="0" w:color="auto"/>
        <w:bottom w:val="none" w:sz="0" w:space="0" w:color="auto"/>
        <w:right w:val="none" w:sz="0" w:space="0" w:color="auto"/>
      </w:divBdr>
    </w:div>
    <w:div w:id="649673787">
      <w:bodyDiv w:val="1"/>
      <w:marLeft w:val="0"/>
      <w:marRight w:val="0"/>
      <w:marTop w:val="0"/>
      <w:marBottom w:val="0"/>
      <w:divBdr>
        <w:top w:val="none" w:sz="0" w:space="0" w:color="auto"/>
        <w:left w:val="none" w:sz="0" w:space="0" w:color="auto"/>
        <w:bottom w:val="none" w:sz="0" w:space="0" w:color="auto"/>
        <w:right w:val="none" w:sz="0" w:space="0" w:color="auto"/>
      </w:divBdr>
    </w:div>
    <w:div w:id="649944510">
      <w:bodyDiv w:val="1"/>
      <w:marLeft w:val="0"/>
      <w:marRight w:val="0"/>
      <w:marTop w:val="0"/>
      <w:marBottom w:val="0"/>
      <w:divBdr>
        <w:top w:val="none" w:sz="0" w:space="0" w:color="auto"/>
        <w:left w:val="none" w:sz="0" w:space="0" w:color="auto"/>
        <w:bottom w:val="none" w:sz="0" w:space="0" w:color="auto"/>
        <w:right w:val="none" w:sz="0" w:space="0" w:color="auto"/>
      </w:divBdr>
    </w:div>
    <w:div w:id="650140733">
      <w:bodyDiv w:val="1"/>
      <w:marLeft w:val="0"/>
      <w:marRight w:val="0"/>
      <w:marTop w:val="0"/>
      <w:marBottom w:val="0"/>
      <w:divBdr>
        <w:top w:val="none" w:sz="0" w:space="0" w:color="auto"/>
        <w:left w:val="none" w:sz="0" w:space="0" w:color="auto"/>
        <w:bottom w:val="none" w:sz="0" w:space="0" w:color="auto"/>
        <w:right w:val="none" w:sz="0" w:space="0" w:color="auto"/>
      </w:divBdr>
    </w:div>
    <w:div w:id="651719071">
      <w:bodyDiv w:val="1"/>
      <w:marLeft w:val="0"/>
      <w:marRight w:val="0"/>
      <w:marTop w:val="0"/>
      <w:marBottom w:val="0"/>
      <w:divBdr>
        <w:top w:val="none" w:sz="0" w:space="0" w:color="auto"/>
        <w:left w:val="none" w:sz="0" w:space="0" w:color="auto"/>
        <w:bottom w:val="none" w:sz="0" w:space="0" w:color="auto"/>
        <w:right w:val="none" w:sz="0" w:space="0" w:color="auto"/>
      </w:divBdr>
    </w:div>
    <w:div w:id="651833145">
      <w:bodyDiv w:val="1"/>
      <w:marLeft w:val="0"/>
      <w:marRight w:val="0"/>
      <w:marTop w:val="0"/>
      <w:marBottom w:val="0"/>
      <w:divBdr>
        <w:top w:val="none" w:sz="0" w:space="0" w:color="auto"/>
        <w:left w:val="none" w:sz="0" w:space="0" w:color="auto"/>
        <w:bottom w:val="none" w:sz="0" w:space="0" w:color="auto"/>
        <w:right w:val="none" w:sz="0" w:space="0" w:color="auto"/>
      </w:divBdr>
    </w:div>
    <w:div w:id="652872555">
      <w:bodyDiv w:val="1"/>
      <w:marLeft w:val="0"/>
      <w:marRight w:val="0"/>
      <w:marTop w:val="0"/>
      <w:marBottom w:val="0"/>
      <w:divBdr>
        <w:top w:val="none" w:sz="0" w:space="0" w:color="auto"/>
        <w:left w:val="none" w:sz="0" w:space="0" w:color="auto"/>
        <w:bottom w:val="none" w:sz="0" w:space="0" w:color="auto"/>
        <w:right w:val="none" w:sz="0" w:space="0" w:color="auto"/>
      </w:divBdr>
    </w:div>
    <w:div w:id="653068656">
      <w:bodyDiv w:val="1"/>
      <w:marLeft w:val="0"/>
      <w:marRight w:val="0"/>
      <w:marTop w:val="0"/>
      <w:marBottom w:val="0"/>
      <w:divBdr>
        <w:top w:val="none" w:sz="0" w:space="0" w:color="auto"/>
        <w:left w:val="none" w:sz="0" w:space="0" w:color="auto"/>
        <w:bottom w:val="none" w:sz="0" w:space="0" w:color="auto"/>
        <w:right w:val="none" w:sz="0" w:space="0" w:color="auto"/>
      </w:divBdr>
    </w:div>
    <w:div w:id="653529725">
      <w:bodyDiv w:val="1"/>
      <w:marLeft w:val="0"/>
      <w:marRight w:val="0"/>
      <w:marTop w:val="0"/>
      <w:marBottom w:val="0"/>
      <w:divBdr>
        <w:top w:val="none" w:sz="0" w:space="0" w:color="auto"/>
        <w:left w:val="none" w:sz="0" w:space="0" w:color="auto"/>
        <w:bottom w:val="none" w:sz="0" w:space="0" w:color="auto"/>
        <w:right w:val="none" w:sz="0" w:space="0" w:color="auto"/>
      </w:divBdr>
    </w:div>
    <w:div w:id="654144994">
      <w:bodyDiv w:val="1"/>
      <w:marLeft w:val="0"/>
      <w:marRight w:val="0"/>
      <w:marTop w:val="0"/>
      <w:marBottom w:val="0"/>
      <w:divBdr>
        <w:top w:val="none" w:sz="0" w:space="0" w:color="auto"/>
        <w:left w:val="none" w:sz="0" w:space="0" w:color="auto"/>
        <w:bottom w:val="none" w:sz="0" w:space="0" w:color="auto"/>
        <w:right w:val="none" w:sz="0" w:space="0" w:color="auto"/>
      </w:divBdr>
    </w:div>
    <w:div w:id="654339251">
      <w:bodyDiv w:val="1"/>
      <w:marLeft w:val="0"/>
      <w:marRight w:val="0"/>
      <w:marTop w:val="0"/>
      <w:marBottom w:val="0"/>
      <w:divBdr>
        <w:top w:val="none" w:sz="0" w:space="0" w:color="auto"/>
        <w:left w:val="none" w:sz="0" w:space="0" w:color="auto"/>
        <w:bottom w:val="none" w:sz="0" w:space="0" w:color="auto"/>
        <w:right w:val="none" w:sz="0" w:space="0" w:color="auto"/>
      </w:divBdr>
    </w:div>
    <w:div w:id="657541609">
      <w:bodyDiv w:val="1"/>
      <w:marLeft w:val="0"/>
      <w:marRight w:val="0"/>
      <w:marTop w:val="0"/>
      <w:marBottom w:val="0"/>
      <w:divBdr>
        <w:top w:val="none" w:sz="0" w:space="0" w:color="auto"/>
        <w:left w:val="none" w:sz="0" w:space="0" w:color="auto"/>
        <w:bottom w:val="none" w:sz="0" w:space="0" w:color="auto"/>
        <w:right w:val="none" w:sz="0" w:space="0" w:color="auto"/>
      </w:divBdr>
    </w:div>
    <w:div w:id="659382474">
      <w:bodyDiv w:val="1"/>
      <w:marLeft w:val="0"/>
      <w:marRight w:val="0"/>
      <w:marTop w:val="0"/>
      <w:marBottom w:val="0"/>
      <w:divBdr>
        <w:top w:val="none" w:sz="0" w:space="0" w:color="auto"/>
        <w:left w:val="none" w:sz="0" w:space="0" w:color="auto"/>
        <w:bottom w:val="none" w:sz="0" w:space="0" w:color="auto"/>
        <w:right w:val="none" w:sz="0" w:space="0" w:color="auto"/>
      </w:divBdr>
    </w:div>
    <w:div w:id="660084047">
      <w:bodyDiv w:val="1"/>
      <w:marLeft w:val="0"/>
      <w:marRight w:val="0"/>
      <w:marTop w:val="0"/>
      <w:marBottom w:val="0"/>
      <w:divBdr>
        <w:top w:val="none" w:sz="0" w:space="0" w:color="auto"/>
        <w:left w:val="none" w:sz="0" w:space="0" w:color="auto"/>
        <w:bottom w:val="none" w:sz="0" w:space="0" w:color="auto"/>
        <w:right w:val="none" w:sz="0" w:space="0" w:color="auto"/>
      </w:divBdr>
    </w:div>
    <w:div w:id="661541338">
      <w:bodyDiv w:val="1"/>
      <w:marLeft w:val="0"/>
      <w:marRight w:val="0"/>
      <w:marTop w:val="0"/>
      <w:marBottom w:val="0"/>
      <w:divBdr>
        <w:top w:val="none" w:sz="0" w:space="0" w:color="auto"/>
        <w:left w:val="none" w:sz="0" w:space="0" w:color="auto"/>
        <w:bottom w:val="none" w:sz="0" w:space="0" w:color="auto"/>
        <w:right w:val="none" w:sz="0" w:space="0" w:color="auto"/>
      </w:divBdr>
    </w:div>
    <w:div w:id="662466046">
      <w:bodyDiv w:val="1"/>
      <w:marLeft w:val="0"/>
      <w:marRight w:val="0"/>
      <w:marTop w:val="0"/>
      <w:marBottom w:val="0"/>
      <w:divBdr>
        <w:top w:val="none" w:sz="0" w:space="0" w:color="auto"/>
        <w:left w:val="none" w:sz="0" w:space="0" w:color="auto"/>
        <w:bottom w:val="none" w:sz="0" w:space="0" w:color="auto"/>
        <w:right w:val="none" w:sz="0" w:space="0" w:color="auto"/>
      </w:divBdr>
    </w:div>
    <w:div w:id="662775875">
      <w:bodyDiv w:val="1"/>
      <w:marLeft w:val="0"/>
      <w:marRight w:val="0"/>
      <w:marTop w:val="0"/>
      <w:marBottom w:val="0"/>
      <w:divBdr>
        <w:top w:val="none" w:sz="0" w:space="0" w:color="auto"/>
        <w:left w:val="none" w:sz="0" w:space="0" w:color="auto"/>
        <w:bottom w:val="none" w:sz="0" w:space="0" w:color="auto"/>
        <w:right w:val="none" w:sz="0" w:space="0" w:color="auto"/>
      </w:divBdr>
    </w:div>
    <w:div w:id="663355693">
      <w:bodyDiv w:val="1"/>
      <w:marLeft w:val="0"/>
      <w:marRight w:val="0"/>
      <w:marTop w:val="0"/>
      <w:marBottom w:val="0"/>
      <w:divBdr>
        <w:top w:val="none" w:sz="0" w:space="0" w:color="auto"/>
        <w:left w:val="none" w:sz="0" w:space="0" w:color="auto"/>
        <w:bottom w:val="none" w:sz="0" w:space="0" w:color="auto"/>
        <w:right w:val="none" w:sz="0" w:space="0" w:color="auto"/>
      </w:divBdr>
    </w:div>
    <w:div w:id="664017951">
      <w:bodyDiv w:val="1"/>
      <w:marLeft w:val="0"/>
      <w:marRight w:val="0"/>
      <w:marTop w:val="0"/>
      <w:marBottom w:val="0"/>
      <w:divBdr>
        <w:top w:val="none" w:sz="0" w:space="0" w:color="auto"/>
        <w:left w:val="none" w:sz="0" w:space="0" w:color="auto"/>
        <w:bottom w:val="none" w:sz="0" w:space="0" w:color="auto"/>
        <w:right w:val="none" w:sz="0" w:space="0" w:color="auto"/>
      </w:divBdr>
    </w:div>
    <w:div w:id="664236965">
      <w:bodyDiv w:val="1"/>
      <w:marLeft w:val="0"/>
      <w:marRight w:val="0"/>
      <w:marTop w:val="0"/>
      <w:marBottom w:val="0"/>
      <w:divBdr>
        <w:top w:val="none" w:sz="0" w:space="0" w:color="auto"/>
        <w:left w:val="none" w:sz="0" w:space="0" w:color="auto"/>
        <w:bottom w:val="none" w:sz="0" w:space="0" w:color="auto"/>
        <w:right w:val="none" w:sz="0" w:space="0" w:color="auto"/>
      </w:divBdr>
    </w:div>
    <w:div w:id="666710668">
      <w:bodyDiv w:val="1"/>
      <w:marLeft w:val="0"/>
      <w:marRight w:val="0"/>
      <w:marTop w:val="0"/>
      <w:marBottom w:val="0"/>
      <w:divBdr>
        <w:top w:val="none" w:sz="0" w:space="0" w:color="auto"/>
        <w:left w:val="none" w:sz="0" w:space="0" w:color="auto"/>
        <w:bottom w:val="none" w:sz="0" w:space="0" w:color="auto"/>
        <w:right w:val="none" w:sz="0" w:space="0" w:color="auto"/>
      </w:divBdr>
    </w:div>
    <w:div w:id="667367696">
      <w:bodyDiv w:val="1"/>
      <w:marLeft w:val="0"/>
      <w:marRight w:val="0"/>
      <w:marTop w:val="0"/>
      <w:marBottom w:val="0"/>
      <w:divBdr>
        <w:top w:val="none" w:sz="0" w:space="0" w:color="auto"/>
        <w:left w:val="none" w:sz="0" w:space="0" w:color="auto"/>
        <w:bottom w:val="none" w:sz="0" w:space="0" w:color="auto"/>
        <w:right w:val="none" w:sz="0" w:space="0" w:color="auto"/>
      </w:divBdr>
    </w:div>
    <w:div w:id="668750675">
      <w:bodyDiv w:val="1"/>
      <w:marLeft w:val="0"/>
      <w:marRight w:val="0"/>
      <w:marTop w:val="0"/>
      <w:marBottom w:val="0"/>
      <w:divBdr>
        <w:top w:val="none" w:sz="0" w:space="0" w:color="auto"/>
        <w:left w:val="none" w:sz="0" w:space="0" w:color="auto"/>
        <w:bottom w:val="none" w:sz="0" w:space="0" w:color="auto"/>
        <w:right w:val="none" w:sz="0" w:space="0" w:color="auto"/>
      </w:divBdr>
    </w:div>
    <w:div w:id="669063173">
      <w:bodyDiv w:val="1"/>
      <w:marLeft w:val="0"/>
      <w:marRight w:val="0"/>
      <w:marTop w:val="0"/>
      <w:marBottom w:val="0"/>
      <w:divBdr>
        <w:top w:val="none" w:sz="0" w:space="0" w:color="auto"/>
        <w:left w:val="none" w:sz="0" w:space="0" w:color="auto"/>
        <w:bottom w:val="none" w:sz="0" w:space="0" w:color="auto"/>
        <w:right w:val="none" w:sz="0" w:space="0" w:color="auto"/>
      </w:divBdr>
    </w:div>
    <w:div w:id="672683428">
      <w:bodyDiv w:val="1"/>
      <w:marLeft w:val="0"/>
      <w:marRight w:val="0"/>
      <w:marTop w:val="0"/>
      <w:marBottom w:val="0"/>
      <w:divBdr>
        <w:top w:val="none" w:sz="0" w:space="0" w:color="auto"/>
        <w:left w:val="none" w:sz="0" w:space="0" w:color="auto"/>
        <w:bottom w:val="none" w:sz="0" w:space="0" w:color="auto"/>
        <w:right w:val="none" w:sz="0" w:space="0" w:color="auto"/>
      </w:divBdr>
    </w:div>
    <w:div w:id="674309573">
      <w:bodyDiv w:val="1"/>
      <w:marLeft w:val="0"/>
      <w:marRight w:val="0"/>
      <w:marTop w:val="0"/>
      <w:marBottom w:val="0"/>
      <w:divBdr>
        <w:top w:val="none" w:sz="0" w:space="0" w:color="auto"/>
        <w:left w:val="none" w:sz="0" w:space="0" w:color="auto"/>
        <w:bottom w:val="none" w:sz="0" w:space="0" w:color="auto"/>
        <w:right w:val="none" w:sz="0" w:space="0" w:color="auto"/>
      </w:divBdr>
    </w:div>
    <w:div w:id="676080901">
      <w:bodyDiv w:val="1"/>
      <w:marLeft w:val="0"/>
      <w:marRight w:val="0"/>
      <w:marTop w:val="0"/>
      <w:marBottom w:val="0"/>
      <w:divBdr>
        <w:top w:val="none" w:sz="0" w:space="0" w:color="auto"/>
        <w:left w:val="none" w:sz="0" w:space="0" w:color="auto"/>
        <w:bottom w:val="none" w:sz="0" w:space="0" w:color="auto"/>
        <w:right w:val="none" w:sz="0" w:space="0" w:color="auto"/>
      </w:divBdr>
    </w:div>
    <w:div w:id="677543081">
      <w:bodyDiv w:val="1"/>
      <w:marLeft w:val="0"/>
      <w:marRight w:val="0"/>
      <w:marTop w:val="0"/>
      <w:marBottom w:val="0"/>
      <w:divBdr>
        <w:top w:val="none" w:sz="0" w:space="0" w:color="auto"/>
        <w:left w:val="none" w:sz="0" w:space="0" w:color="auto"/>
        <w:bottom w:val="none" w:sz="0" w:space="0" w:color="auto"/>
        <w:right w:val="none" w:sz="0" w:space="0" w:color="auto"/>
      </w:divBdr>
    </w:div>
    <w:div w:id="679239677">
      <w:bodyDiv w:val="1"/>
      <w:marLeft w:val="0"/>
      <w:marRight w:val="0"/>
      <w:marTop w:val="0"/>
      <w:marBottom w:val="0"/>
      <w:divBdr>
        <w:top w:val="none" w:sz="0" w:space="0" w:color="auto"/>
        <w:left w:val="none" w:sz="0" w:space="0" w:color="auto"/>
        <w:bottom w:val="none" w:sz="0" w:space="0" w:color="auto"/>
        <w:right w:val="none" w:sz="0" w:space="0" w:color="auto"/>
      </w:divBdr>
    </w:div>
    <w:div w:id="680815684">
      <w:bodyDiv w:val="1"/>
      <w:marLeft w:val="0"/>
      <w:marRight w:val="0"/>
      <w:marTop w:val="0"/>
      <w:marBottom w:val="0"/>
      <w:divBdr>
        <w:top w:val="none" w:sz="0" w:space="0" w:color="auto"/>
        <w:left w:val="none" w:sz="0" w:space="0" w:color="auto"/>
        <w:bottom w:val="none" w:sz="0" w:space="0" w:color="auto"/>
        <w:right w:val="none" w:sz="0" w:space="0" w:color="auto"/>
      </w:divBdr>
    </w:div>
    <w:div w:id="681397061">
      <w:bodyDiv w:val="1"/>
      <w:marLeft w:val="0"/>
      <w:marRight w:val="0"/>
      <w:marTop w:val="0"/>
      <w:marBottom w:val="0"/>
      <w:divBdr>
        <w:top w:val="none" w:sz="0" w:space="0" w:color="auto"/>
        <w:left w:val="none" w:sz="0" w:space="0" w:color="auto"/>
        <w:bottom w:val="none" w:sz="0" w:space="0" w:color="auto"/>
        <w:right w:val="none" w:sz="0" w:space="0" w:color="auto"/>
      </w:divBdr>
    </w:div>
    <w:div w:id="682248190">
      <w:bodyDiv w:val="1"/>
      <w:marLeft w:val="0"/>
      <w:marRight w:val="0"/>
      <w:marTop w:val="0"/>
      <w:marBottom w:val="0"/>
      <w:divBdr>
        <w:top w:val="none" w:sz="0" w:space="0" w:color="auto"/>
        <w:left w:val="none" w:sz="0" w:space="0" w:color="auto"/>
        <w:bottom w:val="none" w:sz="0" w:space="0" w:color="auto"/>
        <w:right w:val="none" w:sz="0" w:space="0" w:color="auto"/>
      </w:divBdr>
    </w:div>
    <w:div w:id="685907384">
      <w:bodyDiv w:val="1"/>
      <w:marLeft w:val="0"/>
      <w:marRight w:val="0"/>
      <w:marTop w:val="0"/>
      <w:marBottom w:val="0"/>
      <w:divBdr>
        <w:top w:val="none" w:sz="0" w:space="0" w:color="auto"/>
        <w:left w:val="none" w:sz="0" w:space="0" w:color="auto"/>
        <w:bottom w:val="none" w:sz="0" w:space="0" w:color="auto"/>
        <w:right w:val="none" w:sz="0" w:space="0" w:color="auto"/>
      </w:divBdr>
    </w:div>
    <w:div w:id="689068631">
      <w:bodyDiv w:val="1"/>
      <w:marLeft w:val="0"/>
      <w:marRight w:val="0"/>
      <w:marTop w:val="0"/>
      <w:marBottom w:val="0"/>
      <w:divBdr>
        <w:top w:val="none" w:sz="0" w:space="0" w:color="auto"/>
        <w:left w:val="none" w:sz="0" w:space="0" w:color="auto"/>
        <w:bottom w:val="none" w:sz="0" w:space="0" w:color="auto"/>
        <w:right w:val="none" w:sz="0" w:space="0" w:color="auto"/>
      </w:divBdr>
    </w:div>
    <w:div w:id="689255785">
      <w:bodyDiv w:val="1"/>
      <w:marLeft w:val="0"/>
      <w:marRight w:val="0"/>
      <w:marTop w:val="0"/>
      <w:marBottom w:val="0"/>
      <w:divBdr>
        <w:top w:val="none" w:sz="0" w:space="0" w:color="auto"/>
        <w:left w:val="none" w:sz="0" w:space="0" w:color="auto"/>
        <w:bottom w:val="none" w:sz="0" w:space="0" w:color="auto"/>
        <w:right w:val="none" w:sz="0" w:space="0" w:color="auto"/>
      </w:divBdr>
    </w:div>
    <w:div w:id="689795002">
      <w:bodyDiv w:val="1"/>
      <w:marLeft w:val="0"/>
      <w:marRight w:val="0"/>
      <w:marTop w:val="0"/>
      <w:marBottom w:val="0"/>
      <w:divBdr>
        <w:top w:val="none" w:sz="0" w:space="0" w:color="auto"/>
        <w:left w:val="none" w:sz="0" w:space="0" w:color="auto"/>
        <w:bottom w:val="none" w:sz="0" w:space="0" w:color="auto"/>
        <w:right w:val="none" w:sz="0" w:space="0" w:color="auto"/>
      </w:divBdr>
    </w:div>
    <w:div w:id="690380803">
      <w:bodyDiv w:val="1"/>
      <w:marLeft w:val="0"/>
      <w:marRight w:val="0"/>
      <w:marTop w:val="0"/>
      <w:marBottom w:val="0"/>
      <w:divBdr>
        <w:top w:val="none" w:sz="0" w:space="0" w:color="auto"/>
        <w:left w:val="none" w:sz="0" w:space="0" w:color="auto"/>
        <w:bottom w:val="none" w:sz="0" w:space="0" w:color="auto"/>
        <w:right w:val="none" w:sz="0" w:space="0" w:color="auto"/>
      </w:divBdr>
    </w:div>
    <w:div w:id="691565859">
      <w:bodyDiv w:val="1"/>
      <w:marLeft w:val="0"/>
      <w:marRight w:val="0"/>
      <w:marTop w:val="0"/>
      <w:marBottom w:val="0"/>
      <w:divBdr>
        <w:top w:val="none" w:sz="0" w:space="0" w:color="auto"/>
        <w:left w:val="none" w:sz="0" w:space="0" w:color="auto"/>
        <w:bottom w:val="none" w:sz="0" w:space="0" w:color="auto"/>
        <w:right w:val="none" w:sz="0" w:space="0" w:color="auto"/>
      </w:divBdr>
    </w:div>
    <w:div w:id="694890600">
      <w:bodyDiv w:val="1"/>
      <w:marLeft w:val="0"/>
      <w:marRight w:val="0"/>
      <w:marTop w:val="0"/>
      <w:marBottom w:val="0"/>
      <w:divBdr>
        <w:top w:val="none" w:sz="0" w:space="0" w:color="auto"/>
        <w:left w:val="none" w:sz="0" w:space="0" w:color="auto"/>
        <w:bottom w:val="none" w:sz="0" w:space="0" w:color="auto"/>
        <w:right w:val="none" w:sz="0" w:space="0" w:color="auto"/>
      </w:divBdr>
    </w:div>
    <w:div w:id="695541476">
      <w:bodyDiv w:val="1"/>
      <w:marLeft w:val="0"/>
      <w:marRight w:val="0"/>
      <w:marTop w:val="0"/>
      <w:marBottom w:val="0"/>
      <w:divBdr>
        <w:top w:val="none" w:sz="0" w:space="0" w:color="auto"/>
        <w:left w:val="none" w:sz="0" w:space="0" w:color="auto"/>
        <w:bottom w:val="none" w:sz="0" w:space="0" w:color="auto"/>
        <w:right w:val="none" w:sz="0" w:space="0" w:color="auto"/>
      </w:divBdr>
    </w:div>
    <w:div w:id="695547470">
      <w:bodyDiv w:val="1"/>
      <w:marLeft w:val="0"/>
      <w:marRight w:val="0"/>
      <w:marTop w:val="0"/>
      <w:marBottom w:val="0"/>
      <w:divBdr>
        <w:top w:val="none" w:sz="0" w:space="0" w:color="auto"/>
        <w:left w:val="none" w:sz="0" w:space="0" w:color="auto"/>
        <w:bottom w:val="none" w:sz="0" w:space="0" w:color="auto"/>
        <w:right w:val="none" w:sz="0" w:space="0" w:color="auto"/>
      </w:divBdr>
    </w:div>
    <w:div w:id="695622230">
      <w:bodyDiv w:val="1"/>
      <w:marLeft w:val="0"/>
      <w:marRight w:val="0"/>
      <w:marTop w:val="0"/>
      <w:marBottom w:val="0"/>
      <w:divBdr>
        <w:top w:val="none" w:sz="0" w:space="0" w:color="auto"/>
        <w:left w:val="none" w:sz="0" w:space="0" w:color="auto"/>
        <w:bottom w:val="none" w:sz="0" w:space="0" w:color="auto"/>
        <w:right w:val="none" w:sz="0" w:space="0" w:color="auto"/>
      </w:divBdr>
    </w:div>
    <w:div w:id="699277554">
      <w:bodyDiv w:val="1"/>
      <w:marLeft w:val="0"/>
      <w:marRight w:val="0"/>
      <w:marTop w:val="0"/>
      <w:marBottom w:val="0"/>
      <w:divBdr>
        <w:top w:val="none" w:sz="0" w:space="0" w:color="auto"/>
        <w:left w:val="none" w:sz="0" w:space="0" w:color="auto"/>
        <w:bottom w:val="none" w:sz="0" w:space="0" w:color="auto"/>
        <w:right w:val="none" w:sz="0" w:space="0" w:color="auto"/>
      </w:divBdr>
    </w:div>
    <w:div w:id="700016604">
      <w:bodyDiv w:val="1"/>
      <w:marLeft w:val="0"/>
      <w:marRight w:val="0"/>
      <w:marTop w:val="0"/>
      <w:marBottom w:val="0"/>
      <w:divBdr>
        <w:top w:val="none" w:sz="0" w:space="0" w:color="auto"/>
        <w:left w:val="none" w:sz="0" w:space="0" w:color="auto"/>
        <w:bottom w:val="none" w:sz="0" w:space="0" w:color="auto"/>
        <w:right w:val="none" w:sz="0" w:space="0" w:color="auto"/>
      </w:divBdr>
    </w:div>
    <w:div w:id="700789093">
      <w:bodyDiv w:val="1"/>
      <w:marLeft w:val="0"/>
      <w:marRight w:val="0"/>
      <w:marTop w:val="0"/>
      <w:marBottom w:val="0"/>
      <w:divBdr>
        <w:top w:val="none" w:sz="0" w:space="0" w:color="auto"/>
        <w:left w:val="none" w:sz="0" w:space="0" w:color="auto"/>
        <w:bottom w:val="none" w:sz="0" w:space="0" w:color="auto"/>
        <w:right w:val="none" w:sz="0" w:space="0" w:color="auto"/>
      </w:divBdr>
    </w:div>
    <w:div w:id="700934486">
      <w:bodyDiv w:val="1"/>
      <w:marLeft w:val="0"/>
      <w:marRight w:val="0"/>
      <w:marTop w:val="0"/>
      <w:marBottom w:val="0"/>
      <w:divBdr>
        <w:top w:val="none" w:sz="0" w:space="0" w:color="auto"/>
        <w:left w:val="none" w:sz="0" w:space="0" w:color="auto"/>
        <w:bottom w:val="none" w:sz="0" w:space="0" w:color="auto"/>
        <w:right w:val="none" w:sz="0" w:space="0" w:color="auto"/>
      </w:divBdr>
    </w:div>
    <w:div w:id="702749063">
      <w:bodyDiv w:val="1"/>
      <w:marLeft w:val="0"/>
      <w:marRight w:val="0"/>
      <w:marTop w:val="0"/>
      <w:marBottom w:val="0"/>
      <w:divBdr>
        <w:top w:val="none" w:sz="0" w:space="0" w:color="auto"/>
        <w:left w:val="none" w:sz="0" w:space="0" w:color="auto"/>
        <w:bottom w:val="none" w:sz="0" w:space="0" w:color="auto"/>
        <w:right w:val="none" w:sz="0" w:space="0" w:color="auto"/>
      </w:divBdr>
    </w:div>
    <w:div w:id="703210118">
      <w:bodyDiv w:val="1"/>
      <w:marLeft w:val="0"/>
      <w:marRight w:val="0"/>
      <w:marTop w:val="0"/>
      <w:marBottom w:val="0"/>
      <w:divBdr>
        <w:top w:val="none" w:sz="0" w:space="0" w:color="auto"/>
        <w:left w:val="none" w:sz="0" w:space="0" w:color="auto"/>
        <w:bottom w:val="none" w:sz="0" w:space="0" w:color="auto"/>
        <w:right w:val="none" w:sz="0" w:space="0" w:color="auto"/>
      </w:divBdr>
    </w:div>
    <w:div w:id="707024656">
      <w:bodyDiv w:val="1"/>
      <w:marLeft w:val="0"/>
      <w:marRight w:val="0"/>
      <w:marTop w:val="0"/>
      <w:marBottom w:val="0"/>
      <w:divBdr>
        <w:top w:val="none" w:sz="0" w:space="0" w:color="auto"/>
        <w:left w:val="none" w:sz="0" w:space="0" w:color="auto"/>
        <w:bottom w:val="none" w:sz="0" w:space="0" w:color="auto"/>
        <w:right w:val="none" w:sz="0" w:space="0" w:color="auto"/>
      </w:divBdr>
    </w:div>
    <w:div w:id="707678241">
      <w:bodyDiv w:val="1"/>
      <w:marLeft w:val="0"/>
      <w:marRight w:val="0"/>
      <w:marTop w:val="0"/>
      <w:marBottom w:val="0"/>
      <w:divBdr>
        <w:top w:val="none" w:sz="0" w:space="0" w:color="auto"/>
        <w:left w:val="none" w:sz="0" w:space="0" w:color="auto"/>
        <w:bottom w:val="none" w:sz="0" w:space="0" w:color="auto"/>
        <w:right w:val="none" w:sz="0" w:space="0" w:color="auto"/>
      </w:divBdr>
    </w:div>
    <w:div w:id="707993115">
      <w:bodyDiv w:val="1"/>
      <w:marLeft w:val="0"/>
      <w:marRight w:val="0"/>
      <w:marTop w:val="0"/>
      <w:marBottom w:val="0"/>
      <w:divBdr>
        <w:top w:val="none" w:sz="0" w:space="0" w:color="auto"/>
        <w:left w:val="none" w:sz="0" w:space="0" w:color="auto"/>
        <w:bottom w:val="none" w:sz="0" w:space="0" w:color="auto"/>
        <w:right w:val="none" w:sz="0" w:space="0" w:color="auto"/>
      </w:divBdr>
    </w:div>
    <w:div w:id="708804564">
      <w:bodyDiv w:val="1"/>
      <w:marLeft w:val="0"/>
      <w:marRight w:val="0"/>
      <w:marTop w:val="0"/>
      <w:marBottom w:val="0"/>
      <w:divBdr>
        <w:top w:val="none" w:sz="0" w:space="0" w:color="auto"/>
        <w:left w:val="none" w:sz="0" w:space="0" w:color="auto"/>
        <w:bottom w:val="none" w:sz="0" w:space="0" w:color="auto"/>
        <w:right w:val="none" w:sz="0" w:space="0" w:color="auto"/>
      </w:divBdr>
    </w:div>
    <w:div w:id="711003769">
      <w:bodyDiv w:val="1"/>
      <w:marLeft w:val="0"/>
      <w:marRight w:val="0"/>
      <w:marTop w:val="0"/>
      <w:marBottom w:val="0"/>
      <w:divBdr>
        <w:top w:val="none" w:sz="0" w:space="0" w:color="auto"/>
        <w:left w:val="none" w:sz="0" w:space="0" w:color="auto"/>
        <w:bottom w:val="none" w:sz="0" w:space="0" w:color="auto"/>
        <w:right w:val="none" w:sz="0" w:space="0" w:color="auto"/>
      </w:divBdr>
    </w:div>
    <w:div w:id="712268681">
      <w:bodyDiv w:val="1"/>
      <w:marLeft w:val="0"/>
      <w:marRight w:val="0"/>
      <w:marTop w:val="0"/>
      <w:marBottom w:val="0"/>
      <w:divBdr>
        <w:top w:val="none" w:sz="0" w:space="0" w:color="auto"/>
        <w:left w:val="none" w:sz="0" w:space="0" w:color="auto"/>
        <w:bottom w:val="none" w:sz="0" w:space="0" w:color="auto"/>
        <w:right w:val="none" w:sz="0" w:space="0" w:color="auto"/>
      </w:divBdr>
    </w:div>
    <w:div w:id="713385964">
      <w:bodyDiv w:val="1"/>
      <w:marLeft w:val="0"/>
      <w:marRight w:val="0"/>
      <w:marTop w:val="0"/>
      <w:marBottom w:val="0"/>
      <w:divBdr>
        <w:top w:val="none" w:sz="0" w:space="0" w:color="auto"/>
        <w:left w:val="none" w:sz="0" w:space="0" w:color="auto"/>
        <w:bottom w:val="none" w:sz="0" w:space="0" w:color="auto"/>
        <w:right w:val="none" w:sz="0" w:space="0" w:color="auto"/>
      </w:divBdr>
    </w:div>
    <w:div w:id="714500750">
      <w:bodyDiv w:val="1"/>
      <w:marLeft w:val="0"/>
      <w:marRight w:val="0"/>
      <w:marTop w:val="0"/>
      <w:marBottom w:val="0"/>
      <w:divBdr>
        <w:top w:val="none" w:sz="0" w:space="0" w:color="auto"/>
        <w:left w:val="none" w:sz="0" w:space="0" w:color="auto"/>
        <w:bottom w:val="none" w:sz="0" w:space="0" w:color="auto"/>
        <w:right w:val="none" w:sz="0" w:space="0" w:color="auto"/>
      </w:divBdr>
    </w:div>
    <w:div w:id="715204124">
      <w:bodyDiv w:val="1"/>
      <w:marLeft w:val="0"/>
      <w:marRight w:val="0"/>
      <w:marTop w:val="0"/>
      <w:marBottom w:val="0"/>
      <w:divBdr>
        <w:top w:val="none" w:sz="0" w:space="0" w:color="auto"/>
        <w:left w:val="none" w:sz="0" w:space="0" w:color="auto"/>
        <w:bottom w:val="none" w:sz="0" w:space="0" w:color="auto"/>
        <w:right w:val="none" w:sz="0" w:space="0" w:color="auto"/>
      </w:divBdr>
    </w:div>
    <w:div w:id="718477095">
      <w:bodyDiv w:val="1"/>
      <w:marLeft w:val="0"/>
      <w:marRight w:val="0"/>
      <w:marTop w:val="0"/>
      <w:marBottom w:val="0"/>
      <w:divBdr>
        <w:top w:val="none" w:sz="0" w:space="0" w:color="auto"/>
        <w:left w:val="none" w:sz="0" w:space="0" w:color="auto"/>
        <w:bottom w:val="none" w:sz="0" w:space="0" w:color="auto"/>
        <w:right w:val="none" w:sz="0" w:space="0" w:color="auto"/>
      </w:divBdr>
    </w:div>
    <w:div w:id="718869193">
      <w:bodyDiv w:val="1"/>
      <w:marLeft w:val="0"/>
      <w:marRight w:val="0"/>
      <w:marTop w:val="0"/>
      <w:marBottom w:val="0"/>
      <w:divBdr>
        <w:top w:val="none" w:sz="0" w:space="0" w:color="auto"/>
        <w:left w:val="none" w:sz="0" w:space="0" w:color="auto"/>
        <w:bottom w:val="none" w:sz="0" w:space="0" w:color="auto"/>
        <w:right w:val="none" w:sz="0" w:space="0" w:color="auto"/>
      </w:divBdr>
    </w:div>
    <w:div w:id="719355252">
      <w:bodyDiv w:val="1"/>
      <w:marLeft w:val="0"/>
      <w:marRight w:val="0"/>
      <w:marTop w:val="0"/>
      <w:marBottom w:val="0"/>
      <w:divBdr>
        <w:top w:val="none" w:sz="0" w:space="0" w:color="auto"/>
        <w:left w:val="none" w:sz="0" w:space="0" w:color="auto"/>
        <w:bottom w:val="none" w:sz="0" w:space="0" w:color="auto"/>
        <w:right w:val="none" w:sz="0" w:space="0" w:color="auto"/>
      </w:divBdr>
    </w:div>
    <w:div w:id="719867064">
      <w:bodyDiv w:val="1"/>
      <w:marLeft w:val="0"/>
      <w:marRight w:val="0"/>
      <w:marTop w:val="0"/>
      <w:marBottom w:val="0"/>
      <w:divBdr>
        <w:top w:val="none" w:sz="0" w:space="0" w:color="auto"/>
        <w:left w:val="none" w:sz="0" w:space="0" w:color="auto"/>
        <w:bottom w:val="none" w:sz="0" w:space="0" w:color="auto"/>
        <w:right w:val="none" w:sz="0" w:space="0" w:color="auto"/>
      </w:divBdr>
    </w:div>
    <w:div w:id="720057052">
      <w:bodyDiv w:val="1"/>
      <w:marLeft w:val="0"/>
      <w:marRight w:val="0"/>
      <w:marTop w:val="0"/>
      <w:marBottom w:val="0"/>
      <w:divBdr>
        <w:top w:val="none" w:sz="0" w:space="0" w:color="auto"/>
        <w:left w:val="none" w:sz="0" w:space="0" w:color="auto"/>
        <w:bottom w:val="none" w:sz="0" w:space="0" w:color="auto"/>
        <w:right w:val="none" w:sz="0" w:space="0" w:color="auto"/>
      </w:divBdr>
    </w:div>
    <w:div w:id="721372505">
      <w:bodyDiv w:val="1"/>
      <w:marLeft w:val="0"/>
      <w:marRight w:val="0"/>
      <w:marTop w:val="0"/>
      <w:marBottom w:val="0"/>
      <w:divBdr>
        <w:top w:val="none" w:sz="0" w:space="0" w:color="auto"/>
        <w:left w:val="none" w:sz="0" w:space="0" w:color="auto"/>
        <w:bottom w:val="none" w:sz="0" w:space="0" w:color="auto"/>
        <w:right w:val="none" w:sz="0" w:space="0" w:color="auto"/>
      </w:divBdr>
    </w:div>
    <w:div w:id="722295173">
      <w:bodyDiv w:val="1"/>
      <w:marLeft w:val="0"/>
      <w:marRight w:val="0"/>
      <w:marTop w:val="0"/>
      <w:marBottom w:val="0"/>
      <w:divBdr>
        <w:top w:val="none" w:sz="0" w:space="0" w:color="auto"/>
        <w:left w:val="none" w:sz="0" w:space="0" w:color="auto"/>
        <w:bottom w:val="none" w:sz="0" w:space="0" w:color="auto"/>
        <w:right w:val="none" w:sz="0" w:space="0" w:color="auto"/>
      </w:divBdr>
    </w:div>
    <w:div w:id="726877066">
      <w:bodyDiv w:val="1"/>
      <w:marLeft w:val="0"/>
      <w:marRight w:val="0"/>
      <w:marTop w:val="0"/>
      <w:marBottom w:val="0"/>
      <w:divBdr>
        <w:top w:val="none" w:sz="0" w:space="0" w:color="auto"/>
        <w:left w:val="none" w:sz="0" w:space="0" w:color="auto"/>
        <w:bottom w:val="none" w:sz="0" w:space="0" w:color="auto"/>
        <w:right w:val="none" w:sz="0" w:space="0" w:color="auto"/>
      </w:divBdr>
    </w:div>
    <w:div w:id="729891200">
      <w:bodyDiv w:val="1"/>
      <w:marLeft w:val="0"/>
      <w:marRight w:val="0"/>
      <w:marTop w:val="0"/>
      <w:marBottom w:val="0"/>
      <w:divBdr>
        <w:top w:val="none" w:sz="0" w:space="0" w:color="auto"/>
        <w:left w:val="none" w:sz="0" w:space="0" w:color="auto"/>
        <w:bottom w:val="none" w:sz="0" w:space="0" w:color="auto"/>
        <w:right w:val="none" w:sz="0" w:space="0" w:color="auto"/>
      </w:divBdr>
    </w:div>
    <w:div w:id="729963723">
      <w:bodyDiv w:val="1"/>
      <w:marLeft w:val="0"/>
      <w:marRight w:val="0"/>
      <w:marTop w:val="0"/>
      <w:marBottom w:val="0"/>
      <w:divBdr>
        <w:top w:val="none" w:sz="0" w:space="0" w:color="auto"/>
        <w:left w:val="none" w:sz="0" w:space="0" w:color="auto"/>
        <w:bottom w:val="none" w:sz="0" w:space="0" w:color="auto"/>
        <w:right w:val="none" w:sz="0" w:space="0" w:color="auto"/>
      </w:divBdr>
    </w:div>
    <w:div w:id="732697286">
      <w:bodyDiv w:val="1"/>
      <w:marLeft w:val="0"/>
      <w:marRight w:val="0"/>
      <w:marTop w:val="0"/>
      <w:marBottom w:val="0"/>
      <w:divBdr>
        <w:top w:val="none" w:sz="0" w:space="0" w:color="auto"/>
        <w:left w:val="none" w:sz="0" w:space="0" w:color="auto"/>
        <w:bottom w:val="none" w:sz="0" w:space="0" w:color="auto"/>
        <w:right w:val="none" w:sz="0" w:space="0" w:color="auto"/>
      </w:divBdr>
    </w:div>
    <w:div w:id="732894552">
      <w:bodyDiv w:val="1"/>
      <w:marLeft w:val="0"/>
      <w:marRight w:val="0"/>
      <w:marTop w:val="0"/>
      <w:marBottom w:val="0"/>
      <w:divBdr>
        <w:top w:val="none" w:sz="0" w:space="0" w:color="auto"/>
        <w:left w:val="none" w:sz="0" w:space="0" w:color="auto"/>
        <w:bottom w:val="none" w:sz="0" w:space="0" w:color="auto"/>
        <w:right w:val="none" w:sz="0" w:space="0" w:color="auto"/>
      </w:divBdr>
    </w:div>
    <w:div w:id="733239227">
      <w:bodyDiv w:val="1"/>
      <w:marLeft w:val="0"/>
      <w:marRight w:val="0"/>
      <w:marTop w:val="0"/>
      <w:marBottom w:val="0"/>
      <w:divBdr>
        <w:top w:val="none" w:sz="0" w:space="0" w:color="auto"/>
        <w:left w:val="none" w:sz="0" w:space="0" w:color="auto"/>
        <w:bottom w:val="none" w:sz="0" w:space="0" w:color="auto"/>
        <w:right w:val="none" w:sz="0" w:space="0" w:color="auto"/>
      </w:divBdr>
    </w:div>
    <w:div w:id="733818213">
      <w:bodyDiv w:val="1"/>
      <w:marLeft w:val="0"/>
      <w:marRight w:val="0"/>
      <w:marTop w:val="0"/>
      <w:marBottom w:val="0"/>
      <w:divBdr>
        <w:top w:val="none" w:sz="0" w:space="0" w:color="auto"/>
        <w:left w:val="none" w:sz="0" w:space="0" w:color="auto"/>
        <w:bottom w:val="none" w:sz="0" w:space="0" w:color="auto"/>
        <w:right w:val="none" w:sz="0" w:space="0" w:color="auto"/>
      </w:divBdr>
    </w:div>
    <w:div w:id="735592521">
      <w:bodyDiv w:val="1"/>
      <w:marLeft w:val="0"/>
      <w:marRight w:val="0"/>
      <w:marTop w:val="0"/>
      <w:marBottom w:val="0"/>
      <w:divBdr>
        <w:top w:val="none" w:sz="0" w:space="0" w:color="auto"/>
        <w:left w:val="none" w:sz="0" w:space="0" w:color="auto"/>
        <w:bottom w:val="none" w:sz="0" w:space="0" w:color="auto"/>
        <w:right w:val="none" w:sz="0" w:space="0" w:color="auto"/>
      </w:divBdr>
    </w:div>
    <w:div w:id="740446121">
      <w:bodyDiv w:val="1"/>
      <w:marLeft w:val="0"/>
      <w:marRight w:val="0"/>
      <w:marTop w:val="0"/>
      <w:marBottom w:val="0"/>
      <w:divBdr>
        <w:top w:val="none" w:sz="0" w:space="0" w:color="auto"/>
        <w:left w:val="none" w:sz="0" w:space="0" w:color="auto"/>
        <w:bottom w:val="none" w:sz="0" w:space="0" w:color="auto"/>
        <w:right w:val="none" w:sz="0" w:space="0" w:color="auto"/>
      </w:divBdr>
    </w:div>
    <w:div w:id="741829903">
      <w:bodyDiv w:val="1"/>
      <w:marLeft w:val="0"/>
      <w:marRight w:val="0"/>
      <w:marTop w:val="0"/>
      <w:marBottom w:val="0"/>
      <w:divBdr>
        <w:top w:val="none" w:sz="0" w:space="0" w:color="auto"/>
        <w:left w:val="none" w:sz="0" w:space="0" w:color="auto"/>
        <w:bottom w:val="none" w:sz="0" w:space="0" w:color="auto"/>
        <w:right w:val="none" w:sz="0" w:space="0" w:color="auto"/>
      </w:divBdr>
    </w:div>
    <w:div w:id="741874317">
      <w:bodyDiv w:val="1"/>
      <w:marLeft w:val="0"/>
      <w:marRight w:val="0"/>
      <w:marTop w:val="0"/>
      <w:marBottom w:val="0"/>
      <w:divBdr>
        <w:top w:val="none" w:sz="0" w:space="0" w:color="auto"/>
        <w:left w:val="none" w:sz="0" w:space="0" w:color="auto"/>
        <w:bottom w:val="none" w:sz="0" w:space="0" w:color="auto"/>
        <w:right w:val="none" w:sz="0" w:space="0" w:color="auto"/>
      </w:divBdr>
    </w:div>
    <w:div w:id="746651880">
      <w:bodyDiv w:val="1"/>
      <w:marLeft w:val="0"/>
      <w:marRight w:val="0"/>
      <w:marTop w:val="0"/>
      <w:marBottom w:val="0"/>
      <w:divBdr>
        <w:top w:val="none" w:sz="0" w:space="0" w:color="auto"/>
        <w:left w:val="none" w:sz="0" w:space="0" w:color="auto"/>
        <w:bottom w:val="none" w:sz="0" w:space="0" w:color="auto"/>
        <w:right w:val="none" w:sz="0" w:space="0" w:color="auto"/>
      </w:divBdr>
    </w:div>
    <w:div w:id="751122067">
      <w:bodyDiv w:val="1"/>
      <w:marLeft w:val="0"/>
      <w:marRight w:val="0"/>
      <w:marTop w:val="0"/>
      <w:marBottom w:val="0"/>
      <w:divBdr>
        <w:top w:val="none" w:sz="0" w:space="0" w:color="auto"/>
        <w:left w:val="none" w:sz="0" w:space="0" w:color="auto"/>
        <w:bottom w:val="none" w:sz="0" w:space="0" w:color="auto"/>
        <w:right w:val="none" w:sz="0" w:space="0" w:color="auto"/>
      </w:divBdr>
    </w:div>
    <w:div w:id="751197036">
      <w:bodyDiv w:val="1"/>
      <w:marLeft w:val="0"/>
      <w:marRight w:val="0"/>
      <w:marTop w:val="0"/>
      <w:marBottom w:val="0"/>
      <w:divBdr>
        <w:top w:val="none" w:sz="0" w:space="0" w:color="auto"/>
        <w:left w:val="none" w:sz="0" w:space="0" w:color="auto"/>
        <w:bottom w:val="none" w:sz="0" w:space="0" w:color="auto"/>
        <w:right w:val="none" w:sz="0" w:space="0" w:color="auto"/>
      </w:divBdr>
    </w:div>
    <w:div w:id="754017203">
      <w:bodyDiv w:val="1"/>
      <w:marLeft w:val="0"/>
      <w:marRight w:val="0"/>
      <w:marTop w:val="0"/>
      <w:marBottom w:val="0"/>
      <w:divBdr>
        <w:top w:val="none" w:sz="0" w:space="0" w:color="auto"/>
        <w:left w:val="none" w:sz="0" w:space="0" w:color="auto"/>
        <w:bottom w:val="none" w:sz="0" w:space="0" w:color="auto"/>
        <w:right w:val="none" w:sz="0" w:space="0" w:color="auto"/>
      </w:divBdr>
    </w:div>
    <w:div w:id="754980893">
      <w:bodyDiv w:val="1"/>
      <w:marLeft w:val="0"/>
      <w:marRight w:val="0"/>
      <w:marTop w:val="0"/>
      <w:marBottom w:val="0"/>
      <w:divBdr>
        <w:top w:val="none" w:sz="0" w:space="0" w:color="auto"/>
        <w:left w:val="none" w:sz="0" w:space="0" w:color="auto"/>
        <w:bottom w:val="none" w:sz="0" w:space="0" w:color="auto"/>
        <w:right w:val="none" w:sz="0" w:space="0" w:color="auto"/>
      </w:divBdr>
    </w:div>
    <w:div w:id="756175581">
      <w:bodyDiv w:val="1"/>
      <w:marLeft w:val="0"/>
      <w:marRight w:val="0"/>
      <w:marTop w:val="0"/>
      <w:marBottom w:val="0"/>
      <w:divBdr>
        <w:top w:val="none" w:sz="0" w:space="0" w:color="auto"/>
        <w:left w:val="none" w:sz="0" w:space="0" w:color="auto"/>
        <w:bottom w:val="none" w:sz="0" w:space="0" w:color="auto"/>
        <w:right w:val="none" w:sz="0" w:space="0" w:color="auto"/>
      </w:divBdr>
    </w:div>
    <w:div w:id="756827649">
      <w:bodyDiv w:val="1"/>
      <w:marLeft w:val="0"/>
      <w:marRight w:val="0"/>
      <w:marTop w:val="0"/>
      <w:marBottom w:val="0"/>
      <w:divBdr>
        <w:top w:val="none" w:sz="0" w:space="0" w:color="auto"/>
        <w:left w:val="none" w:sz="0" w:space="0" w:color="auto"/>
        <w:bottom w:val="none" w:sz="0" w:space="0" w:color="auto"/>
        <w:right w:val="none" w:sz="0" w:space="0" w:color="auto"/>
      </w:divBdr>
    </w:div>
    <w:div w:id="757017502">
      <w:bodyDiv w:val="1"/>
      <w:marLeft w:val="0"/>
      <w:marRight w:val="0"/>
      <w:marTop w:val="0"/>
      <w:marBottom w:val="0"/>
      <w:divBdr>
        <w:top w:val="none" w:sz="0" w:space="0" w:color="auto"/>
        <w:left w:val="none" w:sz="0" w:space="0" w:color="auto"/>
        <w:bottom w:val="none" w:sz="0" w:space="0" w:color="auto"/>
        <w:right w:val="none" w:sz="0" w:space="0" w:color="auto"/>
      </w:divBdr>
    </w:div>
    <w:div w:id="757674945">
      <w:bodyDiv w:val="1"/>
      <w:marLeft w:val="0"/>
      <w:marRight w:val="0"/>
      <w:marTop w:val="0"/>
      <w:marBottom w:val="0"/>
      <w:divBdr>
        <w:top w:val="none" w:sz="0" w:space="0" w:color="auto"/>
        <w:left w:val="none" w:sz="0" w:space="0" w:color="auto"/>
        <w:bottom w:val="none" w:sz="0" w:space="0" w:color="auto"/>
        <w:right w:val="none" w:sz="0" w:space="0" w:color="auto"/>
      </w:divBdr>
    </w:div>
    <w:div w:id="757873948">
      <w:bodyDiv w:val="1"/>
      <w:marLeft w:val="0"/>
      <w:marRight w:val="0"/>
      <w:marTop w:val="0"/>
      <w:marBottom w:val="0"/>
      <w:divBdr>
        <w:top w:val="none" w:sz="0" w:space="0" w:color="auto"/>
        <w:left w:val="none" w:sz="0" w:space="0" w:color="auto"/>
        <w:bottom w:val="none" w:sz="0" w:space="0" w:color="auto"/>
        <w:right w:val="none" w:sz="0" w:space="0" w:color="auto"/>
      </w:divBdr>
    </w:div>
    <w:div w:id="759564437">
      <w:bodyDiv w:val="1"/>
      <w:marLeft w:val="0"/>
      <w:marRight w:val="0"/>
      <w:marTop w:val="0"/>
      <w:marBottom w:val="0"/>
      <w:divBdr>
        <w:top w:val="none" w:sz="0" w:space="0" w:color="auto"/>
        <w:left w:val="none" w:sz="0" w:space="0" w:color="auto"/>
        <w:bottom w:val="none" w:sz="0" w:space="0" w:color="auto"/>
        <w:right w:val="none" w:sz="0" w:space="0" w:color="auto"/>
      </w:divBdr>
    </w:div>
    <w:div w:id="760105350">
      <w:bodyDiv w:val="1"/>
      <w:marLeft w:val="0"/>
      <w:marRight w:val="0"/>
      <w:marTop w:val="0"/>
      <w:marBottom w:val="0"/>
      <w:divBdr>
        <w:top w:val="none" w:sz="0" w:space="0" w:color="auto"/>
        <w:left w:val="none" w:sz="0" w:space="0" w:color="auto"/>
        <w:bottom w:val="none" w:sz="0" w:space="0" w:color="auto"/>
        <w:right w:val="none" w:sz="0" w:space="0" w:color="auto"/>
      </w:divBdr>
    </w:div>
    <w:div w:id="763188988">
      <w:bodyDiv w:val="1"/>
      <w:marLeft w:val="0"/>
      <w:marRight w:val="0"/>
      <w:marTop w:val="0"/>
      <w:marBottom w:val="0"/>
      <w:divBdr>
        <w:top w:val="none" w:sz="0" w:space="0" w:color="auto"/>
        <w:left w:val="none" w:sz="0" w:space="0" w:color="auto"/>
        <w:bottom w:val="none" w:sz="0" w:space="0" w:color="auto"/>
        <w:right w:val="none" w:sz="0" w:space="0" w:color="auto"/>
      </w:divBdr>
    </w:div>
    <w:div w:id="765467363">
      <w:bodyDiv w:val="1"/>
      <w:marLeft w:val="0"/>
      <w:marRight w:val="0"/>
      <w:marTop w:val="0"/>
      <w:marBottom w:val="0"/>
      <w:divBdr>
        <w:top w:val="none" w:sz="0" w:space="0" w:color="auto"/>
        <w:left w:val="none" w:sz="0" w:space="0" w:color="auto"/>
        <w:bottom w:val="none" w:sz="0" w:space="0" w:color="auto"/>
        <w:right w:val="none" w:sz="0" w:space="0" w:color="auto"/>
      </w:divBdr>
    </w:div>
    <w:div w:id="765658313">
      <w:bodyDiv w:val="1"/>
      <w:marLeft w:val="0"/>
      <w:marRight w:val="0"/>
      <w:marTop w:val="0"/>
      <w:marBottom w:val="0"/>
      <w:divBdr>
        <w:top w:val="none" w:sz="0" w:space="0" w:color="auto"/>
        <w:left w:val="none" w:sz="0" w:space="0" w:color="auto"/>
        <w:bottom w:val="none" w:sz="0" w:space="0" w:color="auto"/>
        <w:right w:val="none" w:sz="0" w:space="0" w:color="auto"/>
      </w:divBdr>
    </w:div>
    <w:div w:id="767191326">
      <w:bodyDiv w:val="1"/>
      <w:marLeft w:val="0"/>
      <w:marRight w:val="0"/>
      <w:marTop w:val="0"/>
      <w:marBottom w:val="0"/>
      <w:divBdr>
        <w:top w:val="none" w:sz="0" w:space="0" w:color="auto"/>
        <w:left w:val="none" w:sz="0" w:space="0" w:color="auto"/>
        <w:bottom w:val="none" w:sz="0" w:space="0" w:color="auto"/>
        <w:right w:val="none" w:sz="0" w:space="0" w:color="auto"/>
      </w:divBdr>
    </w:div>
    <w:div w:id="767778017">
      <w:bodyDiv w:val="1"/>
      <w:marLeft w:val="0"/>
      <w:marRight w:val="0"/>
      <w:marTop w:val="0"/>
      <w:marBottom w:val="0"/>
      <w:divBdr>
        <w:top w:val="none" w:sz="0" w:space="0" w:color="auto"/>
        <w:left w:val="none" w:sz="0" w:space="0" w:color="auto"/>
        <w:bottom w:val="none" w:sz="0" w:space="0" w:color="auto"/>
        <w:right w:val="none" w:sz="0" w:space="0" w:color="auto"/>
      </w:divBdr>
    </w:div>
    <w:div w:id="768738292">
      <w:bodyDiv w:val="1"/>
      <w:marLeft w:val="0"/>
      <w:marRight w:val="0"/>
      <w:marTop w:val="0"/>
      <w:marBottom w:val="0"/>
      <w:divBdr>
        <w:top w:val="none" w:sz="0" w:space="0" w:color="auto"/>
        <w:left w:val="none" w:sz="0" w:space="0" w:color="auto"/>
        <w:bottom w:val="none" w:sz="0" w:space="0" w:color="auto"/>
        <w:right w:val="none" w:sz="0" w:space="0" w:color="auto"/>
      </w:divBdr>
    </w:div>
    <w:div w:id="770468500">
      <w:bodyDiv w:val="1"/>
      <w:marLeft w:val="0"/>
      <w:marRight w:val="0"/>
      <w:marTop w:val="0"/>
      <w:marBottom w:val="0"/>
      <w:divBdr>
        <w:top w:val="none" w:sz="0" w:space="0" w:color="auto"/>
        <w:left w:val="none" w:sz="0" w:space="0" w:color="auto"/>
        <w:bottom w:val="none" w:sz="0" w:space="0" w:color="auto"/>
        <w:right w:val="none" w:sz="0" w:space="0" w:color="auto"/>
      </w:divBdr>
    </w:div>
    <w:div w:id="771895451">
      <w:bodyDiv w:val="1"/>
      <w:marLeft w:val="0"/>
      <w:marRight w:val="0"/>
      <w:marTop w:val="0"/>
      <w:marBottom w:val="0"/>
      <w:divBdr>
        <w:top w:val="none" w:sz="0" w:space="0" w:color="auto"/>
        <w:left w:val="none" w:sz="0" w:space="0" w:color="auto"/>
        <w:bottom w:val="none" w:sz="0" w:space="0" w:color="auto"/>
        <w:right w:val="none" w:sz="0" w:space="0" w:color="auto"/>
      </w:divBdr>
    </w:div>
    <w:div w:id="773936438">
      <w:bodyDiv w:val="1"/>
      <w:marLeft w:val="0"/>
      <w:marRight w:val="0"/>
      <w:marTop w:val="0"/>
      <w:marBottom w:val="0"/>
      <w:divBdr>
        <w:top w:val="none" w:sz="0" w:space="0" w:color="auto"/>
        <w:left w:val="none" w:sz="0" w:space="0" w:color="auto"/>
        <w:bottom w:val="none" w:sz="0" w:space="0" w:color="auto"/>
        <w:right w:val="none" w:sz="0" w:space="0" w:color="auto"/>
      </w:divBdr>
    </w:div>
    <w:div w:id="775830040">
      <w:bodyDiv w:val="1"/>
      <w:marLeft w:val="0"/>
      <w:marRight w:val="0"/>
      <w:marTop w:val="0"/>
      <w:marBottom w:val="0"/>
      <w:divBdr>
        <w:top w:val="none" w:sz="0" w:space="0" w:color="auto"/>
        <w:left w:val="none" w:sz="0" w:space="0" w:color="auto"/>
        <w:bottom w:val="none" w:sz="0" w:space="0" w:color="auto"/>
        <w:right w:val="none" w:sz="0" w:space="0" w:color="auto"/>
      </w:divBdr>
    </w:div>
    <w:div w:id="776099623">
      <w:bodyDiv w:val="1"/>
      <w:marLeft w:val="0"/>
      <w:marRight w:val="0"/>
      <w:marTop w:val="0"/>
      <w:marBottom w:val="0"/>
      <w:divBdr>
        <w:top w:val="none" w:sz="0" w:space="0" w:color="auto"/>
        <w:left w:val="none" w:sz="0" w:space="0" w:color="auto"/>
        <w:bottom w:val="none" w:sz="0" w:space="0" w:color="auto"/>
        <w:right w:val="none" w:sz="0" w:space="0" w:color="auto"/>
      </w:divBdr>
    </w:div>
    <w:div w:id="778834353">
      <w:bodyDiv w:val="1"/>
      <w:marLeft w:val="0"/>
      <w:marRight w:val="0"/>
      <w:marTop w:val="0"/>
      <w:marBottom w:val="0"/>
      <w:divBdr>
        <w:top w:val="none" w:sz="0" w:space="0" w:color="auto"/>
        <w:left w:val="none" w:sz="0" w:space="0" w:color="auto"/>
        <w:bottom w:val="none" w:sz="0" w:space="0" w:color="auto"/>
        <w:right w:val="none" w:sz="0" w:space="0" w:color="auto"/>
      </w:divBdr>
    </w:div>
    <w:div w:id="778841788">
      <w:bodyDiv w:val="1"/>
      <w:marLeft w:val="0"/>
      <w:marRight w:val="0"/>
      <w:marTop w:val="0"/>
      <w:marBottom w:val="0"/>
      <w:divBdr>
        <w:top w:val="none" w:sz="0" w:space="0" w:color="auto"/>
        <w:left w:val="none" w:sz="0" w:space="0" w:color="auto"/>
        <w:bottom w:val="none" w:sz="0" w:space="0" w:color="auto"/>
        <w:right w:val="none" w:sz="0" w:space="0" w:color="auto"/>
      </w:divBdr>
    </w:div>
    <w:div w:id="780565145">
      <w:bodyDiv w:val="1"/>
      <w:marLeft w:val="0"/>
      <w:marRight w:val="0"/>
      <w:marTop w:val="0"/>
      <w:marBottom w:val="0"/>
      <w:divBdr>
        <w:top w:val="none" w:sz="0" w:space="0" w:color="auto"/>
        <w:left w:val="none" w:sz="0" w:space="0" w:color="auto"/>
        <w:bottom w:val="none" w:sz="0" w:space="0" w:color="auto"/>
        <w:right w:val="none" w:sz="0" w:space="0" w:color="auto"/>
      </w:divBdr>
    </w:div>
    <w:div w:id="782962599">
      <w:bodyDiv w:val="1"/>
      <w:marLeft w:val="0"/>
      <w:marRight w:val="0"/>
      <w:marTop w:val="0"/>
      <w:marBottom w:val="0"/>
      <w:divBdr>
        <w:top w:val="none" w:sz="0" w:space="0" w:color="auto"/>
        <w:left w:val="none" w:sz="0" w:space="0" w:color="auto"/>
        <w:bottom w:val="none" w:sz="0" w:space="0" w:color="auto"/>
        <w:right w:val="none" w:sz="0" w:space="0" w:color="auto"/>
      </w:divBdr>
    </w:div>
    <w:div w:id="784738359">
      <w:bodyDiv w:val="1"/>
      <w:marLeft w:val="0"/>
      <w:marRight w:val="0"/>
      <w:marTop w:val="0"/>
      <w:marBottom w:val="0"/>
      <w:divBdr>
        <w:top w:val="none" w:sz="0" w:space="0" w:color="auto"/>
        <w:left w:val="none" w:sz="0" w:space="0" w:color="auto"/>
        <w:bottom w:val="none" w:sz="0" w:space="0" w:color="auto"/>
        <w:right w:val="none" w:sz="0" w:space="0" w:color="auto"/>
      </w:divBdr>
    </w:div>
    <w:div w:id="785275297">
      <w:bodyDiv w:val="1"/>
      <w:marLeft w:val="0"/>
      <w:marRight w:val="0"/>
      <w:marTop w:val="0"/>
      <w:marBottom w:val="0"/>
      <w:divBdr>
        <w:top w:val="none" w:sz="0" w:space="0" w:color="auto"/>
        <w:left w:val="none" w:sz="0" w:space="0" w:color="auto"/>
        <w:bottom w:val="none" w:sz="0" w:space="0" w:color="auto"/>
        <w:right w:val="none" w:sz="0" w:space="0" w:color="auto"/>
      </w:divBdr>
    </w:div>
    <w:div w:id="785588677">
      <w:bodyDiv w:val="1"/>
      <w:marLeft w:val="0"/>
      <w:marRight w:val="0"/>
      <w:marTop w:val="0"/>
      <w:marBottom w:val="0"/>
      <w:divBdr>
        <w:top w:val="none" w:sz="0" w:space="0" w:color="auto"/>
        <w:left w:val="none" w:sz="0" w:space="0" w:color="auto"/>
        <w:bottom w:val="none" w:sz="0" w:space="0" w:color="auto"/>
        <w:right w:val="none" w:sz="0" w:space="0" w:color="auto"/>
      </w:divBdr>
    </w:div>
    <w:div w:id="787428729">
      <w:bodyDiv w:val="1"/>
      <w:marLeft w:val="0"/>
      <w:marRight w:val="0"/>
      <w:marTop w:val="0"/>
      <w:marBottom w:val="0"/>
      <w:divBdr>
        <w:top w:val="none" w:sz="0" w:space="0" w:color="auto"/>
        <w:left w:val="none" w:sz="0" w:space="0" w:color="auto"/>
        <w:bottom w:val="none" w:sz="0" w:space="0" w:color="auto"/>
        <w:right w:val="none" w:sz="0" w:space="0" w:color="auto"/>
      </w:divBdr>
    </w:div>
    <w:div w:id="787431669">
      <w:bodyDiv w:val="1"/>
      <w:marLeft w:val="0"/>
      <w:marRight w:val="0"/>
      <w:marTop w:val="0"/>
      <w:marBottom w:val="0"/>
      <w:divBdr>
        <w:top w:val="none" w:sz="0" w:space="0" w:color="auto"/>
        <w:left w:val="none" w:sz="0" w:space="0" w:color="auto"/>
        <w:bottom w:val="none" w:sz="0" w:space="0" w:color="auto"/>
        <w:right w:val="none" w:sz="0" w:space="0" w:color="auto"/>
      </w:divBdr>
    </w:div>
    <w:div w:id="787504302">
      <w:bodyDiv w:val="1"/>
      <w:marLeft w:val="0"/>
      <w:marRight w:val="0"/>
      <w:marTop w:val="0"/>
      <w:marBottom w:val="0"/>
      <w:divBdr>
        <w:top w:val="none" w:sz="0" w:space="0" w:color="auto"/>
        <w:left w:val="none" w:sz="0" w:space="0" w:color="auto"/>
        <w:bottom w:val="none" w:sz="0" w:space="0" w:color="auto"/>
        <w:right w:val="none" w:sz="0" w:space="0" w:color="auto"/>
      </w:divBdr>
    </w:div>
    <w:div w:id="787622968">
      <w:bodyDiv w:val="1"/>
      <w:marLeft w:val="0"/>
      <w:marRight w:val="0"/>
      <w:marTop w:val="0"/>
      <w:marBottom w:val="0"/>
      <w:divBdr>
        <w:top w:val="none" w:sz="0" w:space="0" w:color="auto"/>
        <w:left w:val="none" w:sz="0" w:space="0" w:color="auto"/>
        <w:bottom w:val="none" w:sz="0" w:space="0" w:color="auto"/>
        <w:right w:val="none" w:sz="0" w:space="0" w:color="auto"/>
      </w:divBdr>
    </w:div>
    <w:div w:id="789475240">
      <w:bodyDiv w:val="1"/>
      <w:marLeft w:val="0"/>
      <w:marRight w:val="0"/>
      <w:marTop w:val="0"/>
      <w:marBottom w:val="0"/>
      <w:divBdr>
        <w:top w:val="none" w:sz="0" w:space="0" w:color="auto"/>
        <w:left w:val="none" w:sz="0" w:space="0" w:color="auto"/>
        <w:bottom w:val="none" w:sz="0" w:space="0" w:color="auto"/>
        <w:right w:val="none" w:sz="0" w:space="0" w:color="auto"/>
      </w:divBdr>
    </w:div>
    <w:div w:id="789975354">
      <w:bodyDiv w:val="1"/>
      <w:marLeft w:val="0"/>
      <w:marRight w:val="0"/>
      <w:marTop w:val="0"/>
      <w:marBottom w:val="0"/>
      <w:divBdr>
        <w:top w:val="none" w:sz="0" w:space="0" w:color="auto"/>
        <w:left w:val="none" w:sz="0" w:space="0" w:color="auto"/>
        <w:bottom w:val="none" w:sz="0" w:space="0" w:color="auto"/>
        <w:right w:val="none" w:sz="0" w:space="0" w:color="auto"/>
      </w:divBdr>
    </w:div>
    <w:div w:id="790170064">
      <w:bodyDiv w:val="1"/>
      <w:marLeft w:val="0"/>
      <w:marRight w:val="0"/>
      <w:marTop w:val="0"/>
      <w:marBottom w:val="0"/>
      <w:divBdr>
        <w:top w:val="none" w:sz="0" w:space="0" w:color="auto"/>
        <w:left w:val="none" w:sz="0" w:space="0" w:color="auto"/>
        <w:bottom w:val="none" w:sz="0" w:space="0" w:color="auto"/>
        <w:right w:val="none" w:sz="0" w:space="0" w:color="auto"/>
      </w:divBdr>
    </w:div>
    <w:div w:id="790979546">
      <w:bodyDiv w:val="1"/>
      <w:marLeft w:val="0"/>
      <w:marRight w:val="0"/>
      <w:marTop w:val="0"/>
      <w:marBottom w:val="0"/>
      <w:divBdr>
        <w:top w:val="none" w:sz="0" w:space="0" w:color="auto"/>
        <w:left w:val="none" w:sz="0" w:space="0" w:color="auto"/>
        <w:bottom w:val="none" w:sz="0" w:space="0" w:color="auto"/>
        <w:right w:val="none" w:sz="0" w:space="0" w:color="auto"/>
      </w:divBdr>
    </w:div>
    <w:div w:id="791746824">
      <w:bodyDiv w:val="1"/>
      <w:marLeft w:val="0"/>
      <w:marRight w:val="0"/>
      <w:marTop w:val="0"/>
      <w:marBottom w:val="0"/>
      <w:divBdr>
        <w:top w:val="none" w:sz="0" w:space="0" w:color="auto"/>
        <w:left w:val="none" w:sz="0" w:space="0" w:color="auto"/>
        <w:bottom w:val="none" w:sz="0" w:space="0" w:color="auto"/>
        <w:right w:val="none" w:sz="0" w:space="0" w:color="auto"/>
      </w:divBdr>
    </w:div>
    <w:div w:id="794448987">
      <w:bodyDiv w:val="1"/>
      <w:marLeft w:val="0"/>
      <w:marRight w:val="0"/>
      <w:marTop w:val="0"/>
      <w:marBottom w:val="0"/>
      <w:divBdr>
        <w:top w:val="none" w:sz="0" w:space="0" w:color="auto"/>
        <w:left w:val="none" w:sz="0" w:space="0" w:color="auto"/>
        <w:bottom w:val="none" w:sz="0" w:space="0" w:color="auto"/>
        <w:right w:val="none" w:sz="0" w:space="0" w:color="auto"/>
      </w:divBdr>
    </w:div>
    <w:div w:id="794639113">
      <w:bodyDiv w:val="1"/>
      <w:marLeft w:val="0"/>
      <w:marRight w:val="0"/>
      <w:marTop w:val="0"/>
      <w:marBottom w:val="0"/>
      <w:divBdr>
        <w:top w:val="none" w:sz="0" w:space="0" w:color="auto"/>
        <w:left w:val="none" w:sz="0" w:space="0" w:color="auto"/>
        <w:bottom w:val="none" w:sz="0" w:space="0" w:color="auto"/>
        <w:right w:val="none" w:sz="0" w:space="0" w:color="auto"/>
      </w:divBdr>
    </w:div>
    <w:div w:id="795023988">
      <w:bodyDiv w:val="1"/>
      <w:marLeft w:val="0"/>
      <w:marRight w:val="0"/>
      <w:marTop w:val="0"/>
      <w:marBottom w:val="0"/>
      <w:divBdr>
        <w:top w:val="none" w:sz="0" w:space="0" w:color="auto"/>
        <w:left w:val="none" w:sz="0" w:space="0" w:color="auto"/>
        <w:bottom w:val="none" w:sz="0" w:space="0" w:color="auto"/>
        <w:right w:val="none" w:sz="0" w:space="0" w:color="auto"/>
      </w:divBdr>
    </w:div>
    <w:div w:id="796487359">
      <w:bodyDiv w:val="1"/>
      <w:marLeft w:val="0"/>
      <w:marRight w:val="0"/>
      <w:marTop w:val="0"/>
      <w:marBottom w:val="0"/>
      <w:divBdr>
        <w:top w:val="none" w:sz="0" w:space="0" w:color="auto"/>
        <w:left w:val="none" w:sz="0" w:space="0" w:color="auto"/>
        <w:bottom w:val="none" w:sz="0" w:space="0" w:color="auto"/>
        <w:right w:val="none" w:sz="0" w:space="0" w:color="auto"/>
      </w:divBdr>
    </w:div>
    <w:div w:id="798567609">
      <w:bodyDiv w:val="1"/>
      <w:marLeft w:val="0"/>
      <w:marRight w:val="0"/>
      <w:marTop w:val="0"/>
      <w:marBottom w:val="0"/>
      <w:divBdr>
        <w:top w:val="none" w:sz="0" w:space="0" w:color="auto"/>
        <w:left w:val="none" w:sz="0" w:space="0" w:color="auto"/>
        <w:bottom w:val="none" w:sz="0" w:space="0" w:color="auto"/>
        <w:right w:val="none" w:sz="0" w:space="0" w:color="auto"/>
      </w:divBdr>
    </w:div>
    <w:div w:id="799223701">
      <w:bodyDiv w:val="1"/>
      <w:marLeft w:val="0"/>
      <w:marRight w:val="0"/>
      <w:marTop w:val="0"/>
      <w:marBottom w:val="0"/>
      <w:divBdr>
        <w:top w:val="none" w:sz="0" w:space="0" w:color="auto"/>
        <w:left w:val="none" w:sz="0" w:space="0" w:color="auto"/>
        <w:bottom w:val="none" w:sz="0" w:space="0" w:color="auto"/>
        <w:right w:val="none" w:sz="0" w:space="0" w:color="auto"/>
      </w:divBdr>
    </w:div>
    <w:div w:id="799499019">
      <w:bodyDiv w:val="1"/>
      <w:marLeft w:val="0"/>
      <w:marRight w:val="0"/>
      <w:marTop w:val="0"/>
      <w:marBottom w:val="0"/>
      <w:divBdr>
        <w:top w:val="none" w:sz="0" w:space="0" w:color="auto"/>
        <w:left w:val="none" w:sz="0" w:space="0" w:color="auto"/>
        <w:bottom w:val="none" w:sz="0" w:space="0" w:color="auto"/>
        <w:right w:val="none" w:sz="0" w:space="0" w:color="auto"/>
      </w:divBdr>
    </w:div>
    <w:div w:id="800000874">
      <w:bodyDiv w:val="1"/>
      <w:marLeft w:val="0"/>
      <w:marRight w:val="0"/>
      <w:marTop w:val="0"/>
      <w:marBottom w:val="0"/>
      <w:divBdr>
        <w:top w:val="none" w:sz="0" w:space="0" w:color="auto"/>
        <w:left w:val="none" w:sz="0" w:space="0" w:color="auto"/>
        <w:bottom w:val="none" w:sz="0" w:space="0" w:color="auto"/>
        <w:right w:val="none" w:sz="0" w:space="0" w:color="auto"/>
      </w:divBdr>
    </w:div>
    <w:div w:id="803160130">
      <w:bodyDiv w:val="1"/>
      <w:marLeft w:val="0"/>
      <w:marRight w:val="0"/>
      <w:marTop w:val="0"/>
      <w:marBottom w:val="0"/>
      <w:divBdr>
        <w:top w:val="none" w:sz="0" w:space="0" w:color="auto"/>
        <w:left w:val="none" w:sz="0" w:space="0" w:color="auto"/>
        <w:bottom w:val="none" w:sz="0" w:space="0" w:color="auto"/>
        <w:right w:val="none" w:sz="0" w:space="0" w:color="auto"/>
      </w:divBdr>
    </w:div>
    <w:div w:id="804545745">
      <w:bodyDiv w:val="1"/>
      <w:marLeft w:val="0"/>
      <w:marRight w:val="0"/>
      <w:marTop w:val="0"/>
      <w:marBottom w:val="0"/>
      <w:divBdr>
        <w:top w:val="none" w:sz="0" w:space="0" w:color="auto"/>
        <w:left w:val="none" w:sz="0" w:space="0" w:color="auto"/>
        <w:bottom w:val="none" w:sz="0" w:space="0" w:color="auto"/>
        <w:right w:val="none" w:sz="0" w:space="0" w:color="auto"/>
      </w:divBdr>
    </w:div>
    <w:div w:id="804932629">
      <w:bodyDiv w:val="1"/>
      <w:marLeft w:val="0"/>
      <w:marRight w:val="0"/>
      <w:marTop w:val="0"/>
      <w:marBottom w:val="0"/>
      <w:divBdr>
        <w:top w:val="none" w:sz="0" w:space="0" w:color="auto"/>
        <w:left w:val="none" w:sz="0" w:space="0" w:color="auto"/>
        <w:bottom w:val="none" w:sz="0" w:space="0" w:color="auto"/>
        <w:right w:val="none" w:sz="0" w:space="0" w:color="auto"/>
      </w:divBdr>
    </w:div>
    <w:div w:id="805778314">
      <w:bodyDiv w:val="1"/>
      <w:marLeft w:val="0"/>
      <w:marRight w:val="0"/>
      <w:marTop w:val="0"/>
      <w:marBottom w:val="0"/>
      <w:divBdr>
        <w:top w:val="none" w:sz="0" w:space="0" w:color="auto"/>
        <w:left w:val="none" w:sz="0" w:space="0" w:color="auto"/>
        <w:bottom w:val="none" w:sz="0" w:space="0" w:color="auto"/>
        <w:right w:val="none" w:sz="0" w:space="0" w:color="auto"/>
      </w:divBdr>
    </w:div>
    <w:div w:id="805899578">
      <w:bodyDiv w:val="1"/>
      <w:marLeft w:val="0"/>
      <w:marRight w:val="0"/>
      <w:marTop w:val="0"/>
      <w:marBottom w:val="0"/>
      <w:divBdr>
        <w:top w:val="none" w:sz="0" w:space="0" w:color="auto"/>
        <w:left w:val="none" w:sz="0" w:space="0" w:color="auto"/>
        <w:bottom w:val="none" w:sz="0" w:space="0" w:color="auto"/>
        <w:right w:val="none" w:sz="0" w:space="0" w:color="auto"/>
      </w:divBdr>
    </w:div>
    <w:div w:id="807404854">
      <w:bodyDiv w:val="1"/>
      <w:marLeft w:val="0"/>
      <w:marRight w:val="0"/>
      <w:marTop w:val="0"/>
      <w:marBottom w:val="0"/>
      <w:divBdr>
        <w:top w:val="none" w:sz="0" w:space="0" w:color="auto"/>
        <w:left w:val="none" w:sz="0" w:space="0" w:color="auto"/>
        <w:bottom w:val="none" w:sz="0" w:space="0" w:color="auto"/>
        <w:right w:val="none" w:sz="0" w:space="0" w:color="auto"/>
      </w:divBdr>
    </w:div>
    <w:div w:id="807626926">
      <w:bodyDiv w:val="1"/>
      <w:marLeft w:val="0"/>
      <w:marRight w:val="0"/>
      <w:marTop w:val="0"/>
      <w:marBottom w:val="0"/>
      <w:divBdr>
        <w:top w:val="none" w:sz="0" w:space="0" w:color="auto"/>
        <w:left w:val="none" w:sz="0" w:space="0" w:color="auto"/>
        <w:bottom w:val="none" w:sz="0" w:space="0" w:color="auto"/>
        <w:right w:val="none" w:sz="0" w:space="0" w:color="auto"/>
      </w:divBdr>
    </w:div>
    <w:div w:id="809400019">
      <w:bodyDiv w:val="1"/>
      <w:marLeft w:val="0"/>
      <w:marRight w:val="0"/>
      <w:marTop w:val="0"/>
      <w:marBottom w:val="0"/>
      <w:divBdr>
        <w:top w:val="none" w:sz="0" w:space="0" w:color="auto"/>
        <w:left w:val="none" w:sz="0" w:space="0" w:color="auto"/>
        <w:bottom w:val="none" w:sz="0" w:space="0" w:color="auto"/>
        <w:right w:val="none" w:sz="0" w:space="0" w:color="auto"/>
      </w:divBdr>
    </w:div>
    <w:div w:id="809442486">
      <w:bodyDiv w:val="1"/>
      <w:marLeft w:val="0"/>
      <w:marRight w:val="0"/>
      <w:marTop w:val="0"/>
      <w:marBottom w:val="0"/>
      <w:divBdr>
        <w:top w:val="none" w:sz="0" w:space="0" w:color="auto"/>
        <w:left w:val="none" w:sz="0" w:space="0" w:color="auto"/>
        <w:bottom w:val="none" w:sz="0" w:space="0" w:color="auto"/>
        <w:right w:val="none" w:sz="0" w:space="0" w:color="auto"/>
      </w:divBdr>
    </w:div>
    <w:div w:id="812723047">
      <w:bodyDiv w:val="1"/>
      <w:marLeft w:val="0"/>
      <w:marRight w:val="0"/>
      <w:marTop w:val="0"/>
      <w:marBottom w:val="0"/>
      <w:divBdr>
        <w:top w:val="none" w:sz="0" w:space="0" w:color="auto"/>
        <w:left w:val="none" w:sz="0" w:space="0" w:color="auto"/>
        <w:bottom w:val="none" w:sz="0" w:space="0" w:color="auto"/>
        <w:right w:val="none" w:sz="0" w:space="0" w:color="auto"/>
      </w:divBdr>
    </w:div>
    <w:div w:id="813764035">
      <w:bodyDiv w:val="1"/>
      <w:marLeft w:val="0"/>
      <w:marRight w:val="0"/>
      <w:marTop w:val="0"/>
      <w:marBottom w:val="0"/>
      <w:divBdr>
        <w:top w:val="none" w:sz="0" w:space="0" w:color="auto"/>
        <w:left w:val="none" w:sz="0" w:space="0" w:color="auto"/>
        <w:bottom w:val="none" w:sz="0" w:space="0" w:color="auto"/>
        <w:right w:val="none" w:sz="0" w:space="0" w:color="auto"/>
      </w:divBdr>
    </w:div>
    <w:div w:id="816996055">
      <w:bodyDiv w:val="1"/>
      <w:marLeft w:val="0"/>
      <w:marRight w:val="0"/>
      <w:marTop w:val="0"/>
      <w:marBottom w:val="0"/>
      <w:divBdr>
        <w:top w:val="none" w:sz="0" w:space="0" w:color="auto"/>
        <w:left w:val="none" w:sz="0" w:space="0" w:color="auto"/>
        <w:bottom w:val="none" w:sz="0" w:space="0" w:color="auto"/>
        <w:right w:val="none" w:sz="0" w:space="0" w:color="auto"/>
      </w:divBdr>
    </w:div>
    <w:div w:id="818695597">
      <w:bodyDiv w:val="1"/>
      <w:marLeft w:val="0"/>
      <w:marRight w:val="0"/>
      <w:marTop w:val="0"/>
      <w:marBottom w:val="0"/>
      <w:divBdr>
        <w:top w:val="none" w:sz="0" w:space="0" w:color="auto"/>
        <w:left w:val="none" w:sz="0" w:space="0" w:color="auto"/>
        <w:bottom w:val="none" w:sz="0" w:space="0" w:color="auto"/>
        <w:right w:val="none" w:sz="0" w:space="0" w:color="auto"/>
      </w:divBdr>
    </w:div>
    <w:div w:id="818955788">
      <w:bodyDiv w:val="1"/>
      <w:marLeft w:val="0"/>
      <w:marRight w:val="0"/>
      <w:marTop w:val="0"/>
      <w:marBottom w:val="0"/>
      <w:divBdr>
        <w:top w:val="none" w:sz="0" w:space="0" w:color="auto"/>
        <w:left w:val="none" w:sz="0" w:space="0" w:color="auto"/>
        <w:bottom w:val="none" w:sz="0" w:space="0" w:color="auto"/>
        <w:right w:val="none" w:sz="0" w:space="0" w:color="auto"/>
      </w:divBdr>
    </w:div>
    <w:div w:id="820275856">
      <w:bodyDiv w:val="1"/>
      <w:marLeft w:val="0"/>
      <w:marRight w:val="0"/>
      <w:marTop w:val="0"/>
      <w:marBottom w:val="0"/>
      <w:divBdr>
        <w:top w:val="none" w:sz="0" w:space="0" w:color="auto"/>
        <w:left w:val="none" w:sz="0" w:space="0" w:color="auto"/>
        <w:bottom w:val="none" w:sz="0" w:space="0" w:color="auto"/>
        <w:right w:val="none" w:sz="0" w:space="0" w:color="auto"/>
      </w:divBdr>
    </w:div>
    <w:div w:id="823742723">
      <w:bodyDiv w:val="1"/>
      <w:marLeft w:val="0"/>
      <w:marRight w:val="0"/>
      <w:marTop w:val="0"/>
      <w:marBottom w:val="0"/>
      <w:divBdr>
        <w:top w:val="none" w:sz="0" w:space="0" w:color="auto"/>
        <w:left w:val="none" w:sz="0" w:space="0" w:color="auto"/>
        <w:bottom w:val="none" w:sz="0" w:space="0" w:color="auto"/>
        <w:right w:val="none" w:sz="0" w:space="0" w:color="auto"/>
      </w:divBdr>
    </w:div>
    <w:div w:id="824512802">
      <w:bodyDiv w:val="1"/>
      <w:marLeft w:val="0"/>
      <w:marRight w:val="0"/>
      <w:marTop w:val="0"/>
      <w:marBottom w:val="0"/>
      <w:divBdr>
        <w:top w:val="none" w:sz="0" w:space="0" w:color="auto"/>
        <w:left w:val="none" w:sz="0" w:space="0" w:color="auto"/>
        <w:bottom w:val="none" w:sz="0" w:space="0" w:color="auto"/>
        <w:right w:val="none" w:sz="0" w:space="0" w:color="auto"/>
      </w:divBdr>
    </w:div>
    <w:div w:id="824931304">
      <w:bodyDiv w:val="1"/>
      <w:marLeft w:val="0"/>
      <w:marRight w:val="0"/>
      <w:marTop w:val="0"/>
      <w:marBottom w:val="0"/>
      <w:divBdr>
        <w:top w:val="none" w:sz="0" w:space="0" w:color="auto"/>
        <w:left w:val="none" w:sz="0" w:space="0" w:color="auto"/>
        <w:bottom w:val="none" w:sz="0" w:space="0" w:color="auto"/>
        <w:right w:val="none" w:sz="0" w:space="0" w:color="auto"/>
      </w:divBdr>
    </w:div>
    <w:div w:id="825048926">
      <w:bodyDiv w:val="1"/>
      <w:marLeft w:val="0"/>
      <w:marRight w:val="0"/>
      <w:marTop w:val="0"/>
      <w:marBottom w:val="0"/>
      <w:divBdr>
        <w:top w:val="none" w:sz="0" w:space="0" w:color="auto"/>
        <w:left w:val="none" w:sz="0" w:space="0" w:color="auto"/>
        <w:bottom w:val="none" w:sz="0" w:space="0" w:color="auto"/>
        <w:right w:val="none" w:sz="0" w:space="0" w:color="auto"/>
      </w:divBdr>
    </w:div>
    <w:div w:id="827020702">
      <w:bodyDiv w:val="1"/>
      <w:marLeft w:val="0"/>
      <w:marRight w:val="0"/>
      <w:marTop w:val="0"/>
      <w:marBottom w:val="0"/>
      <w:divBdr>
        <w:top w:val="none" w:sz="0" w:space="0" w:color="auto"/>
        <w:left w:val="none" w:sz="0" w:space="0" w:color="auto"/>
        <w:bottom w:val="none" w:sz="0" w:space="0" w:color="auto"/>
        <w:right w:val="none" w:sz="0" w:space="0" w:color="auto"/>
      </w:divBdr>
    </w:div>
    <w:div w:id="830439397">
      <w:bodyDiv w:val="1"/>
      <w:marLeft w:val="0"/>
      <w:marRight w:val="0"/>
      <w:marTop w:val="0"/>
      <w:marBottom w:val="0"/>
      <w:divBdr>
        <w:top w:val="none" w:sz="0" w:space="0" w:color="auto"/>
        <w:left w:val="none" w:sz="0" w:space="0" w:color="auto"/>
        <w:bottom w:val="none" w:sz="0" w:space="0" w:color="auto"/>
        <w:right w:val="none" w:sz="0" w:space="0" w:color="auto"/>
      </w:divBdr>
    </w:div>
    <w:div w:id="830869546">
      <w:bodyDiv w:val="1"/>
      <w:marLeft w:val="0"/>
      <w:marRight w:val="0"/>
      <w:marTop w:val="0"/>
      <w:marBottom w:val="0"/>
      <w:divBdr>
        <w:top w:val="none" w:sz="0" w:space="0" w:color="auto"/>
        <w:left w:val="none" w:sz="0" w:space="0" w:color="auto"/>
        <w:bottom w:val="none" w:sz="0" w:space="0" w:color="auto"/>
        <w:right w:val="none" w:sz="0" w:space="0" w:color="auto"/>
      </w:divBdr>
    </w:div>
    <w:div w:id="832331375">
      <w:bodyDiv w:val="1"/>
      <w:marLeft w:val="0"/>
      <w:marRight w:val="0"/>
      <w:marTop w:val="0"/>
      <w:marBottom w:val="0"/>
      <w:divBdr>
        <w:top w:val="none" w:sz="0" w:space="0" w:color="auto"/>
        <w:left w:val="none" w:sz="0" w:space="0" w:color="auto"/>
        <w:bottom w:val="none" w:sz="0" w:space="0" w:color="auto"/>
        <w:right w:val="none" w:sz="0" w:space="0" w:color="auto"/>
      </w:divBdr>
    </w:div>
    <w:div w:id="834342019">
      <w:bodyDiv w:val="1"/>
      <w:marLeft w:val="0"/>
      <w:marRight w:val="0"/>
      <w:marTop w:val="0"/>
      <w:marBottom w:val="0"/>
      <w:divBdr>
        <w:top w:val="none" w:sz="0" w:space="0" w:color="auto"/>
        <w:left w:val="none" w:sz="0" w:space="0" w:color="auto"/>
        <w:bottom w:val="none" w:sz="0" w:space="0" w:color="auto"/>
        <w:right w:val="none" w:sz="0" w:space="0" w:color="auto"/>
      </w:divBdr>
    </w:div>
    <w:div w:id="834758857">
      <w:bodyDiv w:val="1"/>
      <w:marLeft w:val="0"/>
      <w:marRight w:val="0"/>
      <w:marTop w:val="0"/>
      <w:marBottom w:val="0"/>
      <w:divBdr>
        <w:top w:val="none" w:sz="0" w:space="0" w:color="auto"/>
        <w:left w:val="none" w:sz="0" w:space="0" w:color="auto"/>
        <w:bottom w:val="none" w:sz="0" w:space="0" w:color="auto"/>
        <w:right w:val="none" w:sz="0" w:space="0" w:color="auto"/>
      </w:divBdr>
    </w:div>
    <w:div w:id="835993369">
      <w:bodyDiv w:val="1"/>
      <w:marLeft w:val="0"/>
      <w:marRight w:val="0"/>
      <w:marTop w:val="0"/>
      <w:marBottom w:val="0"/>
      <w:divBdr>
        <w:top w:val="none" w:sz="0" w:space="0" w:color="auto"/>
        <w:left w:val="none" w:sz="0" w:space="0" w:color="auto"/>
        <w:bottom w:val="none" w:sz="0" w:space="0" w:color="auto"/>
        <w:right w:val="none" w:sz="0" w:space="0" w:color="auto"/>
      </w:divBdr>
    </w:div>
    <w:div w:id="838500351">
      <w:bodyDiv w:val="1"/>
      <w:marLeft w:val="0"/>
      <w:marRight w:val="0"/>
      <w:marTop w:val="0"/>
      <w:marBottom w:val="0"/>
      <w:divBdr>
        <w:top w:val="none" w:sz="0" w:space="0" w:color="auto"/>
        <w:left w:val="none" w:sz="0" w:space="0" w:color="auto"/>
        <w:bottom w:val="none" w:sz="0" w:space="0" w:color="auto"/>
        <w:right w:val="none" w:sz="0" w:space="0" w:color="auto"/>
      </w:divBdr>
    </w:div>
    <w:div w:id="838617269">
      <w:bodyDiv w:val="1"/>
      <w:marLeft w:val="0"/>
      <w:marRight w:val="0"/>
      <w:marTop w:val="0"/>
      <w:marBottom w:val="0"/>
      <w:divBdr>
        <w:top w:val="none" w:sz="0" w:space="0" w:color="auto"/>
        <w:left w:val="none" w:sz="0" w:space="0" w:color="auto"/>
        <w:bottom w:val="none" w:sz="0" w:space="0" w:color="auto"/>
        <w:right w:val="none" w:sz="0" w:space="0" w:color="auto"/>
      </w:divBdr>
    </w:div>
    <w:div w:id="838734155">
      <w:bodyDiv w:val="1"/>
      <w:marLeft w:val="0"/>
      <w:marRight w:val="0"/>
      <w:marTop w:val="0"/>
      <w:marBottom w:val="0"/>
      <w:divBdr>
        <w:top w:val="none" w:sz="0" w:space="0" w:color="auto"/>
        <w:left w:val="none" w:sz="0" w:space="0" w:color="auto"/>
        <w:bottom w:val="none" w:sz="0" w:space="0" w:color="auto"/>
        <w:right w:val="none" w:sz="0" w:space="0" w:color="auto"/>
      </w:divBdr>
    </w:div>
    <w:div w:id="840051516">
      <w:bodyDiv w:val="1"/>
      <w:marLeft w:val="0"/>
      <w:marRight w:val="0"/>
      <w:marTop w:val="0"/>
      <w:marBottom w:val="0"/>
      <w:divBdr>
        <w:top w:val="none" w:sz="0" w:space="0" w:color="auto"/>
        <w:left w:val="none" w:sz="0" w:space="0" w:color="auto"/>
        <w:bottom w:val="none" w:sz="0" w:space="0" w:color="auto"/>
        <w:right w:val="none" w:sz="0" w:space="0" w:color="auto"/>
      </w:divBdr>
    </w:div>
    <w:div w:id="842478919">
      <w:bodyDiv w:val="1"/>
      <w:marLeft w:val="0"/>
      <w:marRight w:val="0"/>
      <w:marTop w:val="0"/>
      <w:marBottom w:val="0"/>
      <w:divBdr>
        <w:top w:val="none" w:sz="0" w:space="0" w:color="auto"/>
        <w:left w:val="none" w:sz="0" w:space="0" w:color="auto"/>
        <w:bottom w:val="none" w:sz="0" w:space="0" w:color="auto"/>
        <w:right w:val="none" w:sz="0" w:space="0" w:color="auto"/>
      </w:divBdr>
    </w:div>
    <w:div w:id="842664826">
      <w:bodyDiv w:val="1"/>
      <w:marLeft w:val="0"/>
      <w:marRight w:val="0"/>
      <w:marTop w:val="0"/>
      <w:marBottom w:val="0"/>
      <w:divBdr>
        <w:top w:val="none" w:sz="0" w:space="0" w:color="auto"/>
        <w:left w:val="none" w:sz="0" w:space="0" w:color="auto"/>
        <w:bottom w:val="none" w:sz="0" w:space="0" w:color="auto"/>
        <w:right w:val="none" w:sz="0" w:space="0" w:color="auto"/>
      </w:divBdr>
    </w:div>
    <w:div w:id="842743723">
      <w:bodyDiv w:val="1"/>
      <w:marLeft w:val="0"/>
      <w:marRight w:val="0"/>
      <w:marTop w:val="0"/>
      <w:marBottom w:val="0"/>
      <w:divBdr>
        <w:top w:val="none" w:sz="0" w:space="0" w:color="auto"/>
        <w:left w:val="none" w:sz="0" w:space="0" w:color="auto"/>
        <w:bottom w:val="none" w:sz="0" w:space="0" w:color="auto"/>
        <w:right w:val="none" w:sz="0" w:space="0" w:color="auto"/>
      </w:divBdr>
    </w:div>
    <w:div w:id="842748141">
      <w:bodyDiv w:val="1"/>
      <w:marLeft w:val="0"/>
      <w:marRight w:val="0"/>
      <w:marTop w:val="0"/>
      <w:marBottom w:val="0"/>
      <w:divBdr>
        <w:top w:val="none" w:sz="0" w:space="0" w:color="auto"/>
        <w:left w:val="none" w:sz="0" w:space="0" w:color="auto"/>
        <w:bottom w:val="none" w:sz="0" w:space="0" w:color="auto"/>
        <w:right w:val="none" w:sz="0" w:space="0" w:color="auto"/>
      </w:divBdr>
    </w:div>
    <w:div w:id="843741019">
      <w:bodyDiv w:val="1"/>
      <w:marLeft w:val="0"/>
      <w:marRight w:val="0"/>
      <w:marTop w:val="0"/>
      <w:marBottom w:val="0"/>
      <w:divBdr>
        <w:top w:val="none" w:sz="0" w:space="0" w:color="auto"/>
        <w:left w:val="none" w:sz="0" w:space="0" w:color="auto"/>
        <w:bottom w:val="none" w:sz="0" w:space="0" w:color="auto"/>
        <w:right w:val="none" w:sz="0" w:space="0" w:color="auto"/>
      </w:divBdr>
    </w:div>
    <w:div w:id="844825761">
      <w:bodyDiv w:val="1"/>
      <w:marLeft w:val="0"/>
      <w:marRight w:val="0"/>
      <w:marTop w:val="0"/>
      <w:marBottom w:val="0"/>
      <w:divBdr>
        <w:top w:val="none" w:sz="0" w:space="0" w:color="auto"/>
        <w:left w:val="none" w:sz="0" w:space="0" w:color="auto"/>
        <w:bottom w:val="none" w:sz="0" w:space="0" w:color="auto"/>
        <w:right w:val="none" w:sz="0" w:space="0" w:color="auto"/>
      </w:divBdr>
    </w:div>
    <w:div w:id="845166677">
      <w:bodyDiv w:val="1"/>
      <w:marLeft w:val="0"/>
      <w:marRight w:val="0"/>
      <w:marTop w:val="0"/>
      <w:marBottom w:val="0"/>
      <w:divBdr>
        <w:top w:val="none" w:sz="0" w:space="0" w:color="auto"/>
        <w:left w:val="none" w:sz="0" w:space="0" w:color="auto"/>
        <w:bottom w:val="none" w:sz="0" w:space="0" w:color="auto"/>
        <w:right w:val="none" w:sz="0" w:space="0" w:color="auto"/>
      </w:divBdr>
    </w:div>
    <w:div w:id="845243123">
      <w:bodyDiv w:val="1"/>
      <w:marLeft w:val="0"/>
      <w:marRight w:val="0"/>
      <w:marTop w:val="0"/>
      <w:marBottom w:val="0"/>
      <w:divBdr>
        <w:top w:val="none" w:sz="0" w:space="0" w:color="auto"/>
        <w:left w:val="none" w:sz="0" w:space="0" w:color="auto"/>
        <w:bottom w:val="none" w:sz="0" w:space="0" w:color="auto"/>
        <w:right w:val="none" w:sz="0" w:space="0" w:color="auto"/>
      </w:divBdr>
    </w:div>
    <w:div w:id="846987315">
      <w:bodyDiv w:val="1"/>
      <w:marLeft w:val="0"/>
      <w:marRight w:val="0"/>
      <w:marTop w:val="0"/>
      <w:marBottom w:val="0"/>
      <w:divBdr>
        <w:top w:val="none" w:sz="0" w:space="0" w:color="auto"/>
        <w:left w:val="none" w:sz="0" w:space="0" w:color="auto"/>
        <w:bottom w:val="none" w:sz="0" w:space="0" w:color="auto"/>
        <w:right w:val="none" w:sz="0" w:space="0" w:color="auto"/>
      </w:divBdr>
    </w:div>
    <w:div w:id="849098131">
      <w:bodyDiv w:val="1"/>
      <w:marLeft w:val="0"/>
      <w:marRight w:val="0"/>
      <w:marTop w:val="0"/>
      <w:marBottom w:val="0"/>
      <w:divBdr>
        <w:top w:val="none" w:sz="0" w:space="0" w:color="auto"/>
        <w:left w:val="none" w:sz="0" w:space="0" w:color="auto"/>
        <w:bottom w:val="none" w:sz="0" w:space="0" w:color="auto"/>
        <w:right w:val="none" w:sz="0" w:space="0" w:color="auto"/>
      </w:divBdr>
    </w:div>
    <w:div w:id="849685328">
      <w:bodyDiv w:val="1"/>
      <w:marLeft w:val="0"/>
      <w:marRight w:val="0"/>
      <w:marTop w:val="0"/>
      <w:marBottom w:val="0"/>
      <w:divBdr>
        <w:top w:val="none" w:sz="0" w:space="0" w:color="auto"/>
        <w:left w:val="none" w:sz="0" w:space="0" w:color="auto"/>
        <w:bottom w:val="none" w:sz="0" w:space="0" w:color="auto"/>
        <w:right w:val="none" w:sz="0" w:space="0" w:color="auto"/>
      </w:divBdr>
    </w:div>
    <w:div w:id="852381272">
      <w:bodyDiv w:val="1"/>
      <w:marLeft w:val="0"/>
      <w:marRight w:val="0"/>
      <w:marTop w:val="0"/>
      <w:marBottom w:val="0"/>
      <w:divBdr>
        <w:top w:val="none" w:sz="0" w:space="0" w:color="auto"/>
        <w:left w:val="none" w:sz="0" w:space="0" w:color="auto"/>
        <w:bottom w:val="none" w:sz="0" w:space="0" w:color="auto"/>
        <w:right w:val="none" w:sz="0" w:space="0" w:color="auto"/>
      </w:divBdr>
    </w:div>
    <w:div w:id="853180309">
      <w:bodyDiv w:val="1"/>
      <w:marLeft w:val="0"/>
      <w:marRight w:val="0"/>
      <w:marTop w:val="0"/>
      <w:marBottom w:val="0"/>
      <w:divBdr>
        <w:top w:val="none" w:sz="0" w:space="0" w:color="auto"/>
        <w:left w:val="none" w:sz="0" w:space="0" w:color="auto"/>
        <w:bottom w:val="none" w:sz="0" w:space="0" w:color="auto"/>
        <w:right w:val="none" w:sz="0" w:space="0" w:color="auto"/>
      </w:divBdr>
    </w:div>
    <w:div w:id="853498358">
      <w:bodyDiv w:val="1"/>
      <w:marLeft w:val="0"/>
      <w:marRight w:val="0"/>
      <w:marTop w:val="0"/>
      <w:marBottom w:val="0"/>
      <w:divBdr>
        <w:top w:val="none" w:sz="0" w:space="0" w:color="auto"/>
        <w:left w:val="none" w:sz="0" w:space="0" w:color="auto"/>
        <w:bottom w:val="none" w:sz="0" w:space="0" w:color="auto"/>
        <w:right w:val="none" w:sz="0" w:space="0" w:color="auto"/>
      </w:divBdr>
    </w:div>
    <w:div w:id="855461125">
      <w:bodyDiv w:val="1"/>
      <w:marLeft w:val="0"/>
      <w:marRight w:val="0"/>
      <w:marTop w:val="0"/>
      <w:marBottom w:val="0"/>
      <w:divBdr>
        <w:top w:val="none" w:sz="0" w:space="0" w:color="auto"/>
        <w:left w:val="none" w:sz="0" w:space="0" w:color="auto"/>
        <w:bottom w:val="none" w:sz="0" w:space="0" w:color="auto"/>
        <w:right w:val="none" w:sz="0" w:space="0" w:color="auto"/>
      </w:divBdr>
    </w:div>
    <w:div w:id="856238219">
      <w:bodyDiv w:val="1"/>
      <w:marLeft w:val="0"/>
      <w:marRight w:val="0"/>
      <w:marTop w:val="0"/>
      <w:marBottom w:val="0"/>
      <w:divBdr>
        <w:top w:val="none" w:sz="0" w:space="0" w:color="auto"/>
        <w:left w:val="none" w:sz="0" w:space="0" w:color="auto"/>
        <w:bottom w:val="none" w:sz="0" w:space="0" w:color="auto"/>
        <w:right w:val="none" w:sz="0" w:space="0" w:color="auto"/>
      </w:divBdr>
    </w:div>
    <w:div w:id="857894603">
      <w:bodyDiv w:val="1"/>
      <w:marLeft w:val="0"/>
      <w:marRight w:val="0"/>
      <w:marTop w:val="0"/>
      <w:marBottom w:val="0"/>
      <w:divBdr>
        <w:top w:val="none" w:sz="0" w:space="0" w:color="auto"/>
        <w:left w:val="none" w:sz="0" w:space="0" w:color="auto"/>
        <w:bottom w:val="none" w:sz="0" w:space="0" w:color="auto"/>
        <w:right w:val="none" w:sz="0" w:space="0" w:color="auto"/>
      </w:divBdr>
    </w:div>
    <w:div w:id="859009079">
      <w:bodyDiv w:val="1"/>
      <w:marLeft w:val="0"/>
      <w:marRight w:val="0"/>
      <w:marTop w:val="0"/>
      <w:marBottom w:val="0"/>
      <w:divBdr>
        <w:top w:val="none" w:sz="0" w:space="0" w:color="auto"/>
        <w:left w:val="none" w:sz="0" w:space="0" w:color="auto"/>
        <w:bottom w:val="none" w:sz="0" w:space="0" w:color="auto"/>
        <w:right w:val="none" w:sz="0" w:space="0" w:color="auto"/>
      </w:divBdr>
    </w:div>
    <w:div w:id="860899186">
      <w:bodyDiv w:val="1"/>
      <w:marLeft w:val="0"/>
      <w:marRight w:val="0"/>
      <w:marTop w:val="0"/>
      <w:marBottom w:val="0"/>
      <w:divBdr>
        <w:top w:val="none" w:sz="0" w:space="0" w:color="auto"/>
        <w:left w:val="none" w:sz="0" w:space="0" w:color="auto"/>
        <w:bottom w:val="none" w:sz="0" w:space="0" w:color="auto"/>
        <w:right w:val="none" w:sz="0" w:space="0" w:color="auto"/>
      </w:divBdr>
    </w:div>
    <w:div w:id="864441911">
      <w:bodyDiv w:val="1"/>
      <w:marLeft w:val="0"/>
      <w:marRight w:val="0"/>
      <w:marTop w:val="0"/>
      <w:marBottom w:val="0"/>
      <w:divBdr>
        <w:top w:val="none" w:sz="0" w:space="0" w:color="auto"/>
        <w:left w:val="none" w:sz="0" w:space="0" w:color="auto"/>
        <w:bottom w:val="none" w:sz="0" w:space="0" w:color="auto"/>
        <w:right w:val="none" w:sz="0" w:space="0" w:color="auto"/>
      </w:divBdr>
    </w:div>
    <w:div w:id="866724385">
      <w:bodyDiv w:val="1"/>
      <w:marLeft w:val="0"/>
      <w:marRight w:val="0"/>
      <w:marTop w:val="0"/>
      <w:marBottom w:val="0"/>
      <w:divBdr>
        <w:top w:val="none" w:sz="0" w:space="0" w:color="auto"/>
        <w:left w:val="none" w:sz="0" w:space="0" w:color="auto"/>
        <w:bottom w:val="none" w:sz="0" w:space="0" w:color="auto"/>
        <w:right w:val="none" w:sz="0" w:space="0" w:color="auto"/>
      </w:divBdr>
    </w:div>
    <w:div w:id="867448762">
      <w:bodyDiv w:val="1"/>
      <w:marLeft w:val="0"/>
      <w:marRight w:val="0"/>
      <w:marTop w:val="0"/>
      <w:marBottom w:val="0"/>
      <w:divBdr>
        <w:top w:val="none" w:sz="0" w:space="0" w:color="auto"/>
        <w:left w:val="none" w:sz="0" w:space="0" w:color="auto"/>
        <w:bottom w:val="none" w:sz="0" w:space="0" w:color="auto"/>
        <w:right w:val="none" w:sz="0" w:space="0" w:color="auto"/>
      </w:divBdr>
    </w:div>
    <w:div w:id="867764861">
      <w:bodyDiv w:val="1"/>
      <w:marLeft w:val="0"/>
      <w:marRight w:val="0"/>
      <w:marTop w:val="0"/>
      <w:marBottom w:val="0"/>
      <w:divBdr>
        <w:top w:val="none" w:sz="0" w:space="0" w:color="auto"/>
        <w:left w:val="none" w:sz="0" w:space="0" w:color="auto"/>
        <w:bottom w:val="none" w:sz="0" w:space="0" w:color="auto"/>
        <w:right w:val="none" w:sz="0" w:space="0" w:color="auto"/>
      </w:divBdr>
    </w:div>
    <w:div w:id="868687545">
      <w:bodyDiv w:val="1"/>
      <w:marLeft w:val="0"/>
      <w:marRight w:val="0"/>
      <w:marTop w:val="0"/>
      <w:marBottom w:val="0"/>
      <w:divBdr>
        <w:top w:val="none" w:sz="0" w:space="0" w:color="auto"/>
        <w:left w:val="none" w:sz="0" w:space="0" w:color="auto"/>
        <w:bottom w:val="none" w:sz="0" w:space="0" w:color="auto"/>
        <w:right w:val="none" w:sz="0" w:space="0" w:color="auto"/>
      </w:divBdr>
    </w:div>
    <w:div w:id="868832472">
      <w:bodyDiv w:val="1"/>
      <w:marLeft w:val="0"/>
      <w:marRight w:val="0"/>
      <w:marTop w:val="0"/>
      <w:marBottom w:val="0"/>
      <w:divBdr>
        <w:top w:val="none" w:sz="0" w:space="0" w:color="auto"/>
        <w:left w:val="none" w:sz="0" w:space="0" w:color="auto"/>
        <w:bottom w:val="none" w:sz="0" w:space="0" w:color="auto"/>
        <w:right w:val="none" w:sz="0" w:space="0" w:color="auto"/>
      </w:divBdr>
    </w:div>
    <w:div w:id="869411720">
      <w:bodyDiv w:val="1"/>
      <w:marLeft w:val="0"/>
      <w:marRight w:val="0"/>
      <w:marTop w:val="0"/>
      <w:marBottom w:val="0"/>
      <w:divBdr>
        <w:top w:val="none" w:sz="0" w:space="0" w:color="auto"/>
        <w:left w:val="none" w:sz="0" w:space="0" w:color="auto"/>
        <w:bottom w:val="none" w:sz="0" w:space="0" w:color="auto"/>
        <w:right w:val="none" w:sz="0" w:space="0" w:color="auto"/>
      </w:divBdr>
    </w:div>
    <w:div w:id="870267257">
      <w:bodyDiv w:val="1"/>
      <w:marLeft w:val="0"/>
      <w:marRight w:val="0"/>
      <w:marTop w:val="0"/>
      <w:marBottom w:val="0"/>
      <w:divBdr>
        <w:top w:val="none" w:sz="0" w:space="0" w:color="auto"/>
        <w:left w:val="none" w:sz="0" w:space="0" w:color="auto"/>
        <w:bottom w:val="none" w:sz="0" w:space="0" w:color="auto"/>
        <w:right w:val="none" w:sz="0" w:space="0" w:color="auto"/>
      </w:divBdr>
    </w:div>
    <w:div w:id="870412513">
      <w:bodyDiv w:val="1"/>
      <w:marLeft w:val="0"/>
      <w:marRight w:val="0"/>
      <w:marTop w:val="0"/>
      <w:marBottom w:val="0"/>
      <w:divBdr>
        <w:top w:val="none" w:sz="0" w:space="0" w:color="auto"/>
        <w:left w:val="none" w:sz="0" w:space="0" w:color="auto"/>
        <w:bottom w:val="none" w:sz="0" w:space="0" w:color="auto"/>
        <w:right w:val="none" w:sz="0" w:space="0" w:color="auto"/>
      </w:divBdr>
    </w:div>
    <w:div w:id="870531230">
      <w:bodyDiv w:val="1"/>
      <w:marLeft w:val="0"/>
      <w:marRight w:val="0"/>
      <w:marTop w:val="0"/>
      <w:marBottom w:val="0"/>
      <w:divBdr>
        <w:top w:val="none" w:sz="0" w:space="0" w:color="auto"/>
        <w:left w:val="none" w:sz="0" w:space="0" w:color="auto"/>
        <w:bottom w:val="none" w:sz="0" w:space="0" w:color="auto"/>
        <w:right w:val="none" w:sz="0" w:space="0" w:color="auto"/>
      </w:divBdr>
    </w:div>
    <w:div w:id="870847336">
      <w:bodyDiv w:val="1"/>
      <w:marLeft w:val="0"/>
      <w:marRight w:val="0"/>
      <w:marTop w:val="0"/>
      <w:marBottom w:val="0"/>
      <w:divBdr>
        <w:top w:val="none" w:sz="0" w:space="0" w:color="auto"/>
        <w:left w:val="none" w:sz="0" w:space="0" w:color="auto"/>
        <w:bottom w:val="none" w:sz="0" w:space="0" w:color="auto"/>
        <w:right w:val="none" w:sz="0" w:space="0" w:color="auto"/>
      </w:divBdr>
    </w:div>
    <w:div w:id="871965658">
      <w:bodyDiv w:val="1"/>
      <w:marLeft w:val="0"/>
      <w:marRight w:val="0"/>
      <w:marTop w:val="0"/>
      <w:marBottom w:val="0"/>
      <w:divBdr>
        <w:top w:val="none" w:sz="0" w:space="0" w:color="auto"/>
        <w:left w:val="none" w:sz="0" w:space="0" w:color="auto"/>
        <w:bottom w:val="none" w:sz="0" w:space="0" w:color="auto"/>
        <w:right w:val="none" w:sz="0" w:space="0" w:color="auto"/>
      </w:divBdr>
    </w:div>
    <w:div w:id="872033981">
      <w:bodyDiv w:val="1"/>
      <w:marLeft w:val="0"/>
      <w:marRight w:val="0"/>
      <w:marTop w:val="0"/>
      <w:marBottom w:val="0"/>
      <w:divBdr>
        <w:top w:val="none" w:sz="0" w:space="0" w:color="auto"/>
        <w:left w:val="none" w:sz="0" w:space="0" w:color="auto"/>
        <w:bottom w:val="none" w:sz="0" w:space="0" w:color="auto"/>
        <w:right w:val="none" w:sz="0" w:space="0" w:color="auto"/>
      </w:divBdr>
    </w:div>
    <w:div w:id="872039794">
      <w:bodyDiv w:val="1"/>
      <w:marLeft w:val="0"/>
      <w:marRight w:val="0"/>
      <w:marTop w:val="0"/>
      <w:marBottom w:val="0"/>
      <w:divBdr>
        <w:top w:val="none" w:sz="0" w:space="0" w:color="auto"/>
        <w:left w:val="none" w:sz="0" w:space="0" w:color="auto"/>
        <w:bottom w:val="none" w:sz="0" w:space="0" w:color="auto"/>
        <w:right w:val="none" w:sz="0" w:space="0" w:color="auto"/>
      </w:divBdr>
    </w:div>
    <w:div w:id="872501777">
      <w:bodyDiv w:val="1"/>
      <w:marLeft w:val="0"/>
      <w:marRight w:val="0"/>
      <w:marTop w:val="0"/>
      <w:marBottom w:val="0"/>
      <w:divBdr>
        <w:top w:val="none" w:sz="0" w:space="0" w:color="auto"/>
        <w:left w:val="none" w:sz="0" w:space="0" w:color="auto"/>
        <w:bottom w:val="none" w:sz="0" w:space="0" w:color="auto"/>
        <w:right w:val="none" w:sz="0" w:space="0" w:color="auto"/>
      </w:divBdr>
    </w:div>
    <w:div w:id="873153994">
      <w:bodyDiv w:val="1"/>
      <w:marLeft w:val="0"/>
      <w:marRight w:val="0"/>
      <w:marTop w:val="0"/>
      <w:marBottom w:val="0"/>
      <w:divBdr>
        <w:top w:val="none" w:sz="0" w:space="0" w:color="auto"/>
        <w:left w:val="none" w:sz="0" w:space="0" w:color="auto"/>
        <w:bottom w:val="none" w:sz="0" w:space="0" w:color="auto"/>
        <w:right w:val="none" w:sz="0" w:space="0" w:color="auto"/>
      </w:divBdr>
    </w:div>
    <w:div w:id="874850033">
      <w:bodyDiv w:val="1"/>
      <w:marLeft w:val="0"/>
      <w:marRight w:val="0"/>
      <w:marTop w:val="0"/>
      <w:marBottom w:val="0"/>
      <w:divBdr>
        <w:top w:val="none" w:sz="0" w:space="0" w:color="auto"/>
        <w:left w:val="none" w:sz="0" w:space="0" w:color="auto"/>
        <w:bottom w:val="none" w:sz="0" w:space="0" w:color="auto"/>
        <w:right w:val="none" w:sz="0" w:space="0" w:color="auto"/>
      </w:divBdr>
    </w:div>
    <w:div w:id="875238184">
      <w:bodyDiv w:val="1"/>
      <w:marLeft w:val="0"/>
      <w:marRight w:val="0"/>
      <w:marTop w:val="0"/>
      <w:marBottom w:val="0"/>
      <w:divBdr>
        <w:top w:val="none" w:sz="0" w:space="0" w:color="auto"/>
        <w:left w:val="none" w:sz="0" w:space="0" w:color="auto"/>
        <w:bottom w:val="none" w:sz="0" w:space="0" w:color="auto"/>
        <w:right w:val="none" w:sz="0" w:space="0" w:color="auto"/>
      </w:divBdr>
    </w:div>
    <w:div w:id="875702335">
      <w:bodyDiv w:val="1"/>
      <w:marLeft w:val="0"/>
      <w:marRight w:val="0"/>
      <w:marTop w:val="0"/>
      <w:marBottom w:val="0"/>
      <w:divBdr>
        <w:top w:val="none" w:sz="0" w:space="0" w:color="auto"/>
        <w:left w:val="none" w:sz="0" w:space="0" w:color="auto"/>
        <w:bottom w:val="none" w:sz="0" w:space="0" w:color="auto"/>
        <w:right w:val="none" w:sz="0" w:space="0" w:color="auto"/>
      </w:divBdr>
    </w:div>
    <w:div w:id="878203510">
      <w:bodyDiv w:val="1"/>
      <w:marLeft w:val="0"/>
      <w:marRight w:val="0"/>
      <w:marTop w:val="0"/>
      <w:marBottom w:val="0"/>
      <w:divBdr>
        <w:top w:val="none" w:sz="0" w:space="0" w:color="auto"/>
        <w:left w:val="none" w:sz="0" w:space="0" w:color="auto"/>
        <w:bottom w:val="none" w:sz="0" w:space="0" w:color="auto"/>
        <w:right w:val="none" w:sz="0" w:space="0" w:color="auto"/>
      </w:divBdr>
    </w:div>
    <w:div w:id="878470651">
      <w:bodyDiv w:val="1"/>
      <w:marLeft w:val="0"/>
      <w:marRight w:val="0"/>
      <w:marTop w:val="0"/>
      <w:marBottom w:val="0"/>
      <w:divBdr>
        <w:top w:val="none" w:sz="0" w:space="0" w:color="auto"/>
        <w:left w:val="none" w:sz="0" w:space="0" w:color="auto"/>
        <w:bottom w:val="none" w:sz="0" w:space="0" w:color="auto"/>
        <w:right w:val="none" w:sz="0" w:space="0" w:color="auto"/>
      </w:divBdr>
    </w:div>
    <w:div w:id="878472941">
      <w:bodyDiv w:val="1"/>
      <w:marLeft w:val="0"/>
      <w:marRight w:val="0"/>
      <w:marTop w:val="0"/>
      <w:marBottom w:val="0"/>
      <w:divBdr>
        <w:top w:val="none" w:sz="0" w:space="0" w:color="auto"/>
        <w:left w:val="none" w:sz="0" w:space="0" w:color="auto"/>
        <w:bottom w:val="none" w:sz="0" w:space="0" w:color="auto"/>
        <w:right w:val="none" w:sz="0" w:space="0" w:color="auto"/>
      </w:divBdr>
    </w:div>
    <w:div w:id="881406449">
      <w:bodyDiv w:val="1"/>
      <w:marLeft w:val="0"/>
      <w:marRight w:val="0"/>
      <w:marTop w:val="0"/>
      <w:marBottom w:val="0"/>
      <w:divBdr>
        <w:top w:val="none" w:sz="0" w:space="0" w:color="auto"/>
        <w:left w:val="none" w:sz="0" w:space="0" w:color="auto"/>
        <w:bottom w:val="none" w:sz="0" w:space="0" w:color="auto"/>
        <w:right w:val="none" w:sz="0" w:space="0" w:color="auto"/>
      </w:divBdr>
    </w:div>
    <w:div w:id="882788862">
      <w:bodyDiv w:val="1"/>
      <w:marLeft w:val="0"/>
      <w:marRight w:val="0"/>
      <w:marTop w:val="0"/>
      <w:marBottom w:val="0"/>
      <w:divBdr>
        <w:top w:val="none" w:sz="0" w:space="0" w:color="auto"/>
        <w:left w:val="none" w:sz="0" w:space="0" w:color="auto"/>
        <w:bottom w:val="none" w:sz="0" w:space="0" w:color="auto"/>
        <w:right w:val="none" w:sz="0" w:space="0" w:color="auto"/>
      </w:divBdr>
    </w:div>
    <w:div w:id="883449163">
      <w:bodyDiv w:val="1"/>
      <w:marLeft w:val="0"/>
      <w:marRight w:val="0"/>
      <w:marTop w:val="0"/>
      <w:marBottom w:val="0"/>
      <w:divBdr>
        <w:top w:val="none" w:sz="0" w:space="0" w:color="auto"/>
        <w:left w:val="none" w:sz="0" w:space="0" w:color="auto"/>
        <w:bottom w:val="none" w:sz="0" w:space="0" w:color="auto"/>
        <w:right w:val="none" w:sz="0" w:space="0" w:color="auto"/>
      </w:divBdr>
    </w:div>
    <w:div w:id="884608898">
      <w:bodyDiv w:val="1"/>
      <w:marLeft w:val="0"/>
      <w:marRight w:val="0"/>
      <w:marTop w:val="0"/>
      <w:marBottom w:val="0"/>
      <w:divBdr>
        <w:top w:val="none" w:sz="0" w:space="0" w:color="auto"/>
        <w:left w:val="none" w:sz="0" w:space="0" w:color="auto"/>
        <w:bottom w:val="none" w:sz="0" w:space="0" w:color="auto"/>
        <w:right w:val="none" w:sz="0" w:space="0" w:color="auto"/>
      </w:divBdr>
    </w:div>
    <w:div w:id="884869776">
      <w:bodyDiv w:val="1"/>
      <w:marLeft w:val="0"/>
      <w:marRight w:val="0"/>
      <w:marTop w:val="0"/>
      <w:marBottom w:val="0"/>
      <w:divBdr>
        <w:top w:val="none" w:sz="0" w:space="0" w:color="auto"/>
        <w:left w:val="none" w:sz="0" w:space="0" w:color="auto"/>
        <w:bottom w:val="none" w:sz="0" w:space="0" w:color="auto"/>
        <w:right w:val="none" w:sz="0" w:space="0" w:color="auto"/>
      </w:divBdr>
    </w:div>
    <w:div w:id="885338093">
      <w:bodyDiv w:val="1"/>
      <w:marLeft w:val="0"/>
      <w:marRight w:val="0"/>
      <w:marTop w:val="0"/>
      <w:marBottom w:val="0"/>
      <w:divBdr>
        <w:top w:val="none" w:sz="0" w:space="0" w:color="auto"/>
        <w:left w:val="none" w:sz="0" w:space="0" w:color="auto"/>
        <w:bottom w:val="none" w:sz="0" w:space="0" w:color="auto"/>
        <w:right w:val="none" w:sz="0" w:space="0" w:color="auto"/>
      </w:divBdr>
    </w:div>
    <w:div w:id="886141467">
      <w:bodyDiv w:val="1"/>
      <w:marLeft w:val="0"/>
      <w:marRight w:val="0"/>
      <w:marTop w:val="0"/>
      <w:marBottom w:val="0"/>
      <w:divBdr>
        <w:top w:val="none" w:sz="0" w:space="0" w:color="auto"/>
        <w:left w:val="none" w:sz="0" w:space="0" w:color="auto"/>
        <w:bottom w:val="none" w:sz="0" w:space="0" w:color="auto"/>
        <w:right w:val="none" w:sz="0" w:space="0" w:color="auto"/>
      </w:divBdr>
    </w:div>
    <w:div w:id="886600127">
      <w:bodyDiv w:val="1"/>
      <w:marLeft w:val="0"/>
      <w:marRight w:val="0"/>
      <w:marTop w:val="0"/>
      <w:marBottom w:val="0"/>
      <w:divBdr>
        <w:top w:val="none" w:sz="0" w:space="0" w:color="auto"/>
        <w:left w:val="none" w:sz="0" w:space="0" w:color="auto"/>
        <w:bottom w:val="none" w:sz="0" w:space="0" w:color="auto"/>
        <w:right w:val="none" w:sz="0" w:space="0" w:color="auto"/>
      </w:divBdr>
    </w:div>
    <w:div w:id="888224583">
      <w:bodyDiv w:val="1"/>
      <w:marLeft w:val="0"/>
      <w:marRight w:val="0"/>
      <w:marTop w:val="0"/>
      <w:marBottom w:val="0"/>
      <w:divBdr>
        <w:top w:val="none" w:sz="0" w:space="0" w:color="auto"/>
        <w:left w:val="none" w:sz="0" w:space="0" w:color="auto"/>
        <w:bottom w:val="none" w:sz="0" w:space="0" w:color="auto"/>
        <w:right w:val="none" w:sz="0" w:space="0" w:color="auto"/>
      </w:divBdr>
    </w:div>
    <w:div w:id="890775882">
      <w:bodyDiv w:val="1"/>
      <w:marLeft w:val="0"/>
      <w:marRight w:val="0"/>
      <w:marTop w:val="0"/>
      <w:marBottom w:val="0"/>
      <w:divBdr>
        <w:top w:val="none" w:sz="0" w:space="0" w:color="auto"/>
        <w:left w:val="none" w:sz="0" w:space="0" w:color="auto"/>
        <w:bottom w:val="none" w:sz="0" w:space="0" w:color="auto"/>
        <w:right w:val="none" w:sz="0" w:space="0" w:color="auto"/>
      </w:divBdr>
    </w:div>
    <w:div w:id="891381989">
      <w:bodyDiv w:val="1"/>
      <w:marLeft w:val="0"/>
      <w:marRight w:val="0"/>
      <w:marTop w:val="0"/>
      <w:marBottom w:val="0"/>
      <w:divBdr>
        <w:top w:val="none" w:sz="0" w:space="0" w:color="auto"/>
        <w:left w:val="none" w:sz="0" w:space="0" w:color="auto"/>
        <w:bottom w:val="none" w:sz="0" w:space="0" w:color="auto"/>
        <w:right w:val="none" w:sz="0" w:space="0" w:color="auto"/>
      </w:divBdr>
    </w:div>
    <w:div w:id="893469195">
      <w:bodyDiv w:val="1"/>
      <w:marLeft w:val="0"/>
      <w:marRight w:val="0"/>
      <w:marTop w:val="0"/>
      <w:marBottom w:val="0"/>
      <w:divBdr>
        <w:top w:val="none" w:sz="0" w:space="0" w:color="auto"/>
        <w:left w:val="none" w:sz="0" w:space="0" w:color="auto"/>
        <w:bottom w:val="none" w:sz="0" w:space="0" w:color="auto"/>
        <w:right w:val="none" w:sz="0" w:space="0" w:color="auto"/>
      </w:divBdr>
    </w:div>
    <w:div w:id="894663474">
      <w:bodyDiv w:val="1"/>
      <w:marLeft w:val="0"/>
      <w:marRight w:val="0"/>
      <w:marTop w:val="0"/>
      <w:marBottom w:val="0"/>
      <w:divBdr>
        <w:top w:val="none" w:sz="0" w:space="0" w:color="auto"/>
        <w:left w:val="none" w:sz="0" w:space="0" w:color="auto"/>
        <w:bottom w:val="none" w:sz="0" w:space="0" w:color="auto"/>
        <w:right w:val="none" w:sz="0" w:space="0" w:color="auto"/>
      </w:divBdr>
    </w:div>
    <w:div w:id="894781246">
      <w:bodyDiv w:val="1"/>
      <w:marLeft w:val="0"/>
      <w:marRight w:val="0"/>
      <w:marTop w:val="0"/>
      <w:marBottom w:val="0"/>
      <w:divBdr>
        <w:top w:val="none" w:sz="0" w:space="0" w:color="auto"/>
        <w:left w:val="none" w:sz="0" w:space="0" w:color="auto"/>
        <w:bottom w:val="none" w:sz="0" w:space="0" w:color="auto"/>
        <w:right w:val="none" w:sz="0" w:space="0" w:color="auto"/>
      </w:divBdr>
    </w:div>
    <w:div w:id="896209950">
      <w:bodyDiv w:val="1"/>
      <w:marLeft w:val="0"/>
      <w:marRight w:val="0"/>
      <w:marTop w:val="0"/>
      <w:marBottom w:val="0"/>
      <w:divBdr>
        <w:top w:val="none" w:sz="0" w:space="0" w:color="auto"/>
        <w:left w:val="none" w:sz="0" w:space="0" w:color="auto"/>
        <w:bottom w:val="none" w:sz="0" w:space="0" w:color="auto"/>
        <w:right w:val="none" w:sz="0" w:space="0" w:color="auto"/>
      </w:divBdr>
    </w:div>
    <w:div w:id="897864031">
      <w:bodyDiv w:val="1"/>
      <w:marLeft w:val="0"/>
      <w:marRight w:val="0"/>
      <w:marTop w:val="0"/>
      <w:marBottom w:val="0"/>
      <w:divBdr>
        <w:top w:val="none" w:sz="0" w:space="0" w:color="auto"/>
        <w:left w:val="none" w:sz="0" w:space="0" w:color="auto"/>
        <w:bottom w:val="none" w:sz="0" w:space="0" w:color="auto"/>
        <w:right w:val="none" w:sz="0" w:space="0" w:color="auto"/>
      </w:divBdr>
    </w:div>
    <w:div w:id="899172031">
      <w:bodyDiv w:val="1"/>
      <w:marLeft w:val="0"/>
      <w:marRight w:val="0"/>
      <w:marTop w:val="0"/>
      <w:marBottom w:val="0"/>
      <w:divBdr>
        <w:top w:val="none" w:sz="0" w:space="0" w:color="auto"/>
        <w:left w:val="none" w:sz="0" w:space="0" w:color="auto"/>
        <w:bottom w:val="none" w:sz="0" w:space="0" w:color="auto"/>
        <w:right w:val="none" w:sz="0" w:space="0" w:color="auto"/>
      </w:divBdr>
    </w:div>
    <w:div w:id="899291148">
      <w:bodyDiv w:val="1"/>
      <w:marLeft w:val="0"/>
      <w:marRight w:val="0"/>
      <w:marTop w:val="0"/>
      <w:marBottom w:val="0"/>
      <w:divBdr>
        <w:top w:val="none" w:sz="0" w:space="0" w:color="auto"/>
        <w:left w:val="none" w:sz="0" w:space="0" w:color="auto"/>
        <w:bottom w:val="none" w:sz="0" w:space="0" w:color="auto"/>
        <w:right w:val="none" w:sz="0" w:space="0" w:color="auto"/>
      </w:divBdr>
    </w:div>
    <w:div w:id="900365102">
      <w:bodyDiv w:val="1"/>
      <w:marLeft w:val="0"/>
      <w:marRight w:val="0"/>
      <w:marTop w:val="0"/>
      <w:marBottom w:val="0"/>
      <w:divBdr>
        <w:top w:val="none" w:sz="0" w:space="0" w:color="auto"/>
        <w:left w:val="none" w:sz="0" w:space="0" w:color="auto"/>
        <w:bottom w:val="none" w:sz="0" w:space="0" w:color="auto"/>
        <w:right w:val="none" w:sz="0" w:space="0" w:color="auto"/>
      </w:divBdr>
    </w:div>
    <w:div w:id="902637009">
      <w:bodyDiv w:val="1"/>
      <w:marLeft w:val="0"/>
      <w:marRight w:val="0"/>
      <w:marTop w:val="0"/>
      <w:marBottom w:val="0"/>
      <w:divBdr>
        <w:top w:val="none" w:sz="0" w:space="0" w:color="auto"/>
        <w:left w:val="none" w:sz="0" w:space="0" w:color="auto"/>
        <w:bottom w:val="none" w:sz="0" w:space="0" w:color="auto"/>
        <w:right w:val="none" w:sz="0" w:space="0" w:color="auto"/>
      </w:divBdr>
    </w:div>
    <w:div w:id="902830882">
      <w:bodyDiv w:val="1"/>
      <w:marLeft w:val="0"/>
      <w:marRight w:val="0"/>
      <w:marTop w:val="0"/>
      <w:marBottom w:val="0"/>
      <w:divBdr>
        <w:top w:val="none" w:sz="0" w:space="0" w:color="auto"/>
        <w:left w:val="none" w:sz="0" w:space="0" w:color="auto"/>
        <w:bottom w:val="none" w:sz="0" w:space="0" w:color="auto"/>
        <w:right w:val="none" w:sz="0" w:space="0" w:color="auto"/>
      </w:divBdr>
    </w:div>
    <w:div w:id="903183743">
      <w:bodyDiv w:val="1"/>
      <w:marLeft w:val="0"/>
      <w:marRight w:val="0"/>
      <w:marTop w:val="0"/>
      <w:marBottom w:val="0"/>
      <w:divBdr>
        <w:top w:val="none" w:sz="0" w:space="0" w:color="auto"/>
        <w:left w:val="none" w:sz="0" w:space="0" w:color="auto"/>
        <w:bottom w:val="none" w:sz="0" w:space="0" w:color="auto"/>
        <w:right w:val="none" w:sz="0" w:space="0" w:color="auto"/>
      </w:divBdr>
    </w:div>
    <w:div w:id="903637330">
      <w:bodyDiv w:val="1"/>
      <w:marLeft w:val="0"/>
      <w:marRight w:val="0"/>
      <w:marTop w:val="0"/>
      <w:marBottom w:val="0"/>
      <w:divBdr>
        <w:top w:val="none" w:sz="0" w:space="0" w:color="auto"/>
        <w:left w:val="none" w:sz="0" w:space="0" w:color="auto"/>
        <w:bottom w:val="none" w:sz="0" w:space="0" w:color="auto"/>
        <w:right w:val="none" w:sz="0" w:space="0" w:color="auto"/>
      </w:divBdr>
    </w:div>
    <w:div w:id="904922004">
      <w:bodyDiv w:val="1"/>
      <w:marLeft w:val="0"/>
      <w:marRight w:val="0"/>
      <w:marTop w:val="0"/>
      <w:marBottom w:val="0"/>
      <w:divBdr>
        <w:top w:val="none" w:sz="0" w:space="0" w:color="auto"/>
        <w:left w:val="none" w:sz="0" w:space="0" w:color="auto"/>
        <w:bottom w:val="none" w:sz="0" w:space="0" w:color="auto"/>
        <w:right w:val="none" w:sz="0" w:space="0" w:color="auto"/>
      </w:divBdr>
    </w:div>
    <w:div w:id="905726001">
      <w:bodyDiv w:val="1"/>
      <w:marLeft w:val="0"/>
      <w:marRight w:val="0"/>
      <w:marTop w:val="0"/>
      <w:marBottom w:val="0"/>
      <w:divBdr>
        <w:top w:val="none" w:sz="0" w:space="0" w:color="auto"/>
        <w:left w:val="none" w:sz="0" w:space="0" w:color="auto"/>
        <w:bottom w:val="none" w:sz="0" w:space="0" w:color="auto"/>
        <w:right w:val="none" w:sz="0" w:space="0" w:color="auto"/>
      </w:divBdr>
    </w:div>
    <w:div w:id="907037285">
      <w:bodyDiv w:val="1"/>
      <w:marLeft w:val="0"/>
      <w:marRight w:val="0"/>
      <w:marTop w:val="0"/>
      <w:marBottom w:val="0"/>
      <w:divBdr>
        <w:top w:val="none" w:sz="0" w:space="0" w:color="auto"/>
        <w:left w:val="none" w:sz="0" w:space="0" w:color="auto"/>
        <w:bottom w:val="none" w:sz="0" w:space="0" w:color="auto"/>
        <w:right w:val="none" w:sz="0" w:space="0" w:color="auto"/>
      </w:divBdr>
    </w:div>
    <w:div w:id="907610204">
      <w:bodyDiv w:val="1"/>
      <w:marLeft w:val="0"/>
      <w:marRight w:val="0"/>
      <w:marTop w:val="0"/>
      <w:marBottom w:val="0"/>
      <w:divBdr>
        <w:top w:val="none" w:sz="0" w:space="0" w:color="auto"/>
        <w:left w:val="none" w:sz="0" w:space="0" w:color="auto"/>
        <w:bottom w:val="none" w:sz="0" w:space="0" w:color="auto"/>
        <w:right w:val="none" w:sz="0" w:space="0" w:color="auto"/>
      </w:divBdr>
    </w:div>
    <w:div w:id="907766447">
      <w:bodyDiv w:val="1"/>
      <w:marLeft w:val="0"/>
      <w:marRight w:val="0"/>
      <w:marTop w:val="0"/>
      <w:marBottom w:val="0"/>
      <w:divBdr>
        <w:top w:val="none" w:sz="0" w:space="0" w:color="auto"/>
        <w:left w:val="none" w:sz="0" w:space="0" w:color="auto"/>
        <w:bottom w:val="none" w:sz="0" w:space="0" w:color="auto"/>
        <w:right w:val="none" w:sz="0" w:space="0" w:color="auto"/>
      </w:divBdr>
    </w:div>
    <w:div w:id="912130382">
      <w:bodyDiv w:val="1"/>
      <w:marLeft w:val="0"/>
      <w:marRight w:val="0"/>
      <w:marTop w:val="0"/>
      <w:marBottom w:val="0"/>
      <w:divBdr>
        <w:top w:val="none" w:sz="0" w:space="0" w:color="auto"/>
        <w:left w:val="none" w:sz="0" w:space="0" w:color="auto"/>
        <w:bottom w:val="none" w:sz="0" w:space="0" w:color="auto"/>
        <w:right w:val="none" w:sz="0" w:space="0" w:color="auto"/>
      </w:divBdr>
    </w:div>
    <w:div w:id="912155314">
      <w:bodyDiv w:val="1"/>
      <w:marLeft w:val="0"/>
      <w:marRight w:val="0"/>
      <w:marTop w:val="0"/>
      <w:marBottom w:val="0"/>
      <w:divBdr>
        <w:top w:val="none" w:sz="0" w:space="0" w:color="auto"/>
        <w:left w:val="none" w:sz="0" w:space="0" w:color="auto"/>
        <w:bottom w:val="none" w:sz="0" w:space="0" w:color="auto"/>
        <w:right w:val="none" w:sz="0" w:space="0" w:color="auto"/>
      </w:divBdr>
    </w:div>
    <w:div w:id="913202953">
      <w:bodyDiv w:val="1"/>
      <w:marLeft w:val="0"/>
      <w:marRight w:val="0"/>
      <w:marTop w:val="0"/>
      <w:marBottom w:val="0"/>
      <w:divBdr>
        <w:top w:val="none" w:sz="0" w:space="0" w:color="auto"/>
        <w:left w:val="none" w:sz="0" w:space="0" w:color="auto"/>
        <w:bottom w:val="none" w:sz="0" w:space="0" w:color="auto"/>
        <w:right w:val="none" w:sz="0" w:space="0" w:color="auto"/>
      </w:divBdr>
    </w:div>
    <w:div w:id="916551741">
      <w:bodyDiv w:val="1"/>
      <w:marLeft w:val="0"/>
      <w:marRight w:val="0"/>
      <w:marTop w:val="0"/>
      <w:marBottom w:val="0"/>
      <w:divBdr>
        <w:top w:val="none" w:sz="0" w:space="0" w:color="auto"/>
        <w:left w:val="none" w:sz="0" w:space="0" w:color="auto"/>
        <w:bottom w:val="none" w:sz="0" w:space="0" w:color="auto"/>
        <w:right w:val="none" w:sz="0" w:space="0" w:color="auto"/>
      </w:divBdr>
    </w:div>
    <w:div w:id="917251860">
      <w:bodyDiv w:val="1"/>
      <w:marLeft w:val="0"/>
      <w:marRight w:val="0"/>
      <w:marTop w:val="0"/>
      <w:marBottom w:val="0"/>
      <w:divBdr>
        <w:top w:val="none" w:sz="0" w:space="0" w:color="auto"/>
        <w:left w:val="none" w:sz="0" w:space="0" w:color="auto"/>
        <w:bottom w:val="none" w:sz="0" w:space="0" w:color="auto"/>
        <w:right w:val="none" w:sz="0" w:space="0" w:color="auto"/>
      </w:divBdr>
    </w:div>
    <w:div w:id="918754748">
      <w:bodyDiv w:val="1"/>
      <w:marLeft w:val="0"/>
      <w:marRight w:val="0"/>
      <w:marTop w:val="0"/>
      <w:marBottom w:val="0"/>
      <w:divBdr>
        <w:top w:val="none" w:sz="0" w:space="0" w:color="auto"/>
        <w:left w:val="none" w:sz="0" w:space="0" w:color="auto"/>
        <w:bottom w:val="none" w:sz="0" w:space="0" w:color="auto"/>
        <w:right w:val="none" w:sz="0" w:space="0" w:color="auto"/>
      </w:divBdr>
    </w:div>
    <w:div w:id="919758147">
      <w:bodyDiv w:val="1"/>
      <w:marLeft w:val="0"/>
      <w:marRight w:val="0"/>
      <w:marTop w:val="0"/>
      <w:marBottom w:val="0"/>
      <w:divBdr>
        <w:top w:val="none" w:sz="0" w:space="0" w:color="auto"/>
        <w:left w:val="none" w:sz="0" w:space="0" w:color="auto"/>
        <w:bottom w:val="none" w:sz="0" w:space="0" w:color="auto"/>
        <w:right w:val="none" w:sz="0" w:space="0" w:color="auto"/>
      </w:divBdr>
    </w:div>
    <w:div w:id="920258392">
      <w:bodyDiv w:val="1"/>
      <w:marLeft w:val="0"/>
      <w:marRight w:val="0"/>
      <w:marTop w:val="0"/>
      <w:marBottom w:val="0"/>
      <w:divBdr>
        <w:top w:val="none" w:sz="0" w:space="0" w:color="auto"/>
        <w:left w:val="none" w:sz="0" w:space="0" w:color="auto"/>
        <w:bottom w:val="none" w:sz="0" w:space="0" w:color="auto"/>
        <w:right w:val="none" w:sz="0" w:space="0" w:color="auto"/>
      </w:divBdr>
    </w:div>
    <w:div w:id="920523148">
      <w:bodyDiv w:val="1"/>
      <w:marLeft w:val="0"/>
      <w:marRight w:val="0"/>
      <w:marTop w:val="0"/>
      <w:marBottom w:val="0"/>
      <w:divBdr>
        <w:top w:val="none" w:sz="0" w:space="0" w:color="auto"/>
        <w:left w:val="none" w:sz="0" w:space="0" w:color="auto"/>
        <w:bottom w:val="none" w:sz="0" w:space="0" w:color="auto"/>
        <w:right w:val="none" w:sz="0" w:space="0" w:color="auto"/>
      </w:divBdr>
    </w:div>
    <w:div w:id="922569898">
      <w:bodyDiv w:val="1"/>
      <w:marLeft w:val="0"/>
      <w:marRight w:val="0"/>
      <w:marTop w:val="0"/>
      <w:marBottom w:val="0"/>
      <w:divBdr>
        <w:top w:val="none" w:sz="0" w:space="0" w:color="auto"/>
        <w:left w:val="none" w:sz="0" w:space="0" w:color="auto"/>
        <w:bottom w:val="none" w:sz="0" w:space="0" w:color="auto"/>
        <w:right w:val="none" w:sz="0" w:space="0" w:color="auto"/>
      </w:divBdr>
    </w:div>
    <w:div w:id="922643828">
      <w:bodyDiv w:val="1"/>
      <w:marLeft w:val="0"/>
      <w:marRight w:val="0"/>
      <w:marTop w:val="0"/>
      <w:marBottom w:val="0"/>
      <w:divBdr>
        <w:top w:val="none" w:sz="0" w:space="0" w:color="auto"/>
        <w:left w:val="none" w:sz="0" w:space="0" w:color="auto"/>
        <w:bottom w:val="none" w:sz="0" w:space="0" w:color="auto"/>
        <w:right w:val="none" w:sz="0" w:space="0" w:color="auto"/>
      </w:divBdr>
    </w:div>
    <w:div w:id="923952912">
      <w:bodyDiv w:val="1"/>
      <w:marLeft w:val="0"/>
      <w:marRight w:val="0"/>
      <w:marTop w:val="0"/>
      <w:marBottom w:val="0"/>
      <w:divBdr>
        <w:top w:val="none" w:sz="0" w:space="0" w:color="auto"/>
        <w:left w:val="none" w:sz="0" w:space="0" w:color="auto"/>
        <w:bottom w:val="none" w:sz="0" w:space="0" w:color="auto"/>
        <w:right w:val="none" w:sz="0" w:space="0" w:color="auto"/>
      </w:divBdr>
    </w:div>
    <w:div w:id="924189629">
      <w:bodyDiv w:val="1"/>
      <w:marLeft w:val="0"/>
      <w:marRight w:val="0"/>
      <w:marTop w:val="0"/>
      <w:marBottom w:val="0"/>
      <w:divBdr>
        <w:top w:val="none" w:sz="0" w:space="0" w:color="auto"/>
        <w:left w:val="none" w:sz="0" w:space="0" w:color="auto"/>
        <w:bottom w:val="none" w:sz="0" w:space="0" w:color="auto"/>
        <w:right w:val="none" w:sz="0" w:space="0" w:color="auto"/>
      </w:divBdr>
    </w:div>
    <w:div w:id="924722765">
      <w:bodyDiv w:val="1"/>
      <w:marLeft w:val="0"/>
      <w:marRight w:val="0"/>
      <w:marTop w:val="0"/>
      <w:marBottom w:val="0"/>
      <w:divBdr>
        <w:top w:val="none" w:sz="0" w:space="0" w:color="auto"/>
        <w:left w:val="none" w:sz="0" w:space="0" w:color="auto"/>
        <w:bottom w:val="none" w:sz="0" w:space="0" w:color="auto"/>
        <w:right w:val="none" w:sz="0" w:space="0" w:color="auto"/>
      </w:divBdr>
    </w:div>
    <w:div w:id="924806460">
      <w:bodyDiv w:val="1"/>
      <w:marLeft w:val="0"/>
      <w:marRight w:val="0"/>
      <w:marTop w:val="0"/>
      <w:marBottom w:val="0"/>
      <w:divBdr>
        <w:top w:val="none" w:sz="0" w:space="0" w:color="auto"/>
        <w:left w:val="none" w:sz="0" w:space="0" w:color="auto"/>
        <w:bottom w:val="none" w:sz="0" w:space="0" w:color="auto"/>
        <w:right w:val="none" w:sz="0" w:space="0" w:color="auto"/>
      </w:divBdr>
    </w:div>
    <w:div w:id="924807381">
      <w:bodyDiv w:val="1"/>
      <w:marLeft w:val="0"/>
      <w:marRight w:val="0"/>
      <w:marTop w:val="0"/>
      <w:marBottom w:val="0"/>
      <w:divBdr>
        <w:top w:val="none" w:sz="0" w:space="0" w:color="auto"/>
        <w:left w:val="none" w:sz="0" w:space="0" w:color="auto"/>
        <w:bottom w:val="none" w:sz="0" w:space="0" w:color="auto"/>
        <w:right w:val="none" w:sz="0" w:space="0" w:color="auto"/>
      </w:divBdr>
    </w:div>
    <w:div w:id="925923908">
      <w:bodyDiv w:val="1"/>
      <w:marLeft w:val="0"/>
      <w:marRight w:val="0"/>
      <w:marTop w:val="0"/>
      <w:marBottom w:val="0"/>
      <w:divBdr>
        <w:top w:val="none" w:sz="0" w:space="0" w:color="auto"/>
        <w:left w:val="none" w:sz="0" w:space="0" w:color="auto"/>
        <w:bottom w:val="none" w:sz="0" w:space="0" w:color="auto"/>
        <w:right w:val="none" w:sz="0" w:space="0" w:color="auto"/>
      </w:divBdr>
    </w:div>
    <w:div w:id="927006939">
      <w:bodyDiv w:val="1"/>
      <w:marLeft w:val="0"/>
      <w:marRight w:val="0"/>
      <w:marTop w:val="0"/>
      <w:marBottom w:val="0"/>
      <w:divBdr>
        <w:top w:val="none" w:sz="0" w:space="0" w:color="auto"/>
        <w:left w:val="none" w:sz="0" w:space="0" w:color="auto"/>
        <w:bottom w:val="none" w:sz="0" w:space="0" w:color="auto"/>
        <w:right w:val="none" w:sz="0" w:space="0" w:color="auto"/>
      </w:divBdr>
    </w:div>
    <w:div w:id="928735433">
      <w:bodyDiv w:val="1"/>
      <w:marLeft w:val="0"/>
      <w:marRight w:val="0"/>
      <w:marTop w:val="0"/>
      <w:marBottom w:val="0"/>
      <w:divBdr>
        <w:top w:val="none" w:sz="0" w:space="0" w:color="auto"/>
        <w:left w:val="none" w:sz="0" w:space="0" w:color="auto"/>
        <w:bottom w:val="none" w:sz="0" w:space="0" w:color="auto"/>
        <w:right w:val="none" w:sz="0" w:space="0" w:color="auto"/>
      </w:divBdr>
    </w:div>
    <w:div w:id="928926064">
      <w:bodyDiv w:val="1"/>
      <w:marLeft w:val="0"/>
      <w:marRight w:val="0"/>
      <w:marTop w:val="0"/>
      <w:marBottom w:val="0"/>
      <w:divBdr>
        <w:top w:val="none" w:sz="0" w:space="0" w:color="auto"/>
        <w:left w:val="none" w:sz="0" w:space="0" w:color="auto"/>
        <w:bottom w:val="none" w:sz="0" w:space="0" w:color="auto"/>
        <w:right w:val="none" w:sz="0" w:space="0" w:color="auto"/>
      </w:divBdr>
    </w:div>
    <w:div w:id="930939331">
      <w:bodyDiv w:val="1"/>
      <w:marLeft w:val="0"/>
      <w:marRight w:val="0"/>
      <w:marTop w:val="0"/>
      <w:marBottom w:val="0"/>
      <w:divBdr>
        <w:top w:val="none" w:sz="0" w:space="0" w:color="auto"/>
        <w:left w:val="none" w:sz="0" w:space="0" w:color="auto"/>
        <w:bottom w:val="none" w:sz="0" w:space="0" w:color="auto"/>
        <w:right w:val="none" w:sz="0" w:space="0" w:color="auto"/>
      </w:divBdr>
    </w:div>
    <w:div w:id="932593928">
      <w:bodyDiv w:val="1"/>
      <w:marLeft w:val="0"/>
      <w:marRight w:val="0"/>
      <w:marTop w:val="0"/>
      <w:marBottom w:val="0"/>
      <w:divBdr>
        <w:top w:val="none" w:sz="0" w:space="0" w:color="auto"/>
        <w:left w:val="none" w:sz="0" w:space="0" w:color="auto"/>
        <w:bottom w:val="none" w:sz="0" w:space="0" w:color="auto"/>
        <w:right w:val="none" w:sz="0" w:space="0" w:color="auto"/>
      </w:divBdr>
    </w:div>
    <w:div w:id="933786037">
      <w:bodyDiv w:val="1"/>
      <w:marLeft w:val="0"/>
      <w:marRight w:val="0"/>
      <w:marTop w:val="0"/>
      <w:marBottom w:val="0"/>
      <w:divBdr>
        <w:top w:val="none" w:sz="0" w:space="0" w:color="auto"/>
        <w:left w:val="none" w:sz="0" w:space="0" w:color="auto"/>
        <w:bottom w:val="none" w:sz="0" w:space="0" w:color="auto"/>
        <w:right w:val="none" w:sz="0" w:space="0" w:color="auto"/>
      </w:divBdr>
    </w:div>
    <w:div w:id="935096781">
      <w:bodyDiv w:val="1"/>
      <w:marLeft w:val="0"/>
      <w:marRight w:val="0"/>
      <w:marTop w:val="0"/>
      <w:marBottom w:val="0"/>
      <w:divBdr>
        <w:top w:val="none" w:sz="0" w:space="0" w:color="auto"/>
        <w:left w:val="none" w:sz="0" w:space="0" w:color="auto"/>
        <w:bottom w:val="none" w:sz="0" w:space="0" w:color="auto"/>
        <w:right w:val="none" w:sz="0" w:space="0" w:color="auto"/>
      </w:divBdr>
    </w:div>
    <w:div w:id="935140347">
      <w:bodyDiv w:val="1"/>
      <w:marLeft w:val="0"/>
      <w:marRight w:val="0"/>
      <w:marTop w:val="0"/>
      <w:marBottom w:val="0"/>
      <w:divBdr>
        <w:top w:val="none" w:sz="0" w:space="0" w:color="auto"/>
        <w:left w:val="none" w:sz="0" w:space="0" w:color="auto"/>
        <w:bottom w:val="none" w:sz="0" w:space="0" w:color="auto"/>
        <w:right w:val="none" w:sz="0" w:space="0" w:color="auto"/>
      </w:divBdr>
    </w:div>
    <w:div w:id="935673791">
      <w:bodyDiv w:val="1"/>
      <w:marLeft w:val="0"/>
      <w:marRight w:val="0"/>
      <w:marTop w:val="0"/>
      <w:marBottom w:val="0"/>
      <w:divBdr>
        <w:top w:val="none" w:sz="0" w:space="0" w:color="auto"/>
        <w:left w:val="none" w:sz="0" w:space="0" w:color="auto"/>
        <w:bottom w:val="none" w:sz="0" w:space="0" w:color="auto"/>
        <w:right w:val="none" w:sz="0" w:space="0" w:color="auto"/>
      </w:divBdr>
    </w:div>
    <w:div w:id="936056580">
      <w:bodyDiv w:val="1"/>
      <w:marLeft w:val="0"/>
      <w:marRight w:val="0"/>
      <w:marTop w:val="0"/>
      <w:marBottom w:val="0"/>
      <w:divBdr>
        <w:top w:val="none" w:sz="0" w:space="0" w:color="auto"/>
        <w:left w:val="none" w:sz="0" w:space="0" w:color="auto"/>
        <w:bottom w:val="none" w:sz="0" w:space="0" w:color="auto"/>
        <w:right w:val="none" w:sz="0" w:space="0" w:color="auto"/>
      </w:divBdr>
    </w:div>
    <w:div w:id="937178505">
      <w:bodyDiv w:val="1"/>
      <w:marLeft w:val="0"/>
      <w:marRight w:val="0"/>
      <w:marTop w:val="0"/>
      <w:marBottom w:val="0"/>
      <w:divBdr>
        <w:top w:val="none" w:sz="0" w:space="0" w:color="auto"/>
        <w:left w:val="none" w:sz="0" w:space="0" w:color="auto"/>
        <w:bottom w:val="none" w:sz="0" w:space="0" w:color="auto"/>
        <w:right w:val="none" w:sz="0" w:space="0" w:color="auto"/>
      </w:divBdr>
    </w:div>
    <w:div w:id="940575657">
      <w:bodyDiv w:val="1"/>
      <w:marLeft w:val="0"/>
      <w:marRight w:val="0"/>
      <w:marTop w:val="0"/>
      <w:marBottom w:val="0"/>
      <w:divBdr>
        <w:top w:val="none" w:sz="0" w:space="0" w:color="auto"/>
        <w:left w:val="none" w:sz="0" w:space="0" w:color="auto"/>
        <w:bottom w:val="none" w:sz="0" w:space="0" w:color="auto"/>
        <w:right w:val="none" w:sz="0" w:space="0" w:color="auto"/>
      </w:divBdr>
    </w:div>
    <w:div w:id="941914896">
      <w:bodyDiv w:val="1"/>
      <w:marLeft w:val="0"/>
      <w:marRight w:val="0"/>
      <w:marTop w:val="0"/>
      <w:marBottom w:val="0"/>
      <w:divBdr>
        <w:top w:val="none" w:sz="0" w:space="0" w:color="auto"/>
        <w:left w:val="none" w:sz="0" w:space="0" w:color="auto"/>
        <w:bottom w:val="none" w:sz="0" w:space="0" w:color="auto"/>
        <w:right w:val="none" w:sz="0" w:space="0" w:color="auto"/>
      </w:divBdr>
    </w:div>
    <w:div w:id="942809387">
      <w:bodyDiv w:val="1"/>
      <w:marLeft w:val="0"/>
      <w:marRight w:val="0"/>
      <w:marTop w:val="0"/>
      <w:marBottom w:val="0"/>
      <w:divBdr>
        <w:top w:val="none" w:sz="0" w:space="0" w:color="auto"/>
        <w:left w:val="none" w:sz="0" w:space="0" w:color="auto"/>
        <w:bottom w:val="none" w:sz="0" w:space="0" w:color="auto"/>
        <w:right w:val="none" w:sz="0" w:space="0" w:color="auto"/>
      </w:divBdr>
    </w:div>
    <w:div w:id="943462235">
      <w:bodyDiv w:val="1"/>
      <w:marLeft w:val="0"/>
      <w:marRight w:val="0"/>
      <w:marTop w:val="0"/>
      <w:marBottom w:val="0"/>
      <w:divBdr>
        <w:top w:val="none" w:sz="0" w:space="0" w:color="auto"/>
        <w:left w:val="none" w:sz="0" w:space="0" w:color="auto"/>
        <w:bottom w:val="none" w:sz="0" w:space="0" w:color="auto"/>
        <w:right w:val="none" w:sz="0" w:space="0" w:color="auto"/>
      </w:divBdr>
    </w:div>
    <w:div w:id="943658554">
      <w:bodyDiv w:val="1"/>
      <w:marLeft w:val="0"/>
      <w:marRight w:val="0"/>
      <w:marTop w:val="0"/>
      <w:marBottom w:val="0"/>
      <w:divBdr>
        <w:top w:val="none" w:sz="0" w:space="0" w:color="auto"/>
        <w:left w:val="none" w:sz="0" w:space="0" w:color="auto"/>
        <w:bottom w:val="none" w:sz="0" w:space="0" w:color="auto"/>
        <w:right w:val="none" w:sz="0" w:space="0" w:color="auto"/>
      </w:divBdr>
    </w:div>
    <w:div w:id="943925783">
      <w:bodyDiv w:val="1"/>
      <w:marLeft w:val="0"/>
      <w:marRight w:val="0"/>
      <w:marTop w:val="0"/>
      <w:marBottom w:val="0"/>
      <w:divBdr>
        <w:top w:val="none" w:sz="0" w:space="0" w:color="auto"/>
        <w:left w:val="none" w:sz="0" w:space="0" w:color="auto"/>
        <w:bottom w:val="none" w:sz="0" w:space="0" w:color="auto"/>
        <w:right w:val="none" w:sz="0" w:space="0" w:color="auto"/>
      </w:divBdr>
    </w:div>
    <w:div w:id="945387878">
      <w:bodyDiv w:val="1"/>
      <w:marLeft w:val="0"/>
      <w:marRight w:val="0"/>
      <w:marTop w:val="0"/>
      <w:marBottom w:val="0"/>
      <w:divBdr>
        <w:top w:val="none" w:sz="0" w:space="0" w:color="auto"/>
        <w:left w:val="none" w:sz="0" w:space="0" w:color="auto"/>
        <w:bottom w:val="none" w:sz="0" w:space="0" w:color="auto"/>
        <w:right w:val="none" w:sz="0" w:space="0" w:color="auto"/>
      </w:divBdr>
    </w:div>
    <w:div w:id="946349332">
      <w:bodyDiv w:val="1"/>
      <w:marLeft w:val="0"/>
      <w:marRight w:val="0"/>
      <w:marTop w:val="0"/>
      <w:marBottom w:val="0"/>
      <w:divBdr>
        <w:top w:val="none" w:sz="0" w:space="0" w:color="auto"/>
        <w:left w:val="none" w:sz="0" w:space="0" w:color="auto"/>
        <w:bottom w:val="none" w:sz="0" w:space="0" w:color="auto"/>
        <w:right w:val="none" w:sz="0" w:space="0" w:color="auto"/>
      </w:divBdr>
    </w:div>
    <w:div w:id="948899018">
      <w:bodyDiv w:val="1"/>
      <w:marLeft w:val="0"/>
      <w:marRight w:val="0"/>
      <w:marTop w:val="0"/>
      <w:marBottom w:val="0"/>
      <w:divBdr>
        <w:top w:val="none" w:sz="0" w:space="0" w:color="auto"/>
        <w:left w:val="none" w:sz="0" w:space="0" w:color="auto"/>
        <w:bottom w:val="none" w:sz="0" w:space="0" w:color="auto"/>
        <w:right w:val="none" w:sz="0" w:space="0" w:color="auto"/>
      </w:divBdr>
    </w:div>
    <w:div w:id="949632574">
      <w:bodyDiv w:val="1"/>
      <w:marLeft w:val="0"/>
      <w:marRight w:val="0"/>
      <w:marTop w:val="0"/>
      <w:marBottom w:val="0"/>
      <w:divBdr>
        <w:top w:val="none" w:sz="0" w:space="0" w:color="auto"/>
        <w:left w:val="none" w:sz="0" w:space="0" w:color="auto"/>
        <w:bottom w:val="none" w:sz="0" w:space="0" w:color="auto"/>
        <w:right w:val="none" w:sz="0" w:space="0" w:color="auto"/>
      </w:divBdr>
    </w:div>
    <w:div w:id="950207080">
      <w:bodyDiv w:val="1"/>
      <w:marLeft w:val="0"/>
      <w:marRight w:val="0"/>
      <w:marTop w:val="0"/>
      <w:marBottom w:val="0"/>
      <w:divBdr>
        <w:top w:val="none" w:sz="0" w:space="0" w:color="auto"/>
        <w:left w:val="none" w:sz="0" w:space="0" w:color="auto"/>
        <w:bottom w:val="none" w:sz="0" w:space="0" w:color="auto"/>
        <w:right w:val="none" w:sz="0" w:space="0" w:color="auto"/>
      </w:divBdr>
    </w:div>
    <w:div w:id="950862691">
      <w:bodyDiv w:val="1"/>
      <w:marLeft w:val="0"/>
      <w:marRight w:val="0"/>
      <w:marTop w:val="0"/>
      <w:marBottom w:val="0"/>
      <w:divBdr>
        <w:top w:val="none" w:sz="0" w:space="0" w:color="auto"/>
        <w:left w:val="none" w:sz="0" w:space="0" w:color="auto"/>
        <w:bottom w:val="none" w:sz="0" w:space="0" w:color="auto"/>
        <w:right w:val="none" w:sz="0" w:space="0" w:color="auto"/>
      </w:divBdr>
    </w:div>
    <w:div w:id="951981971">
      <w:bodyDiv w:val="1"/>
      <w:marLeft w:val="0"/>
      <w:marRight w:val="0"/>
      <w:marTop w:val="0"/>
      <w:marBottom w:val="0"/>
      <w:divBdr>
        <w:top w:val="none" w:sz="0" w:space="0" w:color="auto"/>
        <w:left w:val="none" w:sz="0" w:space="0" w:color="auto"/>
        <w:bottom w:val="none" w:sz="0" w:space="0" w:color="auto"/>
        <w:right w:val="none" w:sz="0" w:space="0" w:color="auto"/>
      </w:divBdr>
    </w:div>
    <w:div w:id="952052129">
      <w:bodyDiv w:val="1"/>
      <w:marLeft w:val="0"/>
      <w:marRight w:val="0"/>
      <w:marTop w:val="0"/>
      <w:marBottom w:val="0"/>
      <w:divBdr>
        <w:top w:val="none" w:sz="0" w:space="0" w:color="auto"/>
        <w:left w:val="none" w:sz="0" w:space="0" w:color="auto"/>
        <w:bottom w:val="none" w:sz="0" w:space="0" w:color="auto"/>
        <w:right w:val="none" w:sz="0" w:space="0" w:color="auto"/>
      </w:divBdr>
    </w:div>
    <w:div w:id="952444944">
      <w:bodyDiv w:val="1"/>
      <w:marLeft w:val="0"/>
      <w:marRight w:val="0"/>
      <w:marTop w:val="0"/>
      <w:marBottom w:val="0"/>
      <w:divBdr>
        <w:top w:val="none" w:sz="0" w:space="0" w:color="auto"/>
        <w:left w:val="none" w:sz="0" w:space="0" w:color="auto"/>
        <w:bottom w:val="none" w:sz="0" w:space="0" w:color="auto"/>
        <w:right w:val="none" w:sz="0" w:space="0" w:color="auto"/>
      </w:divBdr>
    </w:div>
    <w:div w:id="953293121">
      <w:bodyDiv w:val="1"/>
      <w:marLeft w:val="0"/>
      <w:marRight w:val="0"/>
      <w:marTop w:val="0"/>
      <w:marBottom w:val="0"/>
      <w:divBdr>
        <w:top w:val="none" w:sz="0" w:space="0" w:color="auto"/>
        <w:left w:val="none" w:sz="0" w:space="0" w:color="auto"/>
        <w:bottom w:val="none" w:sz="0" w:space="0" w:color="auto"/>
        <w:right w:val="none" w:sz="0" w:space="0" w:color="auto"/>
      </w:divBdr>
    </w:div>
    <w:div w:id="953750110">
      <w:bodyDiv w:val="1"/>
      <w:marLeft w:val="0"/>
      <w:marRight w:val="0"/>
      <w:marTop w:val="0"/>
      <w:marBottom w:val="0"/>
      <w:divBdr>
        <w:top w:val="none" w:sz="0" w:space="0" w:color="auto"/>
        <w:left w:val="none" w:sz="0" w:space="0" w:color="auto"/>
        <w:bottom w:val="none" w:sz="0" w:space="0" w:color="auto"/>
        <w:right w:val="none" w:sz="0" w:space="0" w:color="auto"/>
      </w:divBdr>
    </w:div>
    <w:div w:id="954097261">
      <w:bodyDiv w:val="1"/>
      <w:marLeft w:val="0"/>
      <w:marRight w:val="0"/>
      <w:marTop w:val="0"/>
      <w:marBottom w:val="0"/>
      <w:divBdr>
        <w:top w:val="none" w:sz="0" w:space="0" w:color="auto"/>
        <w:left w:val="none" w:sz="0" w:space="0" w:color="auto"/>
        <w:bottom w:val="none" w:sz="0" w:space="0" w:color="auto"/>
        <w:right w:val="none" w:sz="0" w:space="0" w:color="auto"/>
      </w:divBdr>
    </w:div>
    <w:div w:id="956528860">
      <w:bodyDiv w:val="1"/>
      <w:marLeft w:val="0"/>
      <w:marRight w:val="0"/>
      <w:marTop w:val="0"/>
      <w:marBottom w:val="0"/>
      <w:divBdr>
        <w:top w:val="none" w:sz="0" w:space="0" w:color="auto"/>
        <w:left w:val="none" w:sz="0" w:space="0" w:color="auto"/>
        <w:bottom w:val="none" w:sz="0" w:space="0" w:color="auto"/>
        <w:right w:val="none" w:sz="0" w:space="0" w:color="auto"/>
      </w:divBdr>
    </w:div>
    <w:div w:id="957756872">
      <w:bodyDiv w:val="1"/>
      <w:marLeft w:val="0"/>
      <w:marRight w:val="0"/>
      <w:marTop w:val="0"/>
      <w:marBottom w:val="0"/>
      <w:divBdr>
        <w:top w:val="none" w:sz="0" w:space="0" w:color="auto"/>
        <w:left w:val="none" w:sz="0" w:space="0" w:color="auto"/>
        <w:bottom w:val="none" w:sz="0" w:space="0" w:color="auto"/>
        <w:right w:val="none" w:sz="0" w:space="0" w:color="auto"/>
      </w:divBdr>
    </w:div>
    <w:div w:id="959337510">
      <w:bodyDiv w:val="1"/>
      <w:marLeft w:val="0"/>
      <w:marRight w:val="0"/>
      <w:marTop w:val="0"/>
      <w:marBottom w:val="0"/>
      <w:divBdr>
        <w:top w:val="none" w:sz="0" w:space="0" w:color="auto"/>
        <w:left w:val="none" w:sz="0" w:space="0" w:color="auto"/>
        <w:bottom w:val="none" w:sz="0" w:space="0" w:color="auto"/>
        <w:right w:val="none" w:sz="0" w:space="0" w:color="auto"/>
      </w:divBdr>
    </w:div>
    <w:div w:id="965236384">
      <w:bodyDiv w:val="1"/>
      <w:marLeft w:val="0"/>
      <w:marRight w:val="0"/>
      <w:marTop w:val="0"/>
      <w:marBottom w:val="0"/>
      <w:divBdr>
        <w:top w:val="none" w:sz="0" w:space="0" w:color="auto"/>
        <w:left w:val="none" w:sz="0" w:space="0" w:color="auto"/>
        <w:bottom w:val="none" w:sz="0" w:space="0" w:color="auto"/>
        <w:right w:val="none" w:sz="0" w:space="0" w:color="auto"/>
      </w:divBdr>
    </w:div>
    <w:div w:id="965739176">
      <w:bodyDiv w:val="1"/>
      <w:marLeft w:val="0"/>
      <w:marRight w:val="0"/>
      <w:marTop w:val="0"/>
      <w:marBottom w:val="0"/>
      <w:divBdr>
        <w:top w:val="none" w:sz="0" w:space="0" w:color="auto"/>
        <w:left w:val="none" w:sz="0" w:space="0" w:color="auto"/>
        <w:bottom w:val="none" w:sz="0" w:space="0" w:color="auto"/>
        <w:right w:val="none" w:sz="0" w:space="0" w:color="auto"/>
      </w:divBdr>
    </w:div>
    <w:div w:id="966198139">
      <w:bodyDiv w:val="1"/>
      <w:marLeft w:val="0"/>
      <w:marRight w:val="0"/>
      <w:marTop w:val="0"/>
      <w:marBottom w:val="0"/>
      <w:divBdr>
        <w:top w:val="none" w:sz="0" w:space="0" w:color="auto"/>
        <w:left w:val="none" w:sz="0" w:space="0" w:color="auto"/>
        <w:bottom w:val="none" w:sz="0" w:space="0" w:color="auto"/>
        <w:right w:val="none" w:sz="0" w:space="0" w:color="auto"/>
      </w:divBdr>
    </w:div>
    <w:div w:id="966617766">
      <w:bodyDiv w:val="1"/>
      <w:marLeft w:val="0"/>
      <w:marRight w:val="0"/>
      <w:marTop w:val="0"/>
      <w:marBottom w:val="0"/>
      <w:divBdr>
        <w:top w:val="none" w:sz="0" w:space="0" w:color="auto"/>
        <w:left w:val="none" w:sz="0" w:space="0" w:color="auto"/>
        <w:bottom w:val="none" w:sz="0" w:space="0" w:color="auto"/>
        <w:right w:val="none" w:sz="0" w:space="0" w:color="auto"/>
      </w:divBdr>
    </w:div>
    <w:div w:id="969281561">
      <w:bodyDiv w:val="1"/>
      <w:marLeft w:val="0"/>
      <w:marRight w:val="0"/>
      <w:marTop w:val="0"/>
      <w:marBottom w:val="0"/>
      <w:divBdr>
        <w:top w:val="none" w:sz="0" w:space="0" w:color="auto"/>
        <w:left w:val="none" w:sz="0" w:space="0" w:color="auto"/>
        <w:bottom w:val="none" w:sz="0" w:space="0" w:color="auto"/>
        <w:right w:val="none" w:sz="0" w:space="0" w:color="auto"/>
      </w:divBdr>
    </w:div>
    <w:div w:id="971059009">
      <w:bodyDiv w:val="1"/>
      <w:marLeft w:val="0"/>
      <w:marRight w:val="0"/>
      <w:marTop w:val="0"/>
      <w:marBottom w:val="0"/>
      <w:divBdr>
        <w:top w:val="none" w:sz="0" w:space="0" w:color="auto"/>
        <w:left w:val="none" w:sz="0" w:space="0" w:color="auto"/>
        <w:bottom w:val="none" w:sz="0" w:space="0" w:color="auto"/>
        <w:right w:val="none" w:sz="0" w:space="0" w:color="auto"/>
      </w:divBdr>
    </w:div>
    <w:div w:id="971911622">
      <w:bodyDiv w:val="1"/>
      <w:marLeft w:val="0"/>
      <w:marRight w:val="0"/>
      <w:marTop w:val="0"/>
      <w:marBottom w:val="0"/>
      <w:divBdr>
        <w:top w:val="none" w:sz="0" w:space="0" w:color="auto"/>
        <w:left w:val="none" w:sz="0" w:space="0" w:color="auto"/>
        <w:bottom w:val="none" w:sz="0" w:space="0" w:color="auto"/>
        <w:right w:val="none" w:sz="0" w:space="0" w:color="auto"/>
      </w:divBdr>
    </w:div>
    <w:div w:id="972447155">
      <w:bodyDiv w:val="1"/>
      <w:marLeft w:val="0"/>
      <w:marRight w:val="0"/>
      <w:marTop w:val="0"/>
      <w:marBottom w:val="0"/>
      <w:divBdr>
        <w:top w:val="none" w:sz="0" w:space="0" w:color="auto"/>
        <w:left w:val="none" w:sz="0" w:space="0" w:color="auto"/>
        <w:bottom w:val="none" w:sz="0" w:space="0" w:color="auto"/>
        <w:right w:val="none" w:sz="0" w:space="0" w:color="auto"/>
      </w:divBdr>
    </w:div>
    <w:div w:id="972755677">
      <w:bodyDiv w:val="1"/>
      <w:marLeft w:val="0"/>
      <w:marRight w:val="0"/>
      <w:marTop w:val="0"/>
      <w:marBottom w:val="0"/>
      <w:divBdr>
        <w:top w:val="none" w:sz="0" w:space="0" w:color="auto"/>
        <w:left w:val="none" w:sz="0" w:space="0" w:color="auto"/>
        <w:bottom w:val="none" w:sz="0" w:space="0" w:color="auto"/>
        <w:right w:val="none" w:sz="0" w:space="0" w:color="auto"/>
      </w:divBdr>
    </w:div>
    <w:div w:id="974027369">
      <w:bodyDiv w:val="1"/>
      <w:marLeft w:val="0"/>
      <w:marRight w:val="0"/>
      <w:marTop w:val="0"/>
      <w:marBottom w:val="0"/>
      <w:divBdr>
        <w:top w:val="none" w:sz="0" w:space="0" w:color="auto"/>
        <w:left w:val="none" w:sz="0" w:space="0" w:color="auto"/>
        <w:bottom w:val="none" w:sz="0" w:space="0" w:color="auto"/>
        <w:right w:val="none" w:sz="0" w:space="0" w:color="auto"/>
      </w:divBdr>
    </w:div>
    <w:div w:id="974456433">
      <w:bodyDiv w:val="1"/>
      <w:marLeft w:val="0"/>
      <w:marRight w:val="0"/>
      <w:marTop w:val="0"/>
      <w:marBottom w:val="0"/>
      <w:divBdr>
        <w:top w:val="none" w:sz="0" w:space="0" w:color="auto"/>
        <w:left w:val="none" w:sz="0" w:space="0" w:color="auto"/>
        <w:bottom w:val="none" w:sz="0" w:space="0" w:color="auto"/>
        <w:right w:val="none" w:sz="0" w:space="0" w:color="auto"/>
      </w:divBdr>
    </w:div>
    <w:div w:id="979725133">
      <w:bodyDiv w:val="1"/>
      <w:marLeft w:val="0"/>
      <w:marRight w:val="0"/>
      <w:marTop w:val="0"/>
      <w:marBottom w:val="0"/>
      <w:divBdr>
        <w:top w:val="none" w:sz="0" w:space="0" w:color="auto"/>
        <w:left w:val="none" w:sz="0" w:space="0" w:color="auto"/>
        <w:bottom w:val="none" w:sz="0" w:space="0" w:color="auto"/>
        <w:right w:val="none" w:sz="0" w:space="0" w:color="auto"/>
      </w:divBdr>
    </w:div>
    <w:div w:id="980113936">
      <w:bodyDiv w:val="1"/>
      <w:marLeft w:val="0"/>
      <w:marRight w:val="0"/>
      <w:marTop w:val="0"/>
      <w:marBottom w:val="0"/>
      <w:divBdr>
        <w:top w:val="none" w:sz="0" w:space="0" w:color="auto"/>
        <w:left w:val="none" w:sz="0" w:space="0" w:color="auto"/>
        <w:bottom w:val="none" w:sz="0" w:space="0" w:color="auto"/>
        <w:right w:val="none" w:sz="0" w:space="0" w:color="auto"/>
      </w:divBdr>
    </w:div>
    <w:div w:id="980229786">
      <w:bodyDiv w:val="1"/>
      <w:marLeft w:val="0"/>
      <w:marRight w:val="0"/>
      <w:marTop w:val="0"/>
      <w:marBottom w:val="0"/>
      <w:divBdr>
        <w:top w:val="none" w:sz="0" w:space="0" w:color="auto"/>
        <w:left w:val="none" w:sz="0" w:space="0" w:color="auto"/>
        <w:bottom w:val="none" w:sz="0" w:space="0" w:color="auto"/>
        <w:right w:val="none" w:sz="0" w:space="0" w:color="auto"/>
      </w:divBdr>
    </w:div>
    <w:div w:id="988246792">
      <w:bodyDiv w:val="1"/>
      <w:marLeft w:val="0"/>
      <w:marRight w:val="0"/>
      <w:marTop w:val="0"/>
      <w:marBottom w:val="0"/>
      <w:divBdr>
        <w:top w:val="none" w:sz="0" w:space="0" w:color="auto"/>
        <w:left w:val="none" w:sz="0" w:space="0" w:color="auto"/>
        <w:bottom w:val="none" w:sz="0" w:space="0" w:color="auto"/>
        <w:right w:val="none" w:sz="0" w:space="0" w:color="auto"/>
      </w:divBdr>
    </w:div>
    <w:div w:id="988440496">
      <w:bodyDiv w:val="1"/>
      <w:marLeft w:val="0"/>
      <w:marRight w:val="0"/>
      <w:marTop w:val="0"/>
      <w:marBottom w:val="0"/>
      <w:divBdr>
        <w:top w:val="none" w:sz="0" w:space="0" w:color="auto"/>
        <w:left w:val="none" w:sz="0" w:space="0" w:color="auto"/>
        <w:bottom w:val="none" w:sz="0" w:space="0" w:color="auto"/>
        <w:right w:val="none" w:sz="0" w:space="0" w:color="auto"/>
      </w:divBdr>
    </w:div>
    <w:div w:id="989406536">
      <w:bodyDiv w:val="1"/>
      <w:marLeft w:val="0"/>
      <w:marRight w:val="0"/>
      <w:marTop w:val="0"/>
      <w:marBottom w:val="0"/>
      <w:divBdr>
        <w:top w:val="none" w:sz="0" w:space="0" w:color="auto"/>
        <w:left w:val="none" w:sz="0" w:space="0" w:color="auto"/>
        <w:bottom w:val="none" w:sz="0" w:space="0" w:color="auto"/>
        <w:right w:val="none" w:sz="0" w:space="0" w:color="auto"/>
      </w:divBdr>
    </w:div>
    <w:div w:id="989480875">
      <w:bodyDiv w:val="1"/>
      <w:marLeft w:val="0"/>
      <w:marRight w:val="0"/>
      <w:marTop w:val="0"/>
      <w:marBottom w:val="0"/>
      <w:divBdr>
        <w:top w:val="none" w:sz="0" w:space="0" w:color="auto"/>
        <w:left w:val="none" w:sz="0" w:space="0" w:color="auto"/>
        <w:bottom w:val="none" w:sz="0" w:space="0" w:color="auto"/>
        <w:right w:val="none" w:sz="0" w:space="0" w:color="auto"/>
      </w:divBdr>
    </w:div>
    <w:div w:id="990525898">
      <w:bodyDiv w:val="1"/>
      <w:marLeft w:val="0"/>
      <w:marRight w:val="0"/>
      <w:marTop w:val="0"/>
      <w:marBottom w:val="0"/>
      <w:divBdr>
        <w:top w:val="none" w:sz="0" w:space="0" w:color="auto"/>
        <w:left w:val="none" w:sz="0" w:space="0" w:color="auto"/>
        <w:bottom w:val="none" w:sz="0" w:space="0" w:color="auto"/>
        <w:right w:val="none" w:sz="0" w:space="0" w:color="auto"/>
      </w:divBdr>
    </w:div>
    <w:div w:id="990795447">
      <w:bodyDiv w:val="1"/>
      <w:marLeft w:val="0"/>
      <w:marRight w:val="0"/>
      <w:marTop w:val="0"/>
      <w:marBottom w:val="0"/>
      <w:divBdr>
        <w:top w:val="none" w:sz="0" w:space="0" w:color="auto"/>
        <w:left w:val="none" w:sz="0" w:space="0" w:color="auto"/>
        <w:bottom w:val="none" w:sz="0" w:space="0" w:color="auto"/>
        <w:right w:val="none" w:sz="0" w:space="0" w:color="auto"/>
      </w:divBdr>
    </w:div>
    <w:div w:id="990908049">
      <w:bodyDiv w:val="1"/>
      <w:marLeft w:val="0"/>
      <w:marRight w:val="0"/>
      <w:marTop w:val="0"/>
      <w:marBottom w:val="0"/>
      <w:divBdr>
        <w:top w:val="none" w:sz="0" w:space="0" w:color="auto"/>
        <w:left w:val="none" w:sz="0" w:space="0" w:color="auto"/>
        <w:bottom w:val="none" w:sz="0" w:space="0" w:color="auto"/>
        <w:right w:val="none" w:sz="0" w:space="0" w:color="auto"/>
      </w:divBdr>
    </w:div>
    <w:div w:id="991757757">
      <w:bodyDiv w:val="1"/>
      <w:marLeft w:val="0"/>
      <w:marRight w:val="0"/>
      <w:marTop w:val="0"/>
      <w:marBottom w:val="0"/>
      <w:divBdr>
        <w:top w:val="none" w:sz="0" w:space="0" w:color="auto"/>
        <w:left w:val="none" w:sz="0" w:space="0" w:color="auto"/>
        <w:bottom w:val="none" w:sz="0" w:space="0" w:color="auto"/>
        <w:right w:val="none" w:sz="0" w:space="0" w:color="auto"/>
      </w:divBdr>
    </w:div>
    <w:div w:id="993291582">
      <w:bodyDiv w:val="1"/>
      <w:marLeft w:val="0"/>
      <w:marRight w:val="0"/>
      <w:marTop w:val="0"/>
      <w:marBottom w:val="0"/>
      <w:divBdr>
        <w:top w:val="none" w:sz="0" w:space="0" w:color="auto"/>
        <w:left w:val="none" w:sz="0" w:space="0" w:color="auto"/>
        <w:bottom w:val="none" w:sz="0" w:space="0" w:color="auto"/>
        <w:right w:val="none" w:sz="0" w:space="0" w:color="auto"/>
      </w:divBdr>
    </w:div>
    <w:div w:id="993601467">
      <w:bodyDiv w:val="1"/>
      <w:marLeft w:val="0"/>
      <w:marRight w:val="0"/>
      <w:marTop w:val="0"/>
      <w:marBottom w:val="0"/>
      <w:divBdr>
        <w:top w:val="none" w:sz="0" w:space="0" w:color="auto"/>
        <w:left w:val="none" w:sz="0" w:space="0" w:color="auto"/>
        <w:bottom w:val="none" w:sz="0" w:space="0" w:color="auto"/>
        <w:right w:val="none" w:sz="0" w:space="0" w:color="auto"/>
      </w:divBdr>
    </w:div>
    <w:div w:id="994378577">
      <w:bodyDiv w:val="1"/>
      <w:marLeft w:val="0"/>
      <w:marRight w:val="0"/>
      <w:marTop w:val="0"/>
      <w:marBottom w:val="0"/>
      <w:divBdr>
        <w:top w:val="none" w:sz="0" w:space="0" w:color="auto"/>
        <w:left w:val="none" w:sz="0" w:space="0" w:color="auto"/>
        <w:bottom w:val="none" w:sz="0" w:space="0" w:color="auto"/>
        <w:right w:val="none" w:sz="0" w:space="0" w:color="auto"/>
      </w:divBdr>
    </w:div>
    <w:div w:id="995648018">
      <w:bodyDiv w:val="1"/>
      <w:marLeft w:val="0"/>
      <w:marRight w:val="0"/>
      <w:marTop w:val="0"/>
      <w:marBottom w:val="0"/>
      <w:divBdr>
        <w:top w:val="none" w:sz="0" w:space="0" w:color="auto"/>
        <w:left w:val="none" w:sz="0" w:space="0" w:color="auto"/>
        <w:bottom w:val="none" w:sz="0" w:space="0" w:color="auto"/>
        <w:right w:val="none" w:sz="0" w:space="0" w:color="auto"/>
      </w:divBdr>
    </w:div>
    <w:div w:id="995718955">
      <w:bodyDiv w:val="1"/>
      <w:marLeft w:val="0"/>
      <w:marRight w:val="0"/>
      <w:marTop w:val="0"/>
      <w:marBottom w:val="0"/>
      <w:divBdr>
        <w:top w:val="none" w:sz="0" w:space="0" w:color="auto"/>
        <w:left w:val="none" w:sz="0" w:space="0" w:color="auto"/>
        <w:bottom w:val="none" w:sz="0" w:space="0" w:color="auto"/>
        <w:right w:val="none" w:sz="0" w:space="0" w:color="auto"/>
      </w:divBdr>
    </w:div>
    <w:div w:id="997536858">
      <w:bodyDiv w:val="1"/>
      <w:marLeft w:val="0"/>
      <w:marRight w:val="0"/>
      <w:marTop w:val="0"/>
      <w:marBottom w:val="0"/>
      <w:divBdr>
        <w:top w:val="none" w:sz="0" w:space="0" w:color="auto"/>
        <w:left w:val="none" w:sz="0" w:space="0" w:color="auto"/>
        <w:bottom w:val="none" w:sz="0" w:space="0" w:color="auto"/>
        <w:right w:val="none" w:sz="0" w:space="0" w:color="auto"/>
      </w:divBdr>
    </w:div>
    <w:div w:id="997610162">
      <w:bodyDiv w:val="1"/>
      <w:marLeft w:val="0"/>
      <w:marRight w:val="0"/>
      <w:marTop w:val="0"/>
      <w:marBottom w:val="0"/>
      <w:divBdr>
        <w:top w:val="none" w:sz="0" w:space="0" w:color="auto"/>
        <w:left w:val="none" w:sz="0" w:space="0" w:color="auto"/>
        <w:bottom w:val="none" w:sz="0" w:space="0" w:color="auto"/>
        <w:right w:val="none" w:sz="0" w:space="0" w:color="auto"/>
      </w:divBdr>
    </w:div>
    <w:div w:id="997734016">
      <w:bodyDiv w:val="1"/>
      <w:marLeft w:val="0"/>
      <w:marRight w:val="0"/>
      <w:marTop w:val="0"/>
      <w:marBottom w:val="0"/>
      <w:divBdr>
        <w:top w:val="none" w:sz="0" w:space="0" w:color="auto"/>
        <w:left w:val="none" w:sz="0" w:space="0" w:color="auto"/>
        <w:bottom w:val="none" w:sz="0" w:space="0" w:color="auto"/>
        <w:right w:val="none" w:sz="0" w:space="0" w:color="auto"/>
      </w:divBdr>
    </w:div>
    <w:div w:id="998659548">
      <w:bodyDiv w:val="1"/>
      <w:marLeft w:val="0"/>
      <w:marRight w:val="0"/>
      <w:marTop w:val="0"/>
      <w:marBottom w:val="0"/>
      <w:divBdr>
        <w:top w:val="none" w:sz="0" w:space="0" w:color="auto"/>
        <w:left w:val="none" w:sz="0" w:space="0" w:color="auto"/>
        <w:bottom w:val="none" w:sz="0" w:space="0" w:color="auto"/>
        <w:right w:val="none" w:sz="0" w:space="0" w:color="auto"/>
      </w:divBdr>
    </w:div>
    <w:div w:id="999312631">
      <w:bodyDiv w:val="1"/>
      <w:marLeft w:val="0"/>
      <w:marRight w:val="0"/>
      <w:marTop w:val="0"/>
      <w:marBottom w:val="0"/>
      <w:divBdr>
        <w:top w:val="none" w:sz="0" w:space="0" w:color="auto"/>
        <w:left w:val="none" w:sz="0" w:space="0" w:color="auto"/>
        <w:bottom w:val="none" w:sz="0" w:space="0" w:color="auto"/>
        <w:right w:val="none" w:sz="0" w:space="0" w:color="auto"/>
      </w:divBdr>
    </w:div>
    <w:div w:id="999770052">
      <w:bodyDiv w:val="1"/>
      <w:marLeft w:val="0"/>
      <w:marRight w:val="0"/>
      <w:marTop w:val="0"/>
      <w:marBottom w:val="0"/>
      <w:divBdr>
        <w:top w:val="none" w:sz="0" w:space="0" w:color="auto"/>
        <w:left w:val="none" w:sz="0" w:space="0" w:color="auto"/>
        <w:bottom w:val="none" w:sz="0" w:space="0" w:color="auto"/>
        <w:right w:val="none" w:sz="0" w:space="0" w:color="auto"/>
      </w:divBdr>
    </w:div>
    <w:div w:id="999849455">
      <w:bodyDiv w:val="1"/>
      <w:marLeft w:val="0"/>
      <w:marRight w:val="0"/>
      <w:marTop w:val="0"/>
      <w:marBottom w:val="0"/>
      <w:divBdr>
        <w:top w:val="none" w:sz="0" w:space="0" w:color="auto"/>
        <w:left w:val="none" w:sz="0" w:space="0" w:color="auto"/>
        <w:bottom w:val="none" w:sz="0" w:space="0" w:color="auto"/>
        <w:right w:val="none" w:sz="0" w:space="0" w:color="auto"/>
      </w:divBdr>
    </w:div>
    <w:div w:id="1000505112">
      <w:bodyDiv w:val="1"/>
      <w:marLeft w:val="0"/>
      <w:marRight w:val="0"/>
      <w:marTop w:val="0"/>
      <w:marBottom w:val="0"/>
      <w:divBdr>
        <w:top w:val="none" w:sz="0" w:space="0" w:color="auto"/>
        <w:left w:val="none" w:sz="0" w:space="0" w:color="auto"/>
        <w:bottom w:val="none" w:sz="0" w:space="0" w:color="auto"/>
        <w:right w:val="none" w:sz="0" w:space="0" w:color="auto"/>
      </w:divBdr>
    </w:div>
    <w:div w:id="1001201072">
      <w:bodyDiv w:val="1"/>
      <w:marLeft w:val="0"/>
      <w:marRight w:val="0"/>
      <w:marTop w:val="0"/>
      <w:marBottom w:val="0"/>
      <w:divBdr>
        <w:top w:val="none" w:sz="0" w:space="0" w:color="auto"/>
        <w:left w:val="none" w:sz="0" w:space="0" w:color="auto"/>
        <w:bottom w:val="none" w:sz="0" w:space="0" w:color="auto"/>
        <w:right w:val="none" w:sz="0" w:space="0" w:color="auto"/>
      </w:divBdr>
    </w:div>
    <w:div w:id="1006202466">
      <w:bodyDiv w:val="1"/>
      <w:marLeft w:val="0"/>
      <w:marRight w:val="0"/>
      <w:marTop w:val="0"/>
      <w:marBottom w:val="0"/>
      <w:divBdr>
        <w:top w:val="none" w:sz="0" w:space="0" w:color="auto"/>
        <w:left w:val="none" w:sz="0" w:space="0" w:color="auto"/>
        <w:bottom w:val="none" w:sz="0" w:space="0" w:color="auto"/>
        <w:right w:val="none" w:sz="0" w:space="0" w:color="auto"/>
      </w:divBdr>
    </w:div>
    <w:div w:id="1006254386">
      <w:bodyDiv w:val="1"/>
      <w:marLeft w:val="0"/>
      <w:marRight w:val="0"/>
      <w:marTop w:val="0"/>
      <w:marBottom w:val="0"/>
      <w:divBdr>
        <w:top w:val="none" w:sz="0" w:space="0" w:color="auto"/>
        <w:left w:val="none" w:sz="0" w:space="0" w:color="auto"/>
        <w:bottom w:val="none" w:sz="0" w:space="0" w:color="auto"/>
        <w:right w:val="none" w:sz="0" w:space="0" w:color="auto"/>
      </w:divBdr>
    </w:div>
    <w:div w:id="1006979041">
      <w:bodyDiv w:val="1"/>
      <w:marLeft w:val="0"/>
      <w:marRight w:val="0"/>
      <w:marTop w:val="0"/>
      <w:marBottom w:val="0"/>
      <w:divBdr>
        <w:top w:val="none" w:sz="0" w:space="0" w:color="auto"/>
        <w:left w:val="none" w:sz="0" w:space="0" w:color="auto"/>
        <w:bottom w:val="none" w:sz="0" w:space="0" w:color="auto"/>
        <w:right w:val="none" w:sz="0" w:space="0" w:color="auto"/>
      </w:divBdr>
    </w:div>
    <w:div w:id="1007488630">
      <w:bodyDiv w:val="1"/>
      <w:marLeft w:val="0"/>
      <w:marRight w:val="0"/>
      <w:marTop w:val="0"/>
      <w:marBottom w:val="0"/>
      <w:divBdr>
        <w:top w:val="none" w:sz="0" w:space="0" w:color="auto"/>
        <w:left w:val="none" w:sz="0" w:space="0" w:color="auto"/>
        <w:bottom w:val="none" w:sz="0" w:space="0" w:color="auto"/>
        <w:right w:val="none" w:sz="0" w:space="0" w:color="auto"/>
      </w:divBdr>
    </w:div>
    <w:div w:id="1008750321">
      <w:bodyDiv w:val="1"/>
      <w:marLeft w:val="0"/>
      <w:marRight w:val="0"/>
      <w:marTop w:val="0"/>
      <w:marBottom w:val="0"/>
      <w:divBdr>
        <w:top w:val="none" w:sz="0" w:space="0" w:color="auto"/>
        <w:left w:val="none" w:sz="0" w:space="0" w:color="auto"/>
        <w:bottom w:val="none" w:sz="0" w:space="0" w:color="auto"/>
        <w:right w:val="none" w:sz="0" w:space="0" w:color="auto"/>
      </w:divBdr>
    </w:div>
    <w:div w:id="1009723058">
      <w:bodyDiv w:val="1"/>
      <w:marLeft w:val="0"/>
      <w:marRight w:val="0"/>
      <w:marTop w:val="0"/>
      <w:marBottom w:val="0"/>
      <w:divBdr>
        <w:top w:val="none" w:sz="0" w:space="0" w:color="auto"/>
        <w:left w:val="none" w:sz="0" w:space="0" w:color="auto"/>
        <w:bottom w:val="none" w:sz="0" w:space="0" w:color="auto"/>
        <w:right w:val="none" w:sz="0" w:space="0" w:color="auto"/>
      </w:divBdr>
    </w:div>
    <w:div w:id="1010134792">
      <w:bodyDiv w:val="1"/>
      <w:marLeft w:val="0"/>
      <w:marRight w:val="0"/>
      <w:marTop w:val="0"/>
      <w:marBottom w:val="0"/>
      <w:divBdr>
        <w:top w:val="none" w:sz="0" w:space="0" w:color="auto"/>
        <w:left w:val="none" w:sz="0" w:space="0" w:color="auto"/>
        <w:bottom w:val="none" w:sz="0" w:space="0" w:color="auto"/>
        <w:right w:val="none" w:sz="0" w:space="0" w:color="auto"/>
      </w:divBdr>
    </w:div>
    <w:div w:id="1010254798">
      <w:bodyDiv w:val="1"/>
      <w:marLeft w:val="0"/>
      <w:marRight w:val="0"/>
      <w:marTop w:val="0"/>
      <w:marBottom w:val="0"/>
      <w:divBdr>
        <w:top w:val="none" w:sz="0" w:space="0" w:color="auto"/>
        <w:left w:val="none" w:sz="0" w:space="0" w:color="auto"/>
        <w:bottom w:val="none" w:sz="0" w:space="0" w:color="auto"/>
        <w:right w:val="none" w:sz="0" w:space="0" w:color="auto"/>
      </w:divBdr>
    </w:div>
    <w:div w:id="1011251528">
      <w:bodyDiv w:val="1"/>
      <w:marLeft w:val="0"/>
      <w:marRight w:val="0"/>
      <w:marTop w:val="0"/>
      <w:marBottom w:val="0"/>
      <w:divBdr>
        <w:top w:val="none" w:sz="0" w:space="0" w:color="auto"/>
        <w:left w:val="none" w:sz="0" w:space="0" w:color="auto"/>
        <w:bottom w:val="none" w:sz="0" w:space="0" w:color="auto"/>
        <w:right w:val="none" w:sz="0" w:space="0" w:color="auto"/>
      </w:divBdr>
    </w:div>
    <w:div w:id="1011294788">
      <w:bodyDiv w:val="1"/>
      <w:marLeft w:val="0"/>
      <w:marRight w:val="0"/>
      <w:marTop w:val="0"/>
      <w:marBottom w:val="0"/>
      <w:divBdr>
        <w:top w:val="none" w:sz="0" w:space="0" w:color="auto"/>
        <w:left w:val="none" w:sz="0" w:space="0" w:color="auto"/>
        <w:bottom w:val="none" w:sz="0" w:space="0" w:color="auto"/>
        <w:right w:val="none" w:sz="0" w:space="0" w:color="auto"/>
      </w:divBdr>
    </w:div>
    <w:div w:id="1011956244">
      <w:bodyDiv w:val="1"/>
      <w:marLeft w:val="0"/>
      <w:marRight w:val="0"/>
      <w:marTop w:val="0"/>
      <w:marBottom w:val="0"/>
      <w:divBdr>
        <w:top w:val="none" w:sz="0" w:space="0" w:color="auto"/>
        <w:left w:val="none" w:sz="0" w:space="0" w:color="auto"/>
        <w:bottom w:val="none" w:sz="0" w:space="0" w:color="auto"/>
        <w:right w:val="none" w:sz="0" w:space="0" w:color="auto"/>
      </w:divBdr>
    </w:div>
    <w:div w:id="1014303084">
      <w:bodyDiv w:val="1"/>
      <w:marLeft w:val="0"/>
      <w:marRight w:val="0"/>
      <w:marTop w:val="0"/>
      <w:marBottom w:val="0"/>
      <w:divBdr>
        <w:top w:val="none" w:sz="0" w:space="0" w:color="auto"/>
        <w:left w:val="none" w:sz="0" w:space="0" w:color="auto"/>
        <w:bottom w:val="none" w:sz="0" w:space="0" w:color="auto"/>
        <w:right w:val="none" w:sz="0" w:space="0" w:color="auto"/>
      </w:divBdr>
    </w:div>
    <w:div w:id="1018652378">
      <w:bodyDiv w:val="1"/>
      <w:marLeft w:val="0"/>
      <w:marRight w:val="0"/>
      <w:marTop w:val="0"/>
      <w:marBottom w:val="0"/>
      <w:divBdr>
        <w:top w:val="none" w:sz="0" w:space="0" w:color="auto"/>
        <w:left w:val="none" w:sz="0" w:space="0" w:color="auto"/>
        <w:bottom w:val="none" w:sz="0" w:space="0" w:color="auto"/>
        <w:right w:val="none" w:sz="0" w:space="0" w:color="auto"/>
      </w:divBdr>
    </w:div>
    <w:div w:id="1018850703">
      <w:bodyDiv w:val="1"/>
      <w:marLeft w:val="0"/>
      <w:marRight w:val="0"/>
      <w:marTop w:val="0"/>
      <w:marBottom w:val="0"/>
      <w:divBdr>
        <w:top w:val="none" w:sz="0" w:space="0" w:color="auto"/>
        <w:left w:val="none" w:sz="0" w:space="0" w:color="auto"/>
        <w:bottom w:val="none" w:sz="0" w:space="0" w:color="auto"/>
        <w:right w:val="none" w:sz="0" w:space="0" w:color="auto"/>
      </w:divBdr>
    </w:div>
    <w:div w:id="1022630987">
      <w:bodyDiv w:val="1"/>
      <w:marLeft w:val="0"/>
      <w:marRight w:val="0"/>
      <w:marTop w:val="0"/>
      <w:marBottom w:val="0"/>
      <w:divBdr>
        <w:top w:val="none" w:sz="0" w:space="0" w:color="auto"/>
        <w:left w:val="none" w:sz="0" w:space="0" w:color="auto"/>
        <w:bottom w:val="none" w:sz="0" w:space="0" w:color="auto"/>
        <w:right w:val="none" w:sz="0" w:space="0" w:color="auto"/>
      </w:divBdr>
    </w:div>
    <w:div w:id="1023362263">
      <w:bodyDiv w:val="1"/>
      <w:marLeft w:val="0"/>
      <w:marRight w:val="0"/>
      <w:marTop w:val="0"/>
      <w:marBottom w:val="0"/>
      <w:divBdr>
        <w:top w:val="none" w:sz="0" w:space="0" w:color="auto"/>
        <w:left w:val="none" w:sz="0" w:space="0" w:color="auto"/>
        <w:bottom w:val="none" w:sz="0" w:space="0" w:color="auto"/>
        <w:right w:val="none" w:sz="0" w:space="0" w:color="auto"/>
      </w:divBdr>
    </w:div>
    <w:div w:id="1024939770">
      <w:bodyDiv w:val="1"/>
      <w:marLeft w:val="0"/>
      <w:marRight w:val="0"/>
      <w:marTop w:val="0"/>
      <w:marBottom w:val="0"/>
      <w:divBdr>
        <w:top w:val="none" w:sz="0" w:space="0" w:color="auto"/>
        <w:left w:val="none" w:sz="0" w:space="0" w:color="auto"/>
        <w:bottom w:val="none" w:sz="0" w:space="0" w:color="auto"/>
        <w:right w:val="none" w:sz="0" w:space="0" w:color="auto"/>
      </w:divBdr>
    </w:div>
    <w:div w:id="1025597871">
      <w:bodyDiv w:val="1"/>
      <w:marLeft w:val="0"/>
      <w:marRight w:val="0"/>
      <w:marTop w:val="0"/>
      <w:marBottom w:val="0"/>
      <w:divBdr>
        <w:top w:val="none" w:sz="0" w:space="0" w:color="auto"/>
        <w:left w:val="none" w:sz="0" w:space="0" w:color="auto"/>
        <w:bottom w:val="none" w:sz="0" w:space="0" w:color="auto"/>
        <w:right w:val="none" w:sz="0" w:space="0" w:color="auto"/>
      </w:divBdr>
    </w:div>
    <w:div w:id="1029335162">
      <w:bodyDiv w:val="1"/>
      <w:marLeft w:val="0"/>
      <w:marRight w:val="0"/>
      <w:marTop w:val="0"/>
      <w:marBottom w:val="0"/>
      <w:divBdr>
        <w:top w:val="none" w:sz="0" w:space="0" w:color="auto"/>
        <w:left w:val="none" w:sz="0" w:space="0" w:color="auto"/>
        <w:bottom w:val="none" w:sz="0" w:space="0" w:color="auto"/>
        <w:right w:val="none" w:sz="0" w:space="0" w:color="auto"/>
      </w:divBdr>
    </w:div>
    <w:div w:id="1029794887">
      <w:bodyDiv w:val="1"/>
      <w:marLeft w:val="0"/>
      <w:marRight w:val="0"/>
      <w:marTop w:val="0"/>
      <w:marBottom w:val="0"/>
      <w:divBdr>
        <w:top w:val="none" w:sz="0" w:space="0" w:color="auto"/>
        <w:left w:val="none" w:sz="0" w:space="0" w:color="auto"/>
        <w:bottom w:val="none" w:sz="0" w:space="0" w:color="auto"/>
        <w:right w:val="none" w:sz="0" w:space="0" w:color="auto"/>
      </w:divBdr>
    </w:div>
    <w:div w:id="1030685311">
      <w:bodyDiv w:val="1"/>
      <w:marLeft w:val="0"/>
      <w:marRight w:val="0"/>
      <w:marTop w:val="0"/>
      <w:marBottom w:val="0"/>
      <w:divBdr>
        <w:top w:val="none" w:sz="0" w:space="0" w:color="auto"/>
        <w:left w:val="none" w:sz="0" w:space="0" w:color="auto"/>
        <w:bottom w:val="none" w:sz="0" w:space="0" w:color="auto"/>
        <w:right w:val="none" w:sz="0" w:space="0" w:color="auto"/>
      </w:divBdr>
    </w:div>
    <w:div w:id="1031109940">
      <w:bodyDiv w:val="1"/>
      <w:marLeft w:val="0"/>
      <w:marRight w:val="0"/>
      <w:marTop w:val="0"/>
      <w:marBottom w:val="0"/>
      <w:divBdr>
        <w:top w:val="none" w:sz="0" w:space="0" w:color="auto"/>
        <w:left w:val="none" w:sz="0" w:space="0" w:color="auto"/>
        <w:bottom w:val="none" w:sz="0" w:space="0" w:color="auto"/>
        <w:right w:val="none" w:sz="0" w:space="0" w:color="auto"/>
      </w:divBdr>
    </w:div>
    <w:div w:id="1031493228">
      <w:bodyDiv w:val="1"/>
      <w:marLeft w:val="0"/>
      <w:marRight w:val="0"/>
      <w:marTop w:val="0"/>
      <w:marBottom w:val="0"/>
      <w:divBdr>
        <w:top w:val="none" w:sz="0" w:space="0" w:color="auto"/>
        <w:left w:val="none" w:sz="0" w:space="0" w:color="auto"/>
        <w:bottom w:val="none" w:sz="0" w:space="0" w:color="auto"/>
        <w:right w:val="none" w:sz="0" w:space="0" w:color="auto"/>
      </w:divBdr>
    </w:div>
    <w:div w:id="1032920782">
      <w:bodyDiv w:val="1"/>
      <w:marLeft w:val="0"/>
      <w:marRight w:val="0"/>
      <w:marTop w:val="0"/>
      <w:marBottom w:val="0"/>
      <w:divBdr>
        <w:top w:val="none" w:sz="0" w:space="0" w:color="auto"/>
        <w:left w:val="none" w:sz="0" w:space="0" w:color="auto"/>
        <w:bottom w:val="none" w:sz="0" w:space="0" w:color="auto"/>
        <w:right w:val="none" w:sz="0" w:space="0" w:color="auto"/>
      </w:divBdr>
    </w:div>
    <w:div w:id="1033117071">
      <w:bodyDiv w:val="1"/>
      <w:marLeft w:val="0"/>
      <w:marRight w:val="0"/>
      <w:marTop w:val="0"/>
      <w:marBottom w:val="0"/>
      <w:divBdr>
        <w:top w:val="none" w:sz="0" w:space="0" w:color="auto"/>
        <w:left w:val="none" w:sz="0" w:space="0" w:color="auto"/>
        <w:bottom w:val="none" w:sz="0" w:space="0" w:color="auto"/>
        <w:right w:val="none" w:sz="0" w:space="0" w:color="auto"/>
      </w:divBdr>
    </w:div>
    <w:div w:id="1034116711">
      <w:bodyDiv w:val="1"/>
      <w:marLeft w:val="0"/>
      <w:marRight w:val="0"/>
      <w:marTop w:val="0"/>
      <w:marBottom w:val="0"/>
      <w:divBdr>
        <w:top w:val="none" w:sz="0" w:space="0" w:color="auto"/>
        <w:left w:val="none" w:sz="0" w:space="0" w:color="auto"/>
        <w:bottom w:val="none" w:sz="0" w:space="0" w:color="auto"/>
        <w:right w:val="none" w:sz="0" w:space="0" w:color="auto"/>
      </w:divBdr>
    </w:div>
    <w:div w:id="1035156285">
      <w:bodyDiv w:val="1"/>
      <w:marLeft w:val="0"/>
      <w:marRight w:val="0"/>
      <w:marTop w:val="0"/>
      <w:marBottom w:val="0"/>
      <w:divBdr>
        <w:top w:val="none" w:sz="0" w:space="0" w:color="auto"/>
        <w:left w:val="none" w:sz="0" w:space="0" w:color="auto"/>
        <w:bottom w:val="none" w:sz="0" w:space="0" w:color="auto"/>
        <w:right w:val="none" w:sz="0" w:space="0" w:color="auto"/>
      </w:divBdr>
    </w:div>
    <w:div w:id="1036083065">
      <w:bodyDiv w:val="1"/>
      <w:marLeft w:val="0"/>
      <w:marRight w:val="0"/>
      <w:marTop w:val="0"/>
      <w:marBottom w:val="0"/>
      <w:divBdr>
        <w:top w:val="none" w:sz="0" w:space="0" w:color="auto"/>
        <w:left w:val="none" w:sz="0" w:space="0" w:color="auto"/>
        <w:bottom w:val="none" w:sz="0" w:space="0" w:color="auto"/>
        <w:right w:val="none" w:sz="0" w:space="0" w:color="auto"/>
      </w:divBdr>
    </w:div>
    <w:div w:id="1037510879">
      <w:bodyDiv w:val="1"/>
      <w:marLeft w:val="0"/>
      <w:marRight w:val="0"/>
      <w:marTop w:val="0"/>
      <w:marBottom w:val="0"/>
      <w:divBdr>
        <w:top w:val="none" w:sz="0" w:space="0" w:color="auto"/>
        <w:left w:val="none" w:sz="0" w:space="0" w:color="auto"/>
        <w:bottom w:val="none" w:sz="0" w:space="0" w:color="auto"/>
        <w:right w:val="none" w:sz="0" w:space="0" w:color="auto"/>
      </w:divBdr>
    </w:div>
    <w:div w:id="1039236534">
      <w:bodyDiv w:val="1"/>
      <w:marLeft w:val="0"/>
      <w:marRight w:val="0"/>
      <w:marTop w:val="0"/>
      <w:marBottom w:val="0"/>
      <w:divBdr>
        <w:top w:val="none" w:sz="0" w:space="0" w:color="auto"/>
        <w:left w:val="none" w:sz="0" w:space="0" w:color="auto"/>
        <w:bottom w:val="none" w:sz="0" w:space="0" w:color="auto"/>
        <w:right w:val="none" w:sz="0" w:space="0" w:color="auto"/>
      </w:divBdr>
    </w:div>
    <w:div w:id="1041512125">
      <w:bodyDiv w:val="1"/>
      <w:marLeft w:val="0"/>
      <w:marRight w:val="0"/>
      <w:marTop w:val="0"/>
      <w:marBottom w:val="0"/>
      <w:divBdr>
        <w:top w:val="none" w:sz="0" w:space="0" w:color="auto"/>
        <w:left w:val="none" w:sz="0" w:space="0" w:color="auto"/>
        <w:bottom w:val="none" w:sz="0" w:space="0" w:color="auto"/>
        <w:right w:val="none" w:sz="0" w:space="0" w:color="auto"/>
      </w:divBdr>
    </w:div>
    <w:div w:id="1041633674">
      <w:bodyDiv w:val="1"/>
      <w:marLeft w:val="0"/>
      <w:marRight w:val="0"/>
      <w:marTop w:val="0"/>
      <w:marBottom w:val="0"/>
      <w:divBdr>
        <w:top w:val="none" w:sz="0" w:space="0" w:color="auto"/>
        <w:left w:val="none" w:sz="0" w:space="0" w:color="auto"/>
        <w:bottom w:val="none" w:sz="0" w:space="0" w:color="auto"/>
        <w:right w:val="none" w:sz="0" w:space="0" w:color="auto"/>
      </w:divBdr>
    </w:div>
    <w:div w:id="1046369305">
      <w:bodyDiv w:val="1"/>
      <w:marLeft w:val="0"/>
      <w:marRight w:val="0"/>
      <w:marTop w:val="0"/>
      <w:marBottom w:val="0"/>
      <w:divBdr>
        <w:top w:val="none" w:sz="0" w:space="0" w:color="auto"/>
        <w:left w:val="none" w:sz="0" w:space="0" w:color="auto"/>
        <w:bottom w:val="none" w:sz="0" w:space="0" w:color="auto"/>
        <w:right w:val="none" w:sz="0" w:space="0" w:color="auto"/>
      </w:divBdr>
    </w:div>
    <w:div w:id="1046442533">
      <w:bodyDiv w:val="1"/>
      <w:marLeft w:val="0"/>
      <w:marRight w:val="0"/>
      <w:marTop w:val="0"/>
      <w:marBottom w:val="0"/>
      <w:divBdr>
        <w:top w:val="none" w:sz="0" w:space="0" w:color="auto"/>
        <w:left w:val="none" w:sz="0" w:space="0" w:color="auto"/>
        <w:bottom w:val="none" w:sz="0" w:space="0" w:color="auto"/>
        <w:right w:val="none" w:sz="0" w:space="0" w:color="auto"/>
      </w:divBdr>
    </w:div>
    <w:div w:id="1047293745">
      <w:bodyDiv w:val="1"/>
      <w:marLeft w:val="0"/>
      <w:marRight w:val="0"/>
      <w:marTop w:val="0"/>
      <w:marBottom w:val="0"/>
      <w:divBdr>
        <w:top w:val="none" w:sz="0" w:space="0" w:color="auto"/>
        <w:left w:val="none" w:sz="0" w:space="0" w:color="auto"/>
        <w:bottom w:val="none" w:sz="0" w:space="0" w:color="auto"/>
        <w:right w:val="none" w:sz="0" w:space="0" w:color="auto"/>
      </w:divBdr>
    </w:div>
    <w:div w:id="1049111525">
      <w:bodyDiv w:val="1"/>
      <w:marLeft w:val="0"/>
      <w:marRight w:val="0"/>
      <w:marTop w:val="0"/>
      <w:marBottom w:val="0"/>
      <w:divBdr>
        <w:top w:val="none" w:sz="0" w:space="0" w:color="auto"/>
        <w:left w:val="none" w:sz="0" w:space="0" w:color="auto"/>
        <w:bottom w:val="none" w:sz="0" w:space="0" w:color="auto"/>
        <w:right w:val="none" w:sz="0" w:space="0" w:color="auto"/>
      </w:divBdr>
    </w:div>
    <w:div w:id="1052660073">
      <w:bodyDiv w:val="1"/>
      <w:marLeft w:val="0"/>
      <w:marRight w:val="0"/>
      <w:marTop w:val="0"/>
      <w:marBottom w:val="0"/>
      <w:divBdr>
        <w:top w:val="none" w:sz="0" w:space="0" w:color="auto"/>
        <w:left w:val="none" w:sz="0" w:space="0" w:color="auto"/>
        <w:bottom w:val="none" w:sz="0" w:space="0" w:color="auto"/>
        <w:right w:val="none" w:sz="0" w:space="0" w:color="auto"/>
      </w:divBdr>
    </w:div>
    <w:div w:id="1055549321">
      <w:bodyDiv w:val="1"/>
      <w:marLeft w:val="0"/>
      <w:marRight w:val="0"/>
      <w:marTop w:val="0"/>
      <w:marBottom w:val="0"/>
      <w:divBdr>
        <w:top w:val="none" w:sz="0" w:space="0" w:color="auto"/>
        <w:left w:val="none" w:sz="0" w:space="0" w:color="auto"/>
        <w:bottom w:val="none" w:sz="0" w:space="0" w:color="auto"/>
        <w:right w:val="none" w:sz="0" w:space="0" w:color="auto"/>
      </w:divBdr>
    </w:div>
    <w:div w:id="1055617934">
      <w:bodyDiv w:val="1"/>
      <w:marLeft w:val="0"/>
      <w:marRight w:val="0"/>
      <w:marTop w:val="0"/>
      <w:marBottom w:val="0"/>
      <w:divBdr>
        <w:top w:val="none" w:sz="0" w:space="0" w:color="auto"/>
        <w:left w:val="none" w:sz="0" w:space="0" w:color="auto"/>
        <w:bottom w:val="none" w:sz="0" w:space="0" w:color="auto"/>
        <w:right w:val="none" w:sz="0" w:space="0" w:color="auto"/>
      </w:divBdr>
    </w:div>
    <w:div w:id="1056003768">
      <w:bodyDiv w:val="1"/>
      <w:marLeft w:val="0"/>
      <w:marRight w:val="0"/>
      <w:marTop w:val="0"/>
      <w:marBottom w:val="0"/>
      <w:divBdr>
        <w:top w:val="none" w:sz="0" w:space="0" w:color="auto"/>
        <w:left w:val="none" w:sz="0" w:space="0" w:color="auto"/>
        <w:bottom w:val="none" w:sz="0" w:space="0" w:color="auto"/>
        <w:right w:val="none" w:sz="0" w:space="0" w:color="auto"/>
      </w:divBdr>
    </w:div>
    <w:div w:id="1056779546">
      <w:bodyDiv w:val="1"/>
      <w:marLeft w:val="0"/>
      <w:marRight w:val="0"/>
      <w:marTop w:val="0"/>
      <w:marBottom w:val="0"/>
      <w:divBdr>
        <w:top w:val="none" w:sz="0" w:space="0" w:color="auto"/>
        <w:left w:val="none" w:sz="0" w:space="0" w:color="auto"/>
        <w:bottom w:val="none" w:sz="0" w:space="0" w:color="auto"/>
        <w:right w:val="none" w:sz="0" w:space="0" w:color="auto"/>
      </w:divBdr>
    </w:div>
    <w:div w:id="1057512011">
      <w:bodyDiv w:val="1"/>
      <w:marLeft w:val="0"/>
      <w:marRight w:val="0"/>
      <w:marTop w:val="0"/>
      <w:marBottom w:val="0"/>
      <w:divBdr>
        <w:top w:val="none" w:sz="0" w:space="0" w:color="auto"/>
        <w:left w:val="none" w:sz="0" w:space="0" w:color="auto"/>
        <w:bottom w:val="none" w:sz="0" w:space="0" w:color="auto"/>
        <w:right w:val="none" w:sz="0" w:space="0" w:color="auto"/>
      </w:divBdr>
    </w:div>
    <w:div w:id="1057972392">
      <w:bodyDiv w:val="1"/>
      <w:marLeft w:val="0"/>
      <w:marRight w:val="0"/>
      <w:marTop w:val="0"/>
      <w:marBottom w:val="0"/>
      <w:divBdr>
        <w:top w:val="none" w:sz="0" w:space="0" w:color="auto"/>
        <w:left w:val="none" w:sz="0" w:space="0" w:color="auto"/>
        <w:bottom w:val="none" w:sz="0" w:space="0" w:color="auto"/>
        <w:right w:val="none" w:sz="0" w:space="0" w:color="auto"/>
      </w:divBdr>
    </w:div>
    <w:div w:id="1060784154">
      <w:bodyDiv w:val="1"/>
      <w:marLeft w:val="0"/>
      <w:marRight w:val="0"/>
      <w:marTop w:val="0"/>
      <w:marBottom w:val="0"/>
      <w:divBdr>
        <w:top w:val="none" w:sz="0" w:space="0" w:color="auto"/>
        <w:left w:val="none" w:sz="0" w:space="0" w:color="auto"/>
        <w:bottom w:val="none" w:sz="0" w:space="0" w:color="auto"/>
        <w:right w:val="none" w:sz="0" w:space="0" w:color="auto"/>
      </w:divBdr>
    </w:div>
    <w:div w:id="1060832992">
      <w:bodyDiv w:val="1"/>
      <w:marLeft w:val="0"/>
      <w:marRight w:val="0"/>
      <w:marTop w:val="0"/>
      <w:marBottom w:val="0"/>
      <w:divBdr>
        <w:top w:val="none" w:sz="0" w:space="0" w:color="auto"/>
        <w:left w:val="none" w:sz="0" w:space="0" w:color="auto"/>
        <w:bottom w:val="none" w:sz="0" w:space="0" w:color="auto"/>
        <w:right w:val="none" w:sz="0" w:space="0" w:color="auto"/>
      </w:divBdr>
    </w:div>
    <w:div w:id="1064109442">
      <w:bodyDiv w:val="1"/>
      <w:marLeft w:val="0"/>
      <w:marRight w:val="0"/>
      <w:marTop w:val="0"/>
      <w:marBottom w:val="0"/>
      <w:divBdr>
        <w:top w:val="none" w:sz="0" w:space="0" w:color="auto"/>
        <w:left w:val="none" w:sz="0" w:space="0" w:color="auto"/>
        <w:bottom w:val="none" w:sz="0" w:space="0" w:color="auto"/>
        <w:right w:val="none" w:sz="0" w:space="0" w:color="auto"/>
      </w:divBdr>
    </w:div>
    <w:div w:id="1064914707">
      <w:bodyDiv w:val="1"/>
      <w:marLeft w:val="0"/>
      <w:marRight w:val="0"/>
      <w:marTop w:val="0"/>
      <w:marBottom w:val="0"/>
      <w:divBdr>
        <w:top w:val="none" w:sz="0" w:space="0" w:color="auto"/>
        <w:left w:val="none" w:sz="0" w:space="0" w:color="auto"/>
        <w:bottom w:val="none" w:sz="0" w:space="0" w:color="auto"/>
        <w:right w:val="none" w:sz="0" w:space="0" w:color="auto"/>
      </w:divBdr>
    </w:div>
    <w:div w:id="1066147814">
      <w:bodyDiv w:val="1"/>
      <w:marLeft w:val="0"/>
      <w:marRight w:val="0"/>
      <w:marTop w:val="0"/>
      <w:marBottom w:val="0"/>
      <w:divBdr>
        <w:top w:val="none" w:sz="0" w:space="0" w:color="auto"/>
        <w:left w:val="none" w:sz="0" w:space="0" w:color="auto"/>
        <w:bottom w:val="none" w:sz="0" w:space="0" w:color="auto"/>
        <w:right w:val="none" w:sz="0" w:space="0" w:color="auto"/>
      </w:divBdr>
    </w:div>
    <w:div w:id="1067922271">
      <w:bodyDiv w:val="1"/>
      <w:marLeft w:val="0"/>
      <w:marRight w:val="0"/>
      <w:marTop w:val="0"/>
      <w:marBottom w:val="0"/>
      <w:divBdr>
        <w:top w:val="none" w:sz="0" w:space="0" w:color="auto"/>
        <w:left w:val="none" w:sz="0" w:space="0" w:color="auto"/>
        <w:bottom w:val="none" w:sz="0" w:space="0" w:color="auto"/>
        <w:right w:val="none" w:sz="0" w:space="0" w:color="auto"/>
      </w:divBdr>
    </w:div>
    <w:div w:id="1068766873">
      <w:bodyDiv w:val="1"/>
      <w:marLeft w:val="0"/>
      <w:marRight w:val="0"/>
      <w:marTop w:val="0"/>
      <w:marBottom w:val="0"/>
      <w:divBdr>
        <w:top w:val="none" w:sz="0" w:space="0" w:color="auto"/>
        <w:left w:val="none" w:sz="0" w:space="0" w:color="auto"/>
        <w:bottom w:val="none" w:sz="0" w:space="0" w:color="auto"/>
        <w:right w:val="none" w:sz="0" w:space="0" w:color="auto"/>
      </w:divBdr>
    </w:div>
    <w:div w:id="1069765118">
      <w:bodyDiv w:val="1"/>
      <w:marLeft w:val="0"/>
      <w:marRight w:val="0"/>
      <w:marTop w:val="0"/>
      <w:marBottom w:val="0"/>
      <w:divBdr>
        <w:top w:val="none" w:sz="0" w:space="0" w:color="auto"/>
        <w:left w:val="none" w:sz="0" w:space="0" w:color="auto"/>
        <w:bottom w:val="none" w:sz="0" w:space="0" w:color="auto"/>
        <w:right w:val="none" w:sz="0" w:space="0" w:color="auto"/>
      </w:divBdr>
    </w:div>
    <w:div w:id="1071388527">
      <w:bodyDiv w:val="1"/>
      <w:marLeft w:val="0"/>
      <w:marRight w:val="0"/>
      <w:marTop w:val="0"/>
      <w:marBottom w:val="0"/>
      <w:divBdr>
        <w:top w:val="none" w:sz="0" w:space="0" w:color="auto"/>
        <w:left w:val="none" w:sz="0" w:space="0" w:color="auto"/>
        <w:bottom w:val="none" w:sz="0" w:space="0" w:color="auto"/>
        <w:right w:val="none" w:sz="0" w:space="0" w:color="auto"/>
      </w:divBdr>
    </w:div>
    <w:div w:id="1073238334">
      <w:bodyDiv w:val="1"/>
      <w:marLeft w:val="0"/>
      <w:marRight w:val="0"/>
      <w:marTop w:val="0"/>
      <w:marBottom w:val="0"/>
      <w:divBdr>
        <w:top w:val="none" w:sz="0" w:space="0" w:color="auto"/>
        <w:left w:val="none" w:sz="0" w:space="0" w:color="auto"/>
        <w:bottom w:val="none" w:sz="0" w:space="0" w:color="auto"/>
        <w:right w:val="none" w:sz="0" w:space="0" w:color="auto"/>
      </w:divBdr>
    </w:div>
    <w:div w:id="1075275050">
      <w:bodyDiv w:val="1"/>
      <w:marLeft w:val="0"/>
      <w:marRight w:val="0"/>
      <w:marTop w:val="0"/>
      <w:marBottom w:val="0"/>
      <w:divBdr>
        <w:top w:val="none" w:sz="0" w:space="0" w:color="auto"/>
        <w:left w:val="none" w:sz="0" w:space="0" w:color="auto"/>
        <w:bottom w:val="none" w:sz="0" w:space="0" w:color="auto"/>
        <w:right w:val="none" w:sz="0" w:space="0" w:color="auto"/>
      </w:divBdr>
    </w:div>
    <w:div w:id="1075319508">
      <w:bodyDiv w:val="1"/>
      <w:marLeft w:val="0"/>
      <w:marRight w:val="0"/>
      <w:marTop w:val="0"/>
      <w:marBottom w:val="0"/>
      <w:divBdr>
        <w:top w:val="none" w:sz="0" w:space="0" w:color="auto"/>
        <w:left w:val="none" w:sz="0" w:space="0" w:color="auto"/>
        <w:bottom w:val="none" w:sz="0" w:space="0" w:color="auto"/>
        <w:right w:val="none" w:sz="0" w:space="0" w:color="auto"/>
      </w:divBdr>
    </w:div>
    <w:div w:id="1076126801">
      <w:bodyDiv w:val="1"/>
      <w:marLeft w:val="0"/>
      <w:marRight w:val="0"/>
      <w:marTop w:val="0"/>
      <w:marBottom w:val="0"/>
      <w:divBdr>
        <w:top w:val="none" w:sz="0" w:space="0" w:color="auto"/>
        <w:left w:val="none" w:sz="0" w:space="0" w:color="auto"/>
        <w:bottom w:val="none" w:sz="0" w:space="0" w:color="auto"/>
        <w:right w:val="none" w:sz="0" w:space="0" w:color="auto"/>
      </w:divBdr>
    </w:div>
    <w:div w:id="1077362065">
      <w:bodyDiv w:val="1"/>
      <w:marLeft w:val="0"/>
      <w:marRight w:val="0"/>
      <w:marTop w:val="0"/>
      <w:marBottom w:val="0"/>
      <w:divBdr>
        <w:top w:val="none" w:sz="0" w:space="0" w:color="auto"/>
        <w:left w:val="none" w:sz="0" w:space="0" w:color="auto"/>
        <w:bottom w:val="none" w:sz="0" w:space="0" w:color="auto"/>
        <w:right w:val="none" w:sz="0" w:space="0" w:color="auto"/>
      </w:divBdr>
    </w:div>
    <w:div w:id="1078403855">
      <w:bodyDiv w:val="1"/>
      <w:marLeft w:val="0"/>
      <w:marRight w:val="0"/>
      <w:marTop w:val="0"/>
      <w:marBottom w:val="0"/>
      <w:divBdr>
        <w:top w:val="none" w:sz="0" w:space="0" w:color="auto"/>
        <w:left w:val="none" w:sz="0" w:space="0" w:color="auto"/>
        <w:bottom w:val="none" w:sz="0" w:space="0" w:color="auto"/>
        <w:right w:val="none" w:sz="0" w:space="0" w:color="auto"/>
      </w:divBdr>
    </w:div>
    <w:div w:id="1081950986">
      <w:bodyDiv w:val="1"/>
      <w:marLeft w:val="0"/>
      <w:marRight w:val="0"/>
      <w:marTop w:val="0"/>
      <w:marBottom w:val="0"/>
      <w:divBdr>
        <w:top w:val="none" w:sz="0" w:space="0" w:color="auto"/>
        <w:left w:val="none" w:sz="0" w:space="0" w:color="auto"/>
        <w:bottom w:val="none" w:sz="0" w:space="0" w:color="auto"/>
        <w:right w:val="none" w:sz="0" w:space="0" w:color="auto"/>
      </w:divBdr>
    </w:div>
    <w:div w:id="1082752457">
      <w:bodyDiv w:val="1"/>
      <w:marLeft w:val="0"/>
      <w:marRight w:val="0"/>
      <w:marTop w:val="0"/>
      <w:marBottom w:val="0"/>
      <w:divBdr>
        <w:top w:val="none" w:sz="0" w:space="0" w:color="auto"/>
        <w:left w:val="none" w:sz="0" w:space="0" w:color="auto"/>
        <w:bottom w:val="none" w:sz="0" w:space="0" w:color="auto"/>
        <w:right w:val="none" w:sz="0" w:space="0" w:color="auto"/>
      </w:divBdr>
    </w:div>
    <w:div w:id="1084492488">
      <w:bodyDiv w:val="1"/>
      <w:marLeft w:val="0"/>
      <w:marRight w:val="0"/>
      <w:marTop w:val="0"/>
      <w:marBottom w:val="0"/>
      <w:divBdr>
        <w:top w:val="none" w:sz="0" w:space="0" w:color="auto"/>
        <w:left w:val="none" w:sz="0" w:space="0" w:color="auto"/>
        <w:bottom w:val="none" w:sz="0" w:space="0" w:color="auto"/>
        <w:right w:val="none" w:sz="0" w:space="0" w:color="auto"/>
      </w:divBdr>
    </w:div>
    <w:div w:id="1085952605">
      <w:bodyDiv w:val="1"/>
      <w:marLeft w:val="0"/>
      <w:marRight w:val="0"/>
      <w:marTop w:val="0"/>
      <w:marBottom w:val="0"/>
      <w:divBdr>
        <w:top w:val="none" w:sz="0" w:space="0" w:color="auto"/>
        <w:left w:val="none" w:sz="0" w:space="0" w:color="auto"/>
        <w:bottom w:val="none" w:sz="0" w:space="0" w:color="auto"/>
        <w:right w:val="none" w:sz="0" w:space="0" w:color="auto"/>
      </w:divBdr>
    </w:div>
    <w:div w:id="1087188972">
      <w:bodyDiv w:val="1"/>
      <w:marLeft w:val="0"/>
      <w:marRight w:val="0"/>
      <w:marTop w:val="0"/>
      <w:marBottom w:val="0"/>
      <w:divBdr>
        <w:top w:val="none" w:sz="0" w:space="0" w:color="auto"/>
        <w:left w:val="none" w:sz="0" w:space="0" w:color="auto"/>
        <w:bottom w:val="none" w:sz="0" w:space="0" w:color="auto"/>
        <w:right w:val="none" w:sz="0" w:space="0" w:color="auto"/>
      </w:divBdr>
    </w:div>
    <w:div w:id="1090353724">
      <w:bodyDiv w:val="1"/>
      <w:marLeft w:val="0"/>
      <w:marRight w:val="0"/>
      <w:marTop w:val="0"/>
      <w:marBottom w:val="0"/>
      <w:divBdr>
        <w:top w:val="none" w:sz="0" w:space="0" w:color="auto"/>
        <w:left w:val="none" w:sz="0" w:space="0" w:color="auto"/>
        <w:bottom w:val="none" w:sz="0" w:space="0" w:color="auto"/>
        <w:right w:val="none" w:sz="0" w:space="0" w:color="auto"/>
      </w:divBdr>
    </w:div>
    <w:div w:id="1093088675">
      <w:bodyDiv w:val="1"/>
      <w:marLeft w:val="0"/>
      <w:marRight w:val="0"/>
      <w:marTop w:val="0"/>
      <w:marBottom w:val="0"/>
      <w:divBdr>
        <w:top w:val="none" w:sz="0" w:space="0" w:color="auto"/>
        <w:left w:val="none" w:sz="0" w:space="0" w:color="auto"/>
        <w:bottom w:val="none" w:sz="0" w:space="0" w:color="auto"/>
        <w:right w:val="none" w:sz="0" w:space="0" w:color="auto"/>
      </w:divBdr>
    </w:div>
    <w:div w:id="1097140482">
      <w:bodyDiv w:val="1"/>
      <w:marLeft w:val="0"/>
      <w:marRight w:val="0"/>
      <w:marTop w:val="0"/>
      <w:marBottom w:val="0"/>
      <w:divBdr>
        <w:top w:val="none" w:sz="0" w:space="0" w:color="auto"/>
        <w:left w:val="none" w:sz="0" w:space="0" w:color="auto"/>
        <w:bottom w:val="none" w:sz="0" w:space="0" w:color="auto"/>
        <w:right w:val="none" w:sz="0" w:space="0" w:color="auto"/>
      </w:divBdr>
    </w:div>
    <w:div w:id="1098718598">
      <w:bodyDiv w:val="1"/>
      <w:marLeft w:val="0"/>
      <w:marRight w:val="0"/>
      <w:marTop w:val="0"/>
      <w:marBottom w:val="0"/>
      <w:divBdr>
        <w:top w:val="none" w:sz="0" w:space="0" w:color="auto"/>
        <w:left w:val="none" w:sz="0" w:space="0" w:color="auto"/>
        <w:bottom w:val="none" w:sz="0" w:space="0" w:color="auto"/>
        <w:right w:val="none" w:sz="0" w:space="0" w:color="auto"/>
      </w:divBdr>
    </w:div>
    <w:div w:id="1099985607">
      <w:bodyDiv w:val="1"/>
      <w:marLeft w:val="0"/>
      <w:marRight w:val="0"/>
      <w:marTop w:val="0"/>
      <w:marBottom w:val="0"/>
      <w:divBdr>
        <w:top w:val="none" w:sz="0" w:space="0" w:color="auto"/>
        <w:left w:val="none" w:sz="0" w:space="0" w:color="auto"/>
        <w:bottom w:val="none" w:sz="0" w:space="0" w:color="auto"/>
        <w:right w:val="none" w:sz="0" w:space="0" w:color="auto"/>
      </w:divBdr>
    </w:div>
    <w:div w:id="1101147182">
      <w:bodyDiv w:val="1"/>
      <w:marLeft w:val="0"/>
      <w:marRight w:val="0"/>
      <w:marTop w:val="0"/>
      <w:marBottom w:val="0"/>
      <w:divBdr>
        <w:top w:val="none" w:sz="0" w:space="0" w:color="auto"/>
        <w:left w:val="none" w:sz="0" w:space="0" w:color="auto"/>
        <w:bottom w:val="none" w:sz="0" w:space="0" w:color="auto"/>
        <w:right w:val="none" w:sz="0" w:space="0" w:color="auto"/>
      </w:divBdr>
    </w:div>
    <w:div w:id="1101725932">
      <w:bodyDiv w:val="1"/>
      <w:marLeft w:val="0"/>
      <w:marRight w:val="0"/>
      <w:marTop w:val="0"/>
      <w:marBottom w:val="0"/>
      <w:divBdr>
        <w:top w:val="none" w:sz="0" w:space="0" w:color="auto"/>
        <w:left w:val="none" w:sz="0" w:space="0" w:color="auto"/>
        <w:bottom w:val="none" w:sz="0" w:space="0" w:color="auto"/>
        <w:right w:val="none" w:sz="0" w:space="0" w:color="auto"/>
      </w:divBdr>
    </w:div>
    <w:div w:id="1102339339">
      <w:bodyDiv w:val="1"/>
      <w:marLeft w:val="0"/>
      <w:marRight w:val="0"/>
      <w:marTop w:val="0"/>
      <w:marBottom w:val="0"/>
      <w:divBdr>
        <w:top w:val="none" w:sz="0" w:space="0" w:color="auto"/>
        <w:left w:val="none" w:sz="0" w:space="0" w:color="auto"/>
        <w:bottom w:val="none" w:sz="0" w:space="0" w:color="auto"/>
        <w:right w:val="none" w:sz="0" w:space="0" w:color="auto"/>
      </w:divBdr>
    </w:div>
    <w:div w:id="1103453627">
      <w:bodyDiv w:val="1"/>
      <w:marLeft w:val="0"/>
      <w:marRight w:val="0"/>
      <w:marTop w:val="0"/>
      <w:marBottom w:val="0"/>
      <w:divBdr>
        <w:top w:val="none" w:sz="0" w:space="0" w:color="auto"/>
        <w:left w:val="none" w:sz="0" w:space="0" w:color="auto"/>
        <w:bottom w:val="none" w:sz="0" w:space="0" w:color="auto"/>
        <w:right w:val="none" w:sz="0" w:space="0" w:color="auto"/>
      </w:divBdr>
    </w:div>
    <w:div w:id="1103496097">
      <w:bodyDiv w:val="1"/>
      <w:marLeft w:val="0"/>
      <w:marRight w:val="0"/>
      <w:marTop w:val="0"/>
      <w:marBottom w:val="0"/>
      <w:divBdr>
        <w:top w:val="none" w:sz="0" w:space="0" w:color="auto"/>
        <w:left w:val="none" w:sz="0" w:space="0" w:color="auto"/>
        <w:bottom w:val="none" w:sz="0" w:space="0" w:color="auto"/>
        <w:right w:val="none" w:sz="0" w:space="0" w:color="auto"/>
      </w:divBdr>
    </w:div>
    <w:div w:id="1105425969">
      <w:bodyDiv w:val="1"/>
      <w:marLeft w:val="0"/>
      <w:marRight w:val="0"/>
      <w:marTop w:val="0"/>
      <w:marBottom w:val="0"/>
      <w:divBdr>
        <w:top w:val="none" w:sz="0" w:space="0" w:color="auto"/>
        <w:left w:val="none" w:sz="0" w:space="0" w:color="auto"/>
        <w:bottom w:val="none" w:sz="0" w:space="0" w:color="auto"/>
        <w:right w:val="none" w:sz="0" w:space="0" w:color="auto"/>
      </w:divBdr>
    </w:div>
    <w:div w:id="1107312880">
      <w:bodyDiv w:val="1"/>
      <w:marLeft w:val="0"/>
      <w:marRight w:val="0"/>
      <w:marTop w:val="0"/>
      <w:marBottom w:val="0"/>
      <w:divBdr>
        <w:top w:val="none" w:sz="0" w:space="0" w:color="auto"/>
        <w:left w:val="none" w:sz="0" w:space="0" w:color="auto"/>
        <w:bottom w:val="none" w:sz="0" w:space="0" w:color="auto"/>
        <w:right w:val="none" w:sz="0" w:space="0" w:color="auto"/>
      </w:divBdr>
    </w:div>
    <w:div w:id="1107696376">
      <w:bodyDiv w:val="1"/>
      <w:marLeft w:val="0"/>
      <w:marRight w:val="0"/>
      <w:marTop w:val="0"/>
      <w:marBottom w:val="0"/>
      <w:divBdr>
        <w:top w:val="none" w:sz="0" w:space="0" w:color="auto"/>
        <w:left w:val="none" w:sz="0" w:space="0" w:color="auto"/>
        <w:bottom w:val="none" w:sz="0" w:space="0" w:color="auto"/>
        <w:right w:val="none" w:sz="0" w:space="0" w:color="auto"/>
      </w:divBdr>
    </w:div>
    <w:div w:id="1108695451">
      <w:bodyDiv w:val="1"/>
      <w:marLeft w:val="0"/>
      <w:marRight w:val="0"/>
      <w:marTop w:val="0"/>
      <w:marBottom w:val="0"/>
      <w:divBdr>
        <w:top w:val="none" w:sz="0" w:space="0" w:color="auto"/>
        <w:left w:val="none" w:sz="0" w:space="0" w:color="auto"/>
        <w:bottom w:val="none" w:sz="0" w:space="0" w:color="auto"/>
        <w:right w:val="none" w:sz="0" w:space="0" w:color="auto"/>
      </w:divBdr>
    </w:div>
    <w:div w:id="1108962118">
      <w:bodyDiv w:val="1"/>
      <w:marLeft w:val="0"/>
      <w:marRight w:val="0"/>
      <w:marTop w:val="0"/>
      <w:marBottom w:val="0"/>
      <w:divBdr>
        <w:top w:val="none" w:sz="0" w:space="0" w:color="auto"/>
        <w:left w:val="none" w:sz="0" w:space="0" w:color="auto"/>
        <w:bottom w:val="none" w:sz="0" w:space="0" w:color="auto"/>
        <w:right w:val="none" w:sz="0" w:space="0" w:color="auto"/>
      </w:divBdr>
    </w:div>
    <w:div w:id="1109467186">
      <w:bodyDiv w:val="1"/>
      <w:marLeft w:val="0"/>
      <w:marRight w:val="0"/>
      <w:marTop w:val="0"/>
      <w:marBottom w:val="0"/>
      <w:divBdr>
        <w:top w:val="none" w:sz="0" w:space="0" w:color="auto"/>
        <w:left w:val="none" w:sz="0" w:space="0" w:color="auto"/>
        <w:bottom w:val="none" w:sz="0" w:space="0" w:color="auto"/>
        <w:right w:val="none" w:sz="0" w:space="0" w:color="auto"/>
      </w:divBdr>
    </w:div>
    <w:div w:id="1109810247">
      <w:bodyDiv w:val="1"/>
      <w:marLeft w:val="0"/>
      <w:marRight w:val="0"/>
      <w:marTop w:val="0"/>
      <w:marBottom w:val="0"/>
      <w:divBdr>
        <w:top w:val="none" w:sz="0" w:space="0" w:color="auto"/>
        <w:left w:val="none" w:sz="0" w:space="0" w:color="auto"/>
        <w:bottom w:val="none" w:sz="0" w:space="0" w:color="auto"/>
        <w:right w:val="none" w:sz="0" w:space="0" w:color="auto"/>
      </w:divBdr>
    </w:div>
    <w:div w:id="1109929210">
      <w:bodyDiv w:val="1"/>
      <w:marLeft w:val="0"/>
      <w:marRight w:val="0"/>
      <w:marTop w:val="0"/>
      <w:marBottom w:val="0"/>
      <w:divBdr>
        <w:top w:val="none" w:sz="0" w:space="0" w:color="auto"/>
        <w:left w:val="none" w:sz="0" w:space="0" w:color="auto"/>
        <w:bottom w:val="none" w:sz="0" w:space="0" w:color="auto"/>
        <w:right w:val="none" w:sz="0" w:space="0" w:color="auto"/>
      </w:divBdr>
    </w:div>
    <w:div w:id="1110853599">
      <w:bodyDiv w:val="1"/>
      <w:marLeft w:val="0"/>
      <w:marRight w:val="0"/>
      <w:marTop w:val="0"/>
      <w:marBottom w:val="0"/>
      <w:divBdr>
        <w:top w:val="none" w:sz="0" w:space="0" w:color="auto"/>
        <w:left w:val="none" w:sz="0" w:space="0" w:color="auto"/>
        <w:bottom w:val="none" w:sz="0" w:space="0" w:color="auto"/>
        <w:right w:val="none" w:sz="0" w:space="0" w:color="auto"/>
      </w:divBdr>
    </w:div>
    <w:div w:id="1110978049">
      <w:bodyDiv w:val="1"/>
      <w:marLeft w:val="0"/>
      <w:marRight w:val="0"/>
      <w:marTop w:val="0"/>
      <w:marBottom w:val="0"/>
      <w:divBdr>
        <w:top w:val="none" w:sz="0" w:space="0" w:color="auto"/>
        <w:left w:val="none" w:sz="0" w:space="0" w:color="auto"/>
        <w:bottom w:val="none" w:sz="0" w:space="0" w:color="auto"/>
        <w:right w:val="none" w:sz="0" w:space="0" w:color="auto"/>
      </w:divBdr>
    </w:div>
    <w:div w:id="1114444995">
      <w:bodyDiv w:val="1"/>
      <w:marLeft w:val="0"/>
      <w:marRight w:val="0"/>
      <w:marTop w:val="0"/>
      <w:marBottom w:val="0"/>
      <w:divBdr>
        <w:top w:val="none" w:sz="0" w:space="0" w:color="auto"/>
        <w:left w:val="none" w:sz="0" w:space="0" w:color="auto"/>
        <w:bottom w:val="none" w:sz="0" w:space="0" w:color="auto"/>
        <w:right w:val="none" w:sz="0" w:space="0" w:color="auto"/>
      </w:divBdr>
    </w:div>
    <w:div w:id="1116145109">
      <w:bodyDiv w:val="1"/>
      <w:marLeft w:val="0"/>
      <w:marRight w:val="0"/>
      <w:marTop w:val="0"/>
      <w:marBottom w:val="0"/>
      <w:divBdr>
        <w:top w:val="none" w:sz="0" w:space="0" w:color="auto"/>
        <w:left w:val="none" w:sz="0" w:space="0" w:color="auto"/>
        <w:bottom w:val="none" w:sz="0" w:space="0" w:color="auto"/>
        <w:right w:val="none" w:sz="0" w:space="0" w:color="auto"/>
      </w:divBdr>
    </w:div>
    <w:div w:id="1118328380">
      <w:bodyDiv w:val="1"/>
      <w:marLeft w:val="0"/>
      <w:marRight w:val="0"/>
      <w:marTop w:val="0"/>
      <w:marBottom w:val="0"/>
      <w:divBdr>
        <w:top w:val="none" w:sz="0" w:space="0" w:color="auto"/>
        <w:left w:val="none" w:sz="0" w:space="0" w:color="auto"/>
        <w:bottom w:val="none" w:sz="0" w:space="0" w:color="auto"/>
        <w:right w:val="none" w:sz="0" w:space="0" w:color="auto"/>
      </w:divBdr>
    </w:div>
    <w:div w:id="1118766865">
      <w:bodyDiv w:val="1"/>
      <w:marLeft w:val="0"/>
      <w:marRight w:val="0"/>
      <w:marTop w:val="0"/>
      <w:marBottom w:val="0"/>
      <w:divBdr>
        <w:top w:val="none" w:sz="0" w:space="0" w:color="auto"/>
        <w:left w:val="none" w:sz="0" w:space="0" w:color="auto"/>
        <w:bottom w:val="none" w:sz="0" w:space="0" w:color="auto"/>
        <w:right w:val="none" w:sz="0" w:space="0" w:color="auto"/>
      </w:divBdr>
    </w:div>
    <w:div w:id="1118797479">
      <w:bodyDiv w:val="1"/>
      <w:marLeft w:val="0"/>
      <w:marRight w:val="0"/>
      <w:marTop w:val="0"/>
      <w:marBottom w:val="0"/>
      <w:divBdr>
        <w:top w:val="none" w:sz="0" w:space="0" w:color="auto"/>
        <w:left w:val="none" w:sz="0" w:space="0" w:color="auto"/>
        <w:bottom w:val="none" w:sz="0" w:space="0" w:color="auto"/>
        <w:right w:val="none" w:sz="0" w:space="0" w:color="auto"/>
      </w:divBdr>
    </w:div>
    <w:div w:id="1120151321">
      <w:bodyDiv w:val="1"/>
      <w:marLeft w:val="0"/>
      <w:marRight w:val="0"/>
      <w:marTop w:val="0"/>
      <w:marBottom w:val="0"/>
      <w:divBdr>
        <w:top w:val="none" w:sz="0" w:space="0" w:color="auto"/>
        <w:left w:val="none" w:sz="0" w:space="0" w:color="auto"/>
        <w:bottom w:val="none" w:sz="0" w:space="0" w:color="auto"/>
        <w:right w:val="none" w:sz="0" w:space="0" w:color="auto"/>
      </w:divBdr>
    </w:div>
    <w:div w:id="1123500571">
      <w:bodyDiv w:val="1"/>
      <w:marLeft w:val="0"/>
      <w:marRight w:val="0"/>
      <w:marTop w:val="0"/>
      <w:marBottom w:val="0"/>
      <w:divBdr>
        <w:top w:val="none" w:sz="0" w:space="0" w:color="auto"/>
        <w:left w:val="none" w:sz="0" w:space="0" w:color="auto"/>
        <w:bottom w:val="none" w:sz="0" w:space="0" w:color="auto"/>
        <w:right w:val="none" w:sz="0" w:space="0" w:color="auto"/>
      </w:divBdr>
    </w:div>
    <w:div w:id="1123620161">
      <w:bodyDiv w:val="1"/>
      <w:marLeft w:val="0"/>
      <w:marRight w:val="0"/>
      <w:marTop w:val="0"/>
      <w:marBottom w:val="0"/>
      <w:divBdr>
        <w:top w:val="none" w:sz="0" w:space="0" w:color="auto"/>
        <w:left w:val="none" w:sz="0" w:space="0" w:color="auto"/>
        <w:bottom w:val="none" w:sz="0" w:space="0" w:color="auto"/>
        <w:right w:val="none" w:sz="0" w:space="0" w:color="auto"/>
      </w:divBdr>
    </w:div>
    <w:div w:id="1124276699">
      <w:bodyDiv w:val="1"/>
      <w:marLeft w:val="0"/>
      <w:marRight w:val="0"/>
      <w:marTop w:val="0"/>
      <w:marBottom w:val="0"/>
      <w:divBdr>
        <w:top w:val="none" w:sz="0" w:space="0" w:color="auto"/>
        <w:left w:val="none" w:sz="0" w:space="0" w:color="auto"/>
        <w:bottom w:val="none" w:sz="0" w:space="0" w:color="auto"/>
        <w:right w:val="none" w:sz="0" w:space="0" w:color="auto"/>
      </w:divBdr>
    </w:div>
    <w:div w:id="1124812037">
      <w:bodyDiv w:val="1"/>
      <w:marLeft w:val="0"/>
      <w:marRight w:val="0"/>
      <w:marTop w:val="0"/>
      <w:marBottom w:val="0"/>
      <w:divBdr>
        <w:top w:val="none" w:sz="0" w:space="0" w:color="auto"/>
        <w:left w:val="none" w:sz="0" w:space="0" w:color="auto"/>
        <w:bottom w:val="none" w:sz="0" w:space="0" w:color="auto"/>
        <w:right w:val="none" w:sz="0" w:space="0" w:color="auto"/>
      </w:divBdr>
    </w:div>
    <w:div w:id="1125079905">
      <w:bodyDiv w:val="1"/>
      <w:marLeft w:val="0"/>
      <w:marRight w:val="0"/>
      <w:marTop w:val="0"/>
      <w:marBottom w:val="0"/>
      <w:divBdr>
        <w:top w:val="none" w:sz="0" w:space="0" w:color="auto"/>
        <w:left w:val="none" w:sz="0" w:space="0" w:color="auto"/>
        <w:bottom w:val="none" w:sz="0" w:space="0" w:color="auto"/>
        <w:right w:val="none" w:sz="0" w:space="0" w:color="auto"/>
      </w:divBdr>
    </w:div>
    <w:div w:id="1126122539">
      <w:bodyDiv w:val="1"/>
      <w:marLeft w:val="0"/>
      <w:marRight w:val="0"/>
      <w:marTop w:val="0"/>
      <w:marBottom w:val="0"/>
      <w:divBdr>
        <w:top w:val="none" w:sz="0" w:space="0" w:color="auto"/>
        <w:left w:val="none" w:sz="0" w:space="0" w:color="auto"/>
        <w:bottom w:val="none" w:sz="0" w:space="0" w:color="auto"/>
        <w:right w:val="none" w:sz="0" w:space="0" w:color="auto"/>
      </w:divBdr>
    </w:div>
    <w:div w:id="1126243457">
      <w:bodyDiv w:val="1"/>
      <w:marLeft w:val="0"/>
      <w:marRight w:val="0"/>
      <w:marTop w:val="0"/>
      <w:marBottom w:val="0"/>
      <w:divBdr>
        <w:top w:val="none" w:sz="0" w:space="0" w:color="auto"/>
        <w:left w:val="none" w:sz="0" w:space="0" w:color="auto"/>
        <w:bottom w:val="none" w:sz="0" w:space="0" w:color="auto"/>
        <w:right w:val="none" w:sz="0" w:space="0" w:color="auto"/>
      </w:divBdr>
    </w:div>
    <w:div w:id="1126852058">
      <w:bodyDiv w:val="1"/>
      <w:marLeft w:val="0"/>
      <w:marRight w:val="0"/>
      <w:marTop w:val="0"/>
      <w:marBottom w:val="0"/>
      <w:divBdr>
        <w:top w:val="none" w:sz="0" w:space="0" w:color="auto"/>
        <w:left w:val="none" w:sz="0" w:space="0" w:color="auto"/>
        <w:bottom w:val="none" w:sz="0" w:space="0" w:color="auto"/>
        <w:right w:val="none" w:sz="0" w:space="0" w:color="auto"/>
      </w:divBdr>
    </w:div>
    <w:div w:id="1129710453">
      <w:bodyDiv w:val="1"/>
      <w:marLeft w:val="0"/>
      <w:marRight w:val="0"/>
      <w:marTop w:val="0"/>
      <w:marBottom w:val="0"/>
      <w:divBdr>
        <w:top w:val="none" w:sz="0" w:space="0" w:color="auto"/>
        <w:left w:val="none" w:sz="0" w:space="0" w:color="auto"/>
        <w:bottom w:val="none" w:sz="0" w:space="0" w:color="auto"/>
        <w:right w:val="none" w:sz="0" w:space="0" w:color="auto"/>
      </w:divBdr>
    </w:div>
    <w:div w:id="1130709962">
      <w:bodyDiv w:val="1"/>
      <w:marLeft w:val="0"/>
      <w:marRight w:val="0"/>
      <w:marTop w:val="0"/>
      <w:marBottom w:val="0"/>
      <w:divBdr>
        <w:top w:val="none" w:sz="0" w:space="0" w:color="auto"/>
        <w:left w:val="none" w:sz="0" w:space="0" w:color="auto"/>
        <w:bottom w:val="none" w:sz="0" w:space="0" w:color="auto"/>
        <w:right w:val="none" w:sz="0" w:space="0" w:color="auto"/>
      </w:divBdr>
    </w:div>
    <w:div w:id="1131173903">
      <w:bodyDiv w:val="1"/>
      <w:marLeft w:val="0"/>
      <w:marRight w:val="0"/>
      <w:marTop w:val="0"/>
      <w:marBottom w:val="0"/>
      <w:divBdr>
        <w:top w:val="none" w:sz="0" w:space="0" w:color="auto"/>
        <w:left w:val="none" w:sz="0" w:space="0" w:color="auto"/>
        <w:bottom w:val="none" w:sz="0" w:space="0" w:color="auto"/>
        <w:right w:val="none" w:sz="0" w:space="0" w:color="auto"/>
      </w:divBdr>
    </w:div>
    <w:div w:id="1132287930">
      <w:bodyDiv w:val="1"/>
      <w:marLeft w:val="0"/>
      <w:marRight w:val="0"/>
      <w:marTop w:val="0"/>
      <w:marBottom w:val="0"/>
      <w:divBdr>
        <w:top w:val="none" w:sz="0" w:space="0" w:color="auto"/>
        <w:left w:val="none" w:sz="0" w:space="0" w:color="auto"/>
        <w:bottom w:val="none" w:sz="0" w:space="0" w:color="auto"/>
        <w:right w:val="none" w:sz="0" w:space="0" w:color="auto"/>
      </w:divBdr>
    </w:div>
    <w:div w:id="1132595119">
      <w:bodyDiv w:val="1"/>
      <w:marLeft w:val="0"/>
      <w:marRight w:val="0"/>
      <w:marTop w:val="0"/>
      <w:marBottom w:val="0"/>
      <w:divBdr>
        <w:top w:val="none" w:sz="0" w:space="0" w:color="auto"/>
        <w:left w:val="none" w:sz="0" w:space="0" w:color="auto"/>
        <w:bottom w:val="none" w:sz="0" w:space="0" w:color="auto"/>
        <w:right w:val="none" w:sz="0" w:space="0" w:color="auto"/>
      </w:divBdr>
    </w:div>
    <w:div w:id="1133133000">
      <w:bodyDiv w:val="1"/>
      <w:marLeft w:val="0"/>
      <w:marRight w:val="0"/>
      <w:marTop w:val="0"/>
      <w:marBottom w:val="0"/>
      <w:divBdr>
        <w:top w:val="none" w:sz="0" w:space="0" w:color="auto"/>
        <w:left w:val="none" w:sz="0" w:space="0" w:color="auto"/>
        <w:bottom w:val="none" w:sz="0" w:space="0" w:color="auto"/>
        <w:right w:val="none" w:sz="0" w:space="0" w:color="auto"/>
      </w:divBdr>
    </w:div>
    <w:div w:id="1133524974">
      <w:bodyDiv w:val="1"/>
      <w:marLeft w:val="0"/>
      <w:marRight w:val="0"/>
      <w:marTop w:val="0"/>
      <w:marBottom w:val="0"/>
      <w:divBdr>
        <w:top w:val="none" w:sz="0" w:space="0" w:color="auto"/>
        <w:left w:val="none" w:sz="0" w:space="0" w:color="auto"/>
        <w:bottom w:val="none" w:sz="0" w:space="0" w:color="auto"/>
        <w:right w:val="none" w:sz="0" w:space="0" w:color="auto"/>
      </w:divBdr>
    </w:div>
    <w:div w:id="1134955634">
      <w:bodyDiv w:val="1"/>
      <w:marLeft w:val="0"/>
      <w:marRight w:val="0"/>
      <w:marTop w:val="0"/>
      <w:marBottom w:val="0"/>
      <w:divBdr>
        <w:top w:val="none" w:sz="0" w:space="0" w:color="auto"/>
        <w:left w:val="none" w:sz="0" w:space="0" w:color="auto"/>
        <w:bottom w:val="none" w:sz="0" w:space="0" w:color="auto"/>
        <w:right w:val="none" w:sz="0" w:space="0" w:color="auto"/>
      </w:divBdr>
    </w:div>
    <w:div w:id="1136216265">
      <w:bodyDiv w:val="1"/>
      <w:marLeft w:val="0"/>
      <w:marRight w:val="0"/>
      <w:marTop w:val="0"/>
      <w:marBottom w:val="0"/>
      <w:divBdr>
        <w:top w:val="none" w:sz="0" w:space="0" w:color="auto"/>
        <w:left w:val="none" w:sz="0" w:space="0" w:color="auto"/>
        <w:bottom w:val="none" w:sz="0" w:space="0" w:color="auto"/>
        <w:right w:val="none" w:sz="0" w:space="0" w:color="auto"/>
      </w:divBdr>
    </w:div>
    <w:div w:id="1136685517">
      <w:bodyDiv w:val="1"/>
      <w:marLeft w:val="0"/>
      <w:marRight w:val="0"/>
      <w:marTop w:val="0"/>
      <w:marBottom w:val="0"/>
      <w:divBdr>
        <w:top w:val="none" w:sz="0" w:space="0" w:color="auto"/>
        <w:left w:val="none" w:sz="0" w:space="0" w:color="auto"/>
        <w:bottom w:val="none" w:sz="0" w:space="0" w:color="auto"/>
        <w:right w:val="none" w:sz="0" w:space="0" w:color="auto"/>
      </w:divBdr>
    </w:div>
    <w:div w:id="1136874556">
      <w:bodyDiv w:val="1"/>
      <w:marLeft w:val="0"/>
      <w:marRight w:val="0"/>
      <w:marTop w:val="0"/>
      <w:marBottom w:val="0"/>
      <w:divBdr>
        <w:top w:val="none" w:sz="0" w:space="0" w:color="auto"/>
        <w:left w:val="none" w:sz="0" w:space="0" w:color="auto"/>
        <w:bottom w:val="none" w:sz="0" w:space="0" w:color="auto"/>
        <w:right w:val="none" w:sz="0" w:space="0" w:color="auto"/>
      </w:divBdr>
    </w:div>
    <w:div w:id="1137801748">
      <w:bodyDiv w:val="1"/>
      <w:marLeft w:val="0"/>
      <w:marRight w:val="0"/>
      <w:marTop w:val="0"/>
      <w:marBottom w:val="0"/>
      <w:divBdr>
        <w:top w:val="none" w:sz="0" w:space="0" w:color="auto"/>
        <w:left w:val="none" w:sz="0" w:space="0" w:color="auto"/>
        <w:bottom w:val="none" w:sz="0" w:space="0" w:color="auto"/>
        <w:right w:val="none" w:sz="0" w:space="0" w:color="auto"/>
      </w:divBdr>
    </w:div>
    <w:div w:id="1137988015">
      <w:bodyDiv w:val="1"/>
      <w:marLeft w:val="0"/>
      <w:marRight w:val="0"/>
      <w:marTop w:val="0"/>
      <w:marBottom w:val="0"/>
      <w:divBdr>
        <w:top w:val="none" w:sz="0" w:space="0" w:color="auto"/>
        <w:left w:val="none" w:sz="0" w:space="0" w:color="auto"/>
        <w:bottom w:val="none" w:sz="0" w:space="0" w:color="auto"/>
        <w:right w:val="none" w:sz="0" w:space="0" w:color="auto"/>
      </w:divBdr>
    </w:div>
    <w:div w:id="1139615692">
      <w:bodyDiv w:val="1"/>
      <w:marLeft w:val="0"/>
      <w:marRight w:val="0"/>
      <w:marTop w:val="0"/>
      <w:marBottom w:val="0"/>
      <w:divBdr>
        <w:top w:val="none" w:sz="0" w:space="0" w:color="auto"/>
        <w:left w:val="none" w:sz="0" w:space="0" w:color="auto"/>
        <w:bottom w:val="none" w:sz="0" w:space="0" w:color="auto"/>
        <w:right w:val="none" w:sz="0" w:space="0" w:color="auto"/>
      </w:divBdr>
    </w:div>
    <w:div w:id="1140540327">
      <w:bodyDiv w:val="1"/>
      <w:marLeft w:val="0"/>
      <w:marRight w:val="0"/>
      <w:marTop w:val="0"/>
      <w:marBottom w:val="0"/>
      <w:divBdr>
        <w:top w:val="none" w:sz="0" w:space="0" w:color="auto"/>
        <w:left w:val="none" w:sz="0" w:space="0" w:color="auto"/>
        <w:bottom w:val="none" w:sz="0" w:space="0" w:color="auto"/>
        <w:right w:val="none" w:sz="0" w:space="0" w:color="auto"/>
      </w:divBdr>
    </w:div>
    <w:div w:id="1140610256">
      <w:bodyDiv w:val="1"/>
      <w:marLeft w:val="0"/>
      <w:marRight w:val="0"/>
      <w:marTop w:val="0"/>
      <w:marBottom w:val="0"/>
      <w:divBdr>
        <w:top w:val="none" w:sz="0" w:space="0" w:color="auto"/>
        <w:left w:val="none" w:sz="0" w:space="0" w:color="auto"/>
        <w:bottom w:val="none" w:sz="0" w:space="0" w:color="auto"/>
        <w:right w:val="none" w:sz="0" w:space="0" w:color="auto"/>
      </w:divBdr>
    </w:div>
    <w:div w:id="1141385434">
      <w:bodyDiv w:val="1"/>
      <w:marLeft w:val="0"/>
      <w:marRight w:val="0"/>
      <w:marTop w:val="0"/>
      <w:marBottom w:val="0"/>
      <w:divBdr>
        <w:top w:val="none" w:sz="0" w:space="0" w:color="auto"/>
        <w:left w:val="none" w:sz="0" w:space="0" w:color="auto"/>
        <w:bottom w:val="none" w:sz="0" w:space="0" w:color="auto"/>
        <w:right w:val="none" w:sz="0" w:space="0" w:color="auto"/>
      </w:divBdr>
    </w:div>
    <w:div w:id="1145201333">
      <w:bodyDiv w:val="1"/>
      <w:marLeft w:val="0"/>
      <w:marRight w:val="0"/>
      <w:marTop w:val="0"/>
      <w:marBottom w:val="0"/>
      <w:divBdr>
        <w:top w:val="none" w:sz="0" w:space="0" w:color="auto"/>
        <w:left w:val="none" w:sz="0" w:space="0" w:color="auto"/>
        <w:bottom w:val="none" w:sz="0" w:space="0" w:color="auto"/>
        <w:right w:val="none" w:sz="0" w:space="0" w:color="auto"/>
      </w:divBdr>
    </w:div>
    <w:div w:id="1146430685">
      <w:bodyDiv w:val="1"/>
      <w:marLeft w:val="0"/>
      <w:marRight w:val="0"/>
      <w:marTop w:val="0"/>
      <w:marBottom w:val="0"/>
      <w:divBdr>
        <w:top w:val="none" w:sz="0" w:space="0" w:color="auto"/>
        <w:left w:val="none" w:sz="0" w:space="0" w:color="auto"/>
        <w:bottom w:val="none" w:sz="0" w:space="0" w:color="auto"/>
        <w:right w:val="none" w:sz="0" w:space="0" w:color="auto"/>
      </w:divBdr>
    </w:div>
    <w:div w:id="1146773961">
      <w:bodyDiv w:val="1"/>
      <w:marLeft w:val="0"/>
      <w:marRight w:val="0"/>
      <w:marTop w:val="0"/>
      <w:marBottom w:val="0"/>
      <w:divBdr>
        <w:top w:val="none" w:sz="0" w:space="0" w:color="auto"/>
        <w:left w:val="none" w:sz="0" w:space="0" w:color="auto"/>
        <w:bottom w:val="none" w:sz="0" w:space="0" w:color="auto"/>
        <w:right w:val="none" w:sz="0" w:space="0" w:color="auto"/>
      </w:divBdr>
    </w:div>
    <w:div w:id="1146776879">
      <w:bodyDiv w:val="1"/>
      <w:marLeft w:val="0"/>
      <w:marRight w:val="0"/>
      <w:marTop w:val="0"/>
      <w:marBottom w:val="0"/>
      <w:divBdr>
        <w:top w:val="none" w:sz="0" w:space="0" w:color="auto"/>
        <w:left w:val="none" w:sz="0" w:space="0" w:color="auto"/>
        <w:bottom w:val="none" w:sz="0" w:space="0" w:color="auto"/>
        <w:right w:val="none" w:sz="0" w:space="0" w:color="auto"/>
      </w:divBdr>
    </w:div>
    <w:div w:id="1147279911">
      <w:bodyDiv w:val="1"/>
      <w:marLeft w:val="0"/>
      <w:marRight w:val="0"/>
      <w:marTop w:val="0"/>
      <w:marBottom w:val="0"/>
      <w:divBdr>
        <w:top w:val="none" w:sz="0" w:space="0" w:color="auto"/>
        <w:left w:val="none" w:sz="0" w:space="0" w:color="auto"/>
        <w:bottom w:val="none" w:sz="0" w:space="0" w:color="auto"/>
        <w:right w:val="none" w:sz="0" w:space="0" w:color="auto"/>
      </w:divBdr>
    </w:div>
    <w:div w:id="1148127085">
      <w:bodyDiv w:val="1"/>
      <w:marLeft w:val="0"/>
      <w:marRight w:val="0"/>
      <w:marTop w:val="0"/>
      <w:marBottom w:val="0"/>
      <w:divBdr>
        <w:top w:val="none" w:sz="0" w:space="0" w:color="auto"/>
        <w:left w:val="none" w:sz="0" w:space="0" w:color="auto"/>
        <w:bottom w:val="none" w:sz="0" w:space="0" w:color="auto"/>
        <w:right w:val="none" w:sz="0" w:space="0" w:color="auto"/>
      </w:divBdr>
    </w:div>
    <w:div w:id="1148398646">
      <w:bodyDiv w:val="1"/>
      <w:marLeft w:val="0"/>
      <w:marRight w:val="0"/>
      <w:marTop w:val="0"/>
      <w:marBottom w:val="0"/>
      <w:divBdr>
        <w:top w:val="none" w:sz="0" w:space="0" w:color="auto"/>
        <w:left w:val="none" w:sz="0" w:space="0" w:color="auto"/>
        <w:bottom w:val="none" w:sz="0" w:space="0" w:color="auto"/>
        <w:right w:val="none" w:sz="0" w:space="0" w:color="auto"/>
      </w:divBdr>
    </w:div>
    <w:div w:id="1150092804">
      <w:bodyDiv w:val="1"/>
      <w:marLeft w:val="0"/>
      <w:marRight w:val="0"/>
      <w:marTop w:val="0"/>
      <w:marBottom w:val="0"/>
      <w:divBdr>
        <w:top w:val="none" w:sz="0" w:space="0" w:color="auto"/>
        <w:left w:val="none" w:sz="0" w:space="0" w:color="auto"/>
        <w:bottom w:val="none" w:sz="0" w:space="0" w:color="auto"/>
        <w:right w:val="none" w:sz="0" w:space="0" w:color="auto"/>
      </w:divBdr>
    </w:div>
    <w:div w:id="1150367626">
      <w:bodyDiv w:val="1"/>
      <w:marLeft w:val="0"/>
      <w:marRight w:val="0"/>
      <w:marTop w:val="0"/>
      <w:marBottom w:val="0"/>
      <w:divBdr>
        <w:top w:val="none" w:sz="0" w:space="0" w:color="auto"/>
        <w:left w:val="none" w:sz="0" w:space="0" w:color="auto"/>
        <w:bottom w:val="none" w:sz="0" w:space="0" w:color="auto"/>
        <w:right w:val="none" w:sz="0" w:space="0" w:color="auto"/>
      </w:divBdr>
    </w:div>
    <w:div w:id="1152020231">
      <w:bodyDiv w:val="1"/>
      <w:marLeft w:val="0"/>
      <w:marRight w:val="0"/>
      <w:marTop w:val="0"/>
      <w:marBottom w:val="0"/>
      <w:divBdr>
        <w:top w:val="none" w:sz="0" w:space="0" w:color="auto"/>
        <w:left w:val="none" w:sz="0" w:space="0" w:color="auto"/>
        <w:bottom w:val="none" w:sz="0" w:space="0" w:color="auto"/>
        <w:right w:val="none" w:sz="0" w:space="0" w:color="auto"/>
      </w:divBdr>
    </w:div>
    <w:div w:id="1152478890">
      <w:bodyDiv w:val="1"/>
      <w:marLeft w:val="0"/>
      <w:marRight w:val="0"/>
      <w:marTop w:val="0"/>
      <w:marBottom w:val="0"/>
      <w:divBdr>
        <w:top w:val="none" w:sz="0" w:space="0" w:color="auto"/>
        <w:left w:val="none" w:sz="0" w:space="0" w:color="auto"/>
        <w:bottom w:val="none" w:sz="0" w:space="0" w:color="auto"/>
        <w:right w:val="none" w:sz="0" w:space="0" w:color="auto"/>
      </w:divBdr>
    </w:div>
    <w:div w:id="1152596038">
      <w:bodyDiv w:val="1"/>
      <w:marLeft w:val="0"/>
      <w:marRight w:val="0"/>
      <w:marTop w:val="0"/>
      <w:marBottom w:val="0"/>
      <w:divBdr>
        <w:top w:val="none" w:sz="0" w:space="0" w:color="auto"/>
        <w:left w:val="none" w:sz="0" w:space="0" w:color="auto"/>
        <w:bottom w:val="none" w:sz="0" w:space="0" w:color="auto"/>
        <w:right w:val="none" w:sz="0" w:space="0" w:color="auto"/>
      </w:divBdr>
    </w:div>
    <w:div w:id="1153763012">
      <w:bodyDiv w:val="1"/>
      <w:marLeft w:val="0"/>
      <w:marRight w:val="0"/>
      <w:marTop w:val="0"/>
      <w:marBottom w:val="0"/>
      <w:divBdr>
        <w:top w:val="none" w:sz="0" w:space="0" w:color="auto"/>
        <w:left w:val="none" w:sz="0" w:space="0" w:color="auto"/>
        <w:bottom w:val="none" w:sz="0" w:space="0" w:color="auto"/>
        <w:right w:val="none" w:sz="0" w:space="0" w:color="auto"/>
      </w:divBdr>
    </w:div>
    <w:div w:id="1154759030">
      <w:bodyDiv w:val="1"/>
      <w:marLeft w:val="0"/>
      <w:marRight w:val="0"/>
      <w:marTop w:val="0"/>
      <w:marBottom w:val="0"/>
      <w:divBdr>
        <w:top w:val="none" w:sz="0" w:space="0" w:color="auto"/>
        <w:left w:val="none" w:sz="0" w:space="0" w:color="auto"/>
        <w:bottom w:val="none" w:sz="0" w:space="0" w:color="auto"/>
        <w:right w:val="none" w:sz="0" w:space="0" w:color="auto"/>
      </w:divBdr>
    </w:div>
    <w:div w:id="1155995301">
      <w:bodyDiv w:val="1"/>
      <w:marLeft w:val="0"/>
      <w:marRight w:val="0"/>
      <w:marTop w:val="0"/>
      <w:marBottom w:val="0"/>
      <w:divBdr>
        <w:top w:val="none" w:sz="0" w:space="0" w:color="auto"/>
        <w:left w:val="none" w:sz="0" w:space="0" w:color="auto"/>
        <w:bottom w:val="none" w:sz="0" w:space="0" w:color="auto"/>
        <w:right w:val="none" w:sz="0" w:space="0" w:color="auto"/>
      </w:divBdr>
    </w:div>
    <w:div w:id="1157258971">
      <w:bodyDiv w:val="1"/>
      <w:marLeft w:val="0"/>
      <w:marRight w:val="0"/>
      <w:marTop w:val="0"/>
      <w:marBottom w:val="0"/>
      <w:divBdr>
        <w:top w:val="none" w:sz="0" w:space="0" w:color="auto"/>
        <w:left w:val="none" w:sz="0" w:space="0" w:color="auto"/>
        <w:bottom w:val="none" w:sz="0" w:space="0" w:color="auto"/>
        <w:right w:val="none" w:sz="0" w:space="0" w:color="auto"/>
      </w:divBdr>
    </w:div>
    <w:div w:id="1157963387">
      <w:bodyDiv w:val="1"/>
      <w:marLeft w:val="0"/>
      <w:marRight w:val="0"/>
      <w:marTop w:val="0"/>
      <w:marBottom w:val="0"/>
      <w:divBdr>
        <w:top w:val="none" w:sz="0" w:space="0" w:color="auto"/>
        <w:left w:val="none" w:sz="0" w:space="0" w:color="auto"/>
        <w:bottom w:val="none" w:sz="0" w:space="0" w:color="auto"/>
        <w:right w:val="none" w:sz="0" w:space="0" w:color="auto"/>
      </w:divBdr>
    </w:div>
    <w:div w:id="1159155992">
      <w:bodyDiv w:val="1"/>
      <w:marLeft w:val="0"/>
      <w:marRight w:val="0"/>
      <w:marTop w:val="0"/>
      <w:marBottom w:val="0"/>
      <w:divBdr>
        <w:top w:val="none" w:sz="0" w:space="0" w:color="auto"/>
        <w:left w:val="none" w:sz="0" w:space="0" w:color="auto"/>
        <w:bottom w:val="none" w:sz="0" w:space="0" w:color="auto"/>
        <w:right w:val="none" w:sz="0" w:space="0" w:color="auto"/>
      </w:divBdr>
    </w:div>
    <w:div w:id="1160270296">
      <w:bodyDiv w:val="1"/>
      <w:marLeft w:val="0"/>
      <w:marRight w:val="0"/>
      <w:marTop w:val="0"/>
      <w:marBottom w:val="0"/>
      <w:divBdr>
        <w:top w:val="none" w:sz="0" w:space="0" w:color="auto"/>
        <w:left w:val="none" w:sz="0" w:space="0" w:color="auto"/>
        <w:bottom w:val="none" w:sz="0" w:space="0" w:color="auto"/>
        <w:right w:val="none" w:sz="0" w:space="0" w:color="auto"/>
      </w:divBdr>
    </w:div>
    <w:div w:id="1160385365">
      <w:bodyDiv w:val="1"/>
      <w:marLeft w:val="0"/>
      <w:marRight w:val="0"/>
      <w:marTop w:val="0"/>
      <w:marBottom w:val="0"/>
      <w:divBdr>
        <w:top w:val="none" w:sz="0" w:space="0" w:color="auto"/>
        <w:left w:val="none" w:sz="0" w:space="0" w:color="auto"/>
        <w:bottom w:val="none" w:sz="0" w:space="0" w:color="auto"/>
        <w:right w:val="none" w:sz="0" w:space="0" w:color="auto"/>
      </w:divBdr>
    </w:div>
    <w:div w:id="1160660638">
      <w:bodyDiv w:val="1"/>
      <w:marLeft w:val="0"/>
      <w:marRight w:val="0"/>
      <w:marTop w:val="0"/>
      <w:marBottom w:val="0"/>
      <w:divBdr>
        <w:top w:val="none" w:sz="0" w:space="0" w:color="auto"/>
        <w:left w:val="none" w:sz="0" w:space="0" w:color="auto"/>
        <w:bottom w:val="none" w:sz="0" w:space="0" w:color="auto"/>
        <w:right w:val="none" w:sz="0" w:space="0" w:color="auto"/>
      </w:divBdr>
    </w:div>
    <w:div w:id="1161582800">
      <w:bodyDiv w:val="1"/>
      <w:marLeft w:val="0"/>
      <w:marRight w:val="0"/>
      <w:marTop w:val="0"/>
      <w:marBottom w:val="0"/>
      <w:divBdr>
        <w:top w:val="none" w:sz="0" w:space="0" w:color="auto"/>
        <w:left w:val="none" w:sz="0" w:space="0" w:color="auto"/>
        <w:bottom w:val="none" w:sz="0" w:space="0" w:color="auto"/>
        <w:right w:val="none" w:sz="0" w:space="0" w:color="auto"/>
      </w:divBdr>
    </w:div>
    <w:div w:id="1161777401">
      <w:bodyDiv w:val="1"/>
      <w:marLeft w:val="0"/>
      <w:marRight w:val="0"/>
      <w:marTop w:val="0"/>
      <w:marBottom w:val="0"/>
      <w:divBdr>
        <w:top w:val="none" w:sz="0" w:space="0" w:color="auto"/>
        <w:left w:val="none" w:sz="0" w:space="0" w:color="auto"/>
        <w:bottom w:val="none" w:sz="0" w:space="0" w:color="auto"/>
        <w:right w:val="none" w:sz="0" w:space="0" w:color="auto"/>
      </w:divBdr>
    </w:div>
    <w:div w:id="1161888065">
      <w:bodyDiv w:val="1"/>
      <w:marLeft w:val="0"/>
      <w:marRight w:val="0"/>
      <w:marTop w:val="0"/>
      <w:marBottom w:val="0"/>
      <w:divBdr>
        <w:top w:val="none" w:sz="0" w:space="0" w:color="auto"/>
        <w:left w:val="none" w:sz="0" w:space="0" w:color="auto"/>
        <w:bottom w:val="none" w:sz="0" w:space="0" w:color="auto"/>
        <w:right w:val="none" w:sz="0" w:space="0" w:color="auto"/>
      </w:divBdr>
    </w:div>
    <w:div w:id="1162432316">
      <w:bodyDiv w:val="1"/>
      <w:marLeft w:val="0"/>
      <w:marRight w:val="0"/>
      <w:marTop w:val="0"/>
      <w:marBottom w:val="0"/>
      <w:divBdr>
        <w:top w:val="none" w:sz="0" w:space="0" w:color="auto"/>
        <w:left w:val="none" w:sz="0" w:space="0" w:color="auto"/>
        <w:bottom w:val="none" w:sz="0" w:space="0" w:color="auto"/>
        <w:right w:val="none" w:sz="0" w:space="0" w:color="auto"/>
      </w:divBdr>
    </w:div>
    <w:div w:id="1163668979">
      <w:bodyDiv w:val="1"/>
      <w:marLeft w:val="0"/>
      <w:marRight w:val="0"/>
      <w:marTop w:val="0"/>
      <w:marBottom w:val="0"/>
      <w:divBdr>
        <w:top w:val="none" w:sz="0" w:space="0" w:color="auto"/>
        <w:left w:val="none" w:sz="0" w:space="0" w:color="auto"/>
        <w:bottom w:val="none" w:sz="0" w:space="0" w:color="auto"/>
        <w:right w:val="none" w:sz="0" w:space="0" w:color="auto"/>
      </w:divBdr>
    </w:div>
    <w:div w:id="1164006438">
      <w:bodyDiv w:val="1"/>
      <w:marLeft w:val="0"/>
      <w:marRight w:val="0"/>
      <w:marTop w:val="0"/>
      <w:marBottom w:val="0"/>
      <w:divBdr>
        <w:top w:val="none" w:sz="0" w:space="0" w:color="auto"/>
        <w:left w:val="none" w:sz="0" w:space="0" w:color="auto"/>
        <w:bottom w:val="none" w:sz="0" w:space="0" w:color="auto"/>
        <w:right w:val="none" w:sz="0" w:space="0" w:color="auto"/>
      </w:divBdr>
    </w:div>
    <w:div w:id="1167329421">
      <w:bodyDiv w:val="1"/>
      <w:marLeft w:val="0"/>
      <w:marRight w:val="0"/>
      <w:marTop w:val="0"/>
      <w:marBottom w:val="0"/>
      <w:divBdr>
        <w:top w:val="none" w:sz="0" w:space="0" w:color="auto"/>
        <w:left w:val="none" w:sz="0" w:space="0" w:color="auto"/>
        <w:bottom w:val="none" w:sz="0" w:space="0" w:color="auto"/>
        <w:right w:val="none" w:sz="0" w:space="0" w:color="auto"/>
      </w:divBdr>
    </w:div>
    <w:div w:id="1167667807">
      <w:bodyDiv w:val="1"/>
      <w:marLeft w:val="0"/>
      <w:marRight w:val="0"/>
      <w:marTop w:val="0"/>
      <w:marBottom w:val="0"/>
      <w:divBdr>
        <w:top w:val="none" w:sz="0" w:space="0" w:color="auto"/>
        <w:left w:val="none" w:sz="0" w:space="0" w:color="auto"/>
        <w:bottom w:val="none" w:sz="0" w:space="0" w:color="auto"/>
        <w:right w:val="none" w:sz="0" w:space="0" w:color="auto"/>
      </w:divBdr>
    </w:div>
    <w:div w:id="1170438904">
      <w:bodyDiv w:val="1"/>
      <w:marLeft w:val="0"/>
      <w:marRight w:val="0"/>
      <w:marTop w:val="0"/>
      <w:marBottom w:val="0"/>
      <w:divBdr>
        <w:top w:val="none" w:sz="0" w:space="0" w:color="auto"/>
        <w:left w:val="none" w:sz="0" w:space="0" w:color="auto"/>
        <w:bottom w:val="none" w:sz="0" w:space="0" w:color="auto"/>
        <w:right w:val="none" w:sz="0" w:space="0" w:color="auto"/>
      </w:divBdr>
    </w:div>
    <w:div w:id="1171290510">
      <w:bodyDiv w:val="1"/>
      <w:marLeft w:val="0"/>
      <w:marRight w:val="0"/>
      <w:marTop w:val="0"/>
      <w:marBottom w:val="0"/>
      <w:divBdr>
        <w:top w:val="none" w:sz="0" w:space="0" w:color="auto"/>
        <w:left w:val="none" w:sz="0" w:space="0" w:color="auto"/>
        <w:bottom w:val="none" w:sz="0" w:space="0" w:color="auto"/>
        <w:right w:val="none" w:sz="0" w:space="0" w:color="auto"/>
      </w:divBdr>
    </w:div>
    <w:div w:id="1176044064">
      <w:bodyDiv w:val="1"/>
      <w:marLeft w:val="0"/>
      <w:marRight w:val="0"/>
      <w:marTop w:val="0"/>
      <w:marBottom w:val="0"/>
      <w:divBdr>
        <w:top w:val="none" w:sz="0" w:space="0" w:color="auto"/>
        <w:left w:val="none" w:sz="0" w:space="0" w:color="auto"/>
        <w:bottom w:val="none" w:sz="0" w:space="0" w:color="auto"/>
        <w:right w:val="none" w:sz="0" w:space="0" w:color="auto"/>
      </w:divBdr>
    </w:div>
    <w:div w:id="1176268483">
      <w:bodyDiv w:val="1"/>
      <w:marLeft w:val="0"/>
      <w:marRight w:val="0"/>
      <w:marTop w:val="0"/>
      <w:marBottom w:val="0"/>
      <w:divBdr>
        <w:top w:val="none" w:sz="0" w:space="0" w:color="auto"/>
        <w:left w:val="none" w:sz="0" w:space="0" w:color="auto"/>
        <w:bottom w:val="none" w:sz="0" w:space="0" w:color="auto"/>
        <w:right w:val="none" w:sz="0" w:space="0" w:color="auto"/>
      </w:divBdr>
    </w:div>
    <w:div w:id="1177816627">
      <w:bodyDiv w:val="1"/>
      <w:marLeft w:val="0"/>
      <w:marRight w:val="0"/>
      <w:marTop w:val="0"/>
      <w:marBottom w:val="0"/>
      <w:divBdr>
        <w:top w:val="none" w:sz="0" w:space="0" w:color="auto"/>
        <w:left w:val="none" w:sz="0" w:space="0" w:color="auto"/>
        <w:bottom w:val="none" w:sz="0" w:space="0" w:color="auto"/>
        <w:right w:val="none" w:sz="0" w:space="0" w:color="auto"/>
      </w:divBdr>
    </w:div>
    <w:div w:id="1177958647">
      <w:bodyDiv w:val="1"/>
      <w:marLeft w:val="0"/>
      <w:marRight w:val="0"/>
      <w:marTop w:val="0"/>
      <w:marBottom w:val="0"/>
      <w:divBdr>
        <w:top w:val="none" w:sz="0" w:space="0" w:color="auto"/>
        <w:left w:val="none" w:sz="0" w:space="0" w:color="auto"/>
        <w:bottom w:val="none" w:sz="0" w:space="0" w:color="auto"/>
        <w:right w:val="none" w:sz="0" w:space="0" w:color="auto"/>
      </w:divBdr>
    </w:div>
    <w:div w:id="1179582964">
      <w:bodyDiv w:val="1"/>
      <w:marLeft w:val="0"/>
      <w:marRight w:val="0"/>
      <w:marTop w:val="0"/>
      <w:marBottom w:val="0"/>
      <w:divBdr>
        <w:top w:val="none" w:sz="0" w:space="0" w:color="auto"/>
        <w:left w:val="none" w:sz="0" w:space="0" w:color="auto"/>
        <w:bottom w:val="none" w:sz="0" w:space="0" w:color="auto"/>
        <w:right w:val="none" w:sz="0" w:space="0" w:color="auto"/>
      </w:divBdr>
    </w:div>
    <w:div w:id="1180775630">
      <w:bodyDiv w:val="1"/>
      <w:marLeft w:val="0"/>
      <w:marRight w:val="0"/>
      <w:marTop w:val="0"/>
      <w:marBottom w:val="0"/>
      <w:divBdr>
        <w:top w:val="none" w:sz="0" w:space="0" w:color="auto"/>
        <w:left w:val="none" w:sz="0" w:space="0" w:color="auto"/>
        <w:bottom w:val="none" w:sz="0" w:space="0" w:color="auto"/>
        <w:right w:val="none" w:sz="0" w:space="0" w:color="auto"/>
      </w:divBdr>
    </w:div>
    <w:div w:id="1181116812">
      <w:bodyDiv w:val="1"/>
      <w:marLeft w:val="0"/>
      <w:marRight w:val="0"/>
      <w:marTop w:val="0"/>
      <w:marBottom w:val="0"/>
      <w:divBdr>
        <w:top w:val="none" w:sz="0" w:space="0" w:color="auto"/>
        <w:left w:val="none" w:sz="0" w:space="0" w:color="auto"/>
        <w:bottom w:val="none" w:sz="0" w:space="0" w:color="auto"/>
        <w:right w:val="none" w:sz="0" w:space="0" w:color="auto"/>
      </w:divBdr>
    </w:div>
    <w:div w:id="1182084982">
      <w:bodyDiv w:val="1"/>
      <w:marLeft w:val="0"/>
      <w:marRight w:val="0"/>
      <w:marTop w:val="0"/>
      <w:marBottom w:val="0"/>
      <w:divBdr>
        <w:top w:val="none" w:sz="0" w:space="0" w:color="auto"/>
        <w:left w:val="none" w:sz="0" w:space="0" w:color="auto"/>
        <w:bottom w:val="none" w:sz="0" w:space="0" w:color="auto"/>
        <w:right w:val="none" w:sz="0" w:space="0" w:color="auto"/>
      </w:divBdr>
    </w:div>
    <w:div w:id="1183058407">
      <w:bodyDiv w:val="1"/>
      <w:marLeft w:val="0"/>
      <w:marRight w:val="0"/>
      <w:marTop w:val="0"/>
      <w:marBottom w:val="0"/>
      <w:divBdr>
        <w:top w:val="none" w:sz="0" w:space="0" w:color="auto"/>
        <w:left w:val="none" w:sz="0" w:space="0" w:color="auto"/>
        <w:bottom w:val="none" w:sz="0" w:space="0" w:color="auto"/>
        <w:right w:val="none" w:sz="0" w:space="0" w:color="auto"/>
      </w:divBdr>
    </w:div>
    <w:div w:id="1184831241">
      <w:bodyDiv w:val="1"/>
      <w:marLeft w:val="0"/>
      <w:marRight w:val="0"/>
      <w:marTop w:val="0"/>
      <w:marBottom w:val="0"/>
      <w:divBdr>
        <w:top w:val="none" w:sz="0" w:space="0" w:color="auto"/>
        <w:left w:val="none" w:sz="0" w:space="0" w:color="auto"/>
        <w:bottom w:val="none" w:sz="0" w:space="0" w:color="auto"/>
        <w:right w:val="none" w:sz="0" w:space="0" w:color="auto"/>
      </w:divBdr>
    </w:div>
    <w:div w:id="1186358448">
      <w:bodyDiv w:val="1"/>
      <w:marLeft w:val="0"/>
      <w:marRight w:val="0"/>
      <w:marTop w:val="0"/>
      <w:marBottom w:val="0"/>
      <w:divBdr>
        <w:top w:val="none" w:sz="0" w:space="0" w:color="auto"/>
        <w:left w:val="none" w:sz="0" w:space="0" w:color="auto"/>
        <w:bottom w:val="none" w:sz="0" w:space="0" w:color="auto"/>
        <w:right w:val="none" w:sz="0" w:space="0" w:color="auto"/>
      </w:divBdr>
    </w:div>
    <w:div w:id="1190797883">
      <w:bodyDiv w:val="1"/>
      <w:marLeft w:val="0"/>
      <w:marRight w:val="0"/>
      <w:marTop w:val="0"/>
      <w:marBottom w:val="0"/>
      <w:divBdr>
        <w:top w:val="none" w:sz="0" w:space="0" w:color="auto"/>
        <w:left w:val="none" w:sz="0" w:space="0" w:color="auto"/>
        <w:bottom w:val="none" w:sz="0" w:space="0" w:color="auto"/>
        <w:right w:val="none" w:sz="0" w:space="0" w:color="auto"/>
      </w:divBdr>
    </w:div>
    <w:div w:id="1191183097">
      <w:bodyDiv w:val="1"/>
      <w:marLeft w:val="0"/>
      <w:marRight w:val="0"/>
      <w:marTop w:val="0"/>
      <w:marBottom w:val="0"/>
      <w:divBdr>
        <w:top w:val="none" w:sz="0" w:space="0" w:color="auto"/>
        <w:left w:val="none" w:sz="0" w:space="0" w:color="auto"/>
        <w:bottom w:val="none" w:sz="0" w:space="0" w:color="auto"/>
        <w:right w:val="none" w:sz="0" w:space="0" w:color="auto"/>
      </w:divBdr>
    </w:div>
    <w:div w:id="1191842048">
      <w:bodyDiv w:val="1"/>
      <w:marLeft w:val="0"/>
      <w:marRight w:val="0"/>
      <w:marTop w:val="0"/>
      <w:marBottom w:val="0"/>
      <w:divBdr>
        <w:top w:val="none" w:sz="0" w:space="0" w:color="auto"/>
        <w:left w:val="none" w:sz="0" w:space="0" w:color="auto"/>
        <w:bottom w:val="none" w:sz="0" w:space="0" w:color="auto"/>
        <w:right w:val="none" w:sz="0" w:space="0" w:color="auto"/>
      </w:divBdr>
    </w:div>
    <w:div w:id="1192496407">
      <w:bodyDiv w:val="1"/>
      <w:marLeft w:val="0"/>
      <w:marRight w:val="0"/>
      <w:marTop w:val="0"/>
      <w:marBottom w:val="0"/>
      <w:divBdr>
        <w:top w:val="none" w:sz="0" w:space="0" w:color="auto"/>
        <w:left w:val="none" w:sz="0" w:space="0" w:color="auto"/>
        <w:bottom w:val="none" w:sz="0" w:space="0" w:color="auto"/>
        <w:right w:val="none" w:sz="0" w:space="0" w:color="auto"/>
      </w:divBdr>
    </w:div>
    <w:div w:id="1193227926">
      <w:bodyDiv w:val="1"/>
      <w:marLeft w:val="0"/>
      <w:marRight w:val="0"/>
      <w:marTop w:val="0"/>
      <w:marBottom w:val="0"/>
      <w:divBdr>
        <w:top w:val="none" w:sz="0" w:space="0" w:color="auto"/>
        <w:left w:val="none" w:sz="0" w:space="0" w:color="auto"/>
        <w:bottom w:val="none" w:sz="0" w:space="0" w:color="auto"/>
        <w:right w:val="none" w:sz="0" w:space="0" w:color="auto"/>
      </w:divBdr>
    </w:div>
    <w:div w:id="1194228611">
      <w:bodyDiv w:val="1"/>
      <w:marLeft w:val="0"/>
      <w:marRight w:val="0"/>
      <w:marTop w:val="0"/>
      <w:marBottom w:val="0"/>
      <w:divBdr>
        <w:top w:val="none" w:sz="0" w:space="0" w:color="auto"/>
        <w:left w:val="none" w:sz="0" w:space="0" w:color="auto"/>
        <w:bottom w:val="none" w:sz="0" w:space="0" w:color="auto"/>
        <w:right w:val="none" w:sz="0" w:space="0" w:color="auto"/>
      </w:divBdr>
    </w:div>
    <w:div w:id="1194541782">
      <w:bodyDiv w:val="1"/>
      <w:marLeft w:val="0"/>
      <w:marRight w:val="0"/>
      <w:marTop w:val="0"/>
      <w:marBottom w:val="0"/>
      <w:divBdr>
        <w:top w:val="none" w:sz="0" w:space="0" w:color="auto"/>
        <w:left w:val="none" w:sz="0" w:space="0" w:color="auto"/>
        <w:bottom w:val="none" w:sz="0" w:space="0" w:color="auto"/>
        <w:right w:val="none" w:sz="0" w:space="0" w:color="auto"/>
      </w:divBdr>
    </w:div>
    <w:div w:id="1196624255">
      <w:bodyDiv w:val="1"/>
      <w:marLeft w:val="0"/>
      <w:marRight w:val="0"/>
      <w:marTop w:val="0"/>
      <w:marBottom w:val="0"/>
      <w:divBdr>
        <w:top w:val="none" w:sz="0" w:space="0" w:color="auto"/>
        <w:left w:val="none" w:sz="0" w:space="0" w:color="auto"/>
        <w:bottom w:val="none" w:sz="0" w:space="0" w:color="auto"/>
        <w:right w:val="none" w:sz="0" w:space="0" w:color="auto"/>
      </w:divBdr>
    </w:div>
    <w:div w:id="1197811404">
      <w:bodyDiv w:val="1"/>
      <w:marLeft w:val="0"/>
      <w:marRight w:val="0"/>
      <w:marTop w:val="0"/>
      <w:marBottom w:val="0"/>
      <w:divBdr>
        <w:top w:val="none" w:sz="0" w:space="0" w:color="auto"/>
        <w:left w:val="none" w:sz="0" w:space="0" w:color="auto"/>
        <w:bottom w:val="none" w:sz="0" w:space="0" w:color="auto"/>
        <w:right w:val="none" w:sz="0" w:space="0" w:color="auto"/>
      </w:divBdr>
    </w:div>
    <w:div w:id="1198814482">
      <w:bodyDiv w:val="1"/>
      <w:marLeft w:val="0"/>
      <w:marRight w:val="0"/>
      <w:marTop w:val="0"/>
      <w:marBottom w:val="0"/>
      <w:divBdr>
        <w:top w:val="none" w:sz="0" w:space="0" w:color="auto"/>
        <w:left w:val="none" w:sz="0" w:space="0" w:color="auto"/>
        <w:bottom w:val="none" w:sz="0" w:space="0" w:color="auto"/>
        <w:right w:val="none" w:sz="0" w:space="0" w:color="auto"/>
      </w:divBdr>
    </w:div>
    <w:div w:id="1198857505">
      <w:bodyDiv w:val="1"/>
      <w:marLeft w:val="0"/>
      <w:marRight w:val="0"/>
      <w:marTop w:val="0"/>
      <w:marBottom w:val="0"/>
      <w:divBdr>
        <w:top w:val="none" w:sz="0" w:space="0" w:color="auto"/>
        <w:left w:val="none" w:sz="0" w:space="0" w:color="auto"/>
        <w:bottom w:val="none" w:sz="0" w:space="0" w:color="auto"/>
        <w:right w:val="none" w:sz="0" w:space="0" w:color="auto"/>
      </w:divBdr>
    </w:div>
    <w:div w:id="1199657535">
      <w:bodyDiv w:val="1"/>
      <w:marLeft w:val="0"/>
      <w:marRight w:val="0"/>
      <w:marTop w:val="0"/>
      <w:marBottom w:val="0"/>
      <w:divBdr>
        <w:top w:val="none" w:sz="0" w:space="0" w:color="auto"/>
        <w:left w:val="none" w:sz="0" w:space="0" w:color="auto"/>
        <w:bottom w:val="none" w:sz="0" w:space="0" w:color="auto"/>
        <w:right w:val="none" w:sz="0" w:space="0" w:color="auto"/>
      </w:divBdr>
    </w:div>
    <w:div w:id="1200511362">
      <w:bodyDiv w:val="1"/>
      <w:marLeft w:val="0"/>
      <w:marRight w:val="0"/>
      <w:marTop w:val="0"/>
      <w:marBottom w:val="0"/>
      <w:divBdr>
        <w:top w:val="none" w:sz="0" w:space="0" w:color="auto"/>
        <w:left w:val="none" w:sz="0" w:space="0" w:color="auto"/>
        <w:bottom w:val="none" w:sz="0" w:space="0" w:color="auto"/>
        <w:right w:val="none" w:sz="0" w:space="0" w:color="auto"/>
      </w:divBdr>
    </w:div>
    <w:div w:id="1203785169">
      <w:bodyDiv w:val="1"/>
      <w:marLeft w:val="0"/>
      <w:marRight w:val="0"/>
      <w:marTop w:val="0"/>
      <w:marBottom w:val="0"/>
      <w:divBdr>
        <w:top w:val="none" w:sz="0" w:space="0" w:color="auto"/>
        <w:left w:val="none" w:sz="0" w:space="0" w:color="auto"/>
        <w:bottom w:val="none" w:sz="0" w:space="0" w:color="auto"/>
        <w:right w:val="none" w:sz="0" w:space="0" w:color="auto"/>
      </w:divBdr>
    </w:div>
    <w:div w:id="1206454374">
      <w:bodyDiv w:val="1"/>
      <w:marLeft w:val="0"/>
      <w:marRight w:val="0"/>
      <w:marTop w:val="0"/>
      <w:marBottom w:val="0"/>
      <w:divBdr>
        <w:top w:val="none" w:sz="0" w:space="0" w:color="auto"/>
        <w:left w:val="none" w:sz="0" w:space="0" w:color="auto"/>
        <w:bottom w:val="none" w:sz="0" w:space="0" w:color="auto"/>
        <w:right w:val="none" w:sz="0" w:space="0" w:color="auto"/>
      </w:divBdr>
    </w:div>
    <w:div w:id="1206675260">
      <w:bodyDiv w:val="1"/>
      <w:marLeft w:val="0"/>
      <w:marRight w:val="0"/>
      <w:marTop w:val="0"/>
      <w:marBottom w:val="0"/>
      <w:divBdr>
        <w:top w:val="none" w:sz="0" w:space="0" w:color="auto"/>
        <w:left w:val="none" w:sz="0" w:space="0" w:color="auto"/>
        <w:bottom w:val="none" w:sz="0" w:space="0" w:color="auto"/>
        <w:right w:val="none" w:sz="0" w:space="0" w:color="auto"/>
      </w:divBdr>
    </w:div>
    <w:div w:id="1207839881">
      <w:bodyDiv w:val="1"/>
      <w:marLeft w:val="0"/>
      <w:marRight w:val="0"/>
      <w:marTop w:val="0"/>
      <w:marBottom w:val="0"/>
      <w:divBdr>
        <w:top w:val="none" w:sz="0" w:space="0" w:color="auto"/>
        <w:left w:val="none" w:sz="0" w:space="0" w:color="auto"/>
        <w:bottom w:val="none" w:sz="0" w:space="0" w:color="auto"/>
        <w:right w:val="none" w:sz="0" w:space="0" w:color="auto"/>
      </w:divBdr>
    </w:div>
    <w:div w:id="1209799635">
      <w:bodyDiv w:val="1"/>
      <w:marLeft w:val="0"/>
      <w:marRight w:val="0"/>
      <w:marTop w:val="0"/>
      <w:marBottom w:val="0"/>
      <w:divBdr>
        <w:top w:val="none" w:sz="0" w:space="0" w:color="auto"/>
        <w:left w:val="none" w:sz="0" w:space="0" w:color="auto"/>
        <w:bottom w:val="none" w:sz="0" w:space="0" w:color="auto"/>
        <w:right w:val="none" w:sz="0" w:space="0" w:color="auto"/>
      </w:divBdr>
    </w:div>
    <w:div w:id="1209879717">
      <w:bodyDiv w:val="1"/>
      <w:marLeft w:val="0"/>
      <w:marRight w:val="0"/>
      <w:marTop w:val="0"/>
      <w:marBottom w:val="0"/>
      <w:divBdr>
        <w:top w:val="none" w:sz="0" w:space="0" w:color="auto"/>
        <w:left w:val="none" w:sz="0" w:space="0" w:color="auto"/>
        <w:bottom w:val="none" w:sz="0" w:space="0" w:color="auto"/>
        <w:right w:val="none" w:sz="0" w:space="0" w:color="auto"/>
      </w:divBdr>
    </w:div>
    <w:div w:id="1211380934">
      <w:bodyDiv w:val="1"/>
      <w:marLeft w:val="0"/>
      <w:marRight w:val="0"/>
      <w:marTop w:val="0"/>
      <w:marBottom w:val="0"/>
      <w:divBdr>
        <w:top w:val="none" w:sz="0" w:space="0" w:color="auto"/>
        <w:left w:val="none" w:sz="0" w:space="0" w:color="auto"/>
        <w:bottom w:val="none" w:sz="0" w:space="0" w:color="auto"/>
        <w:right w:val="none" w:sz="0" w:space="0" w:color="auto"/>
      </w:divBdr>
    </w:div>
    <w:div w:id="1212427430">
      <w:bodyDiv w:val="1"/>
      <w:marLeft w:val="0"/>
      <w:marRight w:val="0"/>
      <w:marTop w:val="0"/>
      <w:marBottom w:val="0"/>
      <w:divBdr>
        <w:top w:val="none" w:sz="0" w:space="0" w:color="auto"/>
        <w:left w:val="none" w:sz="0" w:space="0" w:color="auto"/>
        <w:bottom w:val="none" w:sz="0" w:space="0" w:color="auto"/>
        <w:right w:val="none" w:sz="0" w:space="0" w:color="auto"/>
      </w:divBdr>
    </w:div>
    <w:div w:id="1213273841">
      <w:bodyDiv w:val="1"/>
      <w:marLeft w:val="0"/>
      <w:marRight w:val="0"/>
      <w:marTop w:val="0"/>
      <w:marBottom w:val="0"/>
      <w:divBdr>
        <w:top w:val="none" w:sz="0" w:space="0" w:color="auto"/>
        <w:left w:val="none" w:sz="0" w:space="0" w:color="auto"/>
        <w:bottom w:val="none" w:sz="0" w:space="0" w:color="auto"/>
        <w:right w:val="none" w:sz="0" w:space="0" w:color="auto"/>
      </w:divBdr>
    </w:div>
    <w:div w:id="1216429416">
      <w:bodyDiv w:val="1"/>
      <w:marLeft w:val="0"/>
      <w:marRight w:val="0"/>
      <w:marTop w:val="0"/>
      <w:marBottom w:val="0"/>
      <w:divBdr>
        <w:top w:val="none" w:sz="0" w:space="0" w:color="auto"/>
        <w:left w:val="none" w:sz="0" w:space="0" w:color="auto"/>
        <w:bottom w:val="none" w:sz="0" w:space="0" w:color="auto"/>
        <w:right w:val="none" w:sz="0" w:space="0" w:color="auto"/>
      </w:divBdr>
    </w:div>
    <w:div w:id="1216695943">
      <w:bodyDiv w:val="1"/>
      <w:marLeft w:val="0"/>
      <w:marRight w:val="0"/>
      <w:marTop w:val="0"/>
      <w:marBottom w:val="0"/>
      <w:divBdr>
        <w:top w:val="none" w:sz="0" w:space="0" w:color="auto"/>
        <w:left w:val="none" w:sz="0" w:space="0" w:color="auto"/>
        <w:bottom w:val="none" w:sz="0" w:space="0" w:color="auto"/>
        <w:right w:val="none" w:sz="0" w:space="0" w:color="auto"/>
      </w:divBdr>
    </w:div>
    <w:div w:id="1221356577">
      <w:bodyDiv w:val="1"/>
      <w:marLeft w:val="0"/>
      <w:marRight w:val="0"/>
      <w:marTop w:val="0"/>
      <w:marBottom w:val="0"/>
      <w:divBdr>
        <w:top w:val="none" w:sz="0" w:space="0" w:color="auto"/>
        <w:left w:val="none" w:sz="0" w:space="0" w:color="auto"/>
        <w:bottom w:val="none" w:sz="0" w:space="0" w:color="auto"/>
        <w:right w:val="none" w:sz="0" w:space="0" w:color="auto"/>
      </w:divBdr>
    </w:div>
    <w:div w:id="1223174397">
      <w:bodyDiv w:val="1"/>
      <w:marLeft w:val="0"/>
      <w:marRight w:val="0"/>
      <w:marTop w:val="0"/>
      <w:marBottom w:val="0"/>
      <w:divBdr>
        <w:top w:val="none" w:sz="0" w:space="0" w:color="auto"/>
        <w:left w:val="none" w:sz="0" w:space="0" w:color="auto"/>
        <w:bottom w:val="none" w:sz="0" w:space="0" w:color="auto"/>
        <w:right w:val="none" w:sz="0" w:space="0" w:color="auto"/>
      </w:divBdr>
    </w:div>
    <w:div w:id="1223298626">
      <w:bodyDiv w:val="1"/>
      <w:marLeft w:val="0"/>
      <w:marRight w:val="0"/>
      <w:marTop w:val="0"/>
      <w:marBottom w:val="0"/>
      <w:divBdr>
        <w:top w:val="none" w:sz="0" w:space="0" w:color="auto"/>
        <w:left w:val="none" w:sz="0" w:space="0" w:color="auto"/>
        <w:bottom w:val="none" w:sz="0" w:space="0" w:color="auto"/>
        <w:right w:val="none" w:sz="0" w:space="0" w:color="auto"/>
      </w:divBdr>
    </w:div>
    <w:div w:id="1223755902">
      <w:bodyDiv w:val="1"/>
      <w:marLeft w:val="0"/>
      <w:marRight w:val="0"/>
      <w:marTop w:val="0"/>
      <w:marBottom w:val="0"/>
      <w:divBdr>
        <w:top w:val="none" w:sz="0" w:space="0" w:color="auto"/>
        <w:left w:val="none" w:sz="0" w:space="0" w:color="auto"/>
        <w:bottom w:val="none" w:sz="0" w:space="0" w:color="auto"/>
        <w:right w:val="none" w:sz="0" w:space="0" w:color="auto"/>
      </w:divBdr>
    </w:div>
    <w:div w:id="1230074981">
      <w:bodyDiv w:val="1"/>
      <w:marLeft w:val="0"/>
      <w:marRight w:val="0"/>
      <w:marTop w:val="0"/>
      <w:marBottom w:val="0"/>
      <w:divBdr>
        <w:top w:val="none" w:sz="0" w:space="0" w:color="auto"/>
        <w:left w:val="none" w:sz="0" w:space="0" w:color="auto"/>
        <w:bottom w:val="none" w:sz="0" w:space="0" w:color="auto"/>
        <w:right w:val="none" w:sz="0" w:space="0" w:color="auto"/>
      </w:divBdr>
    </w:div>
    <w:div w:id="1231422144">
      <w:bodyDiv w:val="1"/>
      <w:marLeft w:val="0"/>
      <w:marRight w:val="0"/>
      <w:marTop w:val="0"/>
      <w:marBottom w:val="0"/>
      <w:divBdr>
        <w:top w:val="none" w:sz="0" w:space="0" w:color="auto"/>
        <w:left w:val="none" w:sz="0" w:space="0" w:color="auto"/>
        <w:bottom w:val="none" w:sz="0" w:space="0" w:color="auto"/>
        <w:right w:val="none" w:sz="0" w:space="0" w:color="auto"/>
      </w:divBdr>
    </w:div>
    <w:div w:id="1232620843">
      <w:bodyDiv w:val="1"/>
      <w:marLeft w:val="0"/>
      <w:marRight w:val="0"/>
      <w:marTop w:val="0"/>
      <w:marBottom w:val="0"/>
      <w:divBdr>
        <w:top w:val="none" w:sz="0" w:space="0" w:color="auto"/>
        <w:left w:val="none" w:sz="0" w:space="0" w:color="auto"/>
        <w:bottom w:val="none" w:sz="0" w:space="0" w:color="auto"/>
        <w:right w:val="none" w:sz="0" w:space="0" w:color="auto"/>
      </w:divBdr>
    </w:div>
    <w:div w:id="1233276362">
      <w:bodyDiv w:val="1"/>
      <w:marLeft w:val="0"/>
      <w:marRight w:val="0"/>
      <w:marTop w:val="0"/>
      <w:marBottom w:val="0"/>
      <w:divBdr>
        <w:top w:val="none" w:sz="0" w:space="0" w:color="auto"/>
        <w:left w:val="none" w:sz="0" w:space="0" w:color="auto"/>
        <w:bottom w:val="none" w:sz="0" w:space="0" w:color="auto"/>
        <w:right w:val="none" w:sz="0" w:space="0" w:color="auto"/>
      </w:divBdr>
    </w:div>
    <w:div w:id="1234467544">
      <w:bodyDiv w:val="1"/>
      <w:marLeft w:val="0"/>
      <w:marRight w:val="0"/>
      <w:marTop w:val="0"/>
      <w:marBottom w:val="0"/>
      <w:divBdr>
        <w:top w:val="none" w:sz="0" w:space="0" w:color="auto"/>
        <w:left w:val="none" w:sz="0" w:space="0" w:color="auto"/>
        <w:bottom w:val="none" w:sz="0" w:space="0" w:color="auto"/>
        <w:right w:val="none" w:sz="0" w:space="0" w:color="auto"/>
      </w:divBdr>
    </w:div>
    <w:div w:id="1239555790">
      <w:bodyDiv w:val="1"/>
      <w:marLeft w:val="0"/>
      <w:marRight w:val="0"/>
      <w:marTop w:val="0"/>
      <w:marBottom w:val="0"/>
      <w:divBdr>
        <w:top w:val="none" w:sz="0" w:space="0" w:color="auto"/>
        <w:left w:val="none" w:sz="0" w:space="0" w:color="auto"/>
        <w:bottom w:val="none" w:sz="0" w:space="0" w:color="auto"/>
        <w:right w:val="none" w:sz="0" w:space="0" w:color="auto"/>
      </w:divBdr>
    </w:div>
    <w:div w:id="1239829520">
      <w:bodyDiv w:val="1"/>
      <w:marLeft w:val="0"/>
      <w:marRight w:val="0"/>
      <w:marTop w:val="0"/>
      <w:marBottom w:val="0"/>
      <w:divBdr>
        <w:top w:val="none" w:sz="0" w:space="0" w:color="auto"/>
        <w:left w:val="none" w:sz="0" w:space="0" w:color="auto"/>
        <w:bottom w:val="none" w:sz="0" w:space="0" w:color="auto"/>
        <w:right w:val="none" w:sz="0" w:space="0" w:color="auto"/>
      </w:divBdr>
    </w:div>
    <w:div w:id="1244608353">
      <w:bodyDiv w:val="1"/>
      <w:marLeft w:val="0"/>
      <w:marRight w:val="0"/>
      <w:marTop w:val="0"/>
      <w:marBottom w:val="0"/>
      <w:divBdr>
        <w:top w:val="none" w:sz="0" w:space="0" w:color="auto"/>
        <w:left w:val="none" w:sz="0" w:space="0" w:color="auto"/>
        <w:bottom w:val="none" w:sz="0" w:space="0" w:color="auto"/>
        <w:right w:val="none" w:sz="0" w:space="0" w:color="auto"/>
      </w:divBdr>
    </w:div>
    <w:div w:id="1245260291">
      <w:bodyDiv w:val="1"/>
      <w:marLeft w:val="0"/>
      <w:marRight w:val="0"/>
      <w:marTop w:val="0"/>
      <w:marBottom w:val="0"/>
      <w:divBdr>
        <w:top w:val="none" w:sz="0" w:space="0" w:color="auto"/>
        <w:left w:val="none" w:sz="0" w:space="0" w:color="auto"/>
        <w:bottom w:val="none" w:sz="0" w:space="0" w:color="auto"/>
        <w:right w:val="none" w:sz="0" w:space="0" w:color="auto"/>
      </w:divBdr>
    </w:div>
    <w:div w:id="1246065072">
      <w:bodyDiv w:val="1"/>
      <w:marLeft w:val="0"/>
      <w:marRight w:val="0"/>
      <w:marTop w:val="0"/>
      <w:marBottom w:val="0"/>
      <w:divBdr>
        <w:top w:val="none" w:sz="0" w:space="0" w:color="auto"/>
        <w:left w:val="none" w:sz="0" w:space="0" w:color="auto"/>
        <w:bottom w:val="none" w:sz="0" w:space="0" w:color="auto"/>
        <w:right w:val="none" w:sz="0" w:space="0" w:color="auto"/>
      </w:divBdr>
    </w:div>
    <w:div w:id="1246107851">
      <w:bodyDiv w:val="1"/>
      <w:marLeft w:val="0"/>
      <w:marRight w:val="0"/>
      <w:marTop w:val="0"/>
      <w:marBottom w:val="0"/>
      <w:divBdr>
        <w:top w:val="none" w:sz="0" w:space="0" w:color="auto"/>
        <w:left w:val="none" w:sz="0" w:space="0" w:color="auto"/>
        <w:bottom w:val="none" w:sz="0" w:space="0" w:color="auto"/>
        <w:right w:val="none" w:sz="0" w:space="0" w:color="auto"/>
      </w:divBdr>
    </w:div>
    <w:div w:id="1246304848">
      <w:bodyDiv w:val="1"/>
      <w:marLeft w:val="0"/>
      <w:marRight w:val="0"/>
      <w:marTop w:val="0"/>
      <w:marBottom w:val="0"/>
      <w:divBdr>
        <w:top w:val="none" w:sz="0" w:space="0" w:color="auto"/>
        <w:left w:val="none" w:sz="0" w:space="0" w:color="auto"/>
        <w:bottom w:val="none" w:sz="0" w:space="0" w:color="auto"/>
        <w:right w:val="none" w:sz="0" w:space="0" w:color="auto"/>
      </w:divBdr>
    </w:div>
    <w:div w:id="1246916348">
      <w:bodyDiv w:val="1"/>
      <w:marLeft w:val="0"/>
      <w:marRight w:val="0"/>
      <w:marTop w:val="0"/>
      <w:marBottom w:val="0"/>
      <w:divBdr>
        <w:top w:val="none" w:sz="0" w:space="0" w:color="auto"/>
        <w:left w:val="none" w:sz="0" w:space="0" w:color="auto"/>
        <w:bottom w:val="none" w:sz="0" w:space="0" w:color="auto"/>
        <w:right w:val="none" w:sz="0" w:space="0" w:color="auto"/>
      </w:divBdr>
    </w:div>
    <w:div w:id="1246963644">
      <w:bodyDiv w:val="1"/>
      <w:marLeft w:val="0"/>
      <w:marRight w:val="0"/>
      <w:marTop w:val="0"/>
      <w:marBottom w:val="0"/>
      <w:divBdr>
        <w:top w:val="none" w:sz="0" w:space="0" w:color="auto"/>
        <w:left w:val="none" w:sz="0" w:space="0" w:color="auto"/>
        <w:bottom w:val="none" w:sz="0" w:space="0" w:color="auto"/>
        <w:right w:val="none" w:sz="0" w:space="0" w:color="auto"/>
      </w:divBdr>
    </w:div>
    <w:div w:id="1247153934">
      <w:bodyDiv w:val="1"/>
      <w:marLeft w:val="0"/>
      <w:marRight w:val="0"/>
      <w:marTop w:val="0"/>
      <w:marBottom w:val="0"/>
      <w:divBdr>
        <w:top w:val="none" w:sz="0" w:space="0" w:color="auto"/>
        <w:left w:val="none" w:sz="0" w:space="0" w:color="auto"/>
        <w:bottom w:val="none" w:sz="0" w:space="0" w:color="auto"/>
        <w:right w:val="none" w:sz="0" w:space="0" w:color="auto"/>
      </w:divBdr>
    </w:div>
    <w:div w:id="1248999031">
      <w:bodyDiv w:val="1"/>
      <w:marLeft w:val="0"/>
      <w:marRight w:val="0"/>
      <w:marTop w:val="0"/>
      <w:marBottom w:val="0"/>
      <w:divBdr>
        <w:top w:val="none" w:sz="0" w:space="0" w:color="auto"/>
        <w:left w:val="none" w:sz="0" w:space="0" w:color="auto"/>
        <w:bottom w:val="none" w:sz="0" w:space="0" w:color="auto"/>
        <w:right w:val="none" w:sz="0" w:space="0" w:color="auto"/>
      </w:divBdr>
    </w:div>
    <w:div w:id="1249122613">
      <w:bodyDiv w:val="1"/>
      <w:marLeft w:val="0"/>
      <w:marRight w:val="0"/>
      <w:marTop w:val="0"/>
      <w:marBottom w:val="0"/>
      <w:divBdr>
        <w:top w:val="none" w:sz="0" w:space="0" w:color="auto"/>
        <w:left w:val="none" w:sz="0" w:space="0" w:color="auto"/>
        <w:bottom w:val="none" w:sz="0" w:space="0" w:color="auto"/>
        <w:right w:val="none" w:sz="0" w:space="0" w:color="auto"/>
      </w:divBdr>
    </w:div>
    <w:div w:id="1250234040">
      <w:bodyDiv w:val="1"/>
      <w:marLeft w:val="0"/>
      <w:marRight w:val="0"/>
      <w:marTop w:val="0"/>
      <w:marBottom w:val="0"/>
      <w:divBdr>
        <w:top w:val="none" w:sz="0" w:space="0" w:color="auto"/>
        <w:left w:val="none" w:sz="0" w:space="0" w:color="auto"/>
        <w:bottom w:val="none" w:sz="0" w:space="0" w:color="auto"/>
        <w:right w:val="none" w:sz="0" w:space="0" w:color="auto"/>
      </w:divBdr>
    </w:div>
    <w:div w:id="1250236170">
      <w:bodyDiv w:val="1"/>
      <w:marLeft w:val="0"/>
      <w:marRight w:val="0"/>
      <w:marTop w:val="0"/>
      <w:marBottom w:val="0"/>
      <w:divBdr>
        <w:top w:val="none" w:sz="0" w:space="0" w:color="auto"/>
        <w:left w:val="none" w:sz="0" w:space="0" w:color="auto"/>
        <w:bottom w:val="none" w:sz="0" w:space="0" w:color="auto"/>
        <w:right w:val="none" w:sz="0" w:space="0" w:color="auto"/>
      </w:divBdr>
    </w:div>
    <w:div w:id="1251084462">
      <w:bodyDiv w:val="1"/>
      <w:marLeft w:val="0"/>
      <w:marRight w:val="0"/>
      <w:marTop w:val="0"/>
      <w:marBottom w:val="0"/>
      <w:divBdr>
        <w:top w:val="none" w:sz="0" w:space="0" w:color="auto"/>
        <w:left w:val="none" w:sz="0" w:space="0" w:color="auto"/>
        <w:bottom w:val="none" w:sz="0" w:space="0" w:color="auto"/>
        <w:right w:val="none" w:sz="0" w:space="0" w:color="auto"/>
      </w:divBdr>
    </w:div>
    <w:div w:id="1252931307">
      <w:bodyDiv w:val="1"/>
      <w:marLeft w:val="0"/>
      <w:marRight w:val="0"/>
      <w:marTop w:val="0"/>
      <w:marBottom w:val="0"/>
      <w:divBdr>
        <w:top w:val="none" w:sz="0" w:space="0" w:color="auto"/>
        <w:left w:val="none" w:sz="0" w:space="0" w:color="auto"/>
        <w:bottom w:val="none" w:sz="0" w:space="0" w:color="auto"/>
        <w:right w:val="none" w:sz="0" w:space="0" w:color="auto"/>
      </w:divBdr>
    </w:div>
    <w:div w:id="1255745211">
      <w:bodyDiv w:val="1"/>
      <w:marLeft w:val="0"/>
      <w:marRight w:val="0"/>
      <w:marTop w:val="0"/>
      <w:marBottom w:val="0"/>
      <w:divBdr>
        <w:top w:val="none" w:sz="0" w:space="0" w:color="auto"/>
        <w:left w:val="none" w:sz="0" w:space="0" w:color="auto"/>
        <w:bottom w:val="none" w:sz="0" w:space="0" w:color="auto"/>
        <w:right w:val="none" w:sz="0" w:space="0" w:color="auto"/>
      </w:divBdr>
    </w:div>
    <w:div w:id="1256085849">
      <w:bodyDiv w:val="1"/>
      <w:marLeft w:val="0"/>
      <w:marRight w:val="0"/>
      <w:marTop w:val="0"/>
      <w:marBottom w:val="0"/>
      <w:divBdr>
        <w:top w:val="none" w:sz="0" w:space="0" w:color="auto"/>
        <w:left w:val="none" w:sz="0" w:space="0" w:color="auto"/>
        <w:bottom w:val="none" w:sz="0" w:space="0" w:color="auto"/>
        <w:right w:val="none" w:sz="0" w:space="0" w:color="auto"/>
      </w:divBdr>
    </w:div>
    <w:div w:id="1257203677">
      <w:bodyDiv w:val="1"/>
      <w:marLeft w:val="0"/>
      <w:marRight w:val="0"/>
      <w:marTop w:val="0"/>
      <w:marBottom w:val="0"/>
      <w:divBdr>
        <w:top w:val="none" w:sz="0" w:space="0" w:color="auto"/>
        <w:left w:val="none" w:sz="0" w:space="0" w:color="auto"/>
        <w:bottom w:val="none" w:sz="0" w:space="0" w:color="auto"/>
        <w:right w:val="none" w:sz="0" w:space="0" w:color="auto"/>
      </w:divBdr>
    </w:div>
    <w:div w:id="1258902334">
      <w:bodyDiv w:val="1"/>
      <w:marLeft w:val="0"/>
      <w:marRight w:val="0"/>
      <w:marTop w:val="0"/>
      <w:marBottom w:val="0"/>
      <w:divBdr>
        <w:top w:val="none" w:sz="0" w:space="0" w:color="auto"/>
        <w:left w:val="none" w:sz="0" w:space="0" w:color="auto"/>
        <w:bottom w:val="none" w:sz="0" w:space="0" w:color="auto"/>
        <w:right w:val="none" w:sz="0" w:space="0" w:color="auto"/>
      </w:divBdr>
    </w:div>
    <w:div w:id="1259488540">
      <w:bodyDiv w:val="1"/>
      <w:marLeft w:val="0"/>
      <w:marRight w:val="0"/>
      <w:marTop w:val="0"/>
      <w:marBottom w:val="0"/>
      <w:divBdr>
        <w:top w:val="none" w:sz="0" w:space="0" w:color="auto"/>
        <w:left w:val="none" w:sz="0" w:space="0" w:color="auto"/>
        <w:bottom w:val="none" w:sz="0" w:space="0" w:color="auto"/>
        <w:right w:val="none" w:sz="0" w:space="0" w:color="auto"/>
      </w:divBdr>
    </w:div>
    <w:div w:id="1259824439">
      <w:bodyDiv w:val="1"/>
      <w:marLeft w:val="0"/>
      <w:marRight w:val="0"/>
      <w:marTop w:val="0"/>
      <w:marBottom w:val="0"/>
      <w:divBdr>
        <w:top w:val="none" w:sz="0" w:space="0" w:color="auto"/>
        <w:left w:val="none" w:sz="0" w:space="0" w:color="auto"/>
        <w:bottom w:val="none" w:sz="0" w:space="0" w:color="auto"/>
        <w:right w:val="none" w:sz="0" w:space="0" w:color="auto"/>
      </w:divBdr>
    </w:div>
    <w:div w:id="1261372493">
      <w:bodyDiv w:val="1"/>
      <w:marLeft w:val="0"/>
      <w:marRight w:val="0"/>
      <w:marTop w:val="0"/>
      <w:marBottom w:val="0"/>
      <w:divBdr>
        <w:top w:val="none" w:sz="0" w:space="0" w:color="auto"/>
        <w:left w:val="none" w:sz="0" w:space="0" w:color="auto"/>
        <w:bottom w:val="none" w:sz="0" w:space="0" w:color="auto"/>
        <w:right w:val="none" w:sz="0" w:space="0" w:color="auto"/>
      </w:divBdr>
    </w:div>
    <w:div w:id="1262907226">
      <w:bodyDiv w:val="1"/>
      <w:marLeft w:val="0"/>
      <w:marRight w:val="0"/>
      <w:marTop w:val="0"/>
      <w:marBottom w:val="0"/>
      <w:divBdr>
        <w:top w:val="none" w:sz="0" w:space="0" w:color="auto"/>
        <w:left w:val="none" w:sz="0" w:space="0" w:color="auto"/>
        <w:bottom w:val="none" w:sz="0" w:space="0" w:color="auto"/>
        <w:right w:val="none" w:sz="0" w:space="0" w:color="auto"/>
      </w:divBdr>
    </w:div>
    <w:div w:id="1263030212">
      <w:bodyDiv w:val="1"/>
      <w:marLeft w:val="0"/>
      <w:marRight w:val="0"/>
      <w:marTop w:val="0"/>
      <w:marBottom w:val="0"/>
      <w:divBdr>
        <w:top w:val="none" w:sz="0" w:space="0" w:color="auto"/>
        <w:left w:val="none" w:sz="0" w:space="0" w:color="auto"/>
        <w:bottom w:val="none" w:sz="0" w:space="0" w:color="auto"/>
        <w:right w:val="none" w:sz="0" w:space="0" w:color="auto"/>
      </w:divBdr>
    </w:div>
    <w:div w:id="1264649647">
      <w:bodyDiv w:val="1"/>
      <w:marLeft w:val="0"/>
      <w:marRight w:val="0"/>
      <w:marTop w:val="0"/>
      <w:marBottom w:val="0"/>
      <w:divBdr>
        <w:top w:val="none" w:sz="0" w:space="0" w:color="auto"/>
        <w:left w:val="none" w:sz="0" w:space="0" w:color="auto"/>
        <w:bottom w:val="none" w:sz="0" w:space="0" w:color="auto"/>
        <w:right w:val="none" w:sz="0" w:space="0" w:color="auto"/>
      </w:divBdr>
    </w:div>
    <w:div w:id="1266765245">
      <w:bodyDiv w:val="1"/>
      <w:marLeft w:val="0"/>
      <w:marRight w:val="0"/>
      <w:marTop w:val="0"/>
      <w:marBottom w:val="0"/>
      <w:divBdr>
        <w:top w:val="none" w:sz="0" w:space="0" w:color="auto"/>
        <w:left w:val="none" w:sz="0" w:space="0" w:color="auto"/>
        <w:bottom w:val="none" w:sz="0" w:space="0" w:color="auto"/>
        <w:right w:val="none" w:sz="0" w:space="0" w:color="auto"/>
      </w:divBdr>
    </w:div>
    <w:div w:id="1266888327">
      <w:bodyDiv w:val="1"/>
      <w:marLeft w:val="0"/>
      <w:marRight w:val="0"/>
      <w:marTop w:val="0"/>
      <w:marBottom w:val="0"/>
      <w:divBdr>
        <w:top w:val="none" w:sz="0" w:space="0" w:color="auto"/>
        <w:left w:val="none" w:sz="0" w:space="0" w:color="auto"/>
        <w:bottom w:val="none" w:sz="0" w:space="0" w:color="auto"/>
        <w:right w:val="none" w:sz="0" w:space="0" w:color="auto"/>
      </w:divBdr>
    </w:div>
    <w:div w:id="1268079305">
      <w:bodyDiv w:val="1"/>
      <w:marLeft w:val="0"/>
      <w:marRight w:val="0"/>
      <w:marTop w:val="0"/>
      <w:marBottom w:val="0"/>
      <w:divBdr>
        <w:top w:val="none" w:sz="0" w:space="0" w:color="auto"/>
        <w:left w:val="none" w:sz="0" w:space="0" w:color="auto"/>
        <w:bottom w:val="none" w:sz="0" w:space="0" w:color="auto"/>
        <w:right w:val="none" w:sz="0" w:space="0" w:color="auto"/>
      </w:divBdr>
    </w:div>
    <w:div w:id="1268809479">
      <w:bodyDiv w:val="1"/>
      <w:marLeft w:val="0"/>
      <w:marRight w:val="0"/>
      <w:marTop w:val="0"/>
      <w:marBottom w:val="0"/>
      <w:divBdr>
        <w:top w:val="none" w:sz="0" w:space="0" w:color="auto"/>
        <w:left w:val="none" w:sz="0" w:space="0" w:color="auto"/>
        <w:bottom w:val="none" w:sz="0" w:space="0" w:color="auto"/>
        <w:right w:val="none" w:sz="0" w:space="0" w:color="auto"/>
      </w:divBdr>
    </w:div>
    <w:div w:id="1269656286">
      <w:bodyDiv w:val="1"/>
      <w:marLeft w:val="0"/>
      <w:marRight w:val="0"/>
      <w:marTop w:val="0"/>
      <w:marBottom w:val="0"/>
      <w:divBdr>
        <w:top w:val="none" w:sz="0" w:space="0" w:color="auto"/>
        <w:left w:val="none" w:sz="0" w:space="0" w:color="auto"/>
        <w:bottom w:val="none" w:sz="0" w:space="0" w:color="auto"/>
        <w:right w:val="none" w:sz="0" w:space="0" w:color="auto"/>
      </w:divBdr>
    </w:div>
    <w:div w:id="1271618992">
      <w:bodyDiv w:val="1"/>
      <w:marLeft w:val="0"/>
      <w:marRight w:val="0"/>
      <w:marTop w:val="0"/>
      <w:marBottom w:val="0"/>
      <w:divBdr>
        <w:top w:val="none" w:sz="0" w:space="0" w:color="auto"/>
        <w:left w:val="none" w:sz="0" w:space="0" w:color="auto"/>
        <w:bottom w:val="none" w:sz="0" w:space="0" w:color="auto"/>
        <w:right w:val="none" w:sz="0" w:space="0" w:color="auto"/>
      </w:divBdr>
    </w:div>
    <w:div w:id="1272200160">
      <w:bodyDiv w:val="1"/>
      <w:marLeft w:val="0"/>
      <w:marRight w:val="0"/>
      <w:marTop w:val="0"/>
      <w:marBottom w:val="0"/>
      <w:divBdr>
        <w:top w:val="none" w:sz="0" w:space="0" w:color="auto"/>
        <w:left w:val="none" w:sz="0" w:space="0" w:color="auto"/>
        <w:bottom w:val="none" w:sz="0" w:space="0" w:color="auto"/>
        <w:right w:val="none" w:sz="0" w:space="0" w:color="auto"/>
      </w:divBdr>
    </w:div>
    <w:div w:id="1272274489">
      <w:bodyDiv w:val="1"/>
      <w:marLeft w:val="0"/>
      <w:marRight w:val="0"/>
      <w:marTop w:val="0"/>
      <w:marBottom w:val="0"/>
      <w:divBdr>
        <w:top w:val="none" w:sz="0" w:space="0" w:color="auto"/>
        <w:left w:val="none" w:sz="0" w:space="0" w:color="auto"/>
        <w:bottom w:val="none" w:sz="0" w:space="0" w:color="auto"/>
        <w:right w:val="none" w:sz="0" w:space="0" w:color="auto"/>
      </w:divBdr>
    </w:div>
    <w:div w:id="1275943551">
      <w:bodyDiv w:val="1"/>
      <w:marLeft w:val="0"/>
      <w:marRight w:val="0"/>
      <w:marTop w:val="0"/>
      <w:marBottom w:val="0"/>
      <w:divBdr>
        <w:top w:val="none" w:sz="0" w:space="0" w:color="auto"/>
        <w:left w:val="none" w:sz="0" w:space="0" w:color="auto"/>
        <w:bottom w:val="none" w:sz="0" w:space="0" w:color="auto"/>
        <w:right w:val="none" w:sz="0" w:space="0" w:color="auto"/>
      </w:divBdr>
    </w:div>
    <w:div w:id="1277327226">
      <w:bodyDiv w:val="1"/>
      <w:marLeft w:val="0"/>
      <w:marRight w:val="0"/>
      <w:marTop w:val="0"/>
      <w:marBottom w:val="0"/>
      <w:divBdr>
        <w:top w:val="none" w:sz="0" w:space="0" w:color="auto"/>
        <w:left w:val="none" w:sz="0" w:space="0" w:color="auto"/>
        <w:bottom w:val="none" w:sz="0" w:space="0" w:color="auto"/>
        <w:right w:val="none" w:sz="0" w:space="0" w:color="auto"/>
      </w:divBdr>
    </w:div>
    <w:div w:id="1277564924">
      <w:bodyDiv w:val="1"/>
      <w:marLeft w:val="0"/>
      <w:marRight w:val="0"/>
      <w:marTop w:val="0"/>
      <w:marBottom w:val="0"/>
      <w:divBdr>
        <w:top w:val="none" w:sz="0" w:space="0" w:color="auto"/>
        <w:left w:val="none" w:sz="0" w:space="0" w:color="auto"/>
        <w:bottom w:val="none" w:sz="0" w:space="0" w:color="auto"/>
        <w:right w:val="none" w:sz="0" w:space="0" w:color="auto"/>
      </w:divBdr>
    </w:div>
    <w:div w:id="1278296055">
      <w:bodyDiv w:val="1"/>
      <w:marLeft w:val="0"/>
      <w:marRight w:val="0"/>
      <w:marTop w:val="0"/>
      <w:marBottom w:val="0"/>
      <w:divBdr>
        <w:top w:val="none" w:sz="0" w:space="0" w:color="auto"/>
        <w:left w:val="none" w:sz="0" w:space="0" w:color="auto"/>
        <w:bottom w:val="none" w:sz="0" w:space="0" w:color="auto"/>
        <w:right w:val="none" w:sz="0" w:space="0" w:color="auto"/>
      </w:divBdr>
    </w:div>
    <w:div w:id="1282152459">
      <w:bodyDiv w:val="1"/>
      <w:marLeft w:val="0"/>
      <w:marRight w:val="0"/>
      <w:marTop w:val="0"/>
      <w:marBottom w:val="0"/>
      <w:divBdr>
        <w:top w:val="none" w:sz="0" w:space="0" w:color="auto"/>
        <w:left w:val="none" w:sz="0" w:space="0" w:color="auto"/>
        <w:bottom w:val="none" w:sz="0" w:space="0" w:color="auto"/>
        <w:right w:val="none" w:sz="0" w:space="0" w:color="auto"/>
      </w:divBdr>
    </w:div>
    <w:div w:id="1282305199">
      <w:bodyDiv w:val="1"/>
      <w:marLeft w:val="0"/>
      <w:marRight w:val="0"/>
      <w:marTop w:val="0"/>
      <w:marBottom w:val="0"/>
      <w:divBdr>
        <w:top w:val="none" w:sz="0" w:space="0" w:color="auto"/>
        <w:left w:val="none" w:sz="0" w:space="0" w:color="auto"/>
        <w:bottom w:val="none" w:sz="0" w:space="0" w:color="auto"/>
        <w:right w:val="none" w:sz="0" w:space="0" w:color="auto"/>
      </w:divBdr>
    </w:div>
    <w:div w:id="1283658993">
      <w:bodyDiv w:val="1"/>
      <w:marLeft w:val="0"/>
      <w:marRight w:val="0"/>
      <w:marTop w:val="0"/>
      <w:marBottom w:val="0"/>
      <w:divBdr>
        <w:top w:val="none" w:sz="0" w:space="0" w:color="auto"/>
        <w:left w:val="none" w:sz="0" w:space="0" w:color="auto"/>
        <w:bottom w:val="none" w:sz="0" w:space="0" w:color="auto"/>
        <w:right w:val="none" w:sz="0" w:space="0" w:color="auto"/>
      </w:divBdr>
    </w:div>
    <w:div w:id="1283875760">
      <w:bodyDiv w:val="1"/>
      <w:marLeft w:val="0"/>
      <w:marRight w:val="0"/>
      <w:marTop w:val="0"/>
      <w:marBottom w:val="0"/>
      <w:divBdr>
        <w:top w:val="none" w:sz="0" w:space="0" w:color="auto"/>
        <w:left w:val="none" w:sz="0" w:space="0" w:color="auto"/>
        <w:bottom w:val="none" w:sz="0" w:space="0" w:color="auto"/>
        <w:right w:val="none" w:sz="0" w:space="0" w:color="auto"/>
      </w:divBdr>
    </w:div>
    <w:div w:id="1283879456">
      <w:bodyDiv w:val="1"/>
      <w:marLeft w:val="0"/>
      <w:marRight w:val="0"/>
      <w:marTop w:val="0"/>
      <w:marBottom w:val="0"/>
      <w:divBdr>
        <w:top w:val="none" w:sz="0" w:space="0" w:color="auto"/>
        <w:left w:val="none" w:sz="0" w:space="0" w:color="auto"/>
        <w:bottom w:val="none" w:sz="0" w:space="0" w:color="auto"/>
        <w:right w:val="none" w:sz="0" w:space="0" w:color="auto"/>
      </w:divBdr>
    </w:div>
    <w:div w:id="1284994068">
      <w:bodyDiv w:val="1"/>
      <w:marLeft w:val="0"/>
      <w:marRight w:val="0"/>
      <w:marTop w:val="0"/>
      <w:marBottom w:val="0"/>
      <w:divBdr>
        <w:top w:val="none" w:sz="0" w:space="0" w:color="auto"/>
        <w:left w:val="none" w:sz="0" w:space="0" w:color="auto"/>
        <w:bottom w:val="none" w:sz="0" w:space="0" w:color="auto"/>
        <w:right w:val="none" w:sz="0" w:space="0" w:color="auto"/>
      </w:divBdr>
    </w:div>
    <w:div w:id="1288656274">
      <w:bodyDiv w:val="1"/>
      <w:marLeft w:val="0"/>
      <w:marRight w:val="0"/>
      <w:marTop w:val="0"/>
      <w:marBottom w:val="0"/>
      <w:divBdr>
        <w:top w:val="none" w:sz="0" w:space="0" w:color="auto"/>
        <w:left w:val="none" w:sz="0" w:space="0" w:color="auto"/>
        <w:bottom w:val="none" w:sz="0" w:space="0" w:color="auto"/>
        <w:right w:val="none" w:sz="0" w:space="0" w:color="auto"/>
      </w:divBdr>
    </w:div>
    <w:div w:id="1288656922">
      <w:bodyDiv w:val="1"/>
      <w:marLeft w:val="0"/>
      <w:marRight w:val="0"/>
      <w:marTop w:val="0"/>
      <w:marBottom w:val="0"/>
      <w:divBdr>
        <w:top w:val="none" w:sz="0" w:space="0" w:color="auto"/>
        <w:left w:val="none" w:sz="0" w:space="0" w:color="auto"/>
        <w:bottom w:val="none" w:sz="0" w:space="0" w:color="auto"/>
        <w:right w:val="none" w:sz="0" w:space="0" w:color="auto"/>
      </w:divBdr>
    </w:div>
    <w:div w:id="1289432189">
      <w:bodyDiv w:val="1"/>
      <w:marLeft w:val="0"/>
      <w:marRight w:val="0"/>
      <w:marTop w:val="0"/>
      <w:marBottom w:val="0"/>
      <w:divBdr>
        <w:top w:val="none" w:sz="0" w:space="0" w:color="auto"/>
        <w:left w:val="none" w:sz="0" w:space="0" w:color="auto"/>
        <w:bottom w:val="none" w:sz="0" w:space="0" w:color="auto"/>
        <w:right w:val="none" w:sz="0" w:space="0" w:color="auto"/>
      </w:divBdr>
    </w:div>
    <w:div w:id="1292442883">
      <w:bodyDiv w:val="1"/>
      <w:marLeft w:val="0"/>
      <w:marRight w:val="0"/>
      <w:marTop w:val="0"/>
      <w:marBottom w:val="0"/>
      <w:divBdr>
        <w:top w:val="none" w:sz="0" w:space="0" w:color="auto"/>
        <w:left w:val="none" w:sz="0" w:space="0" w:color="auto"/>
        <w:bottom w:val="none" w:sz="0" w:space="0" w:color="auto"/>
        <w:right w:val="none" w:sz="0" w:space="0" w:color="auto"/>
      </w:divBdr>
    </w:div>
    <w:div w:id="1293171450">
      <w:bodyDiv w:val="1"/>
      <w:marLeft w:val="0"/>
      <w:marRight w:val="0"/>
      <w:marTop w:val="0"/>
      <w:marBottom w:val="0"/>
      <w:divBdr>
        <w:top w:val="none" w:sz="0" w:space="0" w:color="auto"/>
        <w:left w:val="none" w:sz="0" w:space="0" w:color="auto"/>
        <w:bottom w:val="none" w:sz="0" w:space="0" w:color="auto"/>
        <w:right w:val="none" w:sz="0" w:space="0" w:color="auto"/>
      </w:divBdr>
    </w:div>
    <w:div w:id="1293513243">
      <w:bodyDiv w:val="1"/>
      <w:marLeft w:val="0"/>
      <w:marRight w:val="0"/>
      <w:marTop w:val="0"/>
      <w:marBottom w:val="0"/>
      <w:divBdr>
        <w:top w:val="none" w:sz="0" w:space="0" w:color="auto"/>
        <w:left w:val="none" w:sz="0" w:space="0" w:color="auto"/>
        <w:bottom w:val="none" w:sz="0" w:space="0" w:color="auto"/>
        <w:right w:val="none" w:sz="0" w:space="0" w:color="auto"/>
      </w:divBdr>
    </w:div>
    <w:div w:id="1293561306">
      <w:bodyDiv w:val="1"/>
      <w:marLeft w:val="0"/>
      <w:marRight w:val="0"/>
      <w:marTop w:val="0"/>
      <w:marBottom w:val="0"/>
      <w:divBdr>
        <w:top w:val="none" w:sz="0" w:space="0" w:color="auto"/>
        <w:left w:val="none" w:sz="0" w:space="0" w:color="auto"/>
        <w:bottom w:val="none" w:sz="0" w:space="0" w:color="auto"/>
        <w:right w:val="none" w:sz="0" w:space="0" w:color="auto"/>
      </w:divBdr>
    </w:div>
    <w:div w:id="1294754452">
      <w:bodyDiv w:val="1"/>
      <w:marLeft w:val="0"/>
      <w:marRight w:val="0"/>
      <w:marTop w:val="0"/>
      <w:marBottom w:val="0"/>
      <w:divBdr>
        <w:top w:val="none" w:sz="0" w:space="0" w:color="auto"/>
        <w:left w:val="none" w:sz="0" w:space="0" w:color="auto"/>
        <w:bottom w:val="none" w:sz="0" w:space="0" w:color="auto"/>
        <w:right w:val="none" w:sz="0" w:space="0" w:color="auto"/>
      </w:divBdr>
    </w:div>
    <w:div w:id="1294798466">
      <w:bodyDiv w:val="1"/>
      <w:marLeft w:val="0"/>
      <w:marRight w:val="0"/>
      <w:marTop w:val="0"/>
      <w:marBottom w:val="0"/>
      <w:divBdr>
        <w:top w:val="none" w:sz="0" w:space="0" w:color="auto"/>
        <w:left w:val="none" w:sz="0" w:space="0" w:color="auto"/>
        <w:bottom w:val="none" w:sz="0" w:space="0" w:color="auto"/>
        <w:right w:val="none" w:sz="0" w:space="0" w:color="auto"/>
      </w:divBdr>
    </w:div>
    <w:div w:id="1295138726">
      <w:bodyDiv w:val="1"/>
      <w:marLeft w:val="0"/>
      <w:marRight w:val="0"/>
      <w:marTop w:val="0"/>
      <w:marBottom w:val="0"/>
      <w:divBdr>
        <w:top w:val="none" w:sz="0" w:space="0" w:color="auto"/>
        <w:left w:val="none" w:sz="0" w:space="0" w:color="auto"/>
        <w:bottom w:val="none" w:sz="0" w:space="0" w:color="auto"/>
        <w:right w:val="none" w:sz="0" w:space="0" w:color="auto"/>
      </w:divBdr>
    </w:div>
    <w:div w:id="1296451272">
      <w:bodyDiv w:val="1"/>
      <w:marLeft w:val="0"/>
      <w:marRight w:val="0"/>
      <w:marTop w:val="0"/>
      <w:marBottom w:val="0"/>
      <w:divBdr>
        <w:top w:val="none" w:sz="0" w:space="0" w:color="auto"/>
        <w:left w:val="none" w:sz="0" w:space="0" w:color="auto"/>
        <w:bottom w:val="none" w:sz="0" w:space="0" w:color="auto"/>
        <w:right w:val="none" w:sz="0" w:space="0" w:color="auto"/>
      </w:divBdr>
    </w:div>
    <w:div w:id="1296792497">
      <w:bodyDiv w:val="1"/>
      <w:marLeft w:val="0"/>
      <w:marRight w:val="0"/>
      <w:marTop w:val="0"/>
      <w:marBottom w:val="0"/>
      <w:divBdr>
        <w:top w:val="none" w:sz="0" w:space="0" w:color="auto"/>
        <w:left w:val="none" w:sz="0" w:space="0" w:color="auto"/>
        <w:bottom w:val="none" w:sz="0" w:space="0" w:color="auto"/>
        <w:right w:val="none" w:sz="0" w:space="0" w:color="auto"/>
      </w:divBdr>
    </w:div>
    <w:div w:id="1299647225">
      <w:bodyDiv w:val="1"/>
      <w:marLeft w:val="0"/>
      <w:marRight w:val="0"/>
      <w:marTop w:val="0"/>
      <w:marBottom w:val="0"/>
      <w:divBdr>
        <w:top w:val="none" w:sz="0" w:space="0" w:color="auto"/>
        <w:left w:val="none" w:sz="0" w:space="0" w:color="auto"/>
        <w:bottom w:val="none" w:sz="0" w:space="0" w:color="auto"/>
        <w:right w:val="none" w:sz="0" w:space="0" w:color="auto"/>
      </w:divBdr>
    </w:div>
    <w:div w:id="1306005671">
      <w:bodyDiv w:val="1"/>
      <w:marLeft w:val="0"/>
      <w:marRight w:val="0"/>
      <w:marTop w:val="0"/>
      <w:marBottom w:val="0"/>
      <w:divBdr>
        <w:top w:val="none" w:sz="0" w:space="0" w:color="auto"/>
        <w:left w:val="none" w:sz="0" w:space="0" w:color="auto"/>
        <w:bottom w:val="none" w:sz="0" w:space="0" w:color="auto"/>
        <w:right w:val="none" w:sz="0" w:space="0" w:color="auto"/>
      </w:divBdr>
    </w:div>
    <w:div w:id="1307003598">
      <w:bodyDiv w:val="1"/>
      <w:marLeft w:val="0"/>
      <w:marRight w:val="0"/>
      <w:marTop w:val="0"/>
      <w:marBottom w:val="0"/>
      <w:divBdr>
        <w:top w:val="none" w:sz="0" w:space="0" w:color="auto"/>
        <w:left w:val="none" w:sz="0" w:space="0" w:color="auto"/>
        <w:bottom w:val="none" w:sz="0" w:space="0" w:color="auto"/>
        <w:right w:val="none" w:sz="0" w:space="0" w:color="auto"/>
      </w:divBdr>
    </w:div>
    <w:div w:id="1309018887">
      <w:bodyDiv w:val="1"/>
      <w:marLeft w:val="0"/>
      <w:marRight w:val="0"/>
      <w:marTop w:val="0"/>
      <w:marBottom w:val="0"/>
      <w:divBdr>
        <w:top w:val="none" w:sz="0" w:space="0" w:color="auto"/>
        <w:left w:val="none" w:sz="0" w:space="0" w:color="auto"/>
        <w:bottom w:val="none" w:sz="0" w:space="0" w:color="auto"/>
        <w:right w:val="none" w:sz="0" w:space="0" w:color="auto"/>
      </w:divBdr>
    </w:div>
    <w:div w:id="1310863874">
      <w:bodyDiv w:val="1"/>
      <w:marLeft w:val="0"/>
      <w:marRight w:val="0"/>
      <w:marTop w:val="0"/>
      <w:marBottom w:val="0"/>
      <w:divBdr>
        <w:top w:val="none" w:sz="0" w:space="0" w:color="auto"/>
        <w:left w:val="none" w:sz="0" w:space="0" w:color="auto"/>
        <w:bottom w:val="none" w:sz="0" w:space="0" w:color="auto"/>
        <w:right w:val="none" w:sz="0" w:space="0" w:color="auto"/>
      </w:divBdr>
    </w:div>
    <w:div w:id="1312754929">
      <w:bodyDiv w:val="1"/>
      <w:marLeft w:val="0"/>
      <w:marRight w:val="0"/>
      <w:marTop w:val="0"/>
      <w:marBottom w:val="0"/>
      <w:divBdr>
        <w:top w:val="none" w:sz="0" w:space="0" w:color="auto"/>
        <w:left w:val="none" w:sz="0" w:space="0" w:color="auto"/>
        <w:bottom w:val="none" w:sz="0" w:space="0" w:color="auto"/>
        <w:right w:val="none" w:sz="0" w:space="0" w:color="auto"/>
      </w:divBdr>
    </w:div>
    <w:div w:id="1313216478">
      <w:bodyDiv w:val="1"/>
      <w:marLeft w:val="0"/>
      <w:marRight w:val="0"/>
      <w:marTop w:val="0"/>
      <w:marBottom w:val="0"/>
      <w:divBdr>
        <w:top w:val="none" w:sz="0" w:space="0" w:color="auto"/>
        <w:left w:val="none" w:sz="0" w:space="0" w:color="auto"/>
        <w:bottom w:val="none" w:sz="0" w:space="0" w:color="auto"/>
        <w:right w:val="none" w:sz="0" w:space="0" w:color="auto"/>
      </w:divBdr>
    </w:div>
    <w:div w:id="1314915514">
      <w:bodyDiv w:val="1"/>
      <w:marLeft w:val="0"/>
      <w:marRight w:val="0"/>
      <w:marTop w:val="0"/>
      <w:marBottom w:val="0"/>
      <w:divBdr>
        <w:top w:val="none" w:sz="0" w:space="0" w:color="auto"/>
        <w:left w:val="none" w:sz="0" w:space="0" w:color="auto"/>
        <w:bottom w:val="none" w:sz="0" w:space="0" w:color="auto"/>
        <w:right w:val="none" w:sz="0" w:space="0" w:color="auto"/>
      </w:divBdr>
    </w:div>
    <w:div w:id="1317143710">
      <w:bodyDiv w:val="1"/>
      <w:marLeft w:val="0"/>
      <w:marRight w:val="0"/>
      <w:marTop w:val="0"/>
      <w:marBottom w:val="0"/>
      <w:divBdr>
        <w:top w:val="none" w:sz="0" w:space="0" w:color="auto"/>
        <w:left w:val="none" w:sz="0" w:space="0" w:color="auto"/>
        <w:bottom w:val="none" w:sz="0" w:space="0" w:color="auto"/>
        <w:right w:val="none" w:sz="0" w:space="0" w:color="auto"/>
      </w:divBdr>
    </w:div>
    <w:div w:id="1317152910">
      <w:bodyDiv w:val="1"/>
      <w:marLeft w:val="0"/>
      <w:marRight w:val="0"/>
      <w:marTop w:val="0"/>
      <w:marBottom w:val="0"/>
      <w:divBdr>
        <w:top w:val="none" w:sz="0" w:space="0" w:color="auto"/>
        <w:left w:val="none" w:sz="0" w:space="0" w:color="auto"/>
        <w:bottom w:val="none" w:sz="0" w:space="0" w:color="auto"/>
        <w:right w:val="none" w:sz="0" w:space="0" w:color="auto"/>
      </w:divBdr>
    </w:div>
    <w:div w:id="1319074989">
      <w:bodyDiv w:val="1"/>
      <w:marLeft w:val="0"/>
      <w:marRight w:val="0"/>
      <w:marTop w:val="0"/>
      <w:marBottom w:val="0"/>
      <w:divBdr>
        <w:top w:val="none" w:sz="0" w:space="0" w:color="auto"/>
        <w:left w:val="none" w:sz="0" w:space="0" w:color="auto"/>
        <w:bottom w:val="none" w:sz="0" w:space="0" w:color="auto"/>
        <w:right w:val="none" w:sz="0" w:space="0" w:color="auto"/>
      </w:divBdr>
    </w:div>
    <w:div w:id="1319188643">
      <w:bodyDiv w:val="1"/>
      <w:marLeft w:val="0"/>
      <w:marRight w:val="0"/>
      <w:marTop w:val="0"/>
      <w:marBottom w:val="0"/>
      <w:divBdr>
        <w:top w:val="none" w:sz="0" w:space="0" w:color="auto"/>
        <w:left w:val="none" w:sz="0" w:space="0" w:color="auto"/>
        <w:bottom w:val="none" w:sz="0" w:space="0" w:color="auto"/>
        <w:right w:val="none" w:sz="0" w:space="0" w:color="auto"/>
      </w:divBdr>
    </w:div>
    <w:div w:id="1319992470">
      <w:bodyDiv w:val="1"/>
      <w:marLeft w:val="0"/>
      <w:marRight w:val="0"/>
      <w:marTop w:val="0"/>
      <w:marBottom w:val="0"/>
      <w:divBdr>
        <w:top w:val="none" w:sz="0" w:space="0" w:color="auto"/>
        <w:left w:val="none" w:sz="0" w:space="0" w:color="auto"/>
        <w:bottom w:val="none" w:sz="0" w:space="0" w:color="auto"/>
        <w:right w:val="none" w:sz="0" w:space="0" w:color="auto"/>
      </w:divBdr>
    </w:div>
    <w:div w:id="1320621520">
      <w:bodyDiv w:val="1"/>
      <w:marLeft w:val="0"/>
      <w:marRight w:val="0"/>
      <w:marTop w:val="0"/>
      <w:marBottom w:val="0"/>
      <w:divBdr>
        <w:top w:val="none" w:sz="0" w:space="0" w:color="auto"/>
        <w:left w:val="none" w:sz="0" w:space="0" w:color="auto"/>
        <w:bottom w:val="none" w:sz="0" w:space="0" w:color="auto"/>
        <w:right w:val="none" w:sz="0" w:space="0" w:color="auto"/>
      </w:divBdr>
    </w:div>
    <w:div w:id="1322389717">
      <w:bodyDiv w:val="1"/>
      <w:marLeft w:val="0"/>
      <w:marRight w:val="0"/>
      <w:marTop w:val="0"/>
      <w:marBottom w:val="0"/>
      <w:divBdr>
        <w:top w:val="none" w:sz="0" w:space="0" w:color="auto"/>
        <w:left w:val="none" w:sz="0" w:space="0" w:color="auto"/>
        <w:bottom w:val="none" w:sz="0" w:space="0" w:color="auto"/>
        <w:right w:val="none" w:sz="0" w:space="0" w:color="auto"/>
      </w:divBdr>
    </w:div>
    <w:div w:id="1322733902">
      <w:bodyDiv w:val="1"/>
      <w:marLeft w:val="0"/>
      <w:marRight w:val="0"/>
      <w:marTop w:val="0"/>
      <w:marBottom w:val="0"/>
      <w:divBdr>
        <w:top w:val="none" w:sz="0" w:space="0" w:color="auto"/>
        <w:left w:val="none" w:sz="0" w:space="0" w:color="auto"/>
        <w:bottom w:val="none" w:sz="0" w:space="0" w:color="auto"/>
        <w:right w:val="none" w:sz="0" w:space="0" w:color="auto"/>
      </w:divBdr>
    </w:div>
    <w:div w:id="1323895892">
      <w:bodyDiv w:val="1"/>
      <w:marLeft w:val="0"/>
      <w:marRight w:val="0"/>
      <w:marTop w:val="0"/>
      <w:marBottom w:val="0"/>
      <w:divBdr>
        <w:top w:val="none" w:sz="0" w:space="0" w:color="auto"/>
        <w:left w:val="none" w:sz="0" w:space="0" w:color="auto"/>
        <w:bottom w:val="none" w:sz="0" w:space="0" w:color="auto"/>
        <w:right w:val="none" w:sz="0" w:space="0" w:color="auto"/>
      </w:divBdr>
    </w:div>
    <w:div w:id="1324049440">
      <w:bodyDiv w:val="1"/>
      <w:marLeft w:val="0"/>
      <w:marRight w:val="0"/>
      <w:marTop w:val="0"/>
      <w:marBottom w:val="0"/>
      <w:divBdr>
        <w:top w:val="none" w:sz="0" w:space="0" w:color="auto"/>
        <w:left w:val="none" w:sz="0" w:space="0" w:color="auto"/>
        <w:bottom w:val="none" w:sz="0" w:space="0" w:color="auto"/>
        <w:right w:val="none" w:sz="0" w:space="0" w:color="auto"/>
      </w:divBdr>
    </w:div>
    <w:div w:id="1325426633">
      <w:bodyDiv w:val="1"/>
      <w:marLeft w:val="0"/>
      <w:marRight w:val="0"/>
      <w:marTop w:val="0"/>
      <w:marBottom w:val="0"/>
      <w:divBdr>
        <w:top w:val="none" w:sz="0" w:space="0" w:color="auto"/>
        <w:left w:val="none" w:sz="0" w:space="0" w:color="auto"/>
        <w:bottom w:val="none" w:sz="0" w:space="0" w:color="auto"/>
        <w:right w:val="none" w:sz="0" w:space="0" w:color="auto"/>
      </w:divBdr>
    </w:div>
    <w:div w:id="1325620948">
      <w:bodyDiv w:val="1"/>
      <w:marLeft w:val="0"/>
      <w:marRight w:val="0"/>
      <w:marTop w:val="0"/>
      <w:marBottom w:val="0"/>
      <w:divBdr>
        <w:top w:val="none" w:sz="0" w:space="0" w:color="auto"/>
        <w:left w:val="none" w:sz="0" w:space="0" w:color="auto"/>
        <w:bottom w:val="none" w:sz="0" w:space="0" w:color="auto"/>
        <w:right w:val="none" w:sz="0" w:space="0" w:color="auto"/>
      </w:divBdr>
    </w:div>
    <w:div w:id="1326475768">
      <w:bodyDiv w:val="1"/>
      <w:marLeft w:val="0"/>
      <w:marRight w:val="0"/>
      <w:marTop w:val="0"/>
      <w:marBottom w:val="0"/>
      <w:divBdr>
        <w:top w:val="none" w:sz="0" w:space="0" w:color="auto"/>
        <w:left w:val="none" w:sz="0" w:space="0" w:color="auto"/>
        <w:bottom w:val="none" w:sz="0" w:space="0" w:color="auto"/>
        <w:right w:val="none" w:sz="0" w:space="0" w:color="auto"/>
      </w:divBdr>
    </w:div>
    <w:div w:id="1327201208">
      <w:bodyDiv w:val="1"/>
      <w:marLeft w:val="0"/>
      <w:marRight w:val="0"/>
      <w:marTop w:val="0"/>
      <w:marBottom w:val="0"/>
      <w:divBdr>
        <w:top w:val="none" w:sz="0" w:space="0" w:color="auto"/>
        <w:left w:val="none" w:sz="0" w:space="0" w:color="auto"/>
        <w:bottom w:val="none" w:sz="0" w:space="0" w:color="auto"/>
        <w:right w:val="none" w:sz="0" w:space="0" w:color="auto"/>
      </w:divBdr>
    </w:div>
    <w:div w:id="1327634047">
      <w:bodyDiv w:val="1"/>
      <w:marLeft w:val="0"/>
      <w:marRight w:val="0"/>
      <w:marTop w:val="0"/>
      <w:marBottom w:val="0"/>
      <w:divBdr>
        <w:top w:val="none" w:sz="0" w:space="0" w:color="auto"/>
        <w:left w:val="none" w:sz="0" w:space="0" w:color="auto"/>
        <w:bottom w:val="none" w:sz="0" w:space="0" w:color="auto"/>
        <w:right w:val="none" w:sz="0" w:space="0" w:color="auto"/>
      </w:divBdr>
    </w:div>
    <w:div w:id="1328825446">
      <w:bodyDiv w:val="1"/>
      <w:marLeft w:val="0"/>
      <w:marRight w:val="0"/>
      <w:marTop w:val="0"/>
      <w:marBottom w:val="0"/>
      <w:divBdr>
        <w:top w:val="none" w:sz="0" w:space="0" w:color="auto"/>
        <w:left w:val="none" w:sz="0" w:space="0" w:color="auto"/>
        <w:bottom w:val="none" w:sz="0" w:space="0" w:color="auto"/>
        <w:right w:val="none" w:sz="0" w:space="0" w:color="auto"/>
      </w:divBdr>
    </w:div>
    <w:div w:id="1328829369">
      <w:bodyDiv w:val="1"/>
      <w:marLeft w:val="0"/>
      <w:marRight w:val="0"/>
      <w:marTop w:val="0"/>
      <w:marBottom w:val="0"/>
      <w:divBdr>
        <w:top w:val="none" w:sz="0" w:space="0" w:color="auto"/>
        <w:left w:val="none" w:sz="0" w:space="0" w:color="auto"/>
        <w:bottom w:val="none" w:sz="0" w:space="0" w:color="auto"/>
        <w:right w:val="none" w:sz="0" w:space="0" w:color="auto"/>
      </w:divBdr>
    </w:div>
    <w:div w:id="1328941267">
      <w:bodyDiv w:val="1"/>
      <w:marLeft w:val="0"/>
      <w:marRight w:val="0"/>
      <w:marTop w:val="0"/>
      <w:marBottom w:val="0"/>
      <w:divBdr>
        <w:top w:val="none" w:sz="0" w:space="0" w:color="auto"/>
        <w:left w:val="none" w:sz="0" w:space="0" w:color="auto"/>
        <w:bottom w:val="none" w:sz="0" w:space="0" w:color="auto"/>
        <w:right w:val="none" w:sz="0" w:space="0" w:color="auto"/>
      </w:divBdr>
    </w:div>
    <w:div w:id="1329559979">
      <w:bodyDiv w:val="1"/>
      <w:marLeft w:val="0"/>
      <w:marRight w:val="0"/>
      <w:marTop w:val="0"/>
      <w:marBottom w:val="0"/>
      <w:divBdr>
        <w:top w:val="none" w:sz="0" w:space="0" w:color="auto"/>
        <w:left w:val="none" w:sz="0" w:space="0" w:color="auto"/>
        <w:bottom w:val="none" w:sz="0" w:space="0" w:color="auto"/>
        <w:right w:val="none" w:sz="0" w:space="0" w:color="auto"/>
      </w:divBdr>
    </w:div>
    <w:div w:id="1331785513">
      <w:bodyDiv w:val="1"/>
      <w:marLeft w:val="0"/>
      <w:marRight w:val="0"/>
      <w:marTop w:val="0"/>
      <w:marBottom w:val="0"/>
      <w:divBdr>
        <w:top w:val="none" w:sz="0" w:space="0" w:color="auto"/>
        <w:left w:val="none" w:sz="0" w:space="0" w:color="auto"/>
        <w:bottom w:val="none" w:sz="0" w:space="0" w:color="auto"/>
        <w:right w:val="none" w:sz="0" w:space="0" w:color="auto"/>
      </w:divBdr>
    </w:div>
    <w:div w:id="1333223642">
      <w:bodyDiv w:val="1"/>
      <w:marLeft w:val="0"/>
      <w:marRight w:val="0"/>
      <w:marTop w:val="0"/>
      <w:marBottom w:val="0"/>
      <w:divBdr>
        <w:top w:val="none" w:sz="0" w:space="0" w:color="auto"/>
        <w:left w:val="none" w:sz="0" w:space="0" w:color="auto"/>
        <w:bottom w:val="none" w:sz="0" w:space="0" w:color="auto"/>
        <w:right w:val="none" w:sz="0" w:space="0" w:color="auto"/>
      </w:divBdr>
    </w:div>
    <w:div w:id="1333753860">
      <w:bodyDiv w:val="1"/>
      <w:marLeft w:val="0"/>
      <w:marRight w:val="0"/>
      <w:marTop w:val="0"/>
      <w:marBottom w:val="0"/>
      <w:divBdr>
        <w:top w:val="none" w:sz="0" w:space="0" w:color="auto"/>
        <w:left w:val="none" w:sz="0" w:space="0" w:color="auto"/>
        <w:bottom w:val="none" w:sz="0" w:space="0" w:color="auto"/>
        <w:right w:val="none" w:sz="0" w:space="0" w:color="auto"/>
      </w:divBdr>
    </w:div>
    <w:div w:id="1334799356">
      <w:bodyDiv w:val="1"/>
      <w:marLeft w:val="0"/>
      <w:marRight w:val="0"/>
      <w:marTop w:val="0"/>
      <w:marBottom w:val="0"/>
      <w:divBdr>
        <w:top w:val="none" w:sz="0" w:space="0" w:color="auto"/>
        <w:left w:val="none" w:sz="0" w:space="0" w:color="auto"/>
        <w:bottom w:val="none" w:sz="0" w:space="0" w:color="auto"/>
        <w:right w:val="none" w:sz="0" w:space="0" w:color="auto"/>
      </w:divBdr>
    </w:div>
    <w:div w:id="1336763580">
      <w:bodyDiv w:val="1"/>
      <w:marLeft w:val="0"/>
      <w:marRight w:val="0"/>
      <w:marTop w:val="0"/>
      <w:marBottom w:val="0"/>
      <w:divBdr>
        <w:top w:val="none" w:sz="0" w:space="0" w:color="auto"/>
        <w:left w:val="none" w:sz="0" w:space="0" w:color="auto"/>
        <w:bottom w:val="none" w:sz="0" w:space="0" w:color="auto"/>
        <w:right w:val="none" w:sz="0" w:space="0" w:color="auto"/>
      </w:divBdr>
    </w:div>
    <w:div w:id="1337154550">
      <w:bodyDiv w:val="1"/>
      <w:marLeft w:val="0"/>
      <w:marRight w:val="0"/>
      <w:marTop w:val="0"/>
      <w:marBottom w:val="0"/>
      <w:divBdr>
        <w:top w:val="none" w:sz="0" w:space="0" w:color="auto"/>
        <w:left w:val="none" w:sz="0" w:space="0" w:color="auto"/>
        <w:bottom w:val="none" w:sz="0" w:space="0" w:color="auto"/>
        <w:right w:val="none" w:sz="0" w:space="0" w:color="auto"/>
      </w:divBdr>
    </w:div>
    <w:div w:id="1340545693">
      <w:bodyDiv w:val="1"/>
      <w:marLeft w:val="0"/>
      <w:marRight w:val="0"/>
      <w:marTop w:val="0"/>
      <w:marBottom w:val="0"/>
      <w:divBdr>
        <w:top w:val="none" w:sz="0" w:space="0" w:color="auto"/>
        <w:left w:val="none" w:sz="0" w:space="0" w:color="auto"/>
        <w:bottom w:val="none" w:sz="0" w:space="0" w:color="auto"/>
        <w:right w:val="none" w:sz="0" w:space="0" w:color="auto"/>
      </w:divBdr>
    </w:div>
    <w:div w:id="1342780184">
      <w:bodyDiv w:val="1"/>
      <w:marLeft w:val="0"/>
      <w:marRight w:val="0"/>
      <w:marTop w:val="0"/>
      <w:marBottom w:val="0"/>
      <w:divBdr>
        <w:top w:val="none" w:sz="0" w:space="0" w:color="auto"/>
        <w:left w:val="none" w:sz="0" w:space="0" w:color="auto"/>
        <w:bottom w:val="none" w:sz="0" w:space="0" w:color="auto"/>
        <w:right w:val="none" w:sz="0" w:space="0" w:color="auto"/>
      </w:divBdr>
    </w:div>
    <w:div w:id="1343898475">
      <w:bodyDiv w:val="1"/>
      <w:marLeft w:val="0"/>
      <w:marRight w:val="0"/>
      <w:marTop w:val="0"/>
      <w:marBottom w:val="0"/>
      <w:divBdr>
        <w:top w:val="none" w:sz="0" w:space="0" w:color="auto"/>
        <w:left w:val="none" w:sz="0" w:space="0" w:color="auto"/>
        <w:bottom w:val="none" w:sz="0" w:space="0" w:color="auto"/>
        <w:right w:val="none" w:sz="0" w:space="0" w:color="auto"/>
      </w:divBdr>
    </w:div>
    <w:div w:id="1344672167">
      <w:bodyDiv w:val="1"/>
      <w:marLeft w:val="0"/>
      <w:marRight w:val="0"/>
      <w:marTop w:val="0"/>
      <w:marBottom w:val="0"/>
      <w:divBdr>
        <w:top w:val="none" w:sz="0" w:space="0" w:color="auto"/>
        <w:left w:val="none" w:sz="0" w:space="0" w:color="auto"/>
        <w:bottom w:val="none" w:sz="0" w:space="0" w:color="auto"/>
        <w:right w:val="none" w:sz="0" w:space="0" w:color="auto"/>
      </w:divBdr>
    </w:div>
    <w:div w:id="1345399621">
      <w:bodyDiv w:val="1"/>
      <w:marLeft w:val="0"/>
      <w:marRight w:val="0"/>
      <w:marTop w:val="0"/>
      <w:marBottom w:val="0"/>
      <w:divBdr>
        <w:top w:val="none" w:sz="0" w:space="0" w:color="auto"/>
        <w:left w:val="none" w:sz="0" w:space="0" w:color="auto"/>
        <w:bottom w:val="none" w:sz="0" w:space="0" w:color="auto"/>
        <w:right w:val="none" w:sz="0" w:space="0" w:color="auto"/>
      </w:divBdr>
    </w:div>
    <w:div w:id="1349258175">
      <w:bodyDiv w:val="1"/>
      <w:marLeft w:val="0"/>
      <w:marRight w:val="0"/>
      <w:marTop w:val="0"/>
      <w:marBottom w:val="0"/>
      <w:divBdr>
        <w:top w:val="none" w:sz="0" w:space="0" w:color="auto"/>
        <w:left w:val="none" w:sz="0" w:space="0" w:color="auto"/>
        <w:bottom w:val="none" w:sz="0" w:space="0" w:color="auto"/>
        <w:right w:val="none" w:sz="0" w:space="0" w:color="auto"/>
      </w:divBdr>
    </w:div>
    <w:div w:id="1351299828">
      <w:bodyDiv w:val="1"/>
      <w:marLeft w:val="0"/>
      <w:marRight w:val="0"/>
      <w:marTop w:val="0"/>
      <w:marBottom w:val="0"/>
      <w:divBdr>
        <w:top w:val="none" w:sz="0" w:space="0" w:color="auto"/>
        <w:left w:val="none" w:sz="0" w:space="0" w:color="auto"/>
        <w:bottom w:val="none" w:sz="0" w:space="0" w:color="auto"/>
        <w:right w:val="none" w:sz="0" w:space="0" w:color="auto"/>
      </w:divBdr>
    </w:div>
    <w:div w:id="1351757450">
      <w:bodyDiv w:val="1"/>
      <w:marLeft w:val="0"/>
      <w:marRight w:val="0"/>
      <w:marTop w:val="0"/>
      <w:marBottom w:val="0"/>
      <w:divBdr>
        <w:top w:val="none" w:sz="0" w:space="0" w:color="auto"/>
        <w:left w:val="none" w:sz="0" w:space="0" w:color="auto"/>
        <w:bottom w:val="none" w:sz="0" w:space="0" w:color="auto"/>
        <w:right w:val="none" w:sz="0" w:space="0" w:color="auto"/>
      </w:divBdr>
    </w:div>
    <w:div w:id="1352757323">
      <w:bodyDiv w:val="1"/>
      <w:marLeft w:val="0"/>
      <w:marRight w:val="0"/>
      <w:marTop w:val="0"/>
      <w:marBottom w:val="0"/>
      <w:divBdr>
        <w:top w:val="none" w:sz="0" w:space="0" w:color="auto"/>
        <w:left w:val="none" w:sz="0" w:space="0" w:color="auto"/>
        <w:bottom w:val="none" w:sz="0" w:space="0" w:color="auto"/>
        <w:right w:val="none" w:sz="0" w:space="0" w:color="auto"/>
      </w:divBdr>
    </w:div>
    <w:div w:id="1353338204">
      <w:bodyDiv w:val="1"/>
      <w:marLeft w:val="0"/>
      <w:marRight w:val="0"/>
      <w:marTop w:val="0"/>
      <w:marBottom w:val="0"/>
      <w:divBdr>
        <w:top w:val="none" w:sz="0" w:space="0" w:color="auto"/>
        <w:left w:val="none" w:sz="0" w:space="0" w:color="auto"/>
        <w:bottom w:val="none" w:sz="0" w:space="0" w:color="auto"/>
        <w:right w:val="none" w:sz="0" w:space="0" w:color="auto"/>
      </w:divBdr>
    </w:div>
    <w:div w:id="1353872699">
      <w:bodyDiv w:val="1"/>
      <w:marLeft w:val="0"/>
      <w:marRight w:val="0"/>
      <w:marTop w:val="0"/>
      <w:marBottom w:val="0"/>
      <w:divBdr>
        <w:top w:val="none" w:sz="0" w:space="0" w:color="auto"/>
        <w:left w:val="none" w:sz="0" w:space="0" w:color="auto"/>
        <w:bottom w:val="none" w:sz="0" w:space="0" w:color="auto"/>
        <w:right w:val="none" w:sz="0" w:space="0" w:color="auto"/>
      </w:divBdr>
    </w:div>
    <w:div w:id="1355571156">
      <w:bodyDiv w:val="1"/>
      <w:marLeft w:val="0"/>
      <w:marRight w:val="0"/>
      <w:marTop w:val="0"/>
      <w:marBottom w:val="0"/>
      <w:divBdr>
        <w:top w:val="none" w:sz="0" w:space="0" w:color="auto"/>
        <w:left w:val="none" w:sz="0" w:space="0" w:color="auto"/>
        <w:bottom w:val="none" w:sz="0" w:space="0" w:color="auto"/>
        <w:right w:val="none" w:sz="0" w:space="0" w:color="auto"/>
      </w:divBdr>
    </w:div>
    <w:div w:id="1359044199">
      <w:bodyDiv w:val="1"/>
      <w:marLeft w:val="0"/>
      <w:marRight w:val="0"/>
      <w:marTop w:val="0"/>
      <w:marBottom w:val="0"/>
      <w:divBdr>
        <w:top w:val="none" w:sz="0" w:space="0" w:color="auto"/>
        <w:left w:val="none" w:sz="0" w:space="0" w:color="auto"/>
        <w:bottom w:val="none" w:sz="0" w:space="0" w:color="auto"/>
        <w:right w:val="none" w:sz="0" w:space="0" w:color="auto"/>
      </w:divBdr>
    </w:div>
    <w:div w:id="1359509425">
      <w:bodyDiv w:val="1"/>
      <w:marLeft w:val="0"/>
      <w:marRight w:val="0"/>
      <w:marTop w:val="0"/>
      <w:marBottom w:val="0"/>
      <w:divBdr>
        <w:top w:val="none" w:sz="0" w:space="0" w:color="auto"/>
        <w:left w:val="none" w:sz="0" w:space="0" w:color="auto"/>
        <w:bottom w:val="none" w:sz="0" w:space="0" w:color="auto"/>
        <w:right w:val="none" w:sz="0" w:space="0" w:color="auto"/>
      </w:divBdr>
    </w:div>
    <w:div w:id="1361778555">
      <w:bodyDiv w:val="1"/>
      <w:marLeft w:val="0"/>
      <w:marRight w:val="0"/>
      <w:marTop w:val="0"/>
      <w:marBottom w:val="0"/>
      <w:divBdr>
        <w:top w:val="none" w:sz="0" w:space="0" w:color="auto"/>
        <w:left w:val="none" w:sz="0" w:space="0" w:color="auto"/>
        <w:bottom w:val="none" w:sz="0" w:space="0" w:color="auto"/>
        <w:right w:val="none" w:sz="0" w:space="0" w:color="auto"/>
      </w:divBdr>
    </w:div>
    <w:div w:id="1361859830">
      <w:bodyDiv w:val="1"/>
      <w:marLeft w:val="0"/>
      <w:marRight w:val="0"/>
      <w:marTop w:val="0"/>
      <w:marBottom w:val="0"/>
      <w:divBdr>
        <w:top w:val="none" w:sz="0" w:space="0" w:color="auto"/>
        <w:left w:val="none" w:sz="0" w:space="0" w:color="auto"/>
        <w:bottom w:val="none" w:sz="0" w:space="0" w:color="auto"/>
        <w:right w:val="none" w:sz="0" w:space="0" w:color="auto"/>
      </w:divBdr>
    </w:div>
    <w:div w:id="1363094908">
      <w:bodyDiv w:val="1"/>
      <w:marLeft w:val="0"/>
      <w:marRight w:val="0"/>
      <w:marTop w:val="0"/>
      <w:marBottom w:val="0"/>
      <w:divBdr>
        <w:top w:val="none" w:sz="0" w:space="0" w:color="auto"/>
        <w:left w:val="none" w:sz="0" w:space="0" w:color="auto"/>
        <w:bottom w:val="none" w:sz="0" w:space="0" w:color="auto"/>
        <w:right w:val="none" w:sz="0" w:space="0" w:color="auto"/>
      </w:divBdr>
    </w:div>
    <w:div w:id="1364938602">
      <w:bodyDiv w:val="1"/>
      <w:marLeft w:val="0"/>
      <w:marRight w:val="0"/>
      <w:marTop w:val="0"/>
      <w:marBottom w:val="0"/>
      <w:divBdr>
        <w:top w:val="none" w:sz="0" w:space="0" w:color="auto"/>
        <w:left w:val="none" w:sz="0" w:space="0" w:color="auto"/>
        <w:bottom w:val="none" w:sz="0" w:space="0" w:color="auto"/>
        <w:right w:val="none" w:sz="0" w:space="0" w:color="auto"/>
      </w:divBdr>
    </w:div>
    <w:div w:id="1365253385">
      <w:bodyDiv w:val="1"/>
      <w:marLeft w:val="0"/>
      <w:marRight w:val="0"/>
      <w:marTop w:val="0"/>
      <w:marBottom w:val="0"/>
      <w:divBdr>
        <w:top w:val="none" w:sz="0" w:space="0" w:color="auto"/>
        <w:left w:val="none" w:sz="0" w:space="0" w:color="auto"/>
        <w:bottom w:val="none" w:sz="0" w:space="0" w:color="auto"/>
        <w:right w:val="none" w:sz="0" w:space="0" w:color="auto"/>
      </w:divBdr>
    </w:div>
    <w:div w:id="1370641634">
      <w:bodyDiv w:val="1"/>
      <w:marLeft w:val="0"/>
      <w:marRight w:val="0"/>
      <w:marTop w:val="0"/>
      <w:marBottom w:val="0"/>
      <w:divBdr>
        <w:top w:val="none" w:sz="0" w:space="0" w:color="auto"/>
        <w:left w:val="none" w:sz="0" w:space="0" w:color="auto"/>
        <w:bottom w:val="none" w:sz="0" w:space="0" w:color="auto"/>
        <w:right w:val="none" w:sz="0" w:space="0" w:color="auto"/>
      </w:divBdr>
    </w:div>
    <w:div w:id="1370883142">
      <w:bodyDiv w:val="1"/>
      <w:marLeft w:val="0"/>
      <w:marRight w:val="0"/>
      <w:marTop w:val="0"/>
      <w:marBottom w:val="0"/>
      <w:divBdr>
        <w:top w:val="none" w:sz="0" w:space="0" w:color="auto"/>
        <w:left w:val="none" w:sz="0" w:space="0" w:color="auto"/>
        <w:bottom w:val="none" w:sz="0" w:space="0" w:color="auto"/>
        <w:right w:val="none" w:sz="0" w:space="0" w:color="auto"/>
      </w:divBdr>
    </w:div>
    <w:div w:id="1371765125">
      <w:bodyDiv w:val="1"/>
      <w:marLeft w:val="0"/>
      <w:marRight w:val="0"/>
      <w:marTop w:val="0"/>
      <w:marBottom w:val="0"/>
      <w:divBdr>
        <w:top w:val="none" w:sz="0" w:space="0" w:color="auto"/>
        <w:left w:val="none" w:sz="0" w:space="0" w:color="auto"/>
        <w:bottom w:val="none" w:sz="0" w:space="0" w:color="auto"/>
        <w:right w:val="none" w:sz="0" w:space="0" w:color="auto"/>
      </w:divBdr>
    </w:div>
    <w:div w:id="1372267417">
      <w:bodyDiv w:val="1"/>
      <w:marLeft w:val="0"/>
      <w:marRight w:val="0"/>
      <w:marTop w:val="0"/>
      <w:marBottom w:val="0"/>
      <w:divBdr>
        <w:top w:val="none" w:sz="0" w:space="0" w:color="auto"/>
        <w:left w:val="none" w:sz="0" w:space="0" w:color="auto"/>
        <w:bottom w:val="none" w:sz="0" w:space="0" w:color="auto"/>
        <w:right w:val="none" w:sz="0" w:space="0" w:color="auto"/>
      </w:divBdr>
    </w:div>
    <w:div w:id="1372340446">
      <w:bodyDiv w:val="1"/>
      <w:marLeft w:val="0"/>
      <w:marRight w:val="0"/>
      <w:marTop w:val="0"/>
      <w:marBottom w:val="0"/>
      <w:divBdr>
        <w:top w:val="none" w:sz="0" w:space="0" w:color="auto"/>
        <w:left w:val="none" w:sz="0" w:space="0" w:color="auto"/>
        <w:bottom w:val="none" w:sz="0" w:space="0" w:color="auto"/>
        <w:right w:val="none" w:sz="0" w:space="0" w:color="auto"/>
      </w:divBdr>
    </w:div>
    <w:div w:id="1373387730">
      <w:bodyDiv w:val="1"/>
      <w:marLeft w:val="0"/>
      <w:marRight w:val="0"/>
      <w:marTop w:val="0"/>
      <w:marBottom w:val="0"/>
      <w:divBdr>
        <w:top w:val="none" w:sz="0" w:space="0" w:color="auto"/>
        <w:left w:val="none" w:sz="0" w:space="0" w:color="auto"/>
        <w:bottom w:val="none" w:sz="0" w:space="0" w:color="auto"/>
        <w:right w:val="none" w:sz="0" w:space="0" w:color="auto"/>
      </w:divBdr>
    </w:div>
    <w:div w:id="1373462342">
      <w:bodyDiv w:val="1"/>
      <w:marLeft w:val="0"/>
      <w:marRight w:val="0"/>
      <w:marTop w:val="0"/>
      <w:marBottom w:val="0"/>
      <w:divBdr>
        <w:top w:val="none" w:sz="0" w:space="0" w:color="auto"/>
        <w:left w:val="none" w:sz="0" w:space="0" w:color="auto"/>
        <w:bottom w:val="none" w:sz="0" w:space="0" w:color="auto"/>
        <w:right w:val="none" w:sz="0" w:space="0" w:color="auto"/>
      </w:divBdr>
    </w:div>
    <w:div w:id="1376345205">
      <w:bodyDiv w:val="1"/>
      <w:marLeft w:val="0"/>
      <w:marRight w:val="0"/>
      <w:marTop w:val="0"/>
      <w:marBottom w:val="0"/>
      <w:divBdr>
        <w:top w:val="none" w:sz="0" w:space="0" w:color="auto"/>
        <w:left w:val="none" w:sz="0" w:space="0" w:color="auto"/>
        <w:bottom w:val="none" w:sz="0" w:space="0" w:color="auto"/>
        <w:right w:val="none" w:sz="0" w:space="0" w:color="auto"/>
      </w:divBdr>
    </w:div>
    <w:div w:id="1376539541">
      <w:bodyDiv w:val="1"/>
      <w:marLeft w:val="0"/>
      <w:marRight w:val="0"/>
      <w:marTop w:val="0"/>
      <w:marBottom w:val="0"/>
      <w:divBdr>
        <w:top w:val="none" w:sz="0" w:space="0" w:color="auto"/>
        <w:left w:val="none" w:sz="0" w:space="0" w:color="auto"/>
        <w:bottom w:val="none" w:sz="0" w:space="0" w:color="auto"/>
        <w:right w:val="none" w:sz="0" w:space="0" w:color="auto"/>
      </w:divBdr>
    </w:div>
    <w:div w:id="1380275934">
      <w:bodyDiv w:val="1"/>
      <w:marLeft w:val="0"/>
      <w:marRight w:val="0"/>
      <w:marTop w:val="0"/>
      <w:marBottom w:val="0"/>
      <w:divBdr>
        <w:top w:val="none" w:sz="0" w:space="0" w:color="auto"/>
        <w:left w:val="none" w:sz="0" w:space="0" w:color="auto"/>
        <w:bottom w:val="none" w:sz="0" w:space="0" w:color="auto"/>
        <w:right w:val="none" w:sz="0" w:space="0" w:color="auto"/>
      </w:divBdr>
    </w:div>
    <w:div w:id="1386635744">
      <w:bodyDiv w:val="1"/>
      <w:marLeft w:val="0"/>
      <w:marRight w:val="0"/>
      <w:marTop w:val="0"/>
      <w:marBottom w:val="0"/>
      <w:divBdr>
        <w:top w:val="none" w:sz="0" w:space="0" w:color="auto"/>
        <w:left w:val="none" w:sz="0" w:space="0" w:color="auto"/>
        <w:bottom w:val="none" w:sz="0" w:space="0" w:color="auto"/>
        <w:right w:val="none" w:sz="0" w:space="0" w:color="auto"/>
      </w:divBdr>
    </w:div>
    <w:div w:id="1389956849">
      <w:bodyDiv w:val="1"/>
      <w:marLeft w:val="0"/>
      <w:marRight w:val="0"/>
      <w:marTop w:val="0"/>
      <w:marBottom w:val="0"/>
      <w:divBdr>
        <w:top w:val="none" w:sz="0" w:space="0" w:color="auto"/>
        <w:left w:val="none" w:sz="0" w:space="0" w:color="auto"/>
        <w:bottom w:val="none" w:sz="0" w:space="0" w:color="auto"/>
        <w:right w:val="none" w:sz="0" w:space="0" w:color="auto"/>
      </w:divBdr>
    </w:div>
    <w:div w:id="1392462607">
      <w:bodyDiv w:val="1"/>
      <w:marLeft w:val="0"/>
      <w:marRight w:val="0"/>
      <w:marTop w:val="0"/>
      <w:marBottom w:val="0"/>
      <w:divBdr>
        <w:top w:val="none" w:sz="0" w:space="0" w:color="auto"/>
        <w:left w:val="none" w:sz="0" w:space="0" w:color="auto"/>
        <w:bottom w:val="none" w:sz="0" w:space="0" w:color="auto"/>
        <w:right w:val="none" w:sz="0" w:space="0" w:color="auto"/>
      </w:divBdr>
    </w:div>
    <w:div w:id="1392730509">
      <w:bodyDiv w:val="1"/>
      <w:marLeft w:val="0"/>
      <w:marRight w:val="0"/>
      <w:marTop w:val="0"/>
      <w:marBottom w:val="0"/>
      <w:divBdr>
        <w:top w:val="none" w:sz="0" w:space="0" w:color="auto"/>
        <w:left w:val="none" w:sz="0" w:space="0" w:color="auto"/>
        <w:bottom w:val="none" w:sz="0" w:space="0" w:color="auto"/>
        <w:right w:val="none" w:sz="0" w:space="0" w:color="auto"/>
      </w:divBdr>
    </w:div>
    <w:div w:id="1392773251">
      <w:bodyDiv w:val="1"/>
      <w:marLeft w:val="0"/>
      <w:marRight w:val="0"/>
      <w:marTop w:val="0"/>
      <w:marBottom w:val="0"/>
      <w:divBdr>
        <w:top w:val="none" w:sz="0" w:space="0" w:color="auto"/>
        <w:left w:val="none" w:sz="0" w:space="0" w:color="auto"/>
        <w:bottom w:val="none" w:sz="0" w:space="0" w:color="auto"/>
        <w:right w:val="none" w:sz="0" w:space="0" w:color="auto"/>
      </w:divBdr>
    </w:div>
    <w:div w:id="1393196268">
      <w:bodyDiv w:val="1"/>
      <w:marLeft w:val="0"/>
      <w:marRight w:val="0"/>
      <w:marTop w:val="0"/>
      <w:marBottom w:val="0"/>
      <w:divBdr>
        <w:top w:val="none" w:sz="0" w:space="0" w:color="auto"/>
        <w:left w:val="none" w:sz="0" w:space="0" w:color="auto"/>
        <w:bottom w:val="none" w:sz="0" w:space="0" w:color="auto"/>
        <w:right w:val="none" w:sz="0" w:space="0" w:color="auto"/>
      </w:divBdr>
    </w:div>
    <w:div w:id="1393503123">
      <w:bodyDiv w:val="1"/>
      <w:marLeft w:val="0"/>
      <w:marRight w:val="0"/>
      <w:marTop w:val="0"/>
      <w:marBottom w:val="0"/>
      <w:divBdr>
        <w:top w:val="none" w:sz="0" w:space="0" w:color="auto"/>
        <w:left w:val="none" w:sz="0" w:space="0" w:color="auto"/>
        <w:bottom w:val="none" w:sz="0" w:space="0" w:color="auto"/>
        <w:right w:val="none" w:sz="0" w:space="0" w:color="auto"/>
      </w:divBdr>
    </w:div>
    <w:div w:id="1395812439">
      <w:bodyDiv w:val="1"/>
      <w:marLeft w:val="0"/>
      <w:marRight w:val="0"/>
      <w:marTop w:val="0"/>
      <w:marBottom w:val="0"/>
      <w:divBdr>
        <w:top w:val="none" w:sz="0" w:space="0" w:color="auto"/>
        <w:left w:val="none" w:sz="0" w:space="0" w:color="auto"/>
        <w:bottom w:val="none" w:sz="0" w:space="0" w:color="auto"/>
        <w:right w:val="none" w:sz="0" w:space="0" w:color="auto"/>
      </w:divBdr>
    </w:div>
    <w:div w:id="1396008647">
      <w:bodyDiv w:val="1"/>
      <w:marLeft w:val="0"/>
      <w:marRight w:val="0"/>
      <w:marTop w:val="0"/>
      <w:marBottom w:val="0"/>
      <w:divBdr>
        <w:top w:val="none" w:sz="0" w:space="0" w:color="auto"/>
        <w:left w:val="none" w:sz="0" w:space="0" w:color="auto"/>
        <w:bottom w:val="none" w:sz="0" w:space="0" w:color="auto"/>
        <w:right w:val="none" w:sz="0" w:space="0" w:color="auto"/>
      </w:divBdr>
    </w:div>
    <w:div w:id="1396779875">
      <w:bodyDiv w:val="1"/>
      <w:marLeft w:val="0"/>
      <w:marRight w:val="0"/>
      <w:marTop w:val="0"/>
      <w:marBottom w:val="0"/>
      <w:divBdr>
        <w:top w:val="none" w:sz="0" w:space="0" w:color="auto"/>
        <w:left w:val="none" w:sz="0" w:space="0" w:color="auto"/>
        <w:bottom w:val="none" w:sz="0" w:space="0" w:color="auto"/>
        <w:right w:val="none" w:sz="0" w:space="0" w:color="auto"/>
      </w:divBdr>
    </w:div>
    <w:div w:id="1396900676">
      <w:bodyDiv w:val="1"/>
      <w:marLeft w:val="0"/>
      <w:marRight w:val="0"/>
      <w:marTop w:val="0"/>
      <w:marBottom w:val="0"/>
      <w:divBdr>
        <w:top w:val="none" w:sz="0" w:space="0" w:color="auto"/>
        <w:left w:val="none" w:sz="0" w:space="0" w:color="auto"/>
        <w:bottom w:val="none" w:sz="0" w:space="0" w:color="auto"/>
        <w:right w:val="none" w:sz="0" w:space="0" w:color="auto"/>
      </w:divBdr>
    </w:div>
    <w:div w:id="1400858331">
      <w:bodyDiv w:val="1"/>
      <w:marLeft w:val="0"/>
      <w:marRight w:val="0"/>
      <w:marTop w:val="0"/>
      <w:marBottom w:val="0"/>
      <w:divBdr>
        <w:top w:val="none" w:sz="0" w:space="0" w:color="auto"/>
        <w:left w:val="none" w:sz="0" w:space="0" w:color="auto"/>
        <w:bottom w:val="none" w:sz="0" w:space="0" w:color="auto"/>
        <w:right w:val="none" w:sz="0" w:space="0" w:color="auto"/>
      </w:divBdr>
    </w:div>
    <w:div w:id="1400982231">
      <w:bodyDiv w:val="1"/>
      <w:marLeft w:val="0"/>
      <w:marRight w:val="0"/>
      <w:marTop w:val="0"/>
      <w:marBottom w:val="0"/>
      <w:divBdr>
        <w:top w:val="none" w:sz="0" w:space="0" w:color="auto"/>
        <w:left w:val="none" w:sz="0" w:space="0" w:color="auto"/>
        <w:bottom w:val="none" w:sz="0" w:space="0" w:color="auto"/>
        <w:right w:val="none" w:sz="0" w:space="0" w:color="auto"/>
      </w:divBdr>
    </w:div>
    <w:div w:id="1401052179">
      <w:bodyDiv w:val="1"/>
      <w:marLeft w:val="0"/>
      <w:marRight w:val="0"/>
      <w:marTop w:val="0"/>
      <w:marBottom w:val="0"/>
      <w:divBdr>
        <w:top w:val="none" w:sz="0" w:space="0" w:color="auto"/>
        <w:left w:val="none" w:sz="0" w:space="0" w:color="auto"/>
        <w:bottom w:val="none" w:sz="0" w:space="0" w:color="auto"/>
        <w:right w:val="none" w:sz="0" w:space="0" w:color="auto"/>
      </w:divBdr>
    </w:div>
    <w:div w:id="1402941262">
      <w:bodyDiv w:val="1"/>
      <w:marLeft w:val="0"/>
      <w:marRight w:val="0"/>
      <w:marTop w:val="0"/>
      <w:marBottom w:val="0"/>
      <w:divBdr>
        <w:top w:val="none" w:sz="0" w:space="0" w:color="auto"/>
        <w:left w:val="none" w:sz="0" w:space="0" w:color="auto"/>
        <w:bottom w:val="none" w:sz="0" w:space="0" w:color="auto"/>
        <w:right w:val="none" w:sz="0" w:space="0" w:color="auto"/>
      </w:divBdr>
    </w:div>
    <w:div w:id="1403021553">
      <w:bodyDiv w:val="1"/>
      <w:marLeft w:val="0"/>
      <w:marRight w:val="0"/>
      <w:marTop w:val="0"/>
      <w:marBottom w:val="0"/>
      <w:divBdr>
        <w:top w:val="none" w:sz="0" w:space="0" w:color="auto"/>
        <w:left w:val="none" w:sz="0" w:space="0" w:color="auto"/>
        <w:bottom w:val="none" w:sz="0" w:space="0" w:color="auto"/>
        <w:right w:val="none" w:sz="0" w:space="0" w:color="auto"/>
      </w:divBdr>
    </w:div>
    <w:div w:id="1404065205">
      <w:bodyDiv w:val="1"/>
      <w:marLeft w:val="0"/>
      <w:marRight w:val="0"/>
      <w:marTop w:val="0"/>
      <w:marBottom w:val="0"/>
      <w:divBdr>
        <w:top w:val="none" w:sz="0" w:space="0" w:color="auto"/>
        <w:left w:val="none" w:sz="0" w:space="0" w:color="auto"/>
        <w:bottom w:val="none" w:sz="0" w:space="0" w:color="auto"/>
        <w:right w:val="none" w:sz="0" w:space="0" w:color="auto"/>
      </w:divBdr>
    </w:div>
    <w:div w:id="1405762459">
      <w:bodyDiv w:val="1"/>
      <w:marLeft w:val="0"/>
      <w:marRight w:val="0"/>
      <w:marTop w:val="0"/>
      <w:marBottom w:val="0"/>
      <w:divBdr>
        <w:top w:val="none" w:sz="0" w:space="0" w:color="auto"/>
        <w:left w:val="none" w:sz="0" w:space="0" w:color="auto"/>
        <w:bottom w:val="none" w:sz="0" w:space="0" w:color="auto"/>
        <w:right w:val="none" w:sz="0" w:space="0" w:color="auto"/>
      </w:divBdr>
    </w:div>
    <w:div w:id="1405908730">
      <w:bodyDiv w:val="1"/>
      <w:marLeft w:val="0"/>
      <w:marRight w:val="0"/>
      <w:marTop w:val="0"/>
      <w:marBottom w:val="0"/>
      <w:divBdr>
        <w:top w:val="none" w:sz="0" w:space="0" w:color="auto"/>
        <w:left w:val="none" w:sz="0" w:space="0" w:color="auto"/>
        <w:bottom w:val="none" w:sz="0" w:space="0" w:color="auto"/>
        <w:right w:val="none" w:sz="0" w:space="0" w:color="auto"/>
      </w:divBdr>
    </w:div>
    <w:div w:id="1406761161">
      <w:bodyDiv w:val="1"/>
      <w:marLeft w:val="0"/>
      <w:marRight w:val="0"/>
      <w:marTop w:val="0"/>
      <w:marBottom w:val="0"/>
      <w:divBdr>
        <w:top w:val="none" w:sz="0" w:space="0" w:color="auto"/>
        <w:left w:val="none" w:sz="0" w:space="0" w:color="auto"/>
        <w:bottom w:val="none" w:sz="0" w:space="0" w:color="auto"/>
        <w:right w:val="none" w:sz="0" w:space="0" w:color="auto"/>
      </w:divBdr>
    </w:div>
    <w:div w:id="1408191536">
      <w:bodyDiv w:val="1"/>
      <w:marLeft w:val="0"/>
      <w:marRight w:val="0"/>
      <w:marTop w:val="0"/>
      <w:marBottom w:val="0"/>
      <w:divBdr>
        <w:top w:val="none" w:sz="0" w:space="0" w:color="auto"/>
        <w:left w:val="none" w:sz="0" w:space="0" w:color="auto"/>
        <w:bottom w:val="none" w:sz="0" w:space="0" w:color="auto"/>
        <w:right w:val="none" w:sz="0" w:space="0" w:color="auto"/>
      </w:divBdr>
    </w:div>
    <w:div w:id="1410496783">
      <w:bodyDiv w:val="1"/>
      <w:marLeft w:val="0"/>
      <w:marRight w:val="0"/>
      <w:marTop w:val="0"/>
      <w:marBottom w:val="0"/>
      <w:divBdr>
        <w:top w:val="none" w:sz="0" w:space="0" w:color="auto"/>
        <w:left w:val="none" w:sz="0" w:space="0" w:color="auto"/>
        <w:bottom w:val="none" w:sz="0" w:space="0" w:color="auto"/>
        <w:right w:val="none" w:sz="0" w:space="0" w:color="auto"/>
      </w:divBdr>
    </w:div>
    <w:div w:id="1410612359">
      <w:bodyDiv w:val="1"/>
      <w:marLeft w:val="0"/>
      <w:marRight w:val="0"/>
      <w:marTop w:val="0"/>
      <w:marBottom w:val="0"/>
      <w:divBdr>
        <w:top w:val="none" w:sz="0" w:space="0" w:color="auto"/>
        <w:left w:val="none" w:sz="0" w:space="0" w:color="auto"/>
        <w:bottom w:val="none" w:sz="0" w:space="0" w:color="auto"/>
        <w:right w:val="none" w:sz="0" w:space="0" w:color="auto"/>
      </w:divBdr>
    </w:div>
    <w:div w:id="1411317868">
      <w:bodyDiv w:val="1"/>
      <w:marLeft w:val="0"/>
      <w:marRight w:val="0"/>
      <w:marTop w:val="0"/>
      <w:marBottom w:val="0"/>
      <w:divBdr>
        <w:top w:val="none" w:sz="0" w:space="0" w:color="auto"/>
        <w:left w:val="none" w:sz="0" w:space="0" w:color="auto"/>
        <w:bottom w:val="none" w:sz="0" w:space="0" w:color="auto"/>
        <w:right w:val="none" w:sz="0" w:space="0" w:color="auto"/>
      </w:divBdr>
    </w:div>
    <w:div w:id="1412652449">
      <w:bodyDiv w:val="1"/>
      <w:marLeft w:val="0"/>
      <w:marRight w:val="0"/>
      <w:marTop w:val="0"/>
      <w:marBottom w:val="0"/>
      <w:divBdr>
        <w:top w:val="none" w:sz="0" w:space="0" w:color="auto"/>
        <w:left w:val="none" w:sz="0" w:space="0" w:color="auto"/>
        <w:bottom w:val="none" w:sz="0" w:space="0" w:color="auto"/>
        <w:right w:val="none" w:sz="0" w:space="0" w:color="auto"/>
      </w:divBdr>
    </w:div>
    <w:div w:id="1412896853">
      <w:bodyDiv w:val="1"/>
      <w:marLeft w:val="0"/>
      <w:marRight w:val="0"/>
      <w:marTop w:val="0"/>
      <w:marBottom w:val="0"/>
      <w:divBdr>
        <w:top w:val="none" w:sz="0" w:space="0" w:color="auto"/>
        <w:left w:val="none" w:sz="0" w:space="0" w:color="auto"/>
        <w:bottom w:val="none" w:sz="0" w:space="0" w:color="auto"/>
        <w:right w:val="none" w:sz="0" w:space="0" w:color="auto"/>
      </w:divBdr>
    </w:div>
    <w:div w:id="1413773868">
      <w:bodyDiv w:val="1"/>
      <w:marLeft w:val="0"/>
      <w:marRight w:val="0"/>
      <w:marTop w:val="0"/>
      <w:marBottom w:val="0"/>
      <w:divBdr>
        <w:top w:val="none" w:sz="0" w:space="0" w:color="auto"/>
        <w:left w:val="none" w:sz="0" w:space="0" w:color="auto"/>
        <w:bottom w:val="none" w:sz="0" w:space="0" w:color="auto"/>
        <w:right w:val="none" w:sz="0" w:space="0" w:color="auto"/>
      </w:divBdr>
    </w:div>
    <w:div w:id="1415132234">
      <w:bodyDiv w:val="1"/>
      <w:marLeft w:val="0"/>
      <w:marRight w:val="0"/>
      <w:marTop w:val="0"/>
      <w:marBottom w:val="0"/>
      <w:divBdr>
        <w:top w:val="none" w:sz="0" w:space="0" w:color="auto"/>
        <w:left w:val="none" w:sz="0" w:space="0" w:color="auto"/>
        <w:bottom w:val="none" w:sz="0" w:space="0" w:color="auto"/>
        <w:right w:val="none" w:sz="0" w:space="0" w:color="auto"/>
      </w:divBdr>
    </w:div>
    <w:div w:id="1419325352">
      <w:bodyDiv w:val="1"/>
      <w:marLeft w:val="0"/>
      <w:marRight w:val="0"/>
      <w:marTop w:val="0"/>
      <w:marBottom w:val="0"/>
      <w:divBdr>
        <w:top w:val="none" w:sz="0" w:space="0" w:color="auto"/>
        <w:left w:val="none" w:sz="0" w:space="0" w:color="auto"/>
        <w:bottom w:val="none" w:sz="0" w:space="0" w:color="auto"/>
        <w:right w:val="none" w:sz="0" w:space="0" w:color="auto"/>
      </w:divBdr>
    </w:div>
    <w:div w:id="1419444986">
      <w:bodyDiv w:val="1"/>
      <w:marLeft w:val="0"/>
      <w:marRight w:val="0"/>
      <w:marTop w:val="0"/>
      <w:marBottom w:val="0"/>
      <w:divBdr>
        <w:top w:val="none" w:sz="0" w:space="0" w:color="auto"/>
        <w:left w:val="none" w:sz="0" w:space="0" w:color="auto"/>
        <w:bottom w:val="none" w:sz="0" w:space="0" w:color="auto"/>
        <w:right w:val="none" w:sz="0" w:space="0" w:color="auto"/>
      </w:divBdr>
    </w:div>
    <w:div w:id="1419522650">
      <w:bodyDiv w:val="1"/>
      <w:marLeft w:val="0"/>
      <w:marRight w:val="0"/>
      <w:marTop w:val="0"/>
      <w:marBottom w:val="0"/>
      <w:divBdr>
        <w:top w:val="none" w:sz="0" w:space="0" w:color="auto"/>
        <w:left w:val="none" w:sz="0" w:space="0" w:color="auto"/>
        <w:bottom w:val="none" w:sz="0" w:space="0" w:color="auto"/>
        <w:right w:val="none" w:sz="0" w:space="0" w:color="auto"/>
      </w:divBdr>
    </w:div>
    <w:div w:id="1425111714">
      <w:bodyDiv w:val="1"/>
      <w:marLeft w:val="0"/>
      <w:marRight w:val="0"/>
      <w:marTop w:val="0"/>
      <w:marBottom w:val="0"/>
      <w:divBdr>
        <w:top w:val="none" w:sz="0" w:space="0" w:color="auto"/>
        <w:left w:val="none" w:sz="0" w:space="0" w:color="auto"/>
        <w:bottom w:val="none" w:sz="0" w:space="0" w:color="auto"/>
        <w:right w:val="none" w:sz="0" w:space="0" w:color="auto"/>
      </w:divBdr>
    </w:div>
    <w:div w:id="1426027192">
      <w:bodyDiv w:val="1"/>
      <w:marLeft w:val="0"/>
      <w:marRight w:val="0"/>
      <w:marTop w:val="0"/>
      <w:marBottom w:val="0"/>
      <w:divBdr>
        <w:top w:val="none" w:sz="0" w:space="0" w:color="auto"/>
        <w:left w:val="none" w:sz="0" w:space="0" w:color="auto"/>
        <w:bottom w:val="none" w:sz="0" w:space="0" w:color="auto"/>
        <w:right w:val="none" w:sz="0" w:space="0" w:color="auto"/>
      </w:divBdr>
    </w:div>
    <w:div w:id="1426488276">
      <w:bodyDiv w:val="1"/>
      <w:marLeft w:val="0"/>
      <w:marRight w:val="0"/>
      <w:marTop w:val="0"/>
      <w:marBottom w:val="0"/>
      <w:divBdr>
        <w:top w:val="none" w:sz="0" w:space="0" w:color="auto"/>
        <w:left w:val="none" w:sz="0" w:space="0" w:color="auto"/>
        <w:bottom w:val="none" w:sz="0" w:space="0" w:color="auto"/>
        <w:right w:val="none" w:sz="0" w:space="0" w:color="auto"/>
      </w:divBdr>
    </w:div>
    <w:div w:id="1426923356">
      <w:bodyDiv w:val="1"/>
      <w:marLeft w:val="0"/>
      <w:marRight w:val="0"/>
      <w:marTop w:val="0"/>
      <w:marBottom w:val="0"/>
      <w:divBdr>
        <w:top w:val="none" w:sz="0" w:space="0" w:color="auto"/>
        <w:left w:val="none" w:sz="0" w:space="0" w:color="auto"/>
        <w:bottom w:val="none" w:sz="0" w:space="0" w:color="auto"/>
        <w:right w:val="none" w:sz="0" w:space="0" w:color="auto"/>
      </w:divBdr>
    </w:div>
    <w:div w:id="1429692735">
      <w:bodyDiv w:val="1"/>
      <w:marLeft w:val="0"/>
      <w:marRight w:val="0"/>
      <w:marTop w:val="0"/>
      <w:marBottom w:val="0"/>
      <w:divBdr>
        <w:top w:val="none" w:sz="0" w:space="0" w:color="auto"/>
        <w:left w:val="none" w:sz="0" w:space="0" w:color="auto"/>
        <w:bottom w:val="none" w:sz="0" w:space="0" w:color="auto"/>
        <w:right w:val="none" w:sz="0" w:space="0" w:color="auto"/>
      </w:divBdr>
    </w:div>
    <w:div w:id="1429885674">
      <w:bodyDiv w:val="1"/>
      <w:marLeft w:val="0"/>
      <w:marRight w:val="0"/>
      <w:marTop w:val="0"/>
      <w:marBottom w:val="0"/>
      <w:divBdr>
        <w:top w:val="none" w:sz="0" w:space="0" w:color="auto"/>
        <w:left w:val="none" w:sz="0" w:space="0" w:color="auto"/>
        <w:bottom w:val="none" w:sz="0" w:space="0" w:color="auto"/>
        <w:right w:val="none" w:sz="0" w:space="0" w:color="auto"/>
      </w:divBdr>
    </w:div>
    <w:div w:id="1430197614">
      <w:bodyDiv w:val="1"/>
      <w:marLeft w:val="0"/>
      <w:marRight w:val="0"/>
      <w:marTop w:val="0"/>
      <w:marBottom w:val="0"/>
      <w:divBdr>
        <w:top w:val="none" w:sz="0" w:space="0" w:color="auto"/>
        <w:left w:val="none" w:sz="0" w:space="0" w:color="auto"/>
        <w:bottom w:val="none" w:sz="0" w:space="0" w:color="auto"/>
        <w:right w:val="none" w:sz="0" w:space="0" w:color="auto"/>
      </w:divBdr>
    </w:div>
    <w:div w:id="1430463861">
      <w:bodyDiv w:val="1"/>
      <w:marLeft w:val="0"/>
      <w:marRight w:val="0"/>
      <w:marTop w:val="0"/>
      <w:marBottom w:val="0"/>
      <w:divBdr>
        <w:top w:val="none" w:sz="0" w:space="0" w:color="auto"/>
        <w:left w:val="none" w:sz="0" w:space="0" w:color="auto"/>
        <w:bottom w:val="none" w:sz="0" w:space="0" w:color="auto"/>
        <w:right w:val="none" w:sz="0" w:space="0" w:color="auto"/>
      </w:divBdr>
    </w:div>
    <w:div w:id="1430545749">
      <w:bodyDiv w:val="1"/>
      <w:marLeft w:val="0"/>
      <w:marRight w:val="0"/>
      <w:marTop w:val="0"/>
      <w:marBottom w:val="0"/>
      <w:divBdr>
        <w:top w:val="none" w:sz="0" w:space="0" w:color="auto"/>
        <w:left w:val="none" w:sz="0" w:space="0" w:color="auto"/>
        <w:bottom w:val="none" w:sz="0" w:space="0" w:color="auto"/>
        <w:right w:val="none" w:sz="0" w:space="0" w:color="auto"/>
      </w:divBdr>
    </w:div>
    <w:div w:id="1430661046">
      <w:bodyDiv w:val="1"/>
      <w:marLeft w:val="0"/>
      <w:marRight w:val="0"/>
      <w:marTop w:val="0"/>
      <w:marBottom w:val="0"/>
      <w:divBdr>
        <w:top w:val="none" w:sz="0" w:space="0" w:color="auto"/>
        <w:left w:val="none" w:sz="0" w:space="0" w:color="auto"/>
        <w:bottom w:val="none" w:sz="0" w:space="0" w:color="auto"/>
        <w:right w:val="none" w:sz="0" w:space="0" w:color="auto"/>
      </w:divBdr>
    </w:div>
    <w:div w:id="1431009261">
      <w:bodyDiv w:val="1"/>
      <w:marLeft w:val="0"/>
      <w:marRight w:val="0"/>
      <w:marTop w:val="0"/>
      <w:marBottom w:val="0"/>
      <w:divBdr>
        <w:top w:val="none" w:sz="0" w:space="0" w:color="auto"/>
        <w:left w:val="none" w:sz="0" w:space="0" w:color="auto"/>
        <w:bottom w:val="none" w:sz="0" w:space="0" w:color="auto"/>
        <w:right w:val="none" w:sz="0" w:space="0" w:color="auto"/>
      </w:divBdr>
    </w:div>
    <w:div w:id="1432121576">
      <w:bodyDiv w:val="1"/>
      <w:marLeft w:val="0"/>
      <w:marRight w:val="0"/>
      <w:marTop w:val="0"/>
      <w:marBottom w:val="0"/>
      <w:divBdr>
        <w:top w:val="none" w:sz="0" w:space="0" w:color="auto"/>
        <w:left w:val="none" w:sz="0" w:space="0" w:color="auto"/>
        <w:bottom w:val="none" w:sz="0" w:space="0" w:color="auto"/>
        <w:right w:val="none" w:sz="0" w:space="0" w:color="auto"/>
      </w:divBdr>
    </w:div>
    <w:div w:id="1433433371">
      <w:bodyDiv w:val="1"/>
      <w:marLeft w:val="0"/>
      <w:marRight w:val="0"/>
      <w:marTop w:val="0"/>
      <w:marBottom w:val="0"/>
      <w:divBdr>
        <w:top w:val="none" w:sz="0" w:space="0" w:color="auto"/>
        <w:left w:val="none" w:sz="0" w:space="0" w:color="auto"/>
        <w:bottom w:val="none" w:sz="0" w:space="0" w:color="auto"/>
        <w:right w:val="none" w:sz="0" w:space="0" w:color="auto"/>
      </w:divBdr>
    </w:div>
    <w:div w:id="1433476425">
      <w:bodyDiv w:val="1"/>
      <w:marLeft w:val="0"/>
      <w:marRight w:val="0"/>
      <w:marTop w:val="0"/>
      <w:marBottom w:val="0"/>
      <w:divBdr>
        <w:top w:val="none" w:sz="0" w:space="0" w:color="auto"/>
        <w:left w:val="none" w:sz="0" w:space="0" w:color="auto"/>
        <w:bottom w:val="none" w:sz="0" w:space="0" w:color="auto"/>
        <w:right w:val="none" w:sz="0" w:space="0" w:color="auto"/>
      </w:divBdr>
    </w:div>
    <w:div w:id="1433667111">
      <w:bodyDiv w:val="1"/>
      <w:marLeft w:val="0"/>
      <w:marRight w:val="0"/>
      <w:marTop w:val="0"/>
      <w:marBottom w:val="0"/>
      <w:divBdr>
        <w:top w:val="none" w:sz="0" w:space="0" w:color="auto"/>
        <w:left w:val="none" w:sz="0" w:space="0" w:color="auto"/>
        <w:bottom w:val="none" w:sz="0" w:space="0" w:color="auto"/>
        <w:right w:val="none" w:sz="0" w:space="0" w:color="auto"/>
      </w:divBdr>
    </w:div>
    <w:div w:id="1434088290">
      <w:bodyDiv w:val="1"/>
      <w:marLeft w:val="0"/>
      <w:marRight w:val="0"/>
      <w:marTop w:val="0"/>
      <w:marBottom w:val="0"/>
      <w:divBdr>
        <w:top w:val="none" w:sz="0" w:space="0" w:color="auto"/>
        <w:left w:val="none" w:sz="0" w:space="0" w:color="auto"/>
        <w:bottom w:val="none" w:sz="0" w:space="0" w:color="auto"/>
        <w:right w:val="none" w:sz="0" w:space="0" w:color="auto"/>
      </w:divBdr>
    </w:div>
    <w:div w:id="1435172978">
      <w:bodyDiv w:val="1"/>
      <w:marLeft w:val="0"/>
      <w:marRight w:val="0"/>
      <w:marTop w:val="0"/>
      <w:marBottom w:val="0"/>
      <w:divBdr>
        <w:top w:val="none" w:sz="0" w:space="0" w:color="auto"/>
        <w:left w:val="none" w:sz="0" w:space="0" w:color="auto"/>
        <w:bottom w:val="none" w:sz="0" w:space="0" w:color="auto"/>
        <w:right w:val="none" w:sz="0" w:space="0" w:color="auto"/>
      </w:divBdr>
    </w:div>
    <w:div w:id="1435590932">
      <w:bodyDiv w:val="1"/>
      <w:marLeft w:val="0"/>
      <w:marRight w:val="0"/>
      <w:marTop w:val="0"/>
      <w:marBottom w:val="0"/>
      <w:divBdr>
        <w:top w:val="none" w:sz="0" w:space="0" w:color="auto"/>
        <w:left w:val="none" w:sz="0" w:space="0" w:color="auto"/>
        <w:bottom w:val="none" w:sz="0" w:space="0" w:color="auto"/>
        <w:right w:val="none" w:sz="0" w:space="0" w:color="auto"/>
      </w:divBdr>
    </w:div>
    <w:div w:id="1435707035">
      <w:bodyDiv w:val="1"/>
      <w:marLeft w:val="0"/>
      <w:marRight w:val="0"/>
      <w:marTop w:val="0"/>
      <w:marBottom w:val="0"/>
      <w:divBdr>
        <w:top w:val="none" w:sz="0" w:space="0" w:color="auto"/>
        <w:left w:val="none" w:sz="0" w:space="0" w:color="auto"/>
        <w:bottom w:val="none" w:sz="0" w:space="0" w:color="auto"/>
        <w:right w:val="none" w:sz="0" w:space="0" w:color="auto"/>
      </w:divBdr>
    </w:div>
    <w:div w:id="1435787310">
      <w:bodyDiv w:val="1"/>
      <w:marLeft w:val="0"/>
      <w:marRight w:val="0"/>
      <w:marTop w:val="0"/>
      <w:marBottom w:val="0"/>
      <w:divBdr>
        <w:top w:val="none" w:sz="0" w:space="0" w:color="auto"/>
        <w:left w:val="none" w:sz="0" w:space="0" w:color="auto"/>
        <w:bottom w:val="none" w:sz="0" w:space="0" w:color="auto"/>
        <w:right w:val="none" w:sz="0" w:space="0" w:color="auto"/>
      </w:divBdr>
    </w:div>
    <w:div w:id="1436709615">
      <w:bodyDiv w:val="1"/>
      <w:marLeft w:val="0"/>
      <w:marRight w:val="0"/>
      <w:marTop w:val="0"/>
      <w:marBottom w:val="0"/>
      <w:divBdr>
        <w:top w:val="none" w:sz="0" w:space="0" w:color="auto"/>
        <w:left w:val="none" w:sz="0" w:space="0" w:color="auto"/>
        <w:bottom w:val="none" w:sz="0" w:space="0" w:color="auto"/>
        <w:right w:val="none" w:sz="0" w:space="0" w:color="auto"/>
      </w:divBdr>
    </w:div>
    <w:div w:id="1437169502">
      <w:bodyDiv w:val="1"/>
      <w:marLeft w:val="0"/>
      <w:marRight w:val="0"/>
      <w:marTop w:val="0"/>
      <w:marBottom w:val="0"/>
      <w:divBdr>
        <w:top w:val="none" w:sz="0" w:space="0" w:color="auto"/>
        <w:left w:val="none" w:sz="0" w:space="0" w:color="auto"/>
        <w:bottom w:val="none" w:sz="0" w:space="0" w:color="auto"/>
        <w:right w:val="none" w:sz="0" w:space="0" w:color="auto"/>
      </w:divBdr>
    </w:div>
    <w:div w:id="1438869201">
      <w:bodyDiv w:val="1"/>
      <w:marLeft w:val="0"/>
      <w:marRight w:val="0"/>
      <w:marTop w:val="0"/>
      <w:marBottom w:val="0"/>
      <w:divBdr>
        <w:top w:val="none" w:sz="0" w:space="0" w:color="auto"/>
        <w:left w:val="none" w:sz="0" w:space="0" w:color="auto"/>
        <w:bottom w:val="none" w:sz="0" w:space="0" w:color="auto"/>
        <w:right w:val="none" w:sz="0" w:space="0" w:color="auto"/>
      </w:divBdr>
    </w:div>
    <w:div w:id="1439445197">
      <w:bodyDiv w:val="1"/>
      <w:marLeft w:val="0"/>
      <w:marRight w:val="0"/>
      <w:marTop w:val="0"/>
      <w:marBottom w:val="0"/>
      <w:divBdr>
        <w:top w:val="none" w:sz="0" w:space="0" w:color="auto"/>
        <w:left w:val="none" w:sz="0" w:space="0" w:color="auto"/>
        <w:bottom w:val="none" w:sz="0" w:space="0" w:color="auto"/>
        <w:right w:val="none" w:sz="0" w:space="0" w:color="auto"/>
      </w:divBdr>
    </w:div>
    <w:div w:id="1440178370">
      <w:bodyDiv w:val="1"/>
      <w:marLeft w:val="0"/>
      <w:marRight w:val="0"/>
      <w:marTop w:val="0"/>
      <w:marBottom w:val="0"/>
      <w:divBdr>
        <w:top w:val="none" w:sz="0" w:space="0" w:color="auto"/>
        <w:left w:val="none" w:sz="0" w:space="0" w:color="auto"/>
        <w:bottom w:val="none" w:sz="0" w:space="0" w:color="auto"/>
        <w:right w:val="none" w:sz="0" w:space="0" w:color="auto"/>
      </w:divBdr>
    </w:div>
    <w:div w:id="1440489500">
      <w:bodyDiv w:val="1"/>
      <w:marLeft w:val="0"/>
      <w:marRight w:val="0"/>
      <w:marTop w:val="0"/>
      <w:marBottom w:val="0"/>
      <w:divBdr>
        <w:top w:val="none" w:sz="0" w:space="0" w:color="auto"/>
        <w:left w:val="none" w:sz="0" w:space="0" w:color="auto"/>
        <w:bottom w:val="none" w:sz="0" w:space="0" w:color="auto"/>
        <w:right w:val="none" w:sz="0" w:space="0" w:color="auto"/>
      </w:divBdr>
    </w:div>
    <w:div w:id="1440836492">
      <w:bodyDiv w:val="1"/>
      <w:marLeft w:val="0"/>
      <w:marRight w:val="0"/>
      <w:marTop w:val="0"/>
      <w:marBottom w:val="0"/>
      <w:divBdr>
        <w:top w:val="none" w:sz="0" w:space="0" w:color="auto"/>
        <w:left w:val="none" w:sz="0" w:space="0" w:color="auto"/>
        <w:bottom w:val="none" w:sz="0" w:space="0" w:color="auto"/>
        <w:right w:val="none" w:sz="0" w:space="0" w:color="auto"/>
      </w:divBdr>
    </w:div>
    <w:div w:id="1440950762">
      <w:bodyDiv w:val="1"/>
      <w:marLeft w:val="0"/>
      <w:marRight w:val="0"/>
      <w:marTop w:val="0"/>
      <w:marBottom w:val="0"/>
      <w:divBdr>
        <w:top w:val="none" w:sz="0" w:space="0" w:color="auto"/>
        <w:left w:val="none" w:sz="0" w:space="0" w:color="auto"/>
        <w:bottom w:val="none" w:sz="0" w:space="0" w:color="auto"/>
        <w:right w:val="none" w:sz="0" w:space="0" w:color="auto"/>
      </w:divBdr>
    </w:div>
    <w:div w:id="1443570614">
      <w:bodyDiv w:val="1"/>
      <w:marLeft w:val="0"/>
      <w:marRight w:val="0"/>
      <w:marTop w:val="0"/>
      <w:marBottom w:val="0"/>
      <w:divBdr>
        <w:top w:val="none" w:sz="0" w:space="0" w:color="auto"/>
        <w:left w:val="none" w:sz="0" w:space="0" w:color="auto"/>
        <w:bottom w:val="none" w:sz="0" w:space="0" w:color="auto"/>
        <w:right w:val="none" w:sz="0" w:space="0" w:color="auto"/>
      </w:divBdr>
    </w:div>
    <w:div w:id="1444349159">
      <w:bodyDiv w:val="1"/>
      <w:marLeft w:val="0"/>
      <w:marRight w:val="0"/>
      <w:marTop w:val="0"/>
      <w:marBottom w:val="0"/>
      <w:divBdr>
        <w:top w:val="none" w:sz="0" w:space="0" w:color="auto"/>
        <w:left w:val="none" w:sz="0" w:space="0" w:color="auto"/>
        <w:bottom w:val="none" w:sz="0" w:space="0" w:color="auto"/>
        <w:right w:val="none" w:sz="0" w:space="0" w:color="auto"/>
      </w:divBdr>
    </w:div>
    <w:div w:id="1445417143">
      <w:bodyDiv w:val="1"/>
      <w:marLeft w:val="0"/>
      <w:marRight w:val="0"/>
      <w:marTop w:val="0"/>
      <w:marBottom w:val="0"/>
      <w:divBdr>
        <w:top w:val="none" w:sz="0" w:space="0" w:color="auto"/>
        <w:left w:val="none" w:sz="0" w:space="0" w:color="auto"/>
        <w:bottom w:val="none" w:sz="0" w:space="0" w:color="auto"/>
        <w:right w:val="none" w:sz="0" w:space="0" w:color="auto"/>
      </w:divBdr>
    </w:div>
    <w:div w:id="1445881413">
      <w:bodyDiv w:val="1"/>
      <w:marLeft w:val="0"/>
      <w:marRight w:val="0"/>
      <w:marTop w:val="0"/>
      <w:marBottom w:val="0"/>
      <w:divBdr>
        <w:top w:val="none" w:sz="0" w:space="0" w:color="auto"/>
        <w:left w:val="none" w:sz="0" w:space="0" w:color="auto"/>
        <w:bottom w:val="none" w:sz="0" w:space="0" w:color="auto"/>
        <w:right w:val="none" w:sz="0" w:space="0" w:color="auto"/>
      </w:divBdr>
    </w:div>
    <w:div w:id="1447195252">
      <w:bodyDiv w:val="1"/>
      <w:marLeft w:val="0"/>
      <w:marRight w:val="0"/>
      <w:marTop w:val="0"/>
      <w:marBottom w:val="0"/>
      <w:divBdr>
        <w:top w:val="none" w:sz="0" w:space="0" w:color="auto"/>
        <w:left w:val="none" w:sz="0" w:space="0" w:color="auto"/>
        <w:bottom w:val="none" w:sz="0" w:space="0" w:color="auto"/>
        <w:right w:val="none" w:sz="0" w:space="0" w:color="auto"/>
      </w:divBdr>
    </w:div>
    <w:div w:id="1447231515">
      <w:bodyDiv w:val="1"/>
      <w:marLeft w:val="0"/>
      <w:marRight w:val="0"/>
      <w:marTop w:val="0"/>
      <w:marBottom w:val="0"/>
      <w:divBdr>
        <w:top w:val="none" w:sz="0" w:space="0" w:color="auto"/>
        <w:left w:val="none" w:sz="0" w:space="0" w:color="auto"/>
        <w:bottom w:val="none" w:sz="0" w:space="0" w:color="auto"/>
        <w:right w:val="none" w:sz="0" w:space="0" w:color="auto"/>
      </w:divBdr>
    </w:div>
    <w:div w:id="1447388357">
      <w:bodyDiv w:val="1"/>
      <w:marLeft w:val="0"/>
      <w:marRight w:val="0"/>
      <w:marTop w:val="0"/>
      <w:marBottom w:val="0"/>
      <w:divBdr>
        <w:top w:val="none" w:sz="0" w:space="0" w:color="auto"/>
        <w:left w:val="none" w:sz="0" w:space="0" w:color="auto"/>
        <w:bottom w:val="none" w:sz="0" w:space="0" w:color="auto"/>
        <w:right w:val="none" w:sz="0" w:space="0" w:color="auto"/>
      </w:divBdr>
    </w:div>
    <w:div w:id="1453019877">
      <w:bodyDiv w:val="1"/>
      <w:marLeft w:val="0"/>
      <w:marRight w:val="0"/>
      <w:marTop w:val="0"/>
      <w:marBottom w:val="0"/>
      <w:divBdr>
        <w:top w:val="none" w:sz="0" w:space="0" w:color="auto"/>
        <w:left w:val="none" w:sz="0" w:space="0" w:color="auto"/>
        <w:bottom w:val="none" w:sz="0" w:space="0" w:color="auto"/>
        <w:right w:val="none" w:sz="0" w:space="0" w:color="auto"/>
      </w:divBdr>
    </w:div>
    <w:div w:id="1453985616">
      <w:bodyDiv w:val="1"/>
      <w:marLeft w:val="0"/>
      <w:marRight w:val="0"/>
      <w:marTop w:val="0"/>
      <w:marBottom w:val="0"/>
      <w:divBdr>
        <w:top w:val="none" w:sz="0" w:space="0" w:color="auto"/>
        <w:left w:val="none" w:sz="0" w:space="0" w:color="auto"/>
        <w:bottom w:val="none" w:sz="0" w:space="0" w:color="auto"/>
        <w:right w:val="none" w:sz="0" w:space="0" w:color="auto"/>
      </w:divBdr>
    </w:div>
    <w:div w:id="1454909683">
      <w:bodyDiv w:val="1"/>
      <w:marLeft w:val="0"/>
      <w:marRight w:val="0"/>
      <w:marTop w:val="0"/>
      <w:marBottom w:val="0"/>
      <w:divBdr>
        <w:top w:val="none" w:sz="0" w:space="0" w:color="auto"/>
        <w:left w:val="none" w:sz="0" w:space="0" w:color="auto"/>
        <w:bottom w:val="none" w:sz="0" w:space="0" w:color="auto"/>
        <w:right w:val="none" w:sz="0" w:space="0" w:color="auto"/>
      </w:divBdr>
    </w:div>
    <w:div w:id="1455247801">
      <w:bodyDiv w:val="1"/>
      <w:marLeft w:val="0"/>
      <w:marRight w:val="0"/>
      <w:marTop w:val="0"/>
      <w:marBottom w:val="0"/>
      <w:divBdr>
        <w:top w:val="none" w:sz="0" w:space="0" w:color="auto"/>
        <w:left w:val="none" w:sz="0" w:space="0" w:color="auto"/>
        <w:bottom w:val="none" w:sz="0" w:space="0" w:color="auto"/>
        <w:right w:val="none" w:sz="0" w:space="0" w:color="auto"/>
      </w:divBdr>
    </w:div>
    <w:div w:id="1455904295">
      <w:bodyDiv w:val="1"/>
      <w:marLeft w:val="0"/>
      <w:marRight w:val="0"/>
      <w:marTop w:val="0"/>
      <w:marBottom w:val="0"/>
      <w:divBdr>
        <w:top w:val="none" w:sz="0" w:space="0" w:color="auto"/>
        <w:left w:val="none" w:sz="0" w:space="0" w:color="auto"/>
        <w:bottom w:val="none" w:sz="0" w:space="0" w:color="auto"/>
        <w:right w:val="none" w:sz="0" w:space="0" w:color="auto"/>
      </w:divBdr>
    </w:div>
    <w:div w:id="1457992900">
      <w:bodyDiv w:val="1"/>
      <w:marLeft w:val="0"/>
      <w:marRight w:val="0"/>
      <w:marTop w:val="0"/>
      <w:marBottom w:val="0"/>
      <w:divBdr>
        <w:top w:val="none" w:sz="0" w:space="0" w:color="auto"/>
        <w:left w:val="none" w:sz="0" w:space="0" w:color="auto"/>
        <w:bottom w:val="none" w:sz="0" w:space="0" w:color="auto"/>
        <w:right w:val="none" w:sz="0" w:space="0" w:color="auto"/>
      </w:divBdr>
    </w:div>
    <w:div w:id="1458181728">
      <w:bodyDiv w:val="1"/>
      <w:marLeft w:val="0"/>
      <w:marRight w:val="0"/>
      <w:marTop w:val="0"/>
      <w:marBottom w:val="0"/>
      <w:divBdr>
        <w:top w:val="none" w:sz="0" w:space="0" w:color="auto"/>
        <w:left w:val="none" w:sz="0" w:space="0" w:color="auto"/>
        <w:bottom w:val="none" w:sz="0" w:space="0" w:color="auto"/>
        <w:right w:val="none" w:sz="0" w:space="0" w:color="auto"/>
      </w:divBdr>
    </w:div>
    <w:div w:id="1458909025">
      <w:bodyDiv w:val="1"/>
      <w:marLeft w:val="0"/>
      <w:marRight w:val="0"/>
      <w:marTop w:val="0"/>
      <w:marBottom w:val="0"/>
      <w:divBdr>
        <w:top w:val="none" w:sz="0" w:space="0" w:color="auto"/>
        <w:left w:val="none" w:sz="0" w:space="0" w:color="auto"/>
        <w:bottom w:val="none" w:sz="0" w:space="0" w:color="auto"/>
        <w:right w:val="none" w:sz="0" w:space="0" w:color="auto"/>
      </w:divBdr>
    </w:div>
    <w:div w:id="1461411529">
      <w:bodyDiv w:val="1"/>
      <w:marLeft w:val="0"/>
      <w:marRight w:val="0"/>
      <w:marTop w:val="0"/>
      <w:marBottom w:val="0"/>
      <w:divBdr>
        <w:top w:val="none" w:sz="0" w:space="0" w:color="auto"/>
        <w:left w:val="none" w:sz="0" w:space="0" w:color="auto"/>
        <w:bottom w:val="none" w:sz="0" w:space="0" w:color="auto"/>
        <w:right w:val="none" w:sz="0" w:space="0" w:color="auto"/>
      </w:divBdr>
    </w:div>
    <w:div w:id="1462074239">
      <w:bodyDiv w:val="1"/>
      <w:marLeft w:val="0"/>
      <w:marRight w:val="0"/>
      <w:marTop w:val="0"/>
      <w:marBottom w:val="0"/>
      <w:divBdr>
        <w:top w:val="none" w:sz="0" w:space="0" w:color="auto"/>
        <w:left w:val="none" w:sz="0" w:space="0" w:color="auto"/>
        <w:bottom w:val="none" w:sz="0" w:space="0" w:color="auto"/>
        <w:right w:val="none" w:sz="0" w:space="0" w:color="auto"/>
      </w:divBdr>
    </w:div>
    <w:div w:id="1467162841">
      <w:bodyDiv w:val="1"/>
      <w:marLeft w:val="0"/>
      <w:marRight w:val="0"/>
      <w:marTop w:val="0"/>
      <w:marBottom w:val="0"/>
      <w:divBdr>
        <w:top w:val="none" w:sz="0" w:space="0" w:color="auto"/>
        <w:left w:val="none" w:sz="0" w:space="0" w:color="auto"/>
        <w:bottom w:val="none" w:sz="0" w:space="0" w:color="auto"/>
        <w:right w:val="none" w:sz="0" w:space="0" w:color="auto"/>
      </w:divBdr>
    </w:div>
    <w:div w:id="1467433885">
      <w:bodyDiv w:val="1"/>
      <w:marLeft w:val="0"/>
      <w:marRight w:val="0"/>
      <w:marTop w:val="0"/>
      <w:marBottom w:val="0"/>
      <w:divBdr>
        <w:top w:val="none" w:sz="0" w:space="0" w:color="auto"/>
        <w:left w:val="none" w:sz="0" w:space="0" w:color="auto"/>
        <w:bottom w:val="none" w:sz="0" w:space="0" w:color="auto"/>
        <w:right w:val="none" w:sz="0" w:space="0" w:color="auto"/>
      </w:divBdr>
    </w:div>
    <w:div w:id="1468745741">
      <w:bodyDiv w:val="1"/>
      <w:marLeft w:val="0"/>
      <w:marRight w:val="0"/>
      <w:marTop w:val="0"/>
      <w:marBottom w:val="0"/>
      <w:divBdr>
        <w:top w:val="none" w:sz="0" w:space="0" w:color="auto"/>
        <w:left w:val="none" w:sz="0" w:space="0" w:color="auto"/>
        <w:bottom w:val="none" w:sz="0" w:space="0" w:color="auto"/>
        <w:right w:val="none" w:sz="0" w:space="0" w:color="auto"/>
      </w:divBdr>
    </w:div>
    <w:div w:id="1469275346">
      <w:bodyDiv w:val="1"/>
      <w:marLeft w:val="0"/>
      <w:marRight w:val="0"/>
      <w:marTop w:val="0"/>
      <w:marBottom w:val="0"/>
      <w:divBdr>
        <w:top w:val="none" w:sz="0" w:space="0" w:color="auto"/>
        <w:left w:val="none" w:sz="0" w:space="0" w:color="auto"/>
        <w:bottom w:val="none" w:sz="0" w:space="0" w:color="auto"/>
        <w:right w:val="none" w:sz="0" w:space="0" w:color="auto"/>
      </w:divBdr>
    </w:div>
    <w:div w:id="1469518276">
      <w:bodyDiv w:val="1"/>
      <w:marLeft w:val="0"/>
      <w:marRight w:val="0"/>
      <w:marTop w:val="0"/>
      <w:marBottom w:val="0"/>
      <w:divBdr>
        <w:top w:val="none" w:sz="0" w:space="0" w:color="auto"/>
        <w:left w:val="none" w:sz="0" w:space="0" w:color="auto"/>
        <w:bottom w:val="none" w:sz="0" w:space="0" w:color="auto"/>
        <w:right w:val="none" w:sz="0" w:space="0" w:color="auto"/>
      </w:divBdr>
    </w:div>
    <w:div w:id="1469669410">
      <w:bodyDiv w:val="1"/>
      <w:marLeft w:val="0"/>
      <w:marRight w:val="0"/>
      <w:marTop w:val="0"/>
      <w:marBottom w:val="0"/>
      <w:divBdr>
        <w:top w:val="none" w:sz="0" w:space="0" w:color="auto"/>
        <w:left w:val="none" w:sz="0" w:space="0" w:color="auto"/>
        <w:bottom w:val="none" w:sz="0" w:space="0" w:color="auto"/>
        <w:right w:val="none" w:sz="0" w:space="0" w:color="auto"/>
      </w:divBdr>
    </w:div>
    <w:div w:id="1469972575">
      <w:bodyDiv w:val="1"/>
      <w:marLeft w:val="0"/>
      <w:marRight w:val="0"/>
      <w:marTop w:val="0"/>
      <w:marBottom w:val="0"/>
      <w:divBdr>
        <w:top w:val="none" w:sz="0" w:space="0" w:color="auto"/>
        <w:left w:val="none" w:sz="0" w:space="0" w:color="auto"/>
        <w:bottom w:val="none" w:sz="0" w:space="0" w:color="auto"/>
        <w:right w:val="none" w:sz="0" w:space="0" w:color="auto"/>
      </w:divBdr>
    </w:div>
    <w:div w:id="1470052067">
      <w:bodyDiv w:val="1"/>
      <w:marLeft w:val="0"/>
      <w:marRight w:val="0"/>
      <w:marTop w:val="0"/>
      <w:marBottom w:val="0"/>
      <w:divBdr>
        <w:top w:val="none" w:sz="0" w:space="0" w:color="auto"/>
        <w:left w:val="none" w:sz="0" w:space="0" w:color="auto"/>
        <w:bottom w:val="none" w:sz="0" w:space="0" w:color="auto"/>
        <w:right w:val="none" w:sz="0" w:space="0" w:color="auto"/>
      </w:divBdr>
    </w:div>
    <w:div w:id="1471433634">
      <w:bodyDiv w:val="1"/>
      <w:marLeft w:val="0"/>
      <w:marRight w:val="0"/>
      <w:marTop w:val="0"/>
      <w:marBottom w:val="0"/>
      <w:divBdr>
        <w:top w:val="none" w:sz="0" w:space="0" w:color="auto"/>
        <w:left w:val="none" w:sz="0" w:space="0" w:color="auto"/>
        <w:bottom w:val="none" w:sz="0" w:space="0" w:color="auto"/>
        <w:right w:val="none" w:sz="0" w:space="0" w:color="auto"/>
      </w:divBdr>
    </w:div>
    <w:div w:id="1473329942">
      <w:bodyDiv w:val="1"/>
      <w:marLeft w:val="0"/>
      <w:marRight w:val="0"/>
      <w:marTop w:val="0"/>
      <w:marBottom w:val="0"/>
      <w:divBdr>
        <w:top w:val="none" w:sz="0" w:space="0" w:color="auto"/>
        <w:left w:val="none" w:sz="0" w:space="0" w:color="auto"/>
        <w:bottom w:val="none" w:sz="0" w:space="0" w:color="auto"/>
        <w:right w:val="none" w:sz="0" w:space="0" w:color="auto"/>
      </w:divBdr>
    </w:div>
    <w:div w:id="1473599635">
      <w:bodyDiv w:val="1"/>
      <w:marLeft w:val="0"/>
      <w:marRight w:val="0"/>
      <w:marTop w:val="0"/>
      <w:marBottom w:val="0"/>
      <w:divBdr>
        <w:top w:val="none" w:sz="0" w:space="0" w:color="auto"/>
        <w:left w:val="none" w:sz="0" w:space="0" w:color="auto"/>
        <w:bottom w:val="none" w:sz="0" w:space="0" w:color="auto"/>
        <w:right w:val="none" w:sz="0" w:space="0" w:color="auto"/>
      </w:divBdr>
    </w:div>
    <w:div w:id="1475416986">
      <w:bodyDiv w:val="1"/>
      <w:marLeft w:val="0"/>
      <w:marRight w:val="0"/>
      <w:marTop w:val="0"/>
      <w:marBottom w:val="0"/>
      <w:divBdr>
        <w:top w:val="none" w:sz="0" w:space="0" w:color="auto"/>
        <w:left w:val="none" w:sz="0" w:space="0" w:color="auto"/>
        <w:bottom w:val="none" w:sz="0" w:space="0" w:color="auto"/>
        <w:right w:val="none" w:sz="0" w:space="0" w:color="auto"/>
      </w:divBdr>
    </w:div>
    <w:div w:id="1475878452">
      <w:bodyDiv w:val="1"/>
      <w:marLeft w:val="0"/>
      <w:marRight w:val="0"/>
      <w:marTop w:val="0"/>
      <w:marBottom w:val="0"/>
      <w:divBdr>
        <w:top w:val="none" w:sz="0" w:space="0" w:color="auto"/>
        <w:left w:val="none" w:sz="0" w:space="0" w:color="auto"/>
        <w:bottom w:val="none" w:sz="0" w:space="0" w:color="auto"/>
        <w:right w:val="none" w:sz="0" w:space="0" w:color="auto"/>
      </w:divBdr>
    </w:div>
    <w:div w:id="1478492475">
      <w:bodyDiv w:val="1"/>
      <w:marLeft w:val="0"/>
      <w:marRight w:val="0"/>
      <w:marTop w:val="0"/>
      <w:marBottom w:val="0"/>
      <w:divBdr>
        <w:top w:val="none" w:sz="0" w:space="0" w:color="auto"/>
        <w:left w:val="none" w:sz="0" w:space="0" w:color="auto"/>
        <w:bottom w:val="none" w:sz="0" w:space="0" w:color="auto"/>
        <w:right w:val="none" w:sz="0" w:space="0" w:color="auto"/>
      </w:divBdr>
    </w:div>
    <w:div w:id="1480420988">
      <w:bodyDiv w:val="1"/>
      <w:marLeft w:val="0"/>
      <w:marRight w:val="0"/>
      <w:marTop w:val="0"/>
      <w:marBottom w:val="0"/>
      <w:divBdr>
        <w:top w:val="none" w:sz="0" w:space="0" w:color="auto"/>
        <w:left w:val="none" w:sz="0" w:space="0" w:color="auto"/>
        <w:bottom w:val="none" w:sz="0" w:space="0" w:color="auto"/>
        <w:right w:val="none" w:sz="0" w:space="0" w:color="auto"/>
      </w:divBdr>
    </w:div>
    <w:div w:id="1481649010">
      <w:bodyDiv w:val="1"/>
      <w:marLeft w:val="0"/>
      <w:marRight w:val="0"/>
      <w:marTop w:val="0"/>
      <w:marBottom w:val="0"/>
      <w:divBdr>
        <w:top w:val="none" w:sz="0" w:space="0" w:color="auto"/>
        <w:left w:val="none" w:sz="0" w:space="0" w:color="auto"/>
        <w:bottom w:val="none" w:sz="0" w:space="0" w:color="auto"/>
        <w:right w:val="none" w:sz="0" w:space="0" w:color="auto"/>
      </w:divBdr>
    </w:div>
    <w:div w:id="1483504118">
      <w:bodyDiv w:val="1"/>
      <w:marLeft w:val="0"/>
      <w:marRight w:val="0"/>
      <w:marTop w:val="0"/>
      <w:marBottom w:val="0"/>
      <w:divBdr>
        <w:top w:val="none" w:sz="0" w:space="0" w:color="auto"/>
        <w:left w:val="none" w:sz="0" w:space="0" w:color="auto"/>
        <w:bottom w:val="none" w:sz="0" w:space="0" w:color="auto"/>
        <w:right w:val="none" w:sz="0" w:space="0" w:color="auto"/>
      </w:divBdr>
    </w:div>
    <w:div w:id="1486239445">
      <w:bodyDiv w:val="1"/>
      <w:marLeft w:val="0"/>
      <w:marRight w:val="0"/>
      <w:marTop w:val="0"/>
      <w:marBottom w:val="0"/>
      <w:divBdr>
        <w:top w:val="none" w:sz="0" w:space="0" w:color="auto"/>
        <w:left w:val="none" w:sz="0" w:space="0" w:color="auto"/>
        <w:bottom w:val="none" w:sz="0" w:space="0" w:color="auto"/>
        <w:right w:val="none" w:sz="0" w:space="0" w:color="auto"/>
      </w:divBdr>
    </w:div>
    <w:div w:id="1486974402">
      <w:bodyDiv w:val="1"/>
      <w:marLeft w:val="0"/>
      <w:marRight w:val="0"/>
      <w:marTop w:val="0"/>
      <w:marBottom w:val="0"/>
      <w:divBdr>
        <w:top w:val="none" w:sz="0" w:space="0" w:color="auto"/>
        <w:left w:val="none" w:sz="0" w:space="0" w:color="auto"/>
        <w:bottom w:val="none" w:sz="0" w:space="0" w:color="auto"/>
        <w:right w:val="none" w:sz="0" w:space="0" w:color="auto"/>
      </w:divBdr>
    </w:div>
    <w:div w:id="1487698958">
      <w:bodyDiv w:val="1"/>
      <w:marLeft w:val="0"/>
      <w:marRight w:val="0"/>
      <w:marTop w:val="0"/>
      <w:marBottom w:val="0"/>
      <w:divBdr>
        <w:top w:val="none" w:sz="0" w:space="0" w:color="auto"/>
        <w:left w:val="none" w:sz="0" w:space="0" w:color="auto"/>
        <w:bottom w:val="none" w:sz="0" w:space="0" w:color="auto"/>
        <w:right w:val="none" w:sz="0" w:space="0" w:color="auto"/>
      </w:divBdr>
    </w:div>
    <w:div w:id="1489050508">
      <w:bodyDiv w:val="1"/>
      <w:marLeft w:val="0"/>
      <w:marRight w:val="0"/>
      <w:marTop w:val="0"/>
      <w:marBottom w:val="0"/>
      <w:divBdr>
        <w:top w:val="none" w:sz="0" w:space="0" w:color="auto"/>
        <w:left w:val="none" w:sz="0" w:space="0" w:color="auto"/>
        <w:bottom w:val="none" w:sz="0" w:space="0" w:color="auto"/>
        <w:right w:val="none" w:sz="0" w:space="0" w:color="auto"/>
      </w:divBdr>
    </w:div>
    <w:div w:id="1490710597">
      <w:bodyDiv w:val="1"/>
      <w:marLeft w:val="0"/>
      <w:marRight w:val="0"/>
      <w:marTop w:val="0"/>
      <w:marBottom w:val="0"/>
      <w:divBdr>
        <w:top w:val="none" w:sz="0" w:space="0" w:color="auto"/>
        <w:left w:val="none" w:sz="0" w:space="0" w:color="auto"/>
        <w:bottom w:val="none" w:sz="0" w:space="0" w:color="auto"/>
        <w:right w:val="none" w:sz="0" w:space="0" w:color="auto"/>
      </w:divBdr>
    </w:div>
    <w:div w:id="1491020788">
      <w:bodyDiv w:val="1"/>
      <w:marLeft w:val="0"/>
      <w:marRight w:val="0"/>
      <w:marTop w:val="0"/>
      <w:marBottom w:val="0"/>
      <w:divBdr>
        <w:top w:val="none" w:sz="0" w:space="0" w:color="auto"/>
        <w:left w:val="none" w:sz="0" w:space="0" w:color="auto"/>
        <w:bottom w:val="none" w:sz="0" w:space="0" w:color="auto"/>
        <w:right w:val="none" w:sz="0" w:space="0" w:color="auto"/>
      </w:divBdr>
    </w:div>
    <w:div w:id="1491368653">
      <w:bodyDiv w:val="1"/>
      <w:marLeft w:val="0"/>
      <w:marRight w:val="0"/>
      <w:marTop w:val="0"/>
      <w:marBottom w:val="0"/>
      <w:divBdr>
        <w:top w:val="none" w:sz="0" w:space="0" w:color="auto"/>
        <w:left w:val="none" w:sz="0" w:space="0" w:color="auto"/>
        <w:bottom w:val="none" w:sz="0" w:space="0" w:color="auto"/>
        <w:right w:val="none" w:sz="0" w:space="0" w:color="auto"/>
      </w:divBdr>
    </w:div>
    <w:div w:id="1492939183">
      <w:bodyDiv w:val="1"/>
      <w:marLeft w:val="0"/>
      <w:marRight w:val="0"/>
      <w:marTop w:val="0"/>
      <w:marBottom w:val="0"/>
      <w:divBdr>
        <w:top w:val="none" w:sz="0" w:space="0" w:color="auto"/>
        <w:left w:val="none" w:sz="0" w:space="0" w:color="auto"/>
        <w:bottom w:val="none" w:sz="0" w:space="0" w:color="auto"/>
        <w:right w:val="none" w:sz="0" w:space="0" w:color="auto"/>
      </w:divBdr>
    </w:div>
    <w:div w:id="1493063294">
      <w:bodyDiv w:val="1"/>
      <w:marLeft w:val="0"/>
      <w:marRight w:val="0"/>
      <w:marTop w:val="0"/>
      <w:marBottom w:val="0"/>
      <w:divBdr>
        <w:top w:val="none" w:sz="0" w:space="0" w:color="auto"/>
        <w:left w:val="none" w:sz="0" w:space="0" w:color="auto"/>
        <w:bottom w:val="none" w:sz="0" w:space="0" w:color="auto"/>
        <w:right w:val="none" w:sz="0" w:space="0" w:color="auto"/>
      </w:divBdr>
    </w:div>
    <w:div w:id="1495415724">
      <w:bodyDiv w:val="1"/>
      <w:marLeft w:val="0"/>
      <w:marRight w:val="0"/>
      <w:marTop w:val="0"/>
      <w:marBottom w:val="0"/>
      <w:divBdr>
        <w:top w:val="none" w:sz="0" w:space="0" w:color="auto"/>
        <w:left w:val="none" w:sz="0" w:space="0" w:color="auto"/>
        <w:bottom w:val="none" w:sz="0" w:space="0" w:color="auto"/>
        <w:right w:val="none" w:sz="0" w:space="0" w:color="auto"/>
      </w:divBdr>
    </w:div>
    <w:div w:id="1497838691">
      <w:bodyDiv w:val="1"/>
      <w:marLeft w:val="0"/>
      <w:marRight w:val="0"/>
      <w:marTop w:val="0"/>
      <w:marBottom w:val="0"/>
      <w:divBdr>
        <w:top w:val="none" w:sz="0" w:space="0" w:color="auto"/>
        <w:left w:val="none" w:sz="0" w:space="0" w:color="auto"/>
        <w:bottom w:val="none" w:sz="0" w:space="0" w:color="auto"/>
        <w:right w:val="none" w:sz="0" w:space="0" w:color="auto"/>
      </w:divBdr>
    </w:div>
    <w:div w:id="1498225354">
      <w:bodyDiv w:val="1"/>
      <w:marLeft w:val="0"/>
      <w:marRight w:val="0"/>
      <w:marTop w:val="0"/>
      <w:marBottom w:val="0"/>
      <w:divBdr>
        <w:top w:val="none" w:sz="0" w:space="0" w:color="auto"/>
        <w:left w:val="none" w:sz="0" w:space="0" w:color="auto"/>
        <w:bottom w:val="none" w:sz="0" w:space="0" w:color="auto"/>
        <w:right w:val="none" w:sz="0" w:space="0" w:color="auto"/>
      </w:divBdr>
    </w:div>
    <w:div w:id="1498613050">
      <w:bodyDiv w:val="1"/>
      <w:marLeft w:val="0"/>
      <w:marRight w:val="0"/>
      <w:marTop w:val="0"/>
      <w:marBottom w:val="0"/>
      <w:divBdr>
        <w:top w:val="none" w:sz="0" w:space="0" w:color="auto"/>
        <w:left w:val="none" w:sz="0" w:space="0" w:color="auto"/>
        <w:bottom w:val="none" w:sz="0" w:space="0" w:color="auto"/>
        <w:right w:val="none" w:sz="0" w:space="0" w:color="auto"/>
      </w:divBdr>
    </w:div>
    <w:div w:id="1499224982">
      <w:bodyDiv w:val="1"/>
      <w:marLeft w:val="0"/>
      <w:marRight w:val="0"/>
      <w:marTop w:val="0"/>
      <w:marBottom w:val="0"/>
      <w:divBdr>
        <w:top w:val="none" w:sz="0" w:space="0" w:color="auto"/>
        <w:left w:val="none" w:sz="0" w:space="0" w:color="auto"/>
        <w:bottom w:val="none" w:sz="0" w:space="0" w:color="auto"/>
        <w:right w:val="none" w:sz="0" w:space="0" w:color="auto"/>
      </w:divBdr>
    </w:div>
    <w:div w:id="1499732339">
      <w:bodyDiv w:val="1"/>
      <w:marLeft w:val="0"/>
      <w:marRight w:val="0"/>
      <w:marTop w:val="0"/>
      <w:marBottom w:val="0"/>
      <w:divBdr>
        <w:top w:val="none" w:sz="0" w:space="0" w:color="auto"/>
        <w:left w:val="none" w:sz="0" w:space="0" w:color="auto"/>
        <w:bottom w:val="none" w:sz="0" w:space="0" w:color="auto"/>
        <w:right w:val="none" w:sz="0" w:space="0" w:color="auto"/>
      </w:divBdr>
    </w:div>
    <w:div w:id="1500149305">
      <w:bodyDiv w:val="1"/>
      <w:marLeft w:val="0"/>
      <w:marRight w:val="0"/>
      <w:marTop w:val="0"/>
      <w:marBottom w:val="0"/>
      <w:divBdr>
        <w:top w:val="none" w:sz="0" w:space="0" w:color="auto"/>
        <w:left w:val="none" w:sz="0" w:space="0" w:color="auto"/>
        <w:bottom w:val="none" w:sz="0" w:space="0" w:color="auto"/>
        <w:right w:val="none" w:sz="0" w:space="0" w:color="auto"/>
      </w:divBdr>
    </w:div>
    <w:div w:id="1500316862">
      <w:bodyDiv w:val="1"/>
      <w:marLeft w:val="0"/>
      <w:marRight w:val="0"/>
      <w:marTop w:val="0"/>
      <w:marBottom w:val="0"/>
      <w:divBdr>
        <w:top w:val="none" w:sz="0" w:space="0" w:color="auto"/>
        <w:left w:val="none" w:sz="0" w:space="0" w:color="auto"/>
        <w:bottom w:val="none" w:sz="0" w:space="0" w:color="auto"/>
        <w:right w:val="none" w:sz="0" w:space="0" w:color="auto"/>
      </w:divBdr>
    </w:div>
    <w:div w:id="1500579380">
      <w:bodyDiv w:val="1"/>
      <w:marLeft w:val="0"/>
      <w:marRight w:val="0"/>
      <w:marTop w:val="0"/>
      <w:marBottom w:val="0"/>
      <w:divBdr>
        <w:top w:val="none" w:sz="0" w:space="0" w:color="auto"/>
        <w:left w:val="none" w:sz="0" w:space="0" w:color="auto"/>
        <w:bottom w:val="none" w:sz="0" w:space="0" w:color="auto"/>
        <w:right w:val="none" w:sz="0" w:space="0" w:color="auto"/>
      </w:divBdr>
    </w:div>
    <w:div w:id="1503081952">
      <w:bodyDiv w:val="1"/>
      <w:marLeft w:val="0"/>
      <w:marRight w:val="0"/>
      <w:marTop w:val="0"/>
      <w:marBottom w:val="0"/>
      <w:divBdr>
        <w:top w:val="none" w:sz="0" w:space="0" w:color="auto"/>
        <w:left w:val="none" w:sz="0" w:space="0" w:color="auto"/>
        <w:bottom w:val="none" w:sz="0" w:space="0" w:color="auto"/>
        <w:right w:val="none" w:sz="0" w:space="0" w:color="auto"/>
      </w:divBdr>
    </w:div>
    <w:div w:id="1509710740">
      <w:bodyDiv w:val="1"/>
      <w:marLeft w:val="0"/>
      <w:marRight w:val="0"/>
      <w:marTop w:val="0"/>
      <w:marBottom w:val="0"/>
      <w:divBdr>
        <w:top w:val="none" w:sz="0" w:space="0" w:color="auto"/>
        <w:left w:val="none" w:sz="0" w:space="0" w:color="auto"/>
        <w:bottom w:val="none" w:sz="0" w:space="0" w:color="auto"/>
        <w:right w:val="none" w:sz="0" w:space="0" w:color="auto"/>
      </w:divBdr>
    </w:div>
    <w:div w:id="1511336058">
      <w:bodyDiv w:val="1"/>
      <w:marLeft w:val="0"/>
      <w:marRight w:val="0"/>
      <w:marTop w:val="0"/>
      <w:marBottom w:val="0"/>
      <w:divBdr>
        <w:top w:val="none" w:sz="0" w:space="0" w:color="auto"/>
        <w:left w:val="none" w:sz="0" w:space="0" w:color="auto"/>
        <w:bottom w:val="none" w:sz="0" w:space="0" w:color="auto"/>
        <w:right w:val="none" w:sz="0" w:space="0" w:color="auto"/>
      </w:divBdr>
    </w:div>
    <w:div w:id="1516385478">
      <w:bodyDiv w:val="1"/>
      <w:marLeft w:val="0"/>
      <w:marRight w:val="0"/>
      <w:marTop w:val="0"/>
      <w:marBottom w:val="0"/>
      <w:divBdr>
        <w:top w:val="none" w:sz="0" w:space="0" w:color="auto"/>
        <w:left w:val="none" w:sz="0" w:space="0" w:color="auto"/>
        <w:bottom w:val="none" w:sz="0" w:space="0" w:color="auto"/>
        <w:right w:val="none" w:sz="0" w:space="0" w:color="auto"/>
      </w:divBdr>
    </w:div>
    <w:div w:id="1518155966">
      <w:bodyDiv w:val="1"/>
      <w:marLeft w:val="0"/>
      <w:marRight w:val="0"/>
      <w:marTop w:val="0"/>
      <w:marBottom w:val="0"/>
      <w:divBdr>
        <w:top w:val="none" w:sz="0" w:space="0" w:color="auto"/>
        <w:left w:val="none" w:sz="0" w:space="0" w:color="auto"/>
        <w:bottom w:val="none" w:sz="0" w:space="0" w:color="auto"/>
        <w:right w:val="none" w:sz="0" w:space="0" w:color="auto"/>
      </w:divBdr>
    </w:div>
    <w:div w:id="1518695021">
      <w:bodyDiv w:val="1"/>
      <w:marLeft w:val="0"/>
      <w:marRight w:val="0"/>
      <w:marTop w:val="0"/>
      <w:marBottom w:val="0"/>
      <w:divBdr>
        <w:top w:val="none" w:sz="0" w:space="0" w:color="auto"/>
        <w:left w:val="none" w:sz="0" w:space="0" w:color="auto"/>
        <w:bottom w:val="none" w:sz="0" w:space="0" w:color="auto"/>
        <w:right w:val="none" w:sz="0" w:space="0" w:color="auto"/>
      </w:divBdr>
    </w:div>
    <w:div w:id="1521360612">
      <w:bodyDiv w:val="1"/>
      <w:marLeft w:val="0"/>
      <w:marRight w:val="0"/>
      <w:marTop w:val="0"/>
      <w:marBottom w:val="0"/>
      <w:divBdr>
        <w:top w:val="none" w:sz="0" w:space="0" w:color="auto"/>
        <w:left w:val="none" w:sz="0" w:space="0" w:color="auto"/>
        <w:bottom w:val="none" w:sz="0" w:space="0" w:color="auto"/>
        <w:right w:val="none" w:sz="0" w:space="0" w:color="auto"/>
      </w:divBdr>
    </w:div>
    <w:div w:id="1521503865">
      <w:bodyDiv w:val="1"/>
      <w:marLeft w:val="0"/>
      <w:marRight w:val="0"/>
      <w:marTop w:val="0"/>
      <w:marBottom w:val="0"/>
      <w:divBdr>
        <w:top w:val="none" w:sz="0" w:space="0" w:color="auto"/>
        <w:left w:val="none" w:sz="0" w:space="0" w:color="auto"/>
        <w:bottom w:val="none" w:sz="0" w:space="0" w:color="auto"/>
        <w:right w:val="none" w:sz="0" w:space="0" w:color="auto"/>
      </w:divBdr>
    </w:div>
    <w:div w:id="1523472863">
      <w:bodyDiv w:val="1"/>
      <w:marLeft w:val="0"/>
      <w:marRight w:val="0"/>
      <w:marTop w:val="0"/>
      <w:marBottom w:val="0"/>
      <w:divBdr>
        <w:top w:val="none" w:sz="0" w:space="0" w:color="auto"/>
        <w:left w:val="none" w:sz="0" w:space="0" w:color="auto"/>
        <w:bottom w:val="none" w:sz="0" w:space="0" w:color="auto"/>
        <w:right w:val="none" w:sz="0" w:space="0" w:color="auto"/>
      </w:divBdr>
    </w:div>
    <w:div w:id="1523930404">
      <w:bodyDiv w:val="1"/>
      <w:marLeft w:val="0"/>
      <w:marRight w:val="0"/>
      <w:marTop w:val="0"/>
      <w:marBottom w:val="0"/>
      <w:divBdr>
        <w:top w:val="none" w:sz="0" w:space="0" w:color="auto"/>
        <w:left w:val="none" w:sz="0" w:space="0" w:color="auto"/>
        <w:bottom w:val="none" w:sz="0" w:space="0" w:color="auto"/>
        <w:right w:val="none" w:sz="0" w:space="0" w:color="auto"/>
      </w:divBdr>
    </w:div>
    <w:div w:id="1524857524">
      <w:bodyDiv w:val="1"/>
      <w:marLeft w:val="0"/>
      <w:marRight w:val="0"/>
      <w:marTop w:val="0"/>
      <w:marBottom w:val="0"/>
      <w:divBdr>
        <w:top w:val="none" w:sz="0" w:space="0" w:color="auto"/>
        <w:left w:val="none" w:sz="0" w:space="0" w:color="auto"/>
        <w:bottom w:val="none" w:sz="0" w:space="0" w:color="auto"/>
        <w:right w:val="none" w:sz="0" w:space="0" w:color="auto"/>
      </w:divBdr>
    </w:div>
    <w:div w:id="1527674269">
      <w:bodyDiv w:val="1"/>
      <w:marLeft w:val="0"/>
      <w:marRight w:val="0"/>
      <w:marTop w:val="0"/>
      <w:marBottom w:val="0"/>
      <w:divBdr>
        <w:top w:val="none" w:sz="0" w:space="0" w:color="auto"/>
        <w:left w:val="none" w:sz="0" w:space="0" w:color="auto"/>
        <w:bottom w:val="none" w:sz="0" w:space="0" w:color="auto"/>
        <w:right w:val="none" w:sz="0" w:space="0" w:color="auto"/>
      </w:divBdr>
    </w:div>
    <w:div w:id="1527792917">
      <w:bodyDiv w:val="1"/>
      <w:marLeft w:val="0"/>
      <w:marRight w:val="0"/>
      <w:marTop w:val="0"/>
      <w:marBottom w:val="0"/>
      <w:divBdr>
        <w:top w:val="none" w:sz="0" w:space="0" w:color="auto"/>
        <w:left w:val="none" w:sz="0" w:space="0" w:color="auto"/>
        <w:bottom w:val="none" w:sz="0" w:space="0" w:color="auto"/>
        <w:right w:val="none" w:sz="0" w:space="0" w:color="auto"/>
      </w:divBdr>
    </w:div>
    <w:div w:id="1527867365">
      <w:bodyDiv w:val="1"/>
      <w:marLeft w:val="0"/>
      <w:marRight w:val="0"/>
      <w:marTop w:val="0"/>
      <w:marBottom w:val="0"/>
      <w:divBdr>
        <w:top w:val="none" w:sz="0" w:space="0" w:color="auto"/>
        <w:left w:val="none" w:sz="0" w:space="0" w:color="auto"/>
        <w:bottom w:val="none" w:sz="0" w:space="0" w:color="auto"/>
        <w:right w:val="none" w:sz="0" w:space="0" w:color="auto"/>
      </w:divBdr>
    </w:div>
    <w:div w:id="1528563335">
      <w:bodyDiv w:val="1"/>
      <w:marLeft w:val="0"/>
      <w:marRight w:val="0"/>
      <w:marTop w:val="0"/>
      <w:marBottom w:val="0"/>
      <w:divBdr>
        <w:top w:val="none" w:sz="0" w:space="0" w:color="auto"/>
        <w:left w:val="none" w:sz="0" w:space="0" w:color="auto"/>
        <w:bottom w:val="none" w:sz="0" w:space="0" w:color="auto"/>
        <w:right w:val="none" w:sz="0" w:space="0" w:color="auto"/>
      </w:divBdr>
    </w:div>
    <w:div w:id="1529298940">
      <w:bodyDiv w:val="1"/>
      <w:marLeft w:val="0"/>
      <w:marRight w:val="0"/>
      <w:marTop w:val="0"/>
      <w:marBottom w:val="0"/>
      <w:divBdr>
        <w:top w:val="none" w:sz="0" w:space="0" w:color="auto"/>
        <w:left w:val="none" w:sz="0" w:space="0" w:color="auto"/>
        <w:bottom w:val="none" w:sz="0" w:space="0" w:color="auto"/>
        <w:right w:val="none" w:sz="0" w:space="0" w:color="auto"/>
      </w:divBdr>
    </w:div>
    <w:div w:id="1531647179">
      <w:bodyDiv w:val="1"/>
      <w:marLeft w:val="0"/>
      <w:marRight w:val="0"/>
      <w:marTop w:val="0"/>
      <w:marBottom w:val="0"/>
      <w:divBdr>
        <w:top w:val="none" w:sz="0" w:space="0" w:color="auto"/>
        <w:left w:val="none" w:sz="0" w:space="0" w:color="auto"/>
        <w:bottom w:val="none" w:sz="0" w:space="0" w:color="auto"/>
        <w:right w:val="none" w:sz="0" w:space="0" w:color="auto"/>
      </w:divBdr>
    </w:div>
    <w:div w:id="1532524087">
      <w:bodyDiv w:val="1"/>
      <w:marLeft w:val="0"/>
      <w:marRight w:val="0"/>
      <w:marTop w:val="0"/>
      <w:marBottom w:val="0"/>
      <w:divBdr>
        <w:top w:val="none" w:sz="0" w:space="0" w:color="auto"/>
        <w:left w:val="none" w:sz="0" w:space="0" w:color="auto"/>
        <w:bottom w:val="none" w:sz="0" w:space="0" w:color="auto"/>
        <w:right w:val="none" w:sz="0" w:space="0" w:color="auto"/>
      </w:divBdr>
    </w:div>
    <w:div w:id="1535456281">
      <w:bodyDiv w:val="1"/>
      <w:marLeft w:val="0"/>
      <w:marRight w:val="0"/>
      <w:marTop w:val="0"/>
      <w:marBottom w:val="0"/>
      <w:divBdr>
        <w:top w:val="none" w:sz="0" w:space="0" w:color="auto"/>
        <w:left w:val="none" w:sz="0" w:space="0" w:color="auto"/>
        <w:bottom w:val="none" w:sz="0" w:space="0" w:color="auto"/>
        <w:right w:val="none" w:sz="0" w:space="0" w:color="auto"/>
      </w:divBdr>
    </w:div>
    <w:div w:id="1536625524">
      <w:bodyDiv w:val="1"/>
      <w:marLeft w:val="0"/>
      <w:marRight w:val="0"/>
      <w:marTop w:val="0"/>
      <w:marBottom w:val="0"/>
      <w:divBdr>
        <w:top w:val="none" w:sz="0" w:space="0" w:color="auto"/>
        <w:left w:val="none" w:sz="0" w:space="0" w:color="auto"/>
        <w:bottom w:val="none" w:sz="0" w:space="0" w:color="auto"/>
        <w:right w:val="none" w:sz="0" w:space="0" w:color="auto"/>
      </w:divBdr>
    </w:div>
    <w:div w:id="1538350960">
      <w:bodyDiv w:val="1"/>
      <w:marLeft w:val="0"/>
      <w:marRight w:val="0"/>
      <w:marTop w:val="0"/>
      <w:marBottom w:val="0"/>
      <w:divBdr>
        <w:top w:val="none" w:sz="0" w:space="0" w:color="auto"/>
        <w:left w:val="none" w:sz="0" w:space="0" w:color="auto"/>
        <w:bottom w:val="none" w:sz="0" w:space="0" w:color="auto"/>
        <w:right w:val="none" w:sz="0" w:space="0" w:color="auto"/>
      </w:divBdr>
    </w:div>
    <w:div w:id="1538926612">
      <w:bodyDiv w:val="1"/>
      <w:marLeft w:val="0"/>
      <w:marRight w:val="0"/>
      <w:marTop w:val="0"/>
      <w:marBottom w:val="0"/>
      <w:divBdr>
        <w:top w:val="none" w:sz="0" w:space="0" w:color="auto"/>
        <w:left w:val="none" w:sz="0" w:space="0" w:color="auto"/>
        <w:bottom w:val="none" w:sz="0" w:space="0" w:color="auto"/>
        <w:right w:val="none" w:sz="0" w:space="0" w:color="auto"/>
      </w:divBdr>
    </w:div>
    <w:div w:id="1539077702">
      <w:bodyDiv w:val="1"/>
      <w:marLeft w:val="0"/>
      <w:marRight w:val="0"/>
      <w:marTop w:val="0"/>
      <w:marBottom w:val="0"/>
      <w:divBdr>
        <w:top w:val="none" w:sz="0" w:space="0" w:color="auto"/>
        <w:left w:val="none" w:sz="0" w:space="0" w:color="auto"/>
        <w:bottom w:val="none" w:sz="0" w:space="0" w:color="auto"/>
        <w:right w:val="none" w:sz="0" w:space="0" w:color="auto"/>
      </w:divBdr>
    </w:div>
    <w:div w:id="1541437055">
      <w:bodyDiv w:val="1"/>
      <w:marLeft w:val="0"/>
      <w:marRight w:val="0"/>
      <w:marTop w:val="0"/>
      <w:marBottom w:val="0"/>
      <w:divBdr>
        <w:top w:val="none" w:sz="0" w:space="0" w:color="auto"/>
        <w:left w:val="none" w:sz="0" w:space="0" w:color="auto"/>
        <w:bottom w:val="none" w:sz="0" w:space="0" w:color="auto"/>
        <w:right w:val="none" w:sz="0" w:space="0" w:color="auto"/>
      </w:divBdr>
    </w:div>
    <w:div w:id="1545022023">
      <w:bodyDiv w:val="1"/>
      <w:marLeft w:val="0"/>
      <w:marRight w:val="0"/>
      <w:marTop w:val="0"/>
      <w:marBottom w:val="0"/>
      <w:divBdr>
        <w:top w:val="none" w:sz="0" w:space="0" w:color="auto"/>
        <w:left w:val="none" w:sz="0" w:space="0" w:color="auto"/>
        <w:bottom w:val="none" w:sz="0" w:space="0" w:color="auto"/>
        <w:right w:val="none" w:sz="0" w:space="0" w:color="auto"/>
      </w:divBdr>
    </w:div>
    <w:div w:id="1545828350">
      <w:bodyDiv w:val="1"/>
      <w:marLeft w:val="0"/>
      <w:marRight w:val="0"/>
      <w:marTop w:val="0"/>
      <w:marBottom w:val="0"/>
      <w:divBdr>
        <w:top w:val="none" w:sz="0" w:space="0" w:color="auto"/>
        <w:left w:val="none" w:sz="0" w:space="0" w:color="auto"/>
        <w:bottom w:val="none" w:sz="0" w:space="0" w:color="auto"/>
        <w:right w:val="none" w:sz="0" w:space="0" w:color="auto"/>
      </w:divBdr>
    </w:div>
    <w:div w:id="1546287886">
      <w:bodyDiv w:val="1"/>
      <w:marLeft w:val="0"/>
      <w:marRight w:val="0"/>
      <w:marTop w:val="0"/>
      <w:marBottom w:val="0"/>
      <w:divBdr>
        <w:top w:val="none" w:sz="0" w:space="0" w:color="auto"/>
        <w:left w:val="none" w:sz="0" w:space="0" w:color="auto"/>
        <w:bottom w:val="none" w:sz="0" w:space="0" w:color="auto"/>
        <w:right w:val="none" w:sz="0" w:space="0" w:color="auto"/>
      </w:divBdr>
    </w:div>
    <w:div w:id="1546483885">
      <w:bodyDiv w:val="1"/>
      <w:marLeft w:val="0"/>
      <w:marRight w:val="0"/>
      <w:marTop w:val="0"/>
      <w:marBottom w:val="0"/>
      <w:divBdr>
        <w:top w:val="none" w:sz="0" w:space="0" w:color="auto"/>
        <w:left w:val="none" w:sz="0" w:space="0" w:color="auto"/>
        <w:bottom w:val="none" w:sz="0" w:space="0" w:color="auto"/>
        <w:right w:val="none" w:sz="0" w:space="0" w:color="auto"/>
      </w:divBdr>
    </w:div>
    <w:div w:id="1546941894">
      <w:bodyDiv w:val="1"/>
      <w:marLeft w:val="0"/>
      <w:marRight w:val="0"/>
      <w:marTop w:val="0"/>
      <w:marBottom w:val="0"/>
      <w:divBdr>
        <w:top w:val="none" w:sz="0" w:space="0" w:color="auto"/>
        <w:left w:val="none" w:sz="0" w:space="0" w:color="auto"/>
        <w:bottom w:val="none" w:sz="0" w:space="0" w:color="auto"/>
        <w:right w:val="none" w:sz="0" w:space="0" w:color="auto"/>
      </w:divBdr>
    </w:div>
    <w:div w:id="1548950749">
      <w:bodyDiv w:val="1"/>
      <w:marLeft w:val="0"/>
      <w:marRight w:val="0"/>
      <w:marTop w:val="0"/>
      <w:marBottom w:val="0"/>
      <w:divBdr>
        <w:top w:val="none" w:sz="0" w:space="0" w:color="auto"/>
        <w:left w:val="none" w:sz="0" w:space="0" w:color="auto"/>
        <w:bottom w:val="none" w:sz="0" w:space="0" w:color="auto"/>
        <w:right w:val="none" w:sz="0" w:space="0" w:color="auto"/>
      </w:divBdr>
    </w:div>
    <w:div w:id="1549101078">
      <w:bodyDiv w:val="1"/>
      <w:marLeft w:val="0"/>
      <w:marRight w:val="0"/>
      <w:marTop w:val="0"/>
      <w:marBottom w:val="0"/>
      <w:divBdr>
        <w:top w:val="none" w:sz="0" w:space="0" w:color="auto"/>
        <w:left w:val="none" w:sz="0" w:space="0" w:color="auto"/>
        <w:bottom w:val="none" w:sz="0" w:space="0" w:color="auto"/>
        <w:right w:val="none" w:sz="0" w:space="0" w:color="auto"/>
      </w:divBdr>
    </w:div>
    <w:div w:id="1550267342">
      <w:bodyDiv w:val="1"/>
      <w:marLeft w:val="0"/>
      <w:marRight w:val="0"/>
      <w:marTop w:val="0"/>
      <w:marBottom w:val="0"/>
      <w:divBdr>
        <w:top w:val="none" w:sz="0" w:space="0" w:color="auto"/>
        <w:left w:val="none" w:sz="0" w:space="0" w:color="auto"/>
        <w:bottom w:val="none" w:sz="0" w:space="0" w:color="auto"/>
        <w:right w:val="none" w:sz="0" w:space="0" w:color="auto"/>
      </w:divBdr>
    </w:div>
    <w:div w:id="1551645221">
      <w:bodyDiv w:val="1"/>
      <w:marLeft w:val="0"/>
      <w:marRight w:val="0"/>
      <w:marTop w:val="0"/>
      <w:marBottom w:val="0"/>
      <w:divBdr>
        <w:top w:val="none" w:sz="0" w:space="0" w:color="auto"/>
        <w:left w:val="none" w:sz="0" w:space="0" w:color="auto"/>
        <w:bottom w:val="none" w:sz="0" w:space="0" w:color="auto"/>
        <w:right w:val="none" w:sz="0" w:space="0" w:color="auto"/>
      </w:divBdr>
    </w:div>
    <w:div w:id="1552425128">
      <w:bodyDiv w:val="1"/>
      <w:marLeft w:val="0"/>
      <w:marRight w:val="0"/>
      <w:marTop w:val="0"/>
      <w:marBottom w:val="0"/>
      <w:divBdr>
        <w:top w:val="none" w:sz="0" w:space="0" w:color="auto"/>
        <w:left w:val="none" w:sz="0" w:space="0" w:color="auto"/>
        <w:bottom w:val="none" w:sz="0" w:space="0" w:color="auto"/>
        <w:right w:val="none" w:sz="0" w:space="0" w:color="auto"/>
      </w:divBdr>
    </w:div>
    <w:div w:id="1553229414">
      <w:bodyDiv w:val="1"/>
      <w:marLeft w:val="0"/>
      <w:marRight w:val="0"/>
      <w:marTop w:val="0"/>
      <w:marBottom w:val="0"/>
      <w:divBdr>
        <w:top w:val="none" w:sz="0" w:space="0" w:color="auto"/>
        <w:left w:val="none" w:sz="0" w:space="0" w:color="auto"/>
        <w:bottom w:val="none" w:sz="0" w:space="0" w:color="auto"/>
        <w:right w:val="none" w:sz="0" w:space="0" w:color="auto"/>
      </w:divBdr>
    </w:div>
    <w:div w:id="1553537469">
      <w:bodyDiv w:val="1"/>
      <w:marLeft w:val="0"/>
      <w:marRight w:val="0"/>
      <w:marTop w:val="0"/>
      <w:marBottom w:val="0"/>
      <w:divBdr>
        <w:top w:val="none" w:sz="0" w:space="0" w:color="auto"/>
        <w:left w:val="none" w:sz="0" w:space="0" w:color="auto"/>
        <w:bottom w:val="none" w:sz="0" w:space="0" w:color="auto"/>
        <w:right w:val="none" w:sz="0" w:space="0" w:color="auto"/>
      </w:divBdr>
    </w:div>
    <w:div w:id="1553687846">
      <w:bodyDiv w:val="1"/>
      <w:marLeft w:val="0"/>
      <w:marRight w:val="0"/>
      <w:marTop w:val="0"/>
      <w:marBottom w:val="0"/>
      <w:divBdr>
        <w:top w:val="none" w:sz="0" w:space="0" w:color="auto"/>
        <w:left w:val="none" w:sz="0" w:space="0" w:color="auto"/>
        <w:bottom w:val="none" w:sz="0" w:space="0" w:color="auto"/>
        <w:right w:val="none" w:sz="0" w:space="0" w:color="auto"/>
      </w:divBdr>
    </w:div>
    <w:div w:id="1554384280">
      <w:bodyDiv w:val="1"/>
      <w:marLeft w:val="0"/>
      <w:marRight w:val="0"/>
      <w:marTop w:val="0"/>
      <w:marBottom w:val="0"/>
      <w:divBdr>
        <w:top w:val="none" w:sz="0" w:space="0" w:color="auto"/>
        <w:left w:val="none" w:sz="0" w:space="0" w:color="auto"/>
        <w:bottom w:val="none" w:sz="0" w:space="0" w:color="auto"/>
        <w:right w:val="none" w:sz="0" w:space="0" w:color="auto"/>
      </w:divBdr>
    </w:div>
    <w:div w:id="1554583788">
      <w:bodyDiv w:val="1"/>
      <w:marLeft w:val="0"/>
      <w:marRight w:val="0"/>
      <w:marTop w:val="0"/>
      <w:marBottom w:val="0"/>
      <w:divBdr>
        <w:top w:val="none" w:sz="0" w:space="0" w:color="auto"/>
        <w:left w:val="none" w:sz="0" w:space="0" w:color="auto"/>
        <w:bottom w:val="none" w:sz="0" w:space="0" w:color="auto"/>
        <w:right w:val="none" w:sz="0" w:space="0" w:color="auto"/>
      </w:divBdr>
    </w:div>
    <w:div w:id="1554586241">
      <w:bodyDiv w:val="1"/>
      <w:marLeft w:val="0"/>
      <w:marRight w:val="0"/>
      <w:marTop w:val="0"/>
      <w:marBottom w:val="0"/>
      <w:divBdr>
        <w:top w:val="none" w:sz="0" w:space="0" w:color="auto"/>
        <w:left w:val="none" w:sz="0" w:space="0" w:color="auto"/>
        <w:bottom w:val="none" w:sz="0" w:space="0" w:color="auto"/>
        <w:right w:val="none" w:sz="0" w:space="0" w:color="auto"/>
      </w:divBdr>
    </w:div>
    <w:div w:id="1559975270">
      <w:bodyDiv w:val="1"/>
      <w:marLeft w:val="0"/>
      <w:marRight w:val="0"/>
      <w:marTop w:val="0"/>
      <w:marBottom w:val="0"/>
      <w:divBdr>
        <w:top w:val="none" w:sz="0" w:space="0" w:color="auto"/>
        <w:left w:val="none" w:sz="0" w:space="0" w:color="auto"/>
        <w:bottom w:val="none" w:sz="0" w:space="0" w:color="auto"/>
        <w:right w:val="none" w:sz="0" w:space="0" w:color="auto"/>
      </w:divBdr>
    </w:div>
    <w:div w:id="1560818452">
      <w:bodyDiv w:val="1"/>
      <w:marLeft w:val="0"/>
      <w:marRight w:val="0"/>
      <w:marTop w:val="0"/>
      <w:marBottom w:val="0"/>
      <w:divBdr>
        <w:top w:val="none" w:sz="0" w:space="0" w:color="auto"/>
        <w:left w:val="none" w:sz="0" w:space="0" w:color="auto"/>
        <w:bottom w:val="none" w:sz="0" w:space="0" w:color="auto"/>
        <w:right w:val="none" w:sz="0" w:space="0" w:color="auto"/>
      </w:divBdr>
    </w:div>
    <w:div w:id="1560827410">
      <w:bodyDiv w:val="1"/>
      <w:marLeft w:val="0"/>
      <w:marRight w:val="0"/>
      <w:marTop w:val="0"/>
      <w:marBottom w:val="0"/>
      <w:divBdr>
        <w:top w:val="none" w:sz="0" w:space="0" w:color="auto"/>
        <w:left w:val="none" w:sz="0" w:space="0" w:color="auto"/>
        <w:bottom w:val="none" w:sz="0" w:space="0" w:color="auto"/>
        <w:right w:val="none" w:sz="0" w:space="0" w:color="auto"/>
      </w:divBdr>
    </w:div>
    <w:div w:id="1561332540">
      <w:bodyDiv w:val="1"/>
      <w:marLeft w:val="0"/>
      <w:marRight w:val="0"/>
      <w:marTop w:val="0"/>
      <w:marBottom w:val="0"/>
      <w:divBdr>
        <w:top w:val="none" w:sz="0" w:space="0" w:color="auto"/>
        <w:left w:val="none" w:sz="0" w:space="0" w:color="auto"/>
        <w:bottom w:val="none" w:sz="0" w:space="0" w:color="auto"/>
        <w:right w:val="none" w:sz="0" w:space="0" w:color="auto"/>
      </w:divBdr>
    </w:div>
    <w:div w:id="1563250386">
      <w:bodyDiv w:val="1"/>
      <w:marLeft w:val="0"/>
      <w:marRight w:val="0"/>
      <w:marTop w:val="0"/>
      <w:marBottom w:val="0"/>
      <w:divBdr>
        <w:top w:val="none" w:sz="0" w:space="0" w:color="auto"/>
        <w:left w:val="none" w:sz="0" w:space="0" w:color="auto"/>
        <w:bottom w:val="none" w:sz="0" w:space="0" w:color="auto"/>
        <w:right w:val="none" w:sz="0" w:space="0" w:color="auto"/>
      </w:divBdr>
    </w:div>
    <w:div w:id="1563446763">
      <w:bodyDiv w:val="1"/>
      <w:marLeft w:val="0"/>
      <w:marRight w:val="0"/>
      <w:marTop w:val="0"/>
      <w:marBottom w:val="0"/>
      <w:divBdr>
        <w:top w:val="none" w:sz="0" w:space="0" w:color="auto"/>
        <w:left w:val="none" w:sz="0" w:space="0" w:color="auto"/>
        <w:bottom w:val="none" w:sz="0" w:space="0" w:color="auto"/>
        <w:right w:val="none" w:sz="0" w:space="0" w:color="auto"/>
      </w:divBdr>
    </w:div>
    <w:div w:id="1563709336">
      <w:bodyDiv w:val="1"/>
      <w:marLeft w:val="0"/>
      <w:marRight w:val="0"/>
      <w:marTop w:val="0"/>
      <w:marBottom w:val="0"/>
      <w:divBdr>
        <w:top w:val="none" w:sz="0" w:space="0" w:color="auto"/>
        <w:left w:val="none" w:sz="0" w:space="0" w:color="auto"/>
        <w:bottom w:val="none" w:sz="0" w:space="0" w:color="auto"/>
        <w:right w:val="none" w:sz="0" w:space="0" w:color="auto"/>
      </w:divBdr>
    </w:div>
    <w:div w:id="1563709577">
      <w:bodyDiv w:val="1"/>
      <w:marLeft w:val="0"/>
      <w:marRight w:val="0"/>
      <w:marTop w:val="0"/>
      <w:marBottom w:val="0"/>
      <w:divBdr>
        <w:top w:val="none" w:sz="0" w:space="0" w:color="auto"/>
        <w:left w:val="none" w:sz="0" w:space="0" w:color="auto"/>
        <w:bottom w:val="none" w:sz="0" w:space="0" w:color="auto"/>
        <w:right w:val="none" w:sz="0" w:space="0" w:color="auto"/>
      </w:divBdr>
    </w:div>
    <w:div w:id="1566336275">
      <w:bodyDiv w:val="1"/>
      <w:marLeft w:val="0"/>
      <w:marRight w:val="0"/>
      <w:marTop w:val="0"/>
      <w:marBottom w:val="0"/>
      <w:divBdr>
        <w:top w:val="none" w:sz="0" w:space="0" w:color="auto"/>
        <w:left w:val="none" w:sz="0" w:space="0" w:color="auto"/>
        <w:bottom w:val="none" w:sz="0" w:space="0" w:color="auto"/>
        <w:right w:val="none" w:sz="0" w:space="0" w:color="auto"/>
      </w:divBdr>
    </w:div>
    <w:div w:id="1566836100">
      <w:bodyDiv w:val="1"/>
      <w:marLeft w:val="0"/>
      <w:marRight w:val="0"/>
      <w:marTop w:val="0"/>
      <w:marBottom w:val="0"/>
      <w:divBdr>
        <w:top w:val="none" w:sz="0" w:space="0" w:color="auto"/>
        <w:left w:val="none" w:sz="0" w:space="0" w:color="auto"/>
        <w:bottom w:val="none" w:sz="0" w:space="0" w:color="auto"/>
        <w:right w:val="none" w:sz="0" w:space="0" w:color="auto"/>
      </w:divBdr>
    </w:div>
    <w:div w:id="1567300210">
      <w:bodyDiv w:val="1"/>
      <w:marLeft w:val="0"/>
      <w:marRight w:val="0"/>
      <w:marTop w:val="0"/>
      <w:marBottom w:val="0"/>
      <w:divBdr>
        <w:top w:val="none" w:sz="0" w:space="0" w:color="auto"/>
        <w:left w:val="none" w:sz="0" w:space="0" w:color="auto"/>
        <w:bottom w:val="none" w:sz="0" w:space="0" w:color="auto"/>
        <w:right w:val="none" w:sz="0" w:space="0" w:color="auto"/>
      </w:divBdr>
    </w:div>
    <w:div w:id="1568492434">
      <w:bodyDiv w:val="1"/>
      <w:marLeft w:val="0"/>
      <w:marRight w:val="0"/>
      <w:marTop w:val="0"/>
      <w:marBottom w:val="0"/>
      <w:divBdr>
        <w:top w:val="none" w:sz="0" w:space="0" w:color="auto"/>
        <w:left w:val="none" w:sz="0" w:space="0" w:color="auto"/>
        <w:bottom w:val="none" w:sz="0" w:space="0" w:color="auto"/>
        <w:right w:val="none" w:sz="0" w:space="0" w:color="auto"/>
      </w:divBdr>
    </w:div>
    <w:div w:id="1568956235">
      <w:bodyDiv w:val="1"/>
      <w:marLeft w:val="0"/>
      <w:marRight w:val="0"/>
      <w:marTop w:val="0"/>
      <w:marBottom w:val="0"/>
      <w:divBdr>
        <w:top w:val="none" w:sz="0" w:space="0" w:color="auto"/>
        <w:left w:val="none" w:sz="0" w:space="0" w:color="auto"/>
        <w:bottom w:val="none" w:sz="0" w:space="0" w:color="auto"/>
        <w:right w:val="none" w:sz="0" w:space="0" w:color="auto"/>
      </w:divBdr>
    </w:div>
    <w:div w:id="1569194159">
      <w:bodyDiv w:val="1"/>
      <w:marLeft w:val="0"/>
      <w:marRight w:val="0"/>
      <w:marTop w:val="0"/>
      <w:marBottom w:val="0"/>
      <w:divBdr>
        <w:top w:val="none" w:sz="0" w:space="0" w:color="auto"/>
        <w:left w:val="none" w:sz="0" w:space="0" w:color="auto"/>
        <w:bottom w:val="none" w:sz="0" w:space="0" w:color="auto"/>
        <w:right w:val="none" w:sz="0" w:space="0" w:color="auto"/>
      </w:divBdr>
    </w:div>
    <w:div w:id="1572811300">
      <w:bodyDiv w:val="1"/>
      <w:marLeft w:val="0"/>
      <w:marRight w:val="0"/>
      <w:marTop w:val="0"/>
      <w:marBottom w:val="0"/>
      <w:divBdr>
        <w:top w:val="none" w:sz="0" w:space="0" w:color="auto"/>
        <w:left w:val="none" w:sz="0" w:space="0" w:color="auto"/>
        <w:bottom w:val="none" w:sz="0" w:space="0" w:color="auto"/>
        <w:right w:val="none" w:sz="0" w:space="0" w:color="auto"/>
      </w:divBdr>
    </w:div>
    <w:div w:id="1574000749">
      <w:bodyDiv w:val="1"/>
      <w:marLeft w:val="0"/>
      <w:marRight w:val="0"/>
      <w:marTop w:val="0"/>
      <w:marBottom w:val="0"/>
      <w:divBdr>
        <w:top w:val="none" w:sz="0" w:space="0" w:color="auto"/>
        <w:left w:val="none" w:sz="0" w:space="0" w:color="auto"/>
        <w:bottom w:val="none" w:sz="0" w:space="0" w:color="auto"/>
        <w:right w:val="none" w:sz="0" w:space="0" w:color="auto"/>
      </w:divBdr>
    </w:div>
    <w:div w:id="1574312465">
      <w:bodyDiv w:val="1"/>
      <w:marLeft w:val="0"/>
      <w:marRight w:val="0"/>
      <w:marTop w:val="0"/>
      <w:marBottom w:val="0"/>
      <w:divBdr>
        <w:top w:val="none" w:sz="0" w:space="0" w:color="auto"/>
        <w:left w:val="none" w:sz="0" w:space="0" w:color="auto"/>
        <w:bottom w:val="none" w:sz="0" w:space="0" w:color="auto"/>
        <w:right w:val="none" w:sz="0" w:space="0" w:color="auto"/>
      </w:divBdr>
    </w:div>
    <w:div w:id="1576011904">
      <w:bodyDiv w:val="1"/>
      <w:marLeft w:val="0"/>
      <w:marRight w:val="0"/>
      <w:marTop w:val="0"/>
      <w:marBottom w:val="0"/>
      <w:divBdr>
        <w:top w:val="none" w:sz="0" w:space="0" w:color="auto"/>
        <w:left w:val="none" w:sz="0" w:space="0" w:color="auto"/>
        <w:bottom w:val="none" w:sz="0" w:space="0" w:color="auto"/>
        <w:right w:val="none" w:sz="0" w:space="0" w:color="auto"/>
      </w:divBdr>
    </w:div>
    <w:div w:id="1577083718">
      <w:bodyDiv w:val="1"/>
      <w:marLeft w:val="0"/>
      <w:marRight w:val="0"/>
      <w:marTop w:val="0"/>
      <w:marBottom w:val="0"/>
      <w:divBdr>
        <w:top w:val="none" w:sz="0" w:space="0" w:color="auto"/>
        <w:left w:val="none" w:sz="0" w:space="0" w:color="auto"/>
        <w:bottom w:val="none" w:sz="0" w:space="0" w:color="auto"/>
        <w:right w:val="none" w:sz="0" w:space="0" w:color="auto"/>
      </w:divBdr>
    </w:div>
    <w:div w:id="1577663965">
      <w:bodyDiv w:val="1"/>
      <w:marLeft w:val="0"/>
      <w:marRight w:val="0"/>
      <w:marTop w:val="0"/>
      <w:marBottom w:val="0"/>
      <w:divBdr>
        <w:top w:val="none" w:sz="0" w:space="0" w:color="auto"/>
        <w:left w:val="none" w:sz="0" w:space="0" w:color="auto"/>
        <w:bottom w:val="none" w:sz="0" w:space="0" w:color="auto"/>
        <w:right w:val="none" w:sz="0" w:space="0" w:color="auto"/>
      </w:divBdr>
    </w:div>
    <w:div w:id="1578436723">
      <w:bodyDiv w:val="1"/>
      <w:marLeft w:val="0"/>
      <w:marRight w:val="0"/>
      <w:marTop w:val="0"/>
      <w:marBottom w:val="0"/>
      <w:divBdr>
        <w:top w:val="none" w:sz="0" w:space="0" w:color="auto"/>
        <w:left w:val="none" w:sz="0" w:space="0" w:color="auto"/>
        <w:bottom w:val="none" w:sz="0" w:space="0" w:color="auto"/>
        <w:right w:val="none" w:sz="0" w:space="0" w:color="auto"/>
      </w:divBdr>
    </w:div>
    <w:div w:id="1578632937">
      <w:bodyDiv w:val="1"/>
      <w:marLeft w:val="0"/>
      <w:marRight w:val="0"/>
      <w:marTop w:val="0"/>
      <w:marBottom w:val="0"/>
      <w:divBdr>
        <w:top w:val="none" w:sz="0" w:space="0" w:color="auto"/>
        <w:left w:val="none" w:sz="0" w:space="0" w:color="auto"/>
        <w:bottom w:val="none" w:sz="0" w:space="0" w:color="auto"/>
        <w:right w:val="none" w:sz="0" w:space="0" w:color="auto"/>
      </w:divBdr>
    </w:div>
    <w:div w:id="1579286565">
      <w:bodyDiv w:val="1"/>
      <w:marLeft w:val="0"/>
      <w:marRight w:val="0"/>
      <w:marTop w:val="0"/>
      <w:marBottom w:val="0"/>
      <w:divBdr>
        <w:top w:val="none" w:sz="0" w:space="0" w:color="auto"/>
        <w:left w:val="none" w:sz="0" w:space="0" w:color="auto"/>
        <w:bottom w:val="none" w:sz="0" w:space="0" w:color="auto"/>
        <w:right w:val="none" w:sz="0" w:space="0" w:color="auto"/>
      </w:divBdr>
    </w:div>
    <w:div w:id="1582106199">
      <w:bodyDiv w:val="1"/>
      <w:marLeft w:val="0"/>
      <w:marRight w:val="0"/>
      <w:marTop w:val="0"/>
      <w:marBottom w:val="0"/>
      <w:divBdr>
        <w:top w:val="none" w:sz="0" w:space="0" w:color="auto"/>
        <w:left w:val="none" w:sz="0" w:space="0" w:color="auto"/>
        <w:bottom w:val="none" w:sz="0" w:space="0" w:color="auto"/>
        <w:right w:val="none" w:sz="0" w:space="0" w:color="auto"/>
      </w:divBdr>
    </w:div>
    <w:div w:id="1584677273">
      <w:bodyDiv w:val="1"/>
      <w:marLeft w:val="0"/>
      <w:marRight w:val="0"/>
      <w:marTop w:val="0"/>
      <w:marBottom w:val="0"/>
      <w:divBdr>
        <w:top w:val="none" w:sz="0" w:space="0" w:color="auto"/>
        <w:left w:val="none" w:sz="0" w:space="0" w:color="auto"/>
        <w:bottom w:val="none" w:sz="0" w:space="0" w:color="auto"/>
        <w:right w:val="none" w:sz="0" w:space="0" w:color="auto"/>
      </w:divBdr>
    </w:div>
    <w:div w:id="1584680686">
      <w:bodyDiv w:val="1"/>
      <w:marLeft w:val="0"/>
      <w:marRight w:val="0"/>
      <w:marTop w:val="0"/>
      <w:marBottom w:val="0"/>
      <w:divBdr>
        <w:top w:val="none" w:sz="0" w:space="0" w:color="auto"/>
        <w:left w:val="none" w:sz="0" w:space="0" w:color="auto"/>
        <w:bottom w:val="none" w:sz="0" w:space="0" w:color="auto"/>
        <w:right w:val="none" w:sz="0" w:space="0" w:color="auto"/>
      </w:divBdr>
    </w:div>
    <w:div w:id="1584879334">
      <w:bodyDiv w:val="1"/>
      <w:marLeft w:val="0"/>
      <w:marRight w:val="0"/>
      <w:marTop w:val="0"/>
      <w:marBottom w:val="0"/>
      <w:divBdr>
        <w:top w:val="none" w:sz="0" w:space="0" w:color="auto"/>
        <w:left w:val="none" w:sz="0" w:space="0" w:color="auto"/>
        <w:bottom w:val="none" w:sz="0" w:space="0" w:color="auto"/>
        <w:right w:val="none" w:sz="0" w:space="0" w:color="auto"/>
      </w:divBdr>
    </w:div>
    <w:div w:id="1589315766">
      <w:bodyDiv w:val="1"/>
      <w:marLeft w:val="0"/>
      <w:marRight w:val="0"/>
      <w:marTop w:val="0"/>
      <w:marBottom w:val="0"/>
      <w:divBdr>
        <w:top w:val="none" w:sz="0" w:space="0" w:color="auto"/>
        <w:left w:val="none" w:sz="0" w:space="0" w:color="auto"/>
        <w:bottom w:val="none" w:sz="0" w:space="0" w:color="auto"/>
        <w:right w:val="none" w:sz="0" w:space="0" w:color="auto"/>
      </w:divBdr>
    </w:div>
    <w:div w:id="1589382906">
      <w:bodyDiv w:val="1"/>
      <w:marLeft w:val="0"/>
      <w:marRight w:val="0"/>
      <w:marTop w:val="0"/>
      <w:marBottom w:val="0"/>
      <w:divBdr>
        <w:top w:val="none" w:sz="0" w:space="0" w:color="auto"/>
        <w:left w:val="none" w:sz="0" w:space="0" w:color="auto"/>
        <w:bottom w:val="none" w:sz="0" w:space="0" w:color="auto"/>
        <w:right w:val="none" w:sz="0" w:space="0" w:color="auto"/>
      </w:divBdr>
    </w:div>
    <w:div w:id="1589540730">
      <w:bodyDiv w:val="1"/>
      <w:marLeft w:val="0"/>
      <w:marRight w:val="0"/>
      <w:marTop w:val="0"/>
      <w:marBottom w:val="0"/>
      <w:divBdr>
        <w:top w:val="none" w:sz="0" w:space="0" w:color="auto"/>
        <w:left w:val="none" w:sz="0" w:space="0" w:color="auto"/>
        <w:bottom w:val="none" w:sz="0" w:space="0" w:color="auto"/>
        <w:right w:val="none" w:sz="0" w:space="0" w:color="auto"/>
      </w:divBdr>
    </w:div>
    <w:div w:id="1590195796">
      <w:bodyDiv w:val="1"/>
      <w:marLeft w:val="0"/>
      <w:marRight w:val="0"/>
      <w:marTop w:val="0"/>
      <w:marBottom w:val="0"/>
      <w:divBdr>
        <w:top w:val="none" w:sz="0" w:space="0" w:color="auto"/>
        <w:left w:val="none" w:sz="0" w:space="0" w:color="auto"/>
        <w:bottom w:val="none" w:sz="0" w:space="0" w:color="auto"/>
        <w:right w:val="none" w:sz="0" w:space="0" w:color="auto"/>
      </w:divBdr>
    </w:div>
    <w:div w:id="1590239071">
      <w:bodyDiv w:val="1"/>
      <w:marLeft w:val="0"/>
      <w:marRight w:val="0"/>
      <w:marTop w:val="0"/>
      <w:marBottom w:val="0"/>
      <w:divBdr>
        <w:top w:val="none" w:sz="0" w:space="0" w:color="auto"/>
        <w:left w:val="none" w:sz="0" w:space="0" w:color="auto"/>
        <w:bottom w:val="none" w:sz="0" w:space="0" w:color="auto"/>
        <w:right w:val="none" w:sz="0" w:space="0" w:color="auto"/>
      </w:divBdr>
    </w:div>
    <w:div w:id="1591894201">
      <w:bodyDiv w:val="1"/>
      <w:marLeft w:val="0"/>
      <w:marRight w:val="0"/>
      <w:marTop w:val="0"/>
      <w:marBottom w:val="0"/>
      <w:divBdr>
        <w:top w:val="none" w:sz="0" w:space="0" w:color="auto"/>
        <w:left w:val="none" w:sz="0" w:space="0" w:color="auto"/>
        <w:bottom w:val="none" w:sz="0" w:space="0" w:color="auto"/>
        <w:right w:val="none" w:sz="0" w:space="0" w:color="auto"/>
      </w:divBdr>
    </w:div>
    <w:div w:id="1592468765">
      <w:bodyDiv w:val="1"/>
      <w:marLeft w:val="0"/>
      <w:marRight w:val="0"/>
      <w:marTop w:val="0"/>
      <w:marBottom w:val="0"/>
      <w:divBdr>
        <w:top w:val="none" w:sz="0" w:space="0" w:color="auto"/>
        <w:left w:val="none" w:sz="0" w:space="0" w:color="auto"/>
        <w:bottom w:val="none" w:sz="0" w:space="0" w:color="auto"/>
        <w:right w:val="none" w:sz="0" w:space="0" w:color="auto"/>
      </w:divBdr>
    </w:div>
    <w:div w:id="1593927888">
      <w:bodyDiv w:val="1"/>
      <w:marLeft w:val="0"/>
      <w:marRight w:val="0"/>
      <w:marTop w:val="0"/>
      <w:marBottom w:val="0"/>
      <w:divBdr>
        <w:top w:val="none" w:sz="0" w:space="0" w:color="auto"/>
        <w:left w:val="none" w:sz="0" w:space="0" w:color="auto"/>
        <w:bottom w:val="none" w:sz="0" w:space="0" w:color="auto"/>
        <w:right w:val="none" w:sz="0" w:space="0" w:color="auto"/>
      </w:divBdr>
    </w:div>
    <w:div w:id="1595355487">
      <w:bodyDiv w:val="1"/>
      <w:marLeft w:val="0"/>
      <w:marRight w:val="0"/>
      <w:marTop w:val="0"/>
      <w:marBottom w:val="0"/>
      <w:divBdr>
        <w:top w:val="none" w:sz="0" w:space="0" w:color="auto"/>
        <w:left w:val="none" w:sz="0" w:space="0" w:color="auto"/>
        <w:bottom w:val="none" w:sz="0" w:space="0" w:color="auto"/>
        <w:right w:val="none" w:sz="0" w:space="0" w:color="auto"/>
      </w:divBdr>
    </w:div>
    <w:div w:id="1596013068">
      <w:bodyDiv w:val="1"/>
      <w:marLeft w:val="0"/>
      <w:marRight w:val="0"/>
      <w:marTop w:val="0"/>
      <w:marBottom w:val="0"/>
      <w:divBdr>
        <w:top w:val="none" w:sz="0" w:space="0" w:color="auto"/>
        <w:left w:val="none" w:sz="0" w:space="0" w:color="auto"/>
        <w:bottom w:val="none" w:sz="0" w:space="0" w:color="auto"/>
        <w:right w:val="none" w:sz="0" w:space="0" w:color="auto"/>
      </w:divBdr>
    </w:div>
    <w:div w:id="1596867386">
      <w:bodyDiv w:val="1"/>
      <w:marLeft w:val="0"/>
      <w:marRight w:val="0"/>
      <w:marTop w:val="0"/>
      <w:marBottom w:val="0"/>
      <w:divBdr>
        <w:top w:val="none" w:sz="0" w:space="0" w:color="auto"/>
        <w:left w:val="none" w:sz="0" w:space="0" w:color="auto"/>
        <w:bottom w:val="none" w:sz="0" w:space="0" w:color="auto"/>
        <w:right w:val="none" w:sz="0" w:space="0" w:color="auto"/>
      </w:divBdr>
    </w:div>
    <w:div w:id="1597129227">
      <w:bodyDiv w:val="1"/>
      <w:marLeft w:val="0"/>
      <w:marRight w:val="0"/>
      <w:marTop w:val="0"/>
      <w:marBottom w:val="0"/>
      <w:divBdr>
        <w:top w:val="none" w:sz="0" w:space="0" w:color="auto"/>
        <w:left w:val="none" w:sz="0" w:space="0" w:color="auto"/>
        <w:bottom w:val="none" w:sz="0" w:space="0" w:color="auto"/>
        <w:right w:val="none" w:sz="0" w:space="0" w:color="auto"/>
      </w:divBdr>
    </w:div>
    <w:div w:id="1598058378">
      <w:bodyDiv w:val="1"/>
      <w:marLeft w:val="0"/>
      <w:marRight w:val="0"/>
      <w:marTop w:val="0"/>
      <w:marBottom w:val="0"/>
      <w:divBdr>
        <w:top w:val="none" w:sz="0" w:space="0" w:color="auto"/>
        <w:left w:val="none" w:sz="0" w:space="0" w:color="auto"/>
        <w:bottom w:val="none" w:sz="0" w:space="0" w:color="auto"/>
        <w:right w:val="none" w:sz="0" w:space="0" w:color="auto"/>
      </w:divBdr>
    </w:div>
    <w:div w:id="1598370481">
      <w:bodyDiv w:val="1"/>
      <w:marLeft w:val="0"/>
      <w:marRight w:val="0"/>
      <w:marTop w:val="0"/>
      <w:marBottom w:val="0"/>
      <w:divBdr>
        <w:top w:val="none" w:sz="0" w:space="0" w:color="auto"/>
        <w:left w:val="none" w:sz="0" w:space="0" w:color="auto"/>
        <w:bottom w:val="none" w:sz="0" w:space="0" w:color="auto"/>
        <w:right w:val="none" w:sz="0" w:space="0" w:color="auto"/>
      </w:divBdr>
    </w:div>
    <w:div w:id="1604222789">
      <w:bodyDiv w:val="1"/>
      <w:marLeft w:val="0"/>
      <w:marRight w:val="0"/>
      <w:marTop w:val="0"/>
      <w:marBottom w:val="0"/>
      <w:divBdr>
        <w:top w:val="none" w:sz="0" w:space="0" w:color="auto"/>
        <w:left w:val="none" w:sz="0" w:space="0" w:color="auto"/>
        <w:bottom w:val="none" w:sz="0" w:space="0" w:color="auto"/>
        <w:right w:val="none" w:sz="0" w:space="0" w:color="auto"/>
      </w:divBdr>
    </w:div>
    <w:div w:id="1604651946">
      <w:bodyDiv w:val="1"/>
      <w:marLeft w:val="0"/>
      <w:marRight w:val="0"/>
      <w:marTop w:val="0"/>
      <w:marBottom w:val="0"/>
      <w:divBdr>
        <w:top w:val="none" w:sz="0" w:space="0" w:color="auto"/>
        <w:left w:val="none" w:sz="0" w:space="0" w:color="auto"/>
        <w:bottom w:val="none" w:sz="0" w:space="0" w:color="auto"/>
        <w:right w:val="none" w:sz="0" w:space="0" w:color="auto"/>
      </w:divBdr>
    </w:div>
    <w:div w:id="1605959746">
      <w:bodyDiv w:val="1"/>
      <w:marLeft w:val="0"/>
      <w:marRight w:val="0"/>
      <w:marTop w:val="0"/>
      <w:marBottom w:val="0"/>
      <w:divBdr>
        <w:top w:val="none" w:sz="0" w:space="0" w:color="auto"/>
        <w:left w:val="none" w:sz="0" w:space="0" w:color="auto"/>
        <w:bottom w:val="none" w:sz="0" w:space="0" w:color="auto"/>
        <w:right w:val="none" w:sz="0" w:space="0" w:color="auto"/>
      </w:divBdr>
    </w:div>
    <w:div w:id="1606304482">
      <w:bodyDiv w:val="1"/>
      <w:marLeft w:val="0"/>
      <w:marRight w:val="0"/>
      <w:marTop w:val="0"/>
      <w:marBottom w:val="0"/>
      <w:divBdr>
        <w:top w:val="none" w:sz="0" w:space="0" w:color="auto"/>
        <w:left w:val="none" w:sz="0" w:space="0" w:color="auto"/>
        <w:bottom w:val="none" w:sz="0" w:space="0" w:color="auto"/>
        <w:right w:val="none" w:sz="0" w:space="0" w:color="auto"/>
      </w:divBdr>
    </w:div>
    <w:div w:id="1608193728">
      <w:bodyDiv w:val="1"/>
      <w:marLeft w:val="0"/>
      <w:marRight w:val="0"/>
      <w:marTop w:val="0"/>
      <w:marBottom w:val="0"/>
      <w:divBdr>
        <w:top w:val="none" w:sz="0" w:space="0" w:color="auto"/>
        <w:left w:val="none" w:sz="0" w:space="0" w:color="auto"/>
        <w:bottom w:val="none" w:sz="0" w:space="0" w:color="auto"/>
        <w:right w:val="none" w:sz="0" w:space="0" w:color="auto"/>
      </w:divBdr>
    </w:div>
    <w:div w:id="1608808238">
      <w:bodyDiv w:val="1"/>
      <w:marLeft w:val="0"/>
      <w:marRight w:val="0"/>
      <w:marTop w:val="0"/>
      <w:marBottom w:val="0"/>
      <w:divBdr>
        <w:top w:val="none" w:sz="0" w:space="0" w:color="auto"/>
        <w:left w:val="none" w:sz="0" w:space="0" w:color="auto"/>
        <w:bottom w:val="none" w:sz="0" w:space="0" w:color="auto"/>
        <w:right w:val="none" w:sz="0" w:space="0" w:color="auto"/>
      </w:divBdr>
    </w:div>
    <w:div w:id="1609042841">
      <w:bodyDiv w:val="1"/>
      <w:marLeft w:val="0"/>
      <w:marRight w:val="0"/>
      <w:marTop w:val="0"/>
      <w:marBottom w:val="0"/>
      <w:divBdr>
        <w:top w:val="none" w:sz="0" w:space="0" w:color="auto"/>
        <w:left w:val="none" w:sz="0" w:space="0" w:color="auto"/>
        <w:bottom w:val="none" w:sz="0" w:space="0" w:color="auto"/>
        <w:right w:val="none" w:sz="0" w:space="0" w:color="auto"/>
      </w:divBdr>
    </w:div>
    <w:div w:id="1609510359">
      <w:bodyDiv w:val="1"/>
      <w:marLeft w:val="0"/>
      <w:marRight w:val="0"/>
      <w:marTop w:val="0"/>
      <w:marBottom w:val="0"/>
      <w:divBdr>
        <w:top w:val="none" w:sz="0" w:space="0" w:color="auto"/>
        <w:left w:val="none" w:sz="0" w:space="0" w:color="auto"/>
        <w:bottom w:val="none" w:sz="0" w:space="0" w:color="auto"/>
        <w:right w:val="none" w:sz="0" w:space="0" w:color="auto"/>
      </w:divBdr>
    </w:div>
    <w:div w:id="1610701862">
      <w:bodyDiv w:val="1"/>
      <w:marLeft w:val="0"/>
      <w:marRight w:val="0"/>
      <w:marTop w:val="0"/>
      <w:marBottom w:val="0"/>
      <w:divBdr>
        <w:top w:val="none" w:sz="0" w:space="0" w:color="auto"/>
        <w:left w:val="none" w:sz="0" w:space="0" w:color="auto"/>
        <w:bottom w:val="none" w:sz="0" w:space="0" w:color="auto"/>
        <w:right w:val="none" w:sz="0" w:space="0" w:color="auto"/>
      </w:divBdr>
    </w:div>
    <w:div w:id="1611814432">
      <w:bodyDiv w:val="1"/>
      <w:marLeft w:val="0"/>
      <w:marRight w:val="0"/>
      <w:marTop w:val="0"/>
      <w:marBottom w:val="0"/>
      <w:divBdr>
        <w:top w:val="none" w:sz="0" w:space="0" w:color="auto"/>
        <w:left w:val="none" w:sz="0" w:space="0" w:color="auto"/>
        <w:bottom w:val="none" w:sz="0" w:space="0" w:color="auto"/>
        <w:right w:val="none" w:sz="0" w:space="0" w:color="auto"/>
      </w:divBdr>
    </w:div>
    <w:div w:id="1614095452">
      <w:bodyDiv w:val="1"/>
      <w:marLeft w:val="0"/>
      <w:marRight w:val="0"/>
      <w:marTop w:val="0"/>
      <w:marBottom w:val="0"/>
      <w:divBdr>
        <w:top w:val="none" w:sz="0" w:space="0" w:color="auto"/>
        <w:left w:val="none" w:sz="0" w:space="0" w:color="auto"/>
        <w:bottom w:val="none" w:sz="0" w:space="0" w:color="auto"/>
        <w:right w:val="none" w:sz="0" w:space="0" w:color="auto"/>
      </w:divBdr>
    </w:div>
    <w:div w:id="1614676263">
      <w:bodyDiv w:val="1"/>
      <w:marLeft w:val="0"/>
      <w:marRight w:val="0"/>
      <w:marTop w:val="0"/>
      <w:marBottom w:val="0"/>
      <w:divBdr>
        <w:top w:val="none" w:sz="0" w:space="0" w:color="auto"/>
        <w:left w:val="none" w:sz="0" w:space="0" w:color="auto"/>
        <w:bottom w:val="none" w:sz="0" w:space="0" w:color="auto"/>
        <w:right w:val="none" w:sz="0" w:space="0" w:color="auto"/>
      </w:divBdr>
    </w:div>
    <w:div w:id="1615480123">
      <w:bodyDiv w:val="1"/>
      <w:marLeft w:val="0"/>
      <w:marRight w:val="0"/>
      <w:marTop w:val="0"/>
      <w:marBottom w:val="0"/>
      <w:divBdr>
        <w:top w:val="none" w:sz="0" w:space="0" w:color="auto"/>
        <w:left w:val="none" w:sz="0" w:space="0" w:color="auto"/>
        <w:bottom w:val="none" w:sz="0" w:space="0" w:color="auto"/>
        <w:right w:val="none" w:sz="0" w:space="0" w:color="auto"/>
      </w:divBdr>
    </w:div>
    <w:div w:id="1616713835">
      <w:bodyDiv w:val="1"/>
      <w:marLeft w:val="0"/>
      <w:marRight w:val="0"/>
      <w:marTop w:val="0"/>
      <w:marBottom w:val="0"/>
      <w:divBdr>
        <w:top w:val="none" w:sz="0" w:space="0" w:color="auto"/>
        <w:left w:val="none" w:sz="0" w:space="0" w:color="auto"/>
        <w:bottom w:val="none" w:sz="0" w:space="0" w:color="auto"/>
        <w:right w:val="none" w:sz="0" w:space="0" w:color="auto"/>
      </w:divBdr>
    </w:div>
    <w:div w:id="1618945769">
      <w:bodyDiv w:val="1"/>
      <w:marLeft w:val="0"/>
      <w:marRight w:val="0"/>
      <w:marTop w:val="0"/>
      <w:marBottom w:val="0"/>
      <w:divBdr>
        <w:top w:val="none" w:sz="0" w:space="0" w:color="auto"/>
        <w:left w:val="none" w:sz="0" w:space="0" w:color="auto"/>
        <w:bottom w:val="none" w:sz="0" w:space="0" w:color="auto"/>
        <w:right w:val="none" w:sz="0" w:space="0" w:color="auto"/>
      </w:divBdr>
    </w:div>
    <w:div w:id="1619683915">
      <w:bodyDiv w:val="1"/>
      <w:marLeft w:val="0"/>
      <w:marRight w:val="0"/>
      <w:marTop w:val="0"/>
      <w:marBottom w:val="0"/>
      <w:divBdr>
        <w:top w:val="none" w:sz="0" w:space="0" w:color="auto"/>
        <w:left w:val="none" w:sz="0" w:space="0" w:color="auto"/>
        <w:bottom w:val="none" w:sz="0" w:space="0" w:color="auto"/>
        <w:right w:val="none" w:sz="0" w:space="0" w:color="auto"/>
      </w:divBdr>
    </w:div>
    <w:div w:id="1619872717">
      <w:bodyDiv w:val="1"/>
      <w:marLeft w:val="0"/>
      <w:marRight w:val="0"/>
      <w:marTop w:val="0"/>
      <w:marBottom w:val="0"/>
      <w:divBdr>
        <w:top w:val="none" w:sz="0" w:space="0" w:color="auto"/>
        <w:left w:val="none" w:sz="0" w:space="0" w:color="auto"/>
        <w:bottom w:val="none" w:sz="0" w:space="0" w:color="auto"/>
        <w:right w:val="none" w:sz="0" w:space="0" w:color="auto"/>
      </w:divBdr>
    </w:div>
    <w:div w:id="1620914780">
      <w:bodyDiv w:val="1"/>
      <w:marLeft w:val="0"/>
      <w:marRight w:val="0"/>
      <w:marTop w:val="0"/>
      <w:marBottom w:val="0"/>
      <w:divBdr>
        <w:top w:val="none" w:sz="0" w:space="0" w:color="auto"/>
        <w:left w:val="none" w:sz="0" w:space="0" w:color="auto"/>
        <w:bottom w:val="none" w:sz="0" w:space="0" w:color="auto"/>
        <w:right w:val="none" w:sz="0" w:space="0" w:color="auto"/>
      </w:divBdr>
    </w:div>
    <w:div w:id="1621885695">
      <w:bodyDiv w:val="1"/>
      <w:marLeft w:val="0"/>
      <w:marRight w:val="0"/>
      <w:marTop w:val="0"/>
      <w:marBottom w:val="0"/>
      <w:divBdr>
        <w:top w:val="none" w:sz="0" w:space="0" w:color="auto"/>
        <w:left w:val="none" w:sz="0" w:space="0" w:color="auto"/>
        <w:bottom w:val="none" w:sz="0" w:space="0" w:color="auto"/>
        <w:right w:val="none" w:sz="0" w:space="0" w:color="auto"/>
      </w:divBdr>
    </w:div>
    <w:div w:id="1625960187">
      <w:bodyDiv w:val="1"/>
      <w:marLeft w:val="0"/>
      <w:marRight w:val="0"/>
      <w:marTop w:val="0"/>
      <w:marBottom w:val="0"/>
      <w:divBdr>
        <w:top w:val="none" w:sz="0" w:space="0" w:color="auto"/>
        <w:left w:val="none" w:sz="0" w:space="0" w:color="auto"/>
        <w:bottom w:val="none" w:sz="0" w:space="0" w:color="auto"/>
        <w:right w:val="none" w:sz="0" w:space="0" w:color="auto"/>
      </w:divBdr>
    </w:div>
    <w:div w:id="1626887003">
      <w:bodyDiv w:val="1"/>
      <w:marLeft w:val="0"/>
      <w:marRight w:val="0"/>
      <w:marTop w:val="0"/>
      <w:marBottom w:val="0"/>
      <w:divBdr>
        <w:top w:val="none" w:sz="0" w:space="0" w:color="auto"/>
        <w:left w:val="none" w:sz="0" w:space="0" w:color="auto"/>
        <w:bottom w:val="none" w:sz="0" w:space="0" w:color="auto"/>
        <w:right w:val="none" w:sz="0" w:space="0" w:color="auto"/>
      </w:divBdr>
    </w:div>
    <w:div w:id="1630432331">
      <w:bodyDiv w:val="1"/>
      <w:marLeft w:val="0"/>
      <w:marRight w:val="0"/>
      <w:marTop w:val="0"/>
      <w:marBottom w:val="0"/>
      <w:divBdr>
        <w:top w:val="none" w:sz="0" w:space="0" w:color="auto"/>
        <w:left w:val="none" w:sz="0" w:space="0" w:color="auto"/>
        <w:bottom w:val="none" w:sz="0" w:space="0" w:color="auto"/>
        <w:right w:val="none" w:sz="0" w:space="0" w:color="auto"/>
      </w:divBdr>
    </w:div>
    <w:div w:id="1636790599">
      <w:bodyDiv w:val="1"/>
      <w:marLeft w:val="0"/>
      <w:marRight w:val="0"/>
      <w:marTop w:val="0"/>
      <w:marBottom w:val="0"/>
      <w:divBdr>
        <w:top w:val="none" w:sz="0" w:space="0" w:color="auto"/>
        <w:left w:val="none" w:sz="0" w:space="0" w:color="auto"/>
        <w:bottom w:val="none" w:sz="0" w:space="0" w:color="auto"/>
        <w:right w:val="none" w:sz="0" w:space="0" w:color="auto"/>
      </w:divBdr>
    </w:div>
    <w:div w:id="1636834520">
      <w:bodyDiv w:val="1"/>
      <w:marLeft w:val="0"/>
      <w:marRight w:val="0"/>
      <w:marTop w:val="0"/>
      <w:marBottom w:val="0"/>
      <w:divBdr>
        <w:top w:val="none" w:sz="0" w:space="0" w:color="auto"/>
        <w:left w:val="none" w:sz="0" w:space="0" w:color="auto"/>
        <w:bottom w:val="none" w:sz="0" w:space="0" w:color="auto"/>
        <w:right w:val="none" w:sz="0" w:space="0" w:color="auto"/>
      </w:divBdr>
    </w:div>
    <w:div w:id="1638877352">
      <w:bodyDiv w:val="1"/>
      <w:marLeft w:val="0"/>
      <w:marRight w:val="0"/>
      <w:marTop w:val="0"/>
      <w:marBottom w:val="0"/>
      <w:divBdr>
        <w:top w:val="none" w:sz="0" w:space="0" w:color="auto"/>
        <w:left w:val="none" w:sz="0" w:space="0" w:color="auto"/>
        <w:bottom w:val="none" w:sz="0" w:space="0" w:color="auto"/>
        <w:right w:val="none" w:sz="0" w:space="0" w:color="auto"/>
      </w:divBdr>
    </w:div>
    <w:div w:id="1639188922">
      <w:bodyDiv w:val="1"/>
      <w:marLeft w:val="0"/>
      <w:marRight w:val="0"/>
      <w:marTop w:val="0"/>
      <w:marBottom w:val="0"/>
      <w:divBdr>
        <w:top w:val="none" w:sz="0" w:space="0" w:color="auto"/>
        <w:left w:val="none" w:sz="0" w:space="0" w:color="auto"/>
        <w:bottom w:val="none" w:sz="0" w:space="0" w:color="auto"/>
        <w:right w:val="none" w:sz="0" w:space="0" w:color="auto"/>
      </w:divBdr>
    </w:div>
    <w:div w:id="1640301948">
      <w:bodyDiv w:val="1"/>
      <w:marLeft w:val="0"/>
      <w:marRight w:val="0"/>
      <w:marTop w:val="0"/>
      <w:marBottom w:val="0"/>
      <w:divBdr>
        <w:top w:val="none" w:sz="0" w:space="0" w:color="auto"/>
        <w:left w:val="none" w:sz="0" w:space="0" w:color="auto"/>
        <w:bottom w:val="none" w:sz="0" w:space="0" w:color="auto"/>
        <w:right w:val="none" w:sz="0" w:space="0" w:color="auto"/>
      </w:divBdr>
    </w:div>
    <w:div w:id="1640645395">
      <w:bodyDiv w:val="1"/>
      <w:marLeft w:val="0"/>
      <w:marRight w:val="0"/>
      <w:marTop w:val="0"/>
      <w:marBottom w:val="0"/>
      <w:divBdr>
        <w:top w:val="none" w:sz="0" w:space="0" w:color="auto"/>
        <w:left w:val="none" w:sz="0" w:space="0" w:color="auto"/>
        <w:bottom w:val="none" w:sz="0" w:space="0" w:color="auto"/>
        <w:right w:val="none" w:sz="0" w:space="0" w:color="auto"/>
      </w:divBdr>
    </w:div>
    <w:div w:id="1641229243">
      <w:bodyDiv w:val="1"/>
      <w:marLeft w:val="0"/>
      <w:marRight w:val="0"/>
      <w:marTop w:val="0"/>
      <w:marBottom w:val="0"/>
      <w:divBdr>
        <w:top w:val="none" w:sz="0" w:space="0" w:color="auto"/>
        <w:left w:val="none" w:sz="0" w:space="0" w:color="auto"/>
        <w:bottom w:val="none" w:sz="0" w:space="0" w:color="auto"/>
        <w:right w:val="none" w:sz="0" w:space="0" w:color="auto"/>
      </w:divBdr>
    </w:div>
    <w:div w:id="1642878929">
      <w:bodyDiv w:val="1"/>
      <w:marLeft w:val="0"/>
      <w:marRight w:val="0"/>
      <w:marTop w:val="0"/>
      <w:marBottom w:val="0"/>
      <w:divBdr>
        <w:top w:val="none" w:sz="0" w:space="0" w:color="auto"/>
        <w:left w:val="none" w:sz="0" w:space="0" w:color="auto"/>
        <w:bottom w:val="none" w:sz="0" w:space="0" w:color="auto"/>
        <w:right w:val="none" w:sz="0" w:space="0" w:color="auto"/>
      </w:divBdr>
    </w:div>
    <w:div w:id="1643540241">
      <w:bodyDiv w:val="1"/>
      <w:marLeft w:val="0"/>
      <w:marRight w:val="0"/>
      <w:marTop w:val="0"/>
      <w:marBottom w:val="0"/>
      <w:divBdr>
        <w:top w:val="none" w:sz="0" w:space="0" w:color="auto"/>
        <w:left w:val="none" w:sz="0" w:space="0" w:color="auto"/>
        <w:bottom w:val="none" w:sz="0" w:space="0" w:color="auto"/>
        <w:right w:val="none" w:sz="0" w:space="0" w:color="auto"/>
      </w:divBdr>
    </w:div>
    <w:div w:id="1644693759">
      <w:bodyDiv w:val="1"/>
      <w:marLeft w:val="0"/>
      <w:marRight w:val="0"/>
      <w:marTop w:val="0"/>
      <w:marBottom w:val="0"/>
      <w:divBdr>
        <w:top w:val="none" w:sz="0" w:space="0" w:color="auto"/>
        <w:left w:val="none" w:sz="0" w:space="0" w:color="auto"/>
        <w:bottom w:val="none" w:sz="0" w:space="0" w:color="auto"/>
        <w:right w:val="none" w:sz="0" w:space="0" w:color="auto"/>
      </w:divBdr>
    </w:div>
    <w:div w:id="1644851386">
      <w:bodyDiv w:val="1"/>
      <w:marLeft w:val="0"/>
      <w:marRight w:val="0"/>
      <w:marTop w:val="0"/>
      <w:marBottom w:val="0"/>
      <w:divBdr>
        <w:top w:val="none" w:sz="0" w:space="0" w:color="auto"/>
        <w:left w:val="none" w:sz="0" w:space="0" w:color="auto"/>
        <w:bottom w:val="none" w:sz="0" w:space="0" w:color="auto"/>
        <w:right w:val="none" w:sz="0" w:space="0" w:color="auto"/>
      </w:divBdr>
    </w:div>
    <w:div w:id="1645351584">
      <w:bodyDiv w:val="1"/>
      <w:marLeft w:val="0"/>
      <w:marRight w:val="0"/>
      <w:marTop w:val="0"/>
      <w:marBottom w:val="0"/>
      <w:divBdr>
        <w:top w:val="none" w:sz="0" w:space="0" w:color="auto"/>
        <w:left w:val="none" w:sz="0" w:space="0" w:color="auto"/>
        <w:bottom w:val="none" w:sz="0" w:space="0" w:color="auto"/>
        <w:right w:val="none" w:sz="0" w:space="0" w:color="auto"/>
      </w:divBdr>
    </w:div>
    <w:div w:id="1646735440">
      <w:bodyDiv w:val="1"/>
      <w:marLeft w:val="0"/>
      <w:marRight w:val="0"/>
      <w:marTop w:val="0"/>
      <w:marBottom w:val="0"/>
      <w:divBdr>
        <w:top w:val="none" w:sz="0" w:space="0" w:color="auto"/>
        <w:left w:val="none" w:sz="0" w:space="0" w:color="auto"/>
        <w:bottom w:val="none" w:sz="0" w:space="0" w:color="auto"/>
        <w:right w:val="none" w:sz="0" w:space="0" w:color="auto"/>
      </w:divBdr>
    </w:div>
    <w:div w:id="1647005689">
      <w:bodyDiv w:val="1"/>
      <w:marLeft w:val="0"/>
      <w:marRight w:val="0"/>
      <w:marTop w:val="0"/>
      <w:marBottom w:val="0"/>
      <w:divBdr>
        <w:top w:val="none" w:sz="0" w:space="0" w:color="auto"/>
        <w:left w:val="none" w:sz="0" w:space="0" w:color="auto"/>
        <w:bottom w:val="none" w:sz="0" w:space="0" w:color="auto"/>
        <w:right w:val="none" w:sz="0" w:space="0" w:color="auto"/>
      </w:divBdr>
    </w:div>
    <w:div w:id="1647734260">
      <w:bodyDiv w:val="1"/>
      <w:marLeft w:val="0"/>
      <w:marRight w:val="0"/>
      <w:marTop w:val="0"/>
      <w:marBottom w:val="0"/>
      <w:divBdr>
        <w:top w:val="none" w:sz="0" w:space="0" w:color="auto"/>
        <w:left w:val="none" w:sz="0" w:space="0" w:color="auto"/>
        <w:bottom w:val="none" w:sz="0" w:space="0" w:color="auto"/>
        <w:right w:val="none" w:sz="0" w:space="0" w:color="auto"/>
      </w:divBdr>
    </w:div>
    <w:div w:id="1647775894">
      <w:bodyDiv w:val="1"/>
      <w:marLeft w:val="0"/>
      <w:marRight w:val="0"/>
      <w:marTop w:val="0"/>
      <w:marBottom w:val="0"/>
      <w:divBdr>
        <w:top w:val="none" w:sz="0" w:space="0" w:color="auto"/>
        <w:left w:val="none" w:sz="0" w:space="0" w:color="auto"/>
        <w:bottom w:val="none" w:sz="0" w:space="0" w:color="auto"/>
        <w:right w:val="none" w:sz="0" w:space="0" w:color="auto"/>
      </w:divBdr>
    </w:div>
    <w:div w:id="1649900405">
      <w:bodyDiv w:val="1"/>
      <w:marLeft w:val="0"/>
      <w:marRight w:val="0"/>
      <w:marTop w:val="0"/>
      <w:marBottom w:val="0"/>
      <w:divBdr>
        <w:top w:val="none" w:sz="0" w:space="0" w:color="auto"/>
        <w:left w:val="none" w:sz="0" w:space="0" w:color="auto"/>
        <w:bottom w:val="none" w:sz="0" w:space="0" w:color="auto"/>
        <w:right w:val="none" w:sz="0" w:space="0" w:color="auto"/>
      </w:divBdr>
    </w:div>
    <w:div w:id="1649936114">
      <w:bodyDiv w:val="1"/>
      <w:marLeft w:val="0"/>
      <w:marRight w:val="0"/>
      <w:marTop w:val="0"/>
      <w:marBottom w:val="0"/>
      <w:divBdr>
        <w:top w:val="none" w:sz="0" w:space="0" w:color="auto"/>
        <w:left w:val="none" w:sz="0" w:space="0" w:color="auto"/>
        <w:bottom w:val="none" w:sz="0" w:space="0" w:color="auto"/>
        <w:right w:val="none" w:sz="0" w:space="0" w:color="auto"/>
      </w:divBdr>
    </w:div>
    <w:div w:id="1650328894">
      <w:bodyDiv w:val="1"/>
      <w:marLeft w:val="0"/>
      <w:marRight w:val="0"/>
      <w:marTop w:val="0"/>
      <w:marBottom w:val="0"/>
      <w:divBdr>
        <w:top w:val="none" w:sz="0" w:space="0" w:color="auto"/>
        <w:left w:val="none" w:sz="0" w:space="0" w:color="auto"/>
        <w:bottom w:val="none" w:sz="0" w:space="0" w:color="auto"/>
        <w:right w:val="none" w:sz="0" w:space="0" w:color="auto"/>
      </w:divBdr>
    </w:div>
    <w:div w:id="1653561472">
      <w:bodyDiv w:val="1"/>
      <w:marLeft w:val="0"/>
      <w:marRight w:val="0"/>
      <w:marTop w:val="0"/>
      <w:marBottom w:val="0"/>
      <w:divBdr>
        <w:top w:val="none" w:sz="0" w:space="0" w:color="auto"/>
        <w:left w:val="none" w:sz="0" w:space="0" w:color="auto"/>
        <w:bottom w:val="none" w:sz="0" w:space="0" w:color="auto"/>
        <w:right w:val="none" w:sz="0" w:space="0" w:color="auto"/>
      </w:divBdr>
    </w:div>
    <w:div w:id="1655261485">
      <w:bodyDiv w:val="1"/>
      <w:marLeft w:val="0"/>
      <w:marRight w:val="0"/>
      <w:marTop w:val="0"/>
      <w:marBottom w:val="0"/>
      <w:divBdr>
        <w:top w:val="none" w:sz="0" w:space="0" w:color="auto"/>
        <w:left w:val="none" w:sz="0" w:space="0" w:color="auto"/>
        <w:bottom w:val="none" w:sz="0" w:space="0" w:color="auto"/>
        <w:right w:val="none" w:sz="0" w:space="0" w:color="auto"/>
      </w:divBdr>
    </w:div>
    <w:div w:id="1656568451">
      <w:bodyDiv w:val="1"/>
      <w:marLeft w:val="0"/>
      <w:marRight w:val="0"/>
      <w:marTop w:val="0"/>
      <w:marBottom w:val="0"/>
      <w:divBdr>
        <w:top w:val="none" w:sz="0" w:space="0" w:color="auto"/>
        <w:left w:val="none" w:sz="0" w:space="0" w:color="auto"/>
        <w:bottom w:val="none" w:sz="0" w:space="0" w:color="auto"/>
        <w:right w:val="none" w:sz="0" w:space="0" w:color="auto"/>
      </w:divBdr>
    </w:div>
    <w:div w:id="1658847487">
      <w:bodyDiv w:val="1"/>
      <w:marLeft w:val="0"/>
      <w:marRight w:val="0"/>
      <w:marTop w:val="0"/>
      <w:marBottom w:val="0"/>
      <w:divBdr>
        <w:top w:val="none" w:sz="0" w:space="0" w:color="auto"/>
        <w:left w:val="none" w:sz="0" w:space="0" w:color="auto"/>
        <w:bottom w:val="none" w:sz="0" w:space="0" w:color="auto"/>
        <w:right w:val="none" w:sz="0" w:space="0" w:color="auto"/>
      </w:divBdr>
    </w:div>
    <w:div w:id="1659337307">
      <w:bodyDiv w:val="1"/>
      <w:marLeft w:val="0"/>
      <w:marRight w:val="0"/>
      <w:marTop w:val="0"/>
      <w:marBottom w:val="0"/>
      <w:divBdr>
        <w:top w:val="none" w:sz="0" w:space="0" w:color="auto"/>
        <w:left w:val="none" w:sz="0" w:space="0" w:color="auto"/>
        <w:bottom w:val="none" w:sz="0" w:space="0" w:color="auto"/>
        <w:right w:val="none" w:sz="0" w:space="0" w:color="auto"/>
      </w:divBdr>
    </w:div>
    <w:div w:id="1660035254">
      <w:bodyDiv w:val="1"/>
      <w:marLeft w:val="0"/>
      <w:marRight w:val="0"/>
      <w:marTop w:val="0"/>
      <w:marBottom w:val="0"/>
      <w:divBdr>
        <w:top w:val="none" w:sz="0" w:space="0" w:color="auto"/>
        <w:left w:val="none" w:sz="0" w:space="0" w:color="auto"/>
        <w:bottom w:val="none" w:sz="0" w:space="0" w:color="auto"/>
        <w:right w:val="none" w:sz="0" w:space="0" w:color="auto"/>
      </w:divBdr>
    </w:div>
    <w:div w:id="1660695356">
      <w:bodyDiv w:val="1"/>
      <w:marLeft w:val="0"/>
      <w:marRight w:val="0"/>
      <w:marTop w:val="0"/>
      <w:marBottom w:val="0"/>
      <w:divBdr>
        <w:top w:val="none" w:sz="0" w:space="0" w:color="auto"/>
        <w:left w:val="none" w:sz="0" w:space="0" w:color="auto"/>
        <w:bottom w:val="none" w:sz="0" w:space="0" w:color="auto"/>
        <w:right w:val="none" w:sz="0" w:space="0" w:color="auto"/>
      </w:divBdr>
    </w:div>
    <w:div w:id="1661422019">
      <w:bodyDiv w:val="1"/>
      <w:marLeft w:val="0"/>
      <w:marRight w:val="0"/>
      <w:marTop w:val="0"/>
      <w:marBottom w:val="0"/>
      <w:divBdr>
        <w:top w:val="none" w:sz="0" w:space="0" w:color="auto"/>
        <w:left w:val="none" w:sz="0" w:space="0" w:color="auto"/>
        <w:bottom w:val="none" w:sz="0" w:space="0" w:color="auto"/>
        <w:right w:val="none" w:sz="0" w:space="0" w:color="auto"/>
      </w:divBdr>
    </w:div>
    <w:div w:id="1661541522">
      <w:bodyDiv w:val="1"/>
      <w:marLeft w:val="0"/>
      <w:marRight w:val="0"/>
      <w:marTop w:val="0"/>
      <w:marBottom w:val="0"/>
      <w:divBdr>
        <w:top w:val="none" w:sz="0" w:space="0" w:color="auto"/>
        <w:left w:val="none" w:sz="0" w:space="0" w:color="auto"/>
        <w:bottom w:val="none" w:sz="0" w:space="0" w:color="auto"/>
        <w:right w:val="none" w:sz="0" w:space="0" w:color="auto"/>
      </w:divBdr>
    </w:div>
    <w:div w:id="1661809998">
      <w:bodyDiv w:val="1"/>
      <w:marLeft w:val="0"/>
      <w:marRight w:val="0"/>
      <w:marTop w:val="0"/>
      <w:marBottom w:val="0"/>
      <w:divBdr>
        <w:top w:val="none" w:sz="0" w:space="0" w:color="auto"/>
        <w:left w:val="none" w:sz="0" w:space="0" w:color="auto"/>
        <w:bottom w:val="none" w:sz="0" w:space="0" w:color="auto"/>
        <w:right w:val="none" w:sz="0" w:space="0" w:color="auto"/>
      </w:divBdr>
    </w:div>
    <w:div w:id="1663655398">
      <w:bodyDiv w:val="1"/>
      <w:marLeft w:val="0"/>
      <w:marRight w:val="0"/>
      <w:marTop w:val="0"/>
      <w:marBottom w:val="0"/>
      <w:divBdr>
        <w:top w:val="none" w:sz="0" w:space="0" w:color="auto"/>
        <w:left w:val="none" w:sz="0" w:space="0" w:color="auto"/>
        <w:bottom w:val="none" w:sz="0" w:space="0" w:color="auto"/>
        <w:right w:val="none" w:sz="0" w:space="0" w:color="auto"/>
      </w:divBdr>
    </w:div>
    <w:div w:id="1665088046">
      <w:bodyDiv w:val="1"/>
      <w:marLeft w:val="0"/>
      <w:marRight w:val="0"/>
      <w:marTop w:val="0"/>
      <w:marBottom w:val="0"/>
      <w:divBdr>
        <w:top w:val="none" w:sz="0" w:space="0" w:color="auto"/>
        <w:left w:val="none" w:sz="0" w:space="0" w:color="auto"/>
        <w:bottom w:val="none" w:sz="0" w:space="0" w:color="auto"/>
        <w:right w:val="none" w:sz="0" w:space="0" w:color="auto"/>
      </w:divBdr>
    </w:div>
    <w:div w:id="1666281309">
      <w:bodyDiv w:val="1"/>
      <w:marLeft w:val="0"/>
      <w:marRight w:val="0"/>
      <w:marTop w:val="0"/>
      <w:marBottom w:val="0"/>
      <w:divBdr>
        <w:top w:val="none" w:sz="0" w:space="0" w:color="auto"/>
        <w:left w:val="none" w:sz="0" w:space="0" w:color="auto"/>
        <w:bottom w:val="none" w:sz="0" w:space="0" w:color="auto"/>
        <w:right w:val="none" w:sz="0" w:space="0" w:color="auto"/>
      </w:divBdr>
    </w:div>
    <w:div w:id="1667323868">
      <w:bodyDiv w:val="1"/>
      <w:marLeft w:val="0"/>
      <w:marRight w:val="0"/>
      <w:marTop w:val="0"/>
      <w:marBottom w:val="0"/>
      <w:divBdr>
        <w:top w:val="none" w:sz="0" w:space="0" w:color="auto"/>
        <w:left w:val="none" w:sz="0" w:space="0" w:color="auto"/>
        <w:bottom w:val="none" w:sz="0" w:space="0" w:color="auto"/>
        <w:right w:val="none" w:sz="0" w:space="0" w:color="auto"/>
      </w:divBdr>
    </w:div>
    <w:div w:id="1669671148">
      <w:bodyDiv w:val="1"/>
      <w:marLeft w:val="0"/>
      <w:marRight w:val="0"/>
      <w:marTop w:val="0"/>
      <w:marBottom w:val="0"/>
      <w:divBdr>
        <w:top w:val="none" w:sz="0" w:space="0" w:color="auto"/>
        <w:left w:val="none" w:sz="0" w:space="0" w:color="auto"/>
        <w:bottom w:val="none" w:sz="0" w:space="0" w:color="auto"/>
        <w:right w:val="none" w:sz="0" w:space="0" w:color="auto"/>
      </w:divBdr>
    </w:div>
    <w:div w:id="1674844615">
      <w:bodyDiv w:val="1"/>
      <w:marLeft w:val="0"/>
      <w:marRight w:val="0"/>
      <w:marTop w:val="0"/>
      <w:marBottom w:val="0"/>
      <w:divBdr>
        <w:top w:val="none" w:sz="0" w:space="0" w:color="auto"/>
        <w:left w:val="none" w:sz="0" w:space="0" w:color="auto"/>
        <w:bottom w:val="none" w:sz="0" w:space="0" w:color="auto"/>
        <w:right w:val="none" w:sz="0" w:space="0" w:color="auto"/>
      </w:divBdr>
    </w:div>
    <w:div w:id="1675719687">
      <w:bodyDiv w:val="1"/>
      <w:marLeft w:val="0"/>
      <w:marRight w:val="0"/>
      <w:marTop w:val="0"/>
      <w:marBottom w:val="0"/>
      <w:divBdr>
        <w:top w:val="none" w:sz="0" w:space="0" w:color="auto"/>
        <w:left w:val="none" w:sz="0" w:space="0" w:color="auto"/>
        <w:bottom w:val="none" w:sz="0" w:space="0" w:color="auto"/>
        <w:right w:val="none" w:sz="0" w:space="0" w:color="auto"/>
      </w:divBdr>
    </w:div>
    <w:div w:id="1676148819">
      <w:bodyDiv w:val="1"/>
      <w:marLeft w:val="0"/>
      <w:marRight w:val="0"/>
      <w:marTop w:val="0"/>
      <w:marBottom w:val="0"/>
      <w:divBdr>
        <w:top w:val="none" w:sz="0" w:space="0" w:color="auto"/>
        <w:left w:val="none" w:sz="0" w:space="0" w:color="auto"/>
        <w:bottom w:val="none" w:sz="0" w:space="0" w:color="auto"/>
        <w:right w:val="none" w:sz="0" w:space="0" w:color="auto"/>
      </w:divBdr>
    </w:div>
    <w:div w:id="1676955282">
      <w:bodyDiv w:val="1"/>
      <w:marLeft w:val="0"/>
      <w:marRight w:val="0"/>
      <w:marTop w:val="0"/>
      <w:marBottom w:val="0"/>
      <w:divBdr>
        <w:top w:val="none" w:sz="0" w:space="0" w:color="auto"/>
        <w:left w:val="none" w:sz="0" w:space="0" w:color="auto"/>
        <w:bottom w:val="none" w:sz="0" w:space="0" w:color="auto"/>
        <w:right w:val="none" w:sz="0" w:space="0" w:color="auto"/>
      </w:divBdr>
    </w:div>
    <w:div w:id="1679843464">
      <w:bodyDiv w:val="1"/>
      <w:marLeft w:val="0"/>
      <w:marRight w:val="0"/>
      <w:marTop w:val="0"/>
      <w:marBottom w:val="0"/>
      <w:divBdr>
        <w:top w:val="none" w:sz="0" w:space="0" w:color="auto"/>
        <w:left w:val="none" w:sz="0" w:space="0" w:color="auto"/>
        <w:bottom w:val="none" w:sz="0" w:space="0" w:color="auto"/>
        <w:right w:val="none" w:sz="0" w:space="0" w:color="auto"/>
      </w:divBdr>
    </w:div>
    <w:div w:id="1681590001">
      <w:bodyDiv w:val="1"/>
      <w:marLeft w:val="0"/>
      <w:marRight w:val="0"/>
      <w:marTop w:val="0"/>
      <w:marBottom w:val="0"/>
      <w:divBdr>
        <w:top w:val="none" w:sz="0" w:space="0" w:color="auto"/>
        <w:left w:val="none" w:sz="0" w:space="0" w:color="auto"/>
        <w:bottom w:val="none" w:sz="0" w:space="0" w:color="auto"/>
        <w:right w:val="none" w:sz="0" w:space="0" w:color="auto"/>
      </w:divBdr>
    </w:div>
    <w:div w:id="1681618452">
      <w:bodyDiv w:val="1"/>
      <w:marLeft w:val="0"/>
      <w:marRight w:val="0"/>
      <w:marTop w:val="0"/>
      <w:marBottom w:val="0"/>
      <w:divBdr>
        <w:top w:val="none" w:sz="0" w:space="0" w:color="auto"/>
        <w:left w:val="none" w:sz="0" w:space="0" w:color="auto"/>
        <w:bottom w:val="none" w:sz="0" w:space="0" w:color="auto"/>
        <w:right w:val="none" w:sz="0" w:space="0" w:color="auto"/>
      </w:divBdr>
    </w:div>
    <w:div w:id="1682857577">
      <w:bodyDiv w:val="1"/>
      <w:marLeft w:val="0"/>
      <w:marRight w:val="0"/>
      <w:marTop w:val="0"/>
      <w:marBottom w:val="0"/>
      <w:divBdr>
        <w:top w:val="none" w:sz="0" w:space="0" w:color="auto"/>
        <w:left w:val="none" w:sz="0" w:space="0" w:color="auto"/>
        <w:bottom w:val="none" w:sz="0" w:space="0" w:color="auto"/>
        <w:right w:val="none" w:sz="0" w:space="0" w:color="auto"/>
      </w:divBdr>
    </w:div>
    <w:div w:id="1682925904">
      <w:bodyDiv w:val="1"/>
      <w:marLeft w:val="0"/>
      <w:marRight w:val="0"/>
      <w:marTop w:val="0"/>
      <w:marBottom w:val="0"/>
      <w:divBdr>
        <w:top w:val="none" w:sz="0" w:space="0" w:color="auto"/>
        <w:left w:val="none" w:sz="0" w:space="0" w:color="auto"/>
        <w:bottom w:val="none" w:sz="0" w:space="0" w:color="auto"/>
        <w:right w:val="none" w:sz="0" w:space="0" w:color="auto"/>
      </w:divBdr>
    </w:div>
    <w:div w:id="1683508846">
      <w:bodyDiv w:val="1"/>
      <w:marLeft w:val="0"/>
      <w:marRight w:val="0"/>
      <w:marTop w:val="0"/>
      <w:marBottom w:val="0"/>
      <w:divBdr>
        <w:top w:val="none" w:sz="0" w:space="0" w:color="auto"/>
        <w:left w:val="none" w:sz="0" w:space="0" w:color="auto"/>
        <w:bottom w:val="none" w:sz="0" w:space="0" w:color="auto"/>
        <w:right w:val="none" w:sz="0" w:space="0" w:color="auto"/>
      </w:divBdr>
    </w:div>
    <w:div w:id="1684085437">
      <w:bodyDiv w:val="1"/>
      <w:marLeft w:val="0"/>
      <w:marRight w:val="0"/>
      <w:marTop w:val="0"/>
      <w:marBottom w:val="0"/>
      <w:divBdr>
        <w:top w:val="none" w:sz="0" w:space="0" w:color="auto"/>
        <w:left w:val="none" w:sz="0" w:space="0" w:color="auto"/>
        <w:bottom w:val="none" w:sz="0" w:space="0" w:color="auto"/>
        <w:right w:val="none" w:sz="0" w:space="0" w:color="auto"/>
      </w:divBdr>
    </w:div>
    <w:div w:id="1685011235">
      <w:bodyDiv w:val="1"/>
      <w:marLeft w:val="0"/>
      <w:marRight w:val="0"/>
      <w:marTop w:val="0"/>
      <w:marBottom w:val="0"/>
      <w:divBdr>
        <w:top w:val="none" w:sz="0" w:space="0" w:color="auto"/>
        <w:left w:val="none" w:sz="0" w:space="0" w:color="auto"/>
        <w:bottom w:val="none" w:sz="0" w:space="0" w:color="auto"/>
        <w:right w:val="none" w:sz="0" w:space="0" w:color="auto"/>
      </w:divBdr>
    </w:div>
    <w:div w:id="1685208875">
      <w:bodyDiv w:val="1"/>
      <w:marLeft w:val="0"/>
      <w:marRight w:val="0"/>
      <w:marTop w:val="0"/>
      <w:marBottom w:val="0"/>
      <w:divBdr>
        <w:top w:val="none" w:sz="0" w:space="0" w:color="auto"/>
        <w:left w:val="none" w:sz="0" w:space="0" w:color="auto"/>
        <w:bottom w:val="none" w:sz="0" w:space="0" w:color="auto"/>
        <w:right w:val="none" w:sz="0" w:space="0" w:color="auto"/>
      </w:divBdr>
    </w:div>
    <w:div w:id="1687365870">
      <w:bodyDiv w:val="1"/>
      <w:marLeft w:val="0"/>
      <w:marRight w:val="0"/>
      <w:marTop w:val="0"/>
      <w:marBottom w:val="0"/>
      <w:divBdr>
        <w:top w:val="none" w:sz="0" w:space="0" w:color="auto"/>
        <w:left w:val="none" w:sz="0" w:space="0" w:color="auto"/>
        <w:bottom w:val="none" w:sz="0" w:space="0" w:color="auto"/>
        <w:right w:val="none" w:sz="0" w:space="0" w:color="auto"/>
      </w:divBdr>
    </w:div>
    <w:div w:id="1690523003">
      <w:bodyDiv w:val="1"/>
      <w:marLeft w:val="0"/>
      <w:marRight w:val="0"/>
      <w:marTop w:val="0"/>
      <w:marBottom w:val="0"/>
      <w:divBdr>
        <w:top w:val="none" w:sz="0" w:space="0" w:color="auto"/>
        <w:left w:val="none" w:sz="0" w:space="0" w:color="auto"/>
        <w:bottom w:val="none" w:sz="0" w:space="0" w:color="auto"/>
        <w:right w:val="none" w:sz="0" w:space="0" w:color="auto"/>
      </w:divBdr>
    </w:div>
    <w:div w:id="1691104275">
      <w:bodyDiv w:val="1"/>
      <w:marLeft w:val="0"/>
      <w:marRight w:val="0"/>
      <w:marTop w:val="0"/>
      <w:marBottom w:val="0"/>
      <w:divBdr>
        <w:top w:val="none" w:sz="0" w:space="0" w:color="auto"/>
        <w:left w:val="none" w:sz="0" w:space="0" w:color="auto"/>
        <w:bottom w:val="none" w:sz="0" w:space="0" w:color="auto"/>
        <w:right w:val="none" w:sz="0" w:space="0" w:color="auto"/>
      </w:divBdr>
    </w:div>
    <w:div w:id="1691487491">
      <w:bodyDiv w:val="1"/>
      <w:marLeft w:val="0"/>
      <w:marRight w:val="0"/>
      <w:marTop w:val="0"/>
      <w:marBottom w:val="0"/>
      <w:divBdr>
        <w:top w:val="none" w:sz="0" w:space="0" w:color="auto"/>
        <w:left w:val="none" w:sz="0" w:space="0" w:color="auto"/>
        <w:bottom w:val="none" w:sz="0" w:space="0" w:color="auto"/>
        <w:right w:val="none" w:sz="0" w:space="0" w:color="auto"/>
      </w:divBdr>
    </w:div>
    <w:div w:id="1692995190">
      <w:bodyDiv w:val="1"/>
      <w:marLeft w:val="0"/>
      <w:marRight w:val="0"/>
      <w:marTop w:val="0"/>
      <w:marBottom w:val="0"/>
      <w:divBdr>
        <w:top w:val="none" w:sz="0" w:space="0" w:color="auto"/>
        <w:left w:val="none" w:sz="0" w:space="0" w:color="auto"/>
        <w:bottom w:val="none" w:sz="0" w:space="0" w:color="auto"/>
        <w:right w:val="none" w:sz="0" w:space="0" w:color="auto"/>
      </w:divBdr>
    </w:div>
    <w:div w:id="1693678858">
      <w:bodyDiv w:val="1"/>
      <w:marLeft w:val="0"/>
      <w:marRight w:val="0"/>
      <w:marTop w:val="0"/>
      <w:marBottom w:val="0"/>
      <w:divBdr>
        <w:top w:val="none" w:sz="0" w:space="0" w:color="auto"/>
        <w:left w:val="none" w:sz="0" w:space="0" w:color="auto"/>
        <w:bottom w:val="none" w:sz="0" w:space="0" w:color="auto"/>
        <w:right w:val="none" w:sz="0" w:space="0" w:color="auto"/>
      </w:divBdr>
    </w:div>
    <w:div w:id="1695107930">
      <w:bodyDiv w:val="1"/>
      <w:marLeft w:val="0"/>
      <w:marRight w:val="0"/>
      <w:marTop w:val="0"/>
      <w:marBottom w:val="0"/>
      <w:divBdr>
        <w:top w:val="none" w:sz="0" w:space="0" w:color="auto"/>
        <w:left w:val="none" w:sz="0" w:space="0" w:color="auto"/>
        <w:bottom w:val="none" w:sz="0" w:space="0" w:color="auto"/>
        <w:right w:val="none" w:sz="0" w:space="0" w:color="auto"/>
      </w:divBdr>
    </w:div>
    <w:div w:id="1695305818">
      <w:bodyDiv w:val="1"/>
      <w:marLeft w:val="0"/>
      <w:marRight w:val="0"/>
      <w:marTop w:val="0"/>
      <w:marBottom w:val="0"/>
      <w:divBdr>
        <w:top w:val="none" w:sz="0" w:space="0" w:color="auto"/>
        <w:left w:val="none" w:sz="0" w:space="0" w:color="auto"/>
        <w:bottom w:val="none" w:sz="0" w:space="0" w:color="auto"/>
        <w:right w:val="none" w:sz="0" w:space="0" w:color="auto"/>
      </w:divBdr>
    </w:div>
    <w:div w:id="1695689288">
      <w:bodyDiv w:val="1"/>
      <w:marLeft w:val="0"/>
      <w:marRight w:val="0"/>
      <w:marTop w:val="0"/>
      <w:marBottom w:val="0"/>
      <w:divBdr>
        <w:top w:val="none" w:sz="0" w:space="0" w:color="auto"/>
        <w:left w:val="none" w:sz="0" w:space="0" w:color="auto"/>
        <w:bottom w:val="none" w:sz="0" w:space="0" w:color="auto"/>
        <w:right w:val="none" w:sz="0" w:space="0" w:color="auto"/>
      </w:divBdr>
    </w:div>
    <w:div w:id="1695811006">
      <w:bodyDiv w:val="1"/>
      <w:marLeft w:val="0"/>
      <w:marRight w:val="0"/>
      <w:marTop w:val="0"/>
      <w:marBottom w:val="0"/>
      <w:divBdr>
        <w:top w:val="none" w:sz="0" w:space="0" w:color="auto"/>
        <w:left w:val="none" w:sz="0" w:space="0" w:color="auto"/>
        <w:bottom w:val="none" w:sz="0" w:space="0" w:color="auto"/>
        <w:right w:val="none" w:sz="0" w:space="0" w:color="auto"/>
      </w:divBdr>
    </w:div>
    <w:div w:id="1696733706">
      <w:bodyDiv w:val="1"/>
      <w:marLeft w:val="0"/>
      <w:marRight w:val="0"/>
      <w:marTop w:val="0"/>
      <w:marBottom w:val="0"/>
      <w:divBdr>
        <w:top w:val="none" w:sz="0" w:space="0" w:color="auto"/>
        <w:left w:val="none" w:sz="0" w:space="0" w:color="auto"/>
        <w:bottom w:val="none" w:sz="0" w:space="0" w:color="auto"/>
        <w:right w:val="none" w:sz="0" w:space="0" w:color="auto"/>
      </w:divBdr>
    </w:div>
    <w:div w:id="1697121359">
      <w:bodyDiv w:val="1"/>
      <w:marLeft w:val="0"/>
      <w:marRight w:val="0"/>
      <w:marTop w:val="0"/>
      <w:marBottom w:val="0"/>
      <w:divBdr>
        <w:top w:val="none" w:sz="0" w:space="0" w:color="auto"/>
        <w:left w:val="none" w:sz="0" w:space="0" w:color="auto"/>
        <w:bottom w:val="none" w:sz="0" w:space="0" w:color="auto"/>
        <w:right w:val="none" w:sz="0" w:space="0" w:color="auto"/>
      </w:divBdr>
    </w:div>
    <w:div w:id="1699308645">
      <w:bodyDiv w:val="1"/>
      <w:marLeft w:val="0"/>
      <w:marRight w:val="0"/>
      <w:marTop w:val="0"/>
      <w:marBottom w:val="0"/>
      <w:divBdr>
        <w:top w:val="none" w:sz="0" w:space="0" w:color="auto"/>
        <w:left w:val="none" w:sz="0" w:space="0" w:color="auto"/>
        <w:bottom w:val="none" w:sz="0" w:space="0" w:color="auto"/>
        <w:right w:val="none" w:sz="0" w:space="0" w:color="auto"/>
      </w:divBdr>
    </w:div>
    <w:div w:id="1699545495">
      <w:bodyDiv w:val="1"/>
      <w:marLeft w:val="0"/>
      <w:marRight w:val="0"/>
      <w:marTop w:val="0"/>
      <w:marBottom w:val="0"/>
      <w:divBdr>
        <w:top w:val="none" w:sz="0" w:space="0" w:color="auto"/>
        <w:left w:val="none" w:sz="0" w:space="0" w:color="auto"/>
        <w:bottom w:val="none" w:sz="0" w:space="0" w:color="auto"/>
        <w:right w:val="none" w:sz="0" w:space="0" w:color="auto"/>
      </w:divBdr>
    </w:div>
    <w:div w:id="1699962295">
      <w:bodyDiv w:val="1"/>
      <w:marLeft w:val="0"/>
      <w:marRight w:val="0"/>
      <w:marTop w:val="0"/>
      <w:marBottom w:val="0"/>
      <w:divBdr>
        <w:top w:val="none" w:sz="0" w:space="0" w:color="auto"/>
        <w:left w:val="none" w:sz="0" w:space="0" w:color="auto"/>
        <w:bottom w:val="none" w:sz="0" w:space="0" w:color="auto"/>
        <w:right w:val="none" w:sz="0" w:space="0" w:color="auto"/>
      </w:divBdr>
    </w:div>
    <w:div w:id="1700469994">
      <w:bodyDiv w:val="1"/>
      <w:marLeft w:val="0"/>
      <w:marRight w:val="0"/>
      <w:marTop w:val="0"/>
      <w:marBottom w:val="0"/>
      <w:divBdr>
        <w:top w:val="none" w:sz="0" w:space="0" w:color="auto"/>
        <w:left w:val="none" w:sz="0" w:space="0" w:color="auto"/>
        <w:bottom w:val="none" w:sz="0" w:space="0" w:color="auto"/>
        <w:right w:val="none" w:sz="0" w:space="0" w:color="auto"/>
      </w:divBdr>
    </w:div>
    <w:div w:id="1701471897">
      <w:bodyDiv w:val="1"/>
      <w:marLeft w:val="0"/>
      <w:marRight w:val="0"/>
      <w:marTop w:val="0"/>
      <w:marBottom w:val="0"/>
      <w:divBdr>
        <w:top w:val="none" w:sz="0" w:space="0" w:color="auto"/>
        <w:left w:val="none" w:sz="0" w:space="0" w:color="auto"/>
        <w:bottom w:val="none" w:sz="0" w:space="0" w:color="auto"/>
        <w:right w:val="none" w:sz="0" w:space="0" w:color="auto"/>
      </w:divBdr>
    </w:div>
    <w:div w:id="1701512292">
      <w:bodyDiv w:val="1"/>
      <w:marLeft w:val="0"/>
      <w:marRight w:val="0"/>
      <w:marTop w:val="0"/>
      <w:marBottom w:val="0"/>
      <w:divBdr>
        <w:top w:val="none" w:sz="0" w:space="0" w:color="auto"/>
        <w:left w:val="none" w:sz="0" w:space="0" w:color="auto"/>
        <w:bottom w:val="none" w:sz="0" w:space="0" w:color="auto"/>
        <w:right w:val="none" w:sz="0" w:space="0" w:color="auto"/>
      </w:divBdr>
    </w:div>
    <w:div w:id="1701852706">
      <w:bodyDiv w:val="1"/>
      <w:marLeft w:val="0"/>
      <w:marRight w:val="0"/>
      <w:marTop w:val="0"/>
      <w:marBottom w:val="0"/>
      <w:divBdr>
        <w:top w:val="none" w:sz="0" w:space="0" w:color="auto"/>
        <w:left w:val="none" w:sz="0" w:space="0" w:color="auto"/>
        <w:bottom w:val="none" w:sz="0" w:space="0" w:color="auto"/>
        <w:right w:val="none" w:sz="0" w:space="0" w:color="auto"/>
      </w:divBdr>
    </w:div>
    <w:div w:id="1702582857">
      <w:bodyDiv w:val="1"/>
      <w:marLeft w:val="0"/>
      <w:marRight w:val="0"/>
      <w:marTop w:val="0"/>
      <w:marBottom w:val="0"/>
      <w:divBdr>
        <w:top w:val="none" w:sz="0" w:space="0" w:color="auto"/>
        <w:left w:val="none" w:sz="0" w:space="0" w:color="auto"/>
        <w:bottom w:val="none" w:sz="0" w:space="0" w:color="auto"/>
        <w:right w:val="none" w:sz="0" w:space="0" w:color="auto"/>
      </w:divBdr>
    </w:div>
    <w:div w:id="1703048071">
      <w:bodyDiv w:val="1"/>
      <w:marLeft w:val="0"/>
      <w:marRight w:val="0"/>
      <w:marTop w:val="0"/>
      <w:marBottom w:val="0"/>
      <w:divBdr>
        <w:top w:val="none" w:sz="0" w:space="0" w:color="auto"/>
        <w:left w:val="none" w:sz="0" w:space="0" w:color="auto"/>
        <w:bottom w:val="none" w:sz="0" w:space="0" w:color="auto"/>
        <w:right w:val="none" w:sz="0" w:space="0" w:color="auto"/>
      </w:divBdr>
    </w:div>
    <w:div w:id="1704400324">
      <w:bodyDiv w:val="1"/>
      <w:marLeft w:val="0"/>
      <w:marRight w:val="0"/>
      <w:marTop w:val="0"/>
      <w:marBottom w:val="0"/>
      <w:divBdr>
        <w:top w:val="none" w:sz="0" w:space="0" w:color="auto"/>
        <w:left w:val="none" w:sz="0" w:space="0" w:color="auto"/>
        <w:bottom w:val="none" w:sz="0" w:space="0" w:color="auto"/>
        <w:right w:val="none" w:sz="0" w:space="0" w:color="auto"/>
      </w:divBdr>
    </w:div>
    <w:div w:id="1704406034">
      <w:bodyDiv w:val="1"/>
      <w:marLeft w:val="0"/>
      <w:marRight w:val="0"/>
      <w:marTop w:val="0"/>
      <w:marBottom w:val="0"/>
      <w:divBdr>
        <w:top w:val="none" w:sz="0" w:space="0" w:color="auto"/>
        <w:left w:val="none" w:sz="0" w:space="0" w:color="auto"/>
        <w:bottom w:val="none" w:sz="0" w:space="0" w:color="auto"/>
        <w:right w:val="none" w:sz="0" w:space="0" w:color="auto"/>
      </w:divBdr>
    </w:div>
    <w:div w:id="1705717235">
      <w:bodyDiv w:val="1"/>
      <w:marLeft w:val="0"/>
      <w:marRight w:val="0"/>
      <w:marTop w:val="0"/>
      <w:marBottom w:val="0"/>
      <w:divBdr>
        <w:top w:val="none" w:sz="0" w:space="0" w:color="auto"/>
        <w:left w:val="none" w:sz="0" w:space="0" w:color="auto"/>
        <w:bottom w:val="none" w:sz="0" w:space="0" w:color="auto"/>
        <w:right w:val="none" w:sz="0" w:space="0" w:color="auto"/>
      </w:divBdr>
    </w:div>
    <w:div w:id="1706103212">
      <w:bodyDiv w:val="1"/>
      <w:marLeft w:val="0"/>
      <w:marRight w:val="0"/>
      <w:marTop w:val="0"/>
      <w:marBottom w:val="0"/>
      <w:divBdr>
        <w:top w:val="none" w:sz="0" w:space="0" w:color="auto"/>
        <w:left w:val="none" w:sz="0" w:space="0" w:color="auto"/>
        <w:bottom w:val="none" w:sz="0" w:space="0" w:color="auto"/>
        <w:right w:val="none" w:sz="0" w:space="0" w:color="auto"/>
      </w:divBdr>
    </w:div>
    <w:div w:id="1706636003">
      <w:bodyDiv w:val="1"/>
      <w:marLeft w:val="0"/>
      <w:marRight w:val="0"/>
      <w:marTop w:val="0"/>
      <w:marBottom w:val="0"/>
      <w:divBdr>
        <w:top w:val="none" w:sz="0" w:space="0" w:color="auto"/>
        <w:left w:val="none" w:sz="0" w:space="0" w:color="auto"/>
        <w:bottom w:val="none" w:sz="0" w:space="0" w:color="auto"/>
        <w:right w:val="none" w:sz="0" w:space="0" w:color="auto"/>
      </w:divBdr>
    </w:div>
    <w:div w:id="1707635737">
      <w:bodyDiv w:val="1"/>
      <w:marLeft w:val="0"/>
      <w:marRight w:val="0"/>
      <w:marTop w:val="0"/>
      <w:marBottom w:val="0"/>
      <w:divBdr>
        <w:top w:val="none" w:sz="0" w:space="0" w:color="auto"/>
        <w:left w:val="none" w:sz="0" w:space="0" w:color="auto"/>
        <w:bottom w:val="none" w:sz="0" w:space="0" w:color="auto"/>
        <w:right w:val="none" w:sz="0" w:space="0" w:color="auto"/>
      </w:divBdr>
    </w:div>
    <w:div w:id="1707829652">
      <w:bodyDiv w:val="1"/>
      <w:marLeft w:val="0"/>
      <w:marRight w:val="0"/>
      <w:marTop w:val="0"/>
      <w:marBottom w:val="0"/>
      <w:divBdr>
        <w:top w:val="none" w:sz="0" w:space="0" w:color="auto"/>
        <w:left w:val="none" w:sz="0" w:space="0" w:color="auto"/>
        <w:bottom w:val="none" w:sz="0" w:space="0" w:color="auto"/>
        <w:right w:val="none" w:sz="0" w:space="0" w:color="auto"/>
      </w:divBdr>
    </w:div>
    <w:div w:id="1708798750">
      <w:bodyDiv w:val="1"/>
      <w:marLeft w:val="0"/>
      <w:marRight w:val="0"/>
      <w:marTop w:val="0"/>
      <w:marBottom w:val="0"/>
      <w:divBdr>
        <w:top w:val="none" w:sz="0" w:space="0" w:color="auto"/>
        <w:left w:val="none" w:sz="0" w:space="0" w:color="auto"/>
        <w:bottom w:val="none" w:sz="0" w:space="0" w:color="auto"/>
        <w:right w:val="none" w:sz="0" w:space="0" w:color="auto"/>
      </w:divBdr>
    </w:div>
    <w:div w:id="1710563932">
      <w:bodyDiv w:val="1"/>
      <w:marLeft w:val="0"/>
      <w:marRight w:val="0"/>
      <w:marTop w:val="0"/>
      <w:marBottom w:val="0"/>
      <w:divBdr>
        <w:top w:val="none" w:sz="0" w:space="0" w:color="auto"/>
        <w:left w:val="none" w:sz="0" w:space="0" w:color="auto"/>
        <w:bottom w:val="none" w:sz="0" w:space="0" w:color="auto"/>
        <w:right w:val="none" w:sz="0" w:space="0" w:color="auto"/>
      </w:divBdr>
    </w:div>
    <w:div w:id="1711301474">
      <w:bodyDiv w:val="1"/>
      <w:marLeft w:val="0"/>
      <w:marRight w:val="0"/>
      <w:marTop w:val="0"/>
      <w:marBottom w:val="0"/>
      <w:divBdr>
        <w:top w:val="none" w:sz="0" w:space="0" w:color="auto"/>
        <w:left w:val="none" w:sz="0" w:space="0" w:color="auto"/>
        <w:bottom w:val="none" w:sz="0" w:space="0" w:color="auto"/>
        <w:right w:val="none" w:sz="0" w:space="0" w:color="auto"/>
      </w:divBdr>
    </w:div>
    <w:div w:id="1712194172">
      <w:bodyDiv w:val="1"/>
      <w:marLeft w:val="0"/>
      <w:marRight w:val="0"/>
      <w:marTop w:val="0"/>
      <w:marBottom w:val="0"/>
      <w:divBdr>
        <w:top w:val="none" w:sz="0" w:space="0" w:color="auto"/>
        <w:left w:val="none" w:sz="0" w:space="0" w:color="auto"/>
        <w:bottom w:val="none" w:sz="0" w:space="0" w:color="auto"/>
        <w:right w:val="none" w:sz="0" w:space="0" w:color="auto"/>
      </w:divBdr>
    </w:div>
    <w:div w:id="1712878764">
      <w:bodyDiv w:val="1"/>
      <w:marLeft w:val="0"/>
      <w:marRight w:val="0"/>
      <w:marTop w:val="0"/>
      <w:marBottom w:val="0"/>
      <w:divBdr>
        <w:top w:val="none" w:sz="0" w:space="0" w:color="auto"/>
        <w:left w:val="none" w:sz="0" w:space="0" w:color="auto"/>
        <w:bottom w:val="none" w:sz="0" w:space="0" w:color="auto"/>
        <w:right w:val="none" w:sz="0" w:space="0" w:color="auto"/>
      </w:divBdr>
    </w:div>
    <w:div w:id="1713068161">
      <w:bodyDiv w:val="1"/>
      <w:marLeft w:val="0"/>
      <w:marRight w:val="0"/>
      <w:marTop w:val="0"/>
      <w:marBottom w:val="0"/>
      <w:divBdr>
        <w:top w:val="none" w:sz="0" w:space="0" w:color="auto"/>
        <w:left w:val="none" w:sz="0" w:space="0" w:color="auto"/>
        <w:bottom w:val="none" w:sz="0" w:space="0" w:color="auto"/>
        <w:right w:val="none" w:sz="0" w:space="0" w:color="auto"/>
      </w:divBdr>
    </w:div>
    <w:div w:id="1715428671">
      <w:bodyDiv w:val="1"/>
      <w:marLeft w:val="0"/>
      <w:marRight w:val="0"/>
      <w:marTop w:val="0"/>
      <w:marBottom w:val="0"/>
      <w:divBdr>
        <w:top w:val="none" w:sz="0" w:space="0" w:color="auto"/>
        <w:left w:val="none" w:sz="0" w:space="0" w:color="auto"/>
        <w:bottom w:val="none" w:sz="0" w:space="0" w:color="auto"/>
        <w:right w:val="none" w:sz="0" w:space="0" w:color="auto"/>
      </w:divBdr>
    </w:div>
    <w:div w:id="1716463471">
      <w:bodyDiv w:val="1"/>
      <w:marLeft w:val="0"/>
      <w:marRight w:val="0"/>
      <w:marTop w:val="0"/>
      <w:marBottom w:val="0"/>
      <w:divBdr>
        <w:top w:val="none" w:sz="0" w:space="0" w:color="auto"/>
        <w:left w:val="none" w:sz="0" w:space="0" w:color="auto"/>
        <w:bottom w:val="none" w:sz="0" w:space="0" w:color="auto"/>
        <w:right w:val="none" w:sz="0" w:space="0" w:color="auto"/>
      </w:divBdr>
    </w:div>
    <w:div w:id="1717512462">
      <w:bodyDiv w:val="1"/>
      <w:marLeft w:val="0"/>
      <w:marRight w:val="0"/>
      <w:marTop w:val="0"/>
      <w:marBottom w:val="0"/>
      <w:divBdr>
        <w:top w:val="none" w:sz="0" w:space="0" w:color="auto"/>
        <w:left w:val="none" w:sz="0" w:space="0" w:color="auto"/>
        <w:bottom w:val="none" w:sz="0" w:space="0" w:color="auto"/>
        <w:right w:val="none" w:sz="0" w:space="0" w:color="auto"/>
      </w:divBdr>
    </w:div>
    <w:div w:id="1718358738">
      <w:bodyDiv w:val="1"/>
      <w:marLeft w:val="0"/>
      <w:marRight w:val="0"/>
      <w:marTop w:val="0"/>
      <w:marBottom w:val="0"/>
      <w:divBdr>
        <w:top w:val="none" w:sz="0" w:space="0" w:color="auto"/>
        <w:left w:val="none" w:sz="0" w:space="0" w:color="auto"/>
        <w:bottom w:val="none" w:sz="0" w:space="0" w:color="auto"/>
        <w:right w:val="none" w:sz="0" w:space="0" w:color="auto"/>
      </w:divBdr>
    </w:div>
    <w:div w:id="1718510946">
      <w:bodyDiv w:val="1"/>
      <w:marLeft w:val="0"/>
      <w:marRight w:val="0"/>
      <w:marTop w:val="0"/>
      <w:marBottom w:val="0"/>
      <w:divBdr>
        <w:top w:val="none" w:sz="0" w:space="0" w:color="auto"/>
        <w:left w:val="none" w:sz="0" w:space="0" w:color="auto"/>
        <w:bottom w:val="none" w:sz="0" w:space="0" w:color="auto"/>
        <w:right w:val="none" w:sz="0" w:space="0" w:color="auto"/>
      </w:divBdr>
    </w:div>
    <w:div w:id="1719162360">
      <w:bodyDiv w:val="1"/>
      <w:marLeft w:val="0"/>
      <w:marRight w:val="0"/>
      <w:marTop w:val="0"/>
      <w:marBottom w:val="0"/>
      <w:divBdr>
        <w:top w:val="none" w:sz="0" w:space="0" w:color="auto"/>
        <w:left w:val="none" w:sz="0" w:space="0" w:color="auto"/>
        <w:bottom w:val="none" w:sz="0" w:space="0" w:color="auto"/>
        <w:right w:val="none" w:sz="0" w:space="0" w:color="auto"/>
      </w:divBdr>
    </w:div>
    <w:div w:id="1720935311">
      <w:bodyDiv w:val="1"/>
      <w:marLeft w:val="0"/>
      <w:marRight w:val="0"/>
      <w:marTop w:val="0"/>
      <w:marBottom w:val="0"/>
      <w:divBdr>
        <w:top w:val="none" w:sz="0" w:space="0" w:color="auto"/>
        <w:left w:val="none" w:sz="0" w:space="0" w:color="auto"/>
        <w:bottom w:val="none" w:sz="0" w:space="0" w:color="auto"/>
        <w:right w:val="none" w:sz="0" w:space="0" w:color="auto"/>
      </w:divBdr>
    </w:div>
    <w:div w:id="1722290224">
      <w:bodyDiv w:val="1"/>
      <w:marLeft w:val="0"/>
      <w:marRight w:val="0"/>
      <w:marTop w:val="0"/>
      <w:marBottom w:val="0"/>
      <w:divBdr>
        <w:top w:val="none" w:sz="0" w:space="0" w:color="auto"/>
        <w:left w:val="none" w:sz="0" w:space="0" w:color="auto"/>
        <w:bottom w:val="none" w:sz="0" w:space="0" w:color="auto"/>
        <w:right w:val="none" w:sz="0" w:space="0" w:color="auto"/>
      </w:divBdr>
    </w:div>
    <w:div w:id="1723023135">
      <w:bodyDiv w:val="1"/>
      <w:marLeft w:val="0"/>
      <w:marRight w:val="0"/>
      <w:marTop w:val="0"/>
      <w:marBottom w:val="0"/>
      <w:divBdr>
        <w:top w:val="none" w:sz="0" w:space="0" w:color="auto"/>
        <w:left w:val="none" w:sz="0" w:space="0" w:color="auto"/>
        <w:bottom w:val="none" w:sz="0" w:space="0" w:color="auto"/>
        <w:right w:val="none" w:sz="0" w:space="0" w:color="auto"/>
      </w:divBdr>
    </w:div>
    <w:div w:id="1723596970">
      <w:bodyDiv w:val="1"/>
      <w:marLeft w:val="0"/>
      <w:marRight w:val="0"/>
      <w:marTop w:val="0"/>
      <w:marBottom w:val="0"/>
      <w:divBdr>
        <w:top w:val="none" w:sz="0" w:space="0" w:color="auto"/>
        <w:left w:val="none" w:sz="0" w:space="0" w:color="auto"/>
        <w:bottom w:val="none" w:sz="0" w:space="0" w:color="auto"/>
        <w:right w:val="none" w:sz="0" w:space="0" w:color="auto"/>
      </w:divBdr>
    </w:div>
    <w:div w:id="1724794178">
      <w:bodyDiv w:val="1"/>
      <w:marLeft w:val="0"/>
      <w:marRight w:val="0"/>
      <w:marTop w:val="0"/>
      <w:marBottom w:val="0"/>
      <w:divBdr>
        <w:top w:val="none" w:sz="0" w:space="0" w:color="auto"/>
        <w:left w:val="none" w:sz="0" w:space="0" w:color="auto"/>
        <w:bottom w:val="none" w:sz="0" w:space="0" w:color="auto"/>
        <w:right w:val="none" w:sz="0" w:space="0" w:color="auto"/>
      </w:divBdr>
    </w:div>
    <w:div w:id="1727534529">
      <w:bodyDiv w:val="1"/>
      <w:marLeft w:val="0"/>
      <w:marRight w:val="0"/>
      <w:marTop w:val="0"/>
      <w:marBottom w:val="0"/>
      <w:divBdr>
        <w:top w:val="none" w:sz="0" w:space="0" w:color="auto"/>
        <w:left w:val="none" w:sz="0" w:space="0" w:color="auto"/>
        <w:bottom w:val="none" w:sz="0" w:space="0" w:color="auto"/>
        <w:right w:val="none" w:sz="0" w:space="0" w:color="auto"/>
      </w:divBdr>
    </w:div>
    <w:div w:id="1727680373">
      <w:bodyDiv w:val="1"/>
      <w:marLeft w:val="0"/>
      <w:marRight w:val="0"/>
      <w:marTop w:val="0"/>
      <w:marBottom w:val="0"/>
      <w:divBdr>
        <w:top w:val="none" w:sz="0" w:space="0" w:color="auto"/>
        <w:left w:val="none" w:sz="0" w:space="0" w:color="auto"/>
        <w:bottom w:val="none" w:sz="0" w:space="0" w:color="auto"/>
        <w:right w:val="none" w:sz="0" w:space="0" w:color="auto"/>
      </w:divBdr>
    </w:div>
    <w:div w:id="1727755533">
      <w:bodyDiv w:val="1"/>
      <w:marLeft w:val="0"/>
      <w:marRight w:val="0"/>
      <w:marTop w:val="0"/>
      <w:marBottom w:val="0"/>
      <w:divBdr>
        <w:top w:val="none" w:sz="0" w:space="0" w:color="auto"/>
        <w:left w:val="none" w:sz="0" w:space="0" w:color="auto"/>
        <w:bottom w:val="none" w:sz="0" w:space="0" w:color="auto"/>
        <w:right w:val="none" w:sz="0" w:space="0" w:color="auto"/>
      </w:divBdr>
    </w:div>
    <w:div w:id="1727800938">
      <w:bodyDiv w:val="1"/>
      <w:marLeft w:val="0"/>
      <w:marRight w:val="0"/>
      <w:marTop w:val="0"/>
      <w:marBottom w:val="0"/>
      <w:divBdr>
        <w:top w:val="none" w:sz="0" w:space="0" w:color="auto"/>
        <w:left w:val="none" w:sz="0" w:space="0" w:color="auto"/>
        <w:bottom w:val="none" w:sz="0" w:space="0" w:color="auto"/>
        <w:right w:val="none" w:sz="0" w:space="0" w:color="auto"/>
      </w:divBdr>
    </w:div>
    <w:div w:id="1729108116">
      <w:bodyDiv w:val="1"/>
      <w:marLeft w:val="0"/>
      <w:marRight w:val="0"/>
      <w:marTop w:val="0"/>
      <w:marBottom w:val="0"/>
      <w:divBdr>
        <w:top w:val="none" w:sz="0" w:space="0" w:color="auto"/>
        <w:left w:val="none" w:sz="0" w:space="0" w:color="auto"/>
        <w:bottom w:val="none" w:sz="0" w:space="0" w:color="auto"/>
        <w:right w:val="none" w:sz="0" w:space="0" w:color="auto"/>
      </w:divBdr>
    </w:div>
    <w:div w:id="1729717819">
      <w:bodyDiv w:val="1"/>
      <w:marLeft w:val="0"/>
      <w:marRight w:val="0"/>
      <w:marTop w:val="0"/>
      <w:marBottom w:val="0"/>
      <w:divBdr>
        <w:top w:val="none" w:sz="0" w:space="0" w:color="auto"/>
        <w:left w:val="none" w:sz="0" w:space="0" w:color="auto"/>
        <w:bottom w:val="none" w:sz="0" w:space="0" w:color="auto"/>
        <w:right w:val="none" w:sz="0" w:space="0" w:color="auto"/>
      </w:divBdr>
    </w:div>
    <w:div w:id="1729842532">
      <w:bodyDiv w:val="1"/>
      <w:marLeft w:val="0"/>
      <w:marRight w:val="0"/>
      <w:marTop w:val="0"/>
      <w:marBottom w:val="0"/>
      <w:divBdr>
        <w:top w:val="none" w:sz="0" w:space="0" w:color="auto"/>
        <w:left w:val="none" w:sz="0" w:space="0" w:color="auto"/>
        <w:bottom w:val="none" w:sz="0" w:space="0" w:color="auto"/>
        <w:right w:val="none" w:sz="0" w:space="0" w:color="auto"/>
      </w:divBdr>
    </w:div>
    <w:div w:id="1730179481">
      <w:bodyDiv w:val="1"/>
      <w:marLeft w:val="0"/>
      <w:marRight w:val="0"/>
      <w:marTop w:val="0"/>
      <w:marBottom w:val="0"/>
      <w:divBdr>
        <w:top w:val="none" w:sz="0" w:space="0" w:color="auto"/>
        <w:left w:val="none" w:sz="0" w:space="0" w:color="auto"/>
        <w:bottom w:val="none" w:sz="0" w:space="0" w:color="auto"/>
        <w:right w:val="none" w:sz="0" w:space="0" w:color="auto"/>
      </w:divBdr>
    </w:div>
    <w:div w:id="1733574454">
      <w:bodyDiv w:val="1"/>
      <w:marLeft w:val="0"/>
      <w:marRight w:val="0"/>
      <w:marTop w:val="0"/>
      <w:marBottom w:val="0"/>
      <w:divBdr>
        <w:top w:val="none" w:sz="0" w:space="0" w:color="auto"/>
        <w:left w:val="none" w:sz="0" w:space="0" w:color="auto"/>
        <w:bottom w:val="none" w:sz="0" w:space="0" w:color="auto"/>
        <w:right w:val="none" w:sz="0" w:space="0" w:color="auto"/>
      </w:divBdr>
    </w:div>
    <w:div w:id="1733692443">
      <w:bodyDiv w:val="1"/>
      <w:marLeft w:val="0"/>
      <w:marRight w:val="0"/>
      <w:marTop w:val="0"/>
      <w:marBottom w:val="0"/>
      <w:divBdr>
        <w:top w:val="none" w:sz="0" w:space="0" w:color="auto"/>
        <w:left w:val="none" w:sz="0" w:space="0" w:color="auto"/>
        <w:bottom w:val="none" w:sz="0" w:space="0" w:color="auto"/>
        <w:right w:val="none" w:sz="0" w:space="0" w:color="auto"/>
      </w:divBdr>
    </w:div>
    <w:div w:id="1734231010">
      <w:bodyDiv w:val="1"/>
      <w:marLeft w:val="0"/>
      <w:marRight w:val="0"/>
      <w:marTop w:val="0"/>
      <w:marBottom w:val="0"/>
      <w:divBdr>
        <w:top w:val="none" w:sz="0" w:space="0" w:color="auto"/>
        <w:left w:val="none" w:sz="0" w:space="0" w:color="auto"/>
        <w:bottom w:val="none" w:sz="0" w:space="0" w:color="auto"/>
        <w:right w:val="none" w:sz="0" w:space="0" w:color="auto"/>
      </w:divBdr>
    </w:div>
    <w:div w:id="1735858406">
      <w:bodyDiv w:val="1"/>
      <w:marLeft w:val="0"/>
      <w:marRight w:val="0"/>
      <w:marTop w:val="0"/>
      <w:marBottom w:val="0"/>
      <w:divBdr>
        <w:top w:val="none" w:sz="0" w:space="0" w:color="auto"/>
        <w:left w:val="none" w:sz="0" w:space="0" w:color="auto"/>
        <w:bottom w:val="none" w:sz="0" w:space="0" w:color="auto"/>
        <w:right w:val="none" w:sz="0" w:space="0" w:color="auto"/>
      </w:divBdr>
    </w:div>
    <w:div w:id="1735935135">
      <w:bodyDiv w:val="1"/>
      <w:marLeft w:val="0"/>
      <w:marRight w:val="0"/>
      <w:marTop w:val="0"/>
      <w:marBottom w:val="0"/>
      <w:divBdr>
        <w:top w:val="none" w:sz="0" w:space="0" w:color="auto"/>
        <w:left w:val="none" w:sz="0" w:space="0" w:color="auto"/>
        <w:bottom w:val="none" w:sz="0" w:space="0" w:color="auto"/>
        <w:right w:val="none" w:sz="0" w:space="0" w:color="auto"/>
      </w:divBdr>
    </w:div>
    <w:div w:id="1736126305">
      <w:bodyDiv w:val="1"/>
      <w:marLeft w:val="0"/>
      <w:marRight w:val="0"/>
      <w:marTop w:val="0"/>
      <w:marBottom w:val="0"/>
      <w:divBdr>
        <w:top w:val="none" w:sz="0" w:space="0" w:color="auto"/>
        <w:left w:val="none" w:sz="0" w:space="0" w:color="auto"/>
        <w:bottom w:val="none" w:sz="0" w:space="0" w:color="auto"/>
        <w:right w:val="none" w:sz="0" w:space="0" w:color="auto"/>
      </w:divBdr>
    </w:div>
    <w:div w:id="1736858162">
      <w:bodyDiv w:val="1"/>
      <w:marLeft w:val="0"/>
      <w:marRight w:val="0"/>
      <w:marTop w:val="0"/>
      <w:marBottom w:val="0"/>
      <w:divBdr>
        <w:top w:val="none" w:sz="0" w:space="0" w:color="auto"/>
        <w:left w:val="none" w:sz="0" w:space="0" w:color="auto"/>
        <w:bottom w:val="none" w:sz="0" w:space="0" w:color="auto"/>
        <w:right w:val="none" w:sz="0" w:space="0" w:color="auto"/>
      </w:divBdr>
    </w:div>
    <w:div w:id="1737433946">
      <w:bodyDiv w:val="1"/>
      <w:marLeft w:val="0"/>
      <w:marRight w:val="0"/>
      <w:marTop w:val="0"/>
      <w:marBottom w:val="0"/>
      <w:divBdr>
        <w:top w:val="none" w:sz="0" w:space="0" w:color="auto"/>
        <w:left w:val="none" w:sz="0" w:space="0" w:color="auto"/>
        <w:bottom w:val="none" w:sz="0" w:space="0" w:color="auto"/>
        <w:right w:val="none" w:sz="0" w:space="0" w:color="auto"/>
      </w:divBdr>
    </w:div>
    <w:div w:id="1739326626">
      <w:bodyDiv w:val="1"/>
      <w:marLeft w:val="0"/>
      <w:marRight w:val="0"/>
      <w:marTop w:val="0"/>
      <w:marBottom w:val="0"/>
      <w:divBdr>
        <w:top w:val="none" w:sz="0" w:space="0" w:color="auto"/>
        <w:left w:val="none" w:sz="0" w:space="0" w:color="auto"/>
        <w:bottom w:val="none" w:sz="0" w:space="0" w:color="auto"/>
        <w:right w:val="none" w:sz="0" w:space="0" w:color="auto"/>
      </w:divBdr>
    </w:div>
    <w:div w:id="1739744808">
      <w:bodyDiv w:val="1"/>
      <w:marLeft w:val="0"/>
      <w:marRight w:val="0"/>
      <w:marTop w:val="0"/>
      <w:marBottom w:val="0"/>
      <w:divBdr>
        <w:top w:val="none" w:sz="0" w:space="0" w:color="auto"/>
        <w:left w:val="none" w:sz="0" w:space="0" w:color="auto"/>
        <w:bottom w:val="none" w:sz="0" w:space="0" w:color="auto"/>
        <w:right w:val="none" w:sz="0" w:space="0" w:color="auto"/>
      </w:divBdr>
    </w:div>
    <w:div w:id="1740789838">
      <w:bodyDiv w:val="1"/>
      <w:marLeft w:val="0"/>
      <w:marRight w:val="0"/>
      <w:marTop w:val="0"/>
      <w:marBottom w:val="0"/>
      <w:divBdr>
        <w:top w:val="none" w:sz="0" w:space="0" w:color="auto"/>
        <w:left w:val="none" w:sz="0" w:space="0" w:color="auto"/>
        <w:bottom w:val="none" w:sz="0" w:space="0" w:color="auto"/>
        <w:right w:val="none" w:sz="0" w:space="0" w:color="auto"/>
      </w:divBdr>
    </w:div>
    <w:div w:id="1741634106">
      <w:bodyDiv w:val="1"/>
      <w:marLeft w:val="0"/>
      <w:marRight w:val="0"/>
      <w:marTop w:val="0"/>
      <w:marBottom w:val="0"/>
      <w:divBdr>
        <w:top w:val="none" w:sz="0" w:space="0" w:color="auto"/>
        <w:left w:val="none" w:sz="0" w:space="0" w:color="auto"/>
        <w:bottom w:val="none" w:sz="0" w:space="0" w:color="auto"/>
        <w:right w:val="none" w:sz="0" w:space="0" w:color="auto"/>
      </w:divBdr>
    </w:div>
    <w:div w:id="1742412542">
      <w:bodyDiv w:val="1"/>
      <w:marLeft w:val="0"/>
      <w:marRight w:val="0"/>
      <w:marTop w:val="0"/>
      <w:marBottom w:val="0"/>
      <w:divBdr>
        <w:top w:val="none" w:sz="0" w:space="0" w:color="auto"/>
        <w:left w:val="none" w:sz="0" w:space="0" w:color="auto"/>
        <w:bottom w:val="none" w:sz="0" w:space="0" w:color="auto"/>
        <w:right w:val="none" w:sz="0" w:space="0" w:color="auto"/>
      </w:divBdr>
    </w:div>
    <w:div w:id="1743522643">
      <w:bodyDiv w:val="1"/>
      <w:marLeft w:val="0"/>
      <w:marRight w:val="0"/>
      <w:marTop w:val="0"/>
      <w:marBottom w:val="0"/>
      <w:divBdr>
        <w:top w:val="none" w:sz="0" w:space="0" w:color="auto"/>
        <w:left w:val="none" w:sz="0" w:space="0" w:color="auto"/>
        <w:bottom w:val="none" w:sz="0" w:space="0" w:color="auto"/>
        <w:right w:val="none" w:sz="0" w:space="0" w:color="auto"/>
      </w:divBdr>
    </w:div>
    <w:div w:id="1746605127">
      <w:bodyDiv w:val="1"/>
      <w:marLeft w:val="0"/>
      <w:marRight w:val="0"/>
      <w:marTop w:val="0"/>
      <w:marBottom w:val="0"/>
      <w:divBdr>
        <w:top w:val="none" w:sz="0" w:space="0" w:color="auto"/>
        <w:left w:val="none" w:sz="0" w:space="0" w:color="auto"/>
        <w:bottom w:val="none" w:sz="0" w:space="0" w:color="auto"/>
        <w:right w:val="none" w:sz="0" w:space="0" w:color="auto"/>
      </w:divBdr>
    </w:div>
    <w:div w:id="1751072978">
      <w:bodyDiv w:val="1"/>
      <w:marLeft w:val="0"/>
      <w:marRight w:val="0"/>
      <w:marTop w:val="0"/>
      <w:marBottom w:val="0"/>
      <w:divBdr>
        <w:top w:val="none" w:sz="0" w:space="0" w:color="auto"/>
        <w:left w:val="none" w:sz="0" w:space="0" w:color="auto"/>
        <w:bottom w:val="none" w:sz="0" w:space="0" w:color="auto"/>
        <w:right w:val="none" w:sz="0" w:space="0" w:color="auto"/>
      </w:divBdr>
    </w:div>
    <w:div w:id="1753817114">
      <w:bodyDiv w:val="1"/>
      <w:marLeft w:val="0"/>
      <w:marRight w:val="0"/>
      <w:marTop w:val="0"/>
      <w:marBottom w:val="0"/>
      <w:divBdr>
        <w:top w:val="none" w:sz="0" w:space="0" w:color="auto"/>
        <w:left w:val="none" w:sz="0" w:space="0" w:color="auto"/>
        <w:bottom w:val="none" w:sz="0" w:space="0" w:color="auto"/>
        <w:right w:val="none" w:sz="0" w:space="0" w:color="auto"/>
      </w:divBdr>
    </w:div>
    <w:div w:id="1754158152">
      <w:bodyDiv w:val="1"/>
      <w:marLeft w:val="0"/>
      <w:marRight w:val="0"/>
      <w:marTop w:val="0"/>
      <w:marBottom w:val="0"/>
      <w:divBdr>
        <w:top w:val="none" w:sz="0" w:space="0" w:color="auto"/>
        <w:left w:val="none" w:sz="0" w:space="0" w:color="auto"/>
        <w:bottom w:val="none" w:sz="0" w:space="0" w:color="auto"/>
        <w:right w:val="none" w:sz="0" w:space="0" w:color="auto"/>
      </w:divBdr>
    </w:div>
    <w:div w:id="1755936451">
      <w:bodyDiv w:val="1"/>
      <w:marLeft w:val="0"/>
      <w:marRight w:val="0"/>
      <w:marTop w:val="0"/>
      <w:marBottom w:val="0"/>
      <w:divBdr>
        <w:top w:val="none" w:sz="0" w:space="0" w:color="auto"/>
        <w:left w:val="none" w:sz="0" w:space="0" w:color="auto"/>
        <w:bottom w:val="none" w:sz="0" w:space="0" w:color="auto"/>
        <w:right w:val="none" w:sz="0" w:space="0" w:color="auto"/>
      </w:divBdr>
    </w:div>
    <w:div w:id="1756051504">
      <w:bodyDiv w:val="1"/>
      <w:marLeft w:val="0"/>
      <w:marRight w:val="0"/>
      <w:marTop w:val="0"/>
      <w:marBottom w:val="0"/>
      <w:divBdr>
        <w:top w:val="none" w:sz="0" w:space="0" w:color="auto"/>
        <w:left w:val="none" w:sz="0" w:space="0" w:color="auto"/>
        <w:bottom w:val="none" w:sz="0" w:space="0" w:color="auto"/>
        <w:right w:val="none" w:sz="0" w:space="0" w:color="auto"/>
      </w:divBdr>
    </w:div>
    <w:div w:id="1758404563">
      <w:bodyDiv w:val="1"/>
      <w:marLeft w:val="0"/>
      <w:marRight w:val="0"/>
      <w:marTop w:val="0"/>
      <w:marBottom w:val="0"/>
      <w:divBdr>
        <w:top w:val="none" w:sz="0" w:space="0" w:color="auto"/>
        <w:left w:val="none" w:sz="0" w:space="0" w:color="auto"/>
        <w:bottom w:val="none" w:sz="0" w:space="0" w:color="auto"/>
        <w:right w:val="none" w:sz="0" w:space="0" w:color="auto"/>
      </w:divBdr>
    </w:div>
    <w:div w:id="1760523805">
      <w:bodyDiv w:val="1"/>
      <w:marLeft w:val="0"/>
      <w:marRight w:val="0"/>
      <w:marTop w:val="0"/>
      <w:marBottom w:val="0"/>
      <w:divBdr>
        <w:top w:val="none" w:sz="0" w:space="0" w:color="auto"/>
        <w:left w:val="none" w:sz="0" w:space="0" w:color="auto"/>
        <w:bottom w:val="none" w:sz="0" w:space="0" w:color="auto"/>
        <w:right w:val="none" w:sz="0" w:space="0" w:color="auto"/>
      </w:divBdr>
    </w:div>
    <w:div w:id="1760640675">
      <w:bodyDiv w:val="1"/>
      <w:marLeft w:val="0"/>
      <w:marRight w:val="0"/>
      <w:marTop w:val="0"/>
      <w:marBottom w:val="0"/>
      <w:divBdr>
        <w:top w:val="none" w:sz="0" w:space="0" w:color="auto"/>
        <w:left w:val="none" w:sz="0" w:space="0" w:color="auto"/>
        <w:bottom w:val="none" w:sz="0" w:space="0" w:color="auto"/>
        <w:right w:val="none" w:sz="0" w:space="0" w:color="auto"/>
      </w:divBdr>
    </w:div>
    <w:div w:id="1761565103">
      <w:bodyDiv w:val="1"/>
      <w:marLeft w:val="0"/>
      <w:marRight w:val="0"/>
      <w:marTop w:val="0"/>
      <w:marBottom w:val="0"/>
      <w:divBdr>
        <w:top w:val="none" w:sz="0" w:space="0" w:color="auto"/>
        <w:left w:val="none" w:sz="0" w:space="0" w:color="auto"/>
        <w:bottom w:val="none" w:sz="0" w:space="0" w:color="auto"/>
        <w:right w:val="none" w:sz="0" w:space="0" w:color="auto"/>
      </w:divBdr>
    </w:div>
    <w:div w:id="1763336002">
      <w:bodyDiv w:val="1"/>
      <w:marLeft w:val="0"/>
      <w:marRight w:val="0"/>
      <w:marTop w:val="0"/>
      <w:marBottom w:val="0"/>
      <w:divBdr>
        <w:top w:val="none" w:sz="0" w:space="0" w:color="auto"/>
        <w:left w:val="none" w:sz="0" w:space="0" w:color="auto"/>
        <w:bottom w:val="none" w:sz="0" w:space="0" w:color="auto"/>
        <w:right w:val="none" w:sz="0" w:space="0" w:color="auto"/>
      </w:divBdr>
    </w:div>
    <w:div w:id="1768034915">
      <w:bodyDiv w:val="1"/>
      <w:marLeft w:val="0"/>
      <w:marRight w:val="0"/>
      <w:marTop w:val="0"/>
      <w:marBottom w:val="0"/>
      <w:divBdr>
        <w:top w:val="none" w:sz="0" w:space="0" w:color="auto"/>
        <w:left w:val="none" w:sz="0" w:space="0" w:color="auto"/>
        <w:bottom w:val="none" w:sz="0" w:space="0" w:color="auto"/>
        <w:right w:val="none" w:sz="0" w:space="0" w:color="auto"/>
      </w:divBdr>
    </w:div>
    <w:div w:id="1772122087">
      <w:bodyDiv w:val="1"/>
      <w:marLeft w:val="0"/>
      <w:marRight w:val="0"/>
      <w:marTop w:val="0"/>
      <w:marBottom w:val="0"/>
      <w:divBdr>
        <w:top w:val="none" w:sz="0" w:space="0" w:color="auto"/>
        <w:left w:val="none" w:sz="0" w:space="0" w:color="auto"/>
        <w:bottom w:val="none" w:sz="0" w:space="0" w:color="auto"/>
        <w:right w:val="none" w:sz="0" w:space="0" w:color="auto"/>
      </w:divBdr>
    </w:div>
    <w:div w:id="1774402957">
      <w:bodyDiv w:val="1"/>
      <w:marLeft w:val="0"/>
      <w:marRight w:val="0"/>
      <w:marTop w:val="0"/>
      <w:marBottom w:val="0"/>
      <w:divBdr>
        <w:top w:val="none" w:sz="0" w:space="0" w:color="auto"/>
        <w:left w:val="none" w:sz="0" w:space="0" w:color="auto"/>
        <w:bottom w:val="none" w:sz="0" w:space="0" w:color="auto"/>
        <w:right w:val="none" w:sz="0" w:space="0" w:color="auto"/>
      </w:divBdr>
    </w:div>
    <w:div w:id="1774546769">
      <w:bodyDiv w:val="1"/>
      <w:marLeft w:val="0"/>
      <w:marRight w:val="0"/>
      <w:marTop w:val="0"/>
      <w:marBottom w:val="0"/>
      <w:divBdr>
        <w:top w:val="none" w:sz="0" w:space="0" w:color="auto"/>
        <w:left w:val="none" w:sz="0" w:space="0" w:color="auto"/>
        <w:bottom w:val="none" w:sz="0" w:space="0" w:color="auto"/>
        <w:right w:val="none" w:sz="0" w:space="0" w:color="auto"/>
      </w:divBdr>
    </w:div>
    <w:div w:id="1774592319">
      <w:bodyDiv w:val="1"/>
      <w:marLeft w:val="0"/>
      <w:marRight w:val="0"/>
      <w:marTop w:val="0"/>
      <w:marBottom w:val="0"/>
      <w:divBdr>
        <w:top w:val="none" w:sz="0" w:space="0" w:color="auto"/>
        <w:left w:val="none" w:sz="0" w:space="0" w:color="auto"/>
        <w:bottom w:val="none" w:sz="0" w:space="0" w:color="auto"/>
        <w:right w:val="none" w:sz="0" w:space="0" w:color="auto"/>
      </w:divBdr>
    </w:div>
    <w:div w:id="1778327320">
      <w:bodyDiv w:val="1"/>
      <w:marLeft w:val="0"/>
      <w:marRight w:val="0"/>
      <w:marTop w:val="0"/>
      <w:marBottom w:val="0"/>
      <w:divBdr>
        <w:top w:val="none" w:sz="0" w:space="0" w:color="auto"/>
        <w:left w:val="none" w:sz="0" w:space="0" w:color="auto"/>
        <w:bottom w:val="none" w:sz="0" w:space="0" w:color="auto"/>
        <w:right w:val="none" w:sz="0" w:space="0" w:color="auto"/>
      </w:divBdr>
    </w:div>
    <w:div w:id="1778718597">
      <w:bodyDiv w:val="1"/>
      <w:marLeft w:val="0"/>
      <w:marRight w:val="0"/>
      <w:marTop w:val="0"/>
      <w:marBottom w:val="0"/>
      <w:divBdr>
        <w:top w:val="none" w:sz="0" w:space="0" w:color="auto"/>
        <w:left w:val="none" w:sz="0" w:space="0" w:color="auto"/>
        <w:bottom w:val="none" w:sz="0" w:space="0" w:color="auto"/>
        <w:right w:val="none" w:sz="0" w:space="0" w:color="auto"/>
      </w:divBdr>
    </w:div>
    <w:div w:id="1780176265">
      <w:bodyDiv w:val="1"/>
      <w:marLeft w:val="0"/>
      <w:marRight w:val="0"/>
      <w:marTop w:val="0"/>
      <w:marBottom w:val="0"/>
      <w:divBdr>
        <w:top w:val="none" w:sz="0" w:space="0" w:color="auto"/>
        <w:left w:val="none" w:sz="0" w:space="0" w:color="auto"/>
        <w:bottom w:val="none" w:sz="0" w:space="0" w:color="auto"/>
        <w:right w:val="none" w:sz="0" w:space="0" w:color="auto"/>
      </w:divBdr>
    </w:div>
    <w:div w:id="1780221081">
      <w:bodyDiv w:val="1"/>
      <w:marLeft w:val="0"/>
      <w:marRight w:val="0"/>
      <w:marTop w:val="0"/>
      <w:marBottom w:val="0"/>
      <w:divBdr>
        <w:top w:val="none" w:sz="0" w:space="0" w:color="auto"/>
        <w:left w:val="none" w:sz="0" w:space="0" w:color="auto"/>
        <w:bottom w:val="none" w:sz="0" w:space="0" w:color="auto"/>
        <w:right w:val="none" w:sz="0" w:space="0" w:color="auto"/>
      </w:divBdr>
    </w:div>
    <w:div w:id="1780569227">
      <w:bodyDiv w:val="1"/>
      <w:marLeft w:val="0"/>
      <w:marRight w:val="0"/>
      <w:marTop w:val="0"/>
      <w:marBottom w:val="0"/>
      <w:divBdr>
        <w:top w:val="none" w:sz="0" w:space="0" w:color="auto"/>
        <w:left w:val="none" w:sz="0" w:space="0" w:color="auto"/>
        <w:bottom w:val="none" w:sz="0" w:space="0" w:color="auto"/>
        <w:right w:val="none" w:sz="0" w:space="0" w:color="auto"/>
      </w:divBdr>
    </w:div>
    <w:div w:id="1780905977">
      <w:bodyDiv w:val="1"/>
      <w:marLeft w:val="0"/>
      <w:marRight w:val="0"/>
      <w:marTop w:val="0"/>
      <w:marBottom w:val="0"/>
      <w:divBdr>
        <w:top w:val="none" w:sz="0" w:space="0" w:color="auto"/>
        <w:left w:val="none" w:sz="0" w:space="0" w:color="auto"/>
        <w:bottom w:val="none" w:sz="0" w:space="0" w:color="auto"/>
        <w:right w:val="none" w:sz="0" w:space="0" w:color="auto"/>
      </w:divBdr>
    </w:div>
    <w:div w:id="1781754725">
      <w:bodyDiv w:val="1"/>
      <w:marLeft w:val="0"/>
      <w:marRight w:val="0"/>
      <w:marTop w:val="0"/>
      <w:marBottom w:val="0"/>
      <w:divBdr>
        <w:top w:val="none" w:sz="0" w:space="0" w:color="auto"/>
        <w:left w:val="none" w:sz="0" w:space="0" w:color="auto"/>
        <w:bottom w:val="none" w:sz="0" w:space="0" w:color="auto"/>
        <w:right w:val="none" w:sz="0" w:space="0" w:color="auto"/>
      </w:divBdr>
    </w:div>
    <w:div w:id="1784574001">
      <w:bodyDiv w:val="1"/>
      <w:marLeft w:val="0"/>
      <w:marRight w:val="0"/>
      <w:marTop w:val="0"/>
      <w:marBottom w:val="0"/>
      <w:divBdr>
        <w:top w:val="none" w:sz="0" w:space="0" w:color="auto"/>
        <w:left w:val="none" w:sz="0" w:space="0" w:color="auto"/>
        <w:bottom w:val="none" w:sz="0" w:space="0" w:color="auto"/>
        <w:right w:val="none" w:sz="0" w:space="0" w:color="auto"/>
      </w:divBdr>
    </w:div>
    <w:div w:id="1789660401">
      <w:bodyDiv w:val="1"/>
      <w:marLeft w:val="0"/>
      <w:marRight w:val="0"/>
      <w:marTop w:val="0"/>
      <w:marBottom w:val="0"/>
      <w:divBdr>
        <w:top w:val="none" w:sz="0" w:space="0" w:color="auto"/>
        <w:left w:val="none" w:sz="0" w:space="0" w:color="auto"/>
        <w:bottom w:val="none" w:sz="0" w:space="0" w:color="auto"/>
        <w:right w:val="none" w:sz="0" w:space="0" w:color="auto"/>
      </w:divBdr>
    </w:div>
    <w:div w:id="1791976879">
      <w:bodyDiv w:val="1"/>
      <w:marLeft w:val="0"/>
      <w:marRight w:val="0"/>
      <w:marTop w:val="0"/>
      <w:marBottom w:val="0"/>
      <w:divBdr>
        <w:top w:val="none" w:sz="0" w:space="0" w:color="auto"/>
        <w:left w:val="none" w:sz="0" w:space="0" w:color="auto"/>
        <w:bottom w:val="none" w:sz="0" w:space="0" w:color="auto"/>
        <w:right w:val="none" w:sz="0" w:space="0" w:color="auto"/>
      </w:divBdr>
    </w:div>
    <w:div w:id="1792166335">
      <w:bodyDiv w:val="1"/>
      <w:marLeft w:val="0"/>
      <w:marRight w:val="0"/>
      <w:marTop w:val="0"/>
      <w:marBottom w:val="0"/>
      <w:divBdr>
        <w:top w:val="none" w:sz="0" w:space="0" w:color="auto"/>
        <w:left w:val="none" w:sz="0" w:space="0" w:color="auto"/>
        <w:bottom w:val="none" w:sz="0" w:space="0" w:color="auto"/>
        <w:right w:val="none" w:sz="0" w:space="0" w:color="auto"/>
      </w:divBdr>
    </w:div>
    <w:div w:id="1797680812">
      <w:bodyDiv w:val="1"/>
      <w:marLeft w:val="0"/>
      <w:marRight w:val="0"/>
      <w:marTop w:val="0"/>
      <w:marBottom w:val="0"/>
      <w:divBdr>
        <w:top w:val="none" w:sz="0" w:space="0" w:color="auto"/>
        <w:left w:val="none" w:sz="0" w:space="0" w:color="auto"/>
        <w:bottom w:val="none" w:sz="0" w:space="0" w:color="auto"/>
        <w:right w:val="none" w:sz="0" w:space="0" w:color="auto"/>
      </w:divBdr>
    </w:div>
    <w:div w:id="1798909942">
      <w:bodyDiv w:val="1"/>
      <w:marLeft w:val="0"/>
      <w:marRight w:val="0"/>
      <w:marTop w:val="0"/>
      <w:marBottom w:val="0"/>
      <w:divBdr>
        <w:top w:val="none" w:sz="0" w:space="0" w:color="auto"/>
        <w:left w:val="none" w:sz="0" w:space="0" w:color="auto"/>
        <w:bottom w:val="none" w:sz="0" w:space="0" w:color="auto"/>
        <w:right w:val="none" w:sz="0" w:space="0" w:color="auto"/>
      </w:divBdr>
    </w:div>
    <w:div w:id="1799907490">
      <w:bodyDiv w:val="1"/>
      <w:marLeft w:val="0"/>
      <w:marRight w:val="0"/>
      <w:marTop w:val="0"/>
      <w:marBottom w:val="0"/>
      <w:divBdr>
        <w:top w:val="none" w:sz="0" w:space="0" w:color="auto"/>
        <w:left w:val="none" w:sz="0" w:space="0" w:color="auto"/>
        <w:bottom w:val="none" w:sz="0" w:space="0" w:color="auto"/>
        <w:right w:val="none" w:sz="0" w:space="0" w:color="auto"/>
      </w:divBdr>
    </w:div>
    <w:div w:id="1800301093">
      <w:bodyDiv w:val="1"/>
      <w:marLeft w:val="0"/>
      <w:marRight w:val="0"/>
      <w:marTop w:val="0"/>
      <w:marBottom w:val="0"/>
      <w:divBdr>
        <w:top w:val="none" w:sz="0" w:space="0" w:color="auto"/>
        <w:left w:val="none" w:sz="0" w:space="0" w:color="auto"/>
        <w:bottom w:val="none" w:sz="0" w:space="0" w:color="auto"/>
        <w:right w:val="none" w:sz="0" w:space="0" w:color="auto"/>
      </w:divBdr>
    </w:div>
    <w:div w:id="1800683953">
      <w:bodyDiv w:val="1"/>
      <w:marLeft w:val="0"/>
      <w:marRight w:val="0"/>
      <w:marTop w:val="0"/>
      <w:marBottom w:val="0"/>
      <w:divBdr>
        <w:top w:val="none" w:sz="0" w:space="0" w:color="auto"/>
        <w:left w:val="none" w:sz="0" w:space="0" w:color="auto"/>
        <w:bottom w:val="none" w:sz="0" w:space="0" w:color="auto"/>
        <w:right w:val="none" w:sz="0" w:space="0" w:color="auto"/>
      </w:divBdr>
    </w:div>
    <w:div w:id="1801219097">
      <w:bodyDiv w:val="1"/>
      <w:marLeft w:val="0"/>
      <w:marRight w:val="0"/>
      <w:marTop w:val="0"/>
      <w:marBottom w:val="0"/>
      <w:divBdr>
        <w:top w:val="none" w:sz="0" w:space="0" w:color="auto"/>
        <w:left w:val="none" w:sz="0" w:space="0" w:color="auto"/>
        <w:bottom w:val="none" w:sz="0" w:space="0" w:color="auto"/>
        <w:right w:val="none" w:sz="0" w:space="0" w:color="auto"/>
      </w:divBdr>
    </w:div>
    <w:div w:id="1802381393">
      <w:bodyDiv w:val="1"/>
      <w:marLeft w:val="0"/>
      <w:marRight w:val="0"/>
      <w:marTop w:val="0"/>
      <w:marBottom w:val="0"/>
      <w:divBdr>
        <w:top w:val="none" w:sz="0" w:space="0" w:color="auto"/>
        <w:left w:val="none" w:sz="0" w:space="0" w:color="auto"/>
        <w:bottom w:val="none" w:sz="0" w:space="0" w:color="auto"/>
        <w:right w:val="none" w:sz="0" w:space="0" w:color="auto"/>
      </w:divBdr>
    </w:div>
    <w:div w:id="1803965744">
      <w:bodyDiv w:val="1"/>
      <w:marLeft w:val="0"/>
      <w:marRight w:val="0"/>
      <w:marTop w:val="0"/>
      <w:marBottom w:val="0"/>
      <w:divBdr>
        <w:top w:val="none" w:sz="0" w:space="0" w:color="auto"/>
        <w:left w:val="none" w:sz="0" w:space="0" w:color="auto"/>
        <w:bottom w:val="none" w:sz="0" w:space="0" w:color="auto"/>
        <w:right w:val="none" w:sz="0" w:space="0" w:color="auto"/>
      </w:divBdr>
    </w:div>
    <w:div w:id="1804733100">
      <w:bodyDiv w:val="1"/>
      <w:marLeft w:val="0"/>
      <w:marRight w:val="0"/>
      <w:marTop w:val="0"/>
      <w:marBottom w:val="0"/>
      <w:divBdr>
        <w:top w:val="none" w:sz="0" w:space="0" w:color="auto"/>
        <w:left w:val="none" w:sz="0" w:space="0" w:color="auto"/>
        <w:bottom w:val="none" w:sz="0" w:space="0" w:color="auto"/>
        <w:right w:val="none" w:sz="0" w:space="0" w:color="auto"/>
      </w:divBdr>
    </w:div>
    <w:div w:id="1805350573">
      <w:bodyDiv w:val="1"/>
      <w:marLeft w:val="0"/>
      <w:marRight w:val="0"/>
      <w:marTop w:val="0"/>
      <w:marBottom w:val="0"/>
      <w:divBdr>
        <w:top w:val="none" w:sz="0" w:space="0" w:color="auto"/>
        <w:left w:val="none" w:sz="0" w:space="0" w:color="auto"/>
        <w:bottom w:val="none" w:sz="0" w:space="0" w:color="auto"/>
        <w:right w:val="none" w:sz="0" w:space="0" w:color="auto"/>
      </w:divBdr>
    </w:div>
    <w:div w:id="1808820565">
      <w:bodyDiv w:val="1"/>
      <w:marLeft w:val="0"/>
      <w:marRight w:val="0"/>
      <w:marTop w:val="0"/>
      <w:marBottom w:val="0"/>
      <w:divBdr>
        <w:top w:val="none" w:sz="0" w:space="0" w:color="auto"/>
        <w:left w:val="none" w:sz="0" w:space="0" w:color="auto"/>
        <w:bottom w:val="none" w:sz="0" w:space="0" w:color="auto"/>
        <w:right w:val="none" w:sz="0" w:space="0" w:color="auto"/>
      </w:divBdr>
    </w:div>
    <w:div w:id="1809323200">
      <w:bodyDiv w:val="1"/>
      <w:marLeft w:val="0"/>
      <w:marRight w:val="0"/>
      <w:marTop w:val="0"/>
      <w:marBottom w:val="0"/>
      <w:divBdr>
        <w:top w:val="none" w:sz="0" w:space="0" w:color="auto"/>
        <w:left w:val="none" w:sz="0" w:space="0" w:color="auto"/>
        <w:bottom w:val="none" w:sz="0" w:space="0" w:color="auto"/>
        <w:right w:val="none" w:sz="0" w:space="0" w:color="auto"/>
      </w:divBdr>
    </w:div>
    <w:div w:id="1809711870">
      <w:bodyDiv w:val="1"/>
      <w:marLeft w:val="0"/>
      <w:marRight w:val="0"/>
      <w:marTop w:val="0"/>
      <w:marBottom w:val="0"/>
      <w:divBdr>
        <w:top w:val="none" w:sz="0" w:space="0" w:color="auto"/>
        <w:left w:val="none" w:sz="0" w:space="0" w:color="auto"/>
        <w:bottom w:val="none" w:sz="0" w:space="0" w:color="auto"/>
        <w:right w:val="none" w:sz="0" w:space="0" w:color="auto"/>
      </w:divBdr>
    </w:div>
    <w:div w:id="1810439728">
      <w:bodyDiv w:val="1"/>
      <w:marLeft w:val="0"/>
      <w:marRight w:val="0"/>
      <w:marTop w:val="0"/>
      <w:marBottom w:val="0"/>
      <w:divBdr>
        <w:top w:val="none" w:sz="0" w:space="0" w:color="auto"/>
        <w:left w:val="none" w:sz="0" w:space="0" w:color="auto"/>
        <w:bottom w:val="none" w:sz="0" w:space="0" w:color="auto"/>
        <w:right w:val="none" w:sz="0" w:space="0" w:color="auto"/>
      </w:divBdr>
    </w:div>
    <w:div w:id="1811050757">
      <w:bodyDiv w:val="1"/>
      <w:marLeft w:val="0"/>
      <w:marRight w:val="0"/>
      <w:marTop w:val="0"/>
      <w:marBottom w:val="0"/>
      <w:divBdr>
        <w:top w:val="none" w:sz="0" w:space="0" w:color="auto"/>
        <w:left w:val="none" w:sz="0" w:space="0" w:color="auto"/>
        <w:bottom w:val="none" w:sz="0" w:space="0" w:color="auto"/>
        <w:right w:val="none" w:sz="0" w:space="0" w:color="auto"/>
      </w:divBdr>
    </w:div>
    <w:div w:id="1812402637">
      <w:bodyDiv w:val="1"/>
      <w:marLeft w:val="0"/>
      <w:marRight w:val="0"/>
      <w:marTop w:val="0"/>
      <w:marBottom w:val="0"/>
      <w:divBdr>
        <w:top w:val="none" w:sz="0" w:space="0" w:color="auto"/>
        <w:left w:val="none" w:sz="0" w:space="0" w:color="auto"/>
        <w:bottom w:val="none" w:sz="0" w:space="0" w:color="auto"/>
        <w:right w:val="none" w:sz="0" w:space="0" w:color="auto"/>
      </w:divBdr>
    </w:div>
    <w:div w:id="1813059661">
      <w:bodyDiv w:val="1"/>
      <w:marLeft w:val="0"/>
      <w:marRight w:val="0"/>
      <w:marTop w:val="0"/>
      <w:marBottom w:val="0"/>
      <w:divBdr>
        <w:top w:val="none" w:sz="0" w:space="0" w:color="auto"/>
        <w:left w:val="none" w:sz="0" w:space="0" w:color="auto"/>
        <w:bottom w:val="none" w:sz="0" w:space="0" w:color="auto"/>
        <w:right w:val="none" w:sz="0" w:space="0" w:color="auto"/>
      </w:divBdr>
    </w:div>
    <w:div w:id="1815835341">
      <w:bodyDiv w:val="1"/>
      <w:marLeft w:val="0"/>
      <w:marRight w:val="0"/>
      <w:marTop w:val="0"/>
      <w:marBottom w:val="0"/>
      <w:divBdr>
        <w:top w:val="none" w:sz="0" w:space="0" w:color="auto"/>
        <w:left w:val="none" w:sz="0" w:space="0" w:color="auto"/>
        <w:bottom w:val="none" w:sz="0" w:space="0" w:color="auto"/>
        <w:right w:val="none" w:sz="0" w:space="0" w:color="auto"/>
      </w:divBdr>
    </w:div>
    <w:div w:id="1817408146">
      <w:bodyDiv w:val="1"/>
      <w:marLeft w:val="0"/>
      <w:marRight w:val="0"/>
      <w:marTop w:val="0"/>
      <w:marBottom w:val="0"/>
      <w:divBdr>
        <w:top w:val="none" w:sz="0" w:space="0" w:color="auto"/>
        <w:left w:val="none" w:sz="0" w:space="0" w:color="auto"/>
        <w:bottom w:val="none" w:sz="0" w:space="0" w:color="auto"/>
        <w:right w:val="none" w:sz="0" w:space="0" w:color="auto"/>
      </w:divBdr>
    </w:div>
    <w:div w:id="1818104187">
      <w:bodyDiv w:val="1"/>
      <w:marLeft w:val="0"/>
      <w:marRight w:val="0"/>
      <w:marTop w:val="0"/>
      <w:marBottom w:val="0"/>
      <w:divBdr>
        <w:top w:val="none" w:sz="0" w:space="0" w:color="auto"/>
        <w:left w:val="none" w:sz="0" w:space="0" w:color="auto"/>
        <w:bottom w:val="none" w:sz="0" w:space="0" w:color="auto"/>
        <w:right w:val="none" w:sz="0" w:space="0" w:color="auto"/>
      </w:divBdr>
    </w:div>
    <w:div w:id="1818111424">
      <w:bodyDiv w:val="1"/>
      <w:marLeft w:val="0"/>
      <w:marRight w:val="0"/>
      <w:marTop w:val="0"/>
      <w:marBottom w:val="0"/>
      <w:divBdr>
        <w:top w:val="none" w:sz="0" w:space="0" w:color="auto"/>
        <w:left w:val="none" w:sz="0" w:space="0" w:color="auto"/>
        <w:bottom w:val="none" w:sz="0" w:space="0" w:color="auto"/>
        <w:right w:val="none" w:sz="0" w:space="0" w:color="auto"/>
      </w:divBdr>
    </w:div>
    <w:div w:id="1818958124">
      <w:bodyDiv w:val="1"/>
      <w:marLeft w:val="0"/>
      <w:marRight w:val="0"/>
      <w:marTop w:val="0"/>
      <w:marBottom w:val="0"/>
      <w:divBdr>
        <w:top w:val="none" w:sz="0" w:space="0" w:color="auto"/>
        <w:left w:val="none" w:sz="0" w:space="0" w:color="auto"/>
        <w:bottom w:val="none" w:sz="0" w:space="0" w:color="auto"/>
        <w:right w:val="none" w:sz="0" w:space="0" w:color="auto"/>
      </w:divBdr>
    </w:div>
    <w:div w:id="1821848358">
      <w:bodyDiv w:val="1"/>
      <w:marLeft w:val="0"/>
      <w:marRight w:val="0"/>
      <w:marTop w:val="0"/>
      <w:marBottom w:val="0"/>
      <w:divBdr>
        <w:top w:val="none" w:sz="0" w:space="0" w:color="auto"/>
        <w:left w:val="none" w:sz="0" w:space="0" w:color="auto"/>
        <w:bottom w:val="none" w:sz="0" w:space="0" w:color="auto"/>
        <w:right w:val="none" w:sz="0" w:space="0" w:color="auto"/>
      </w:divBdr>
    </w:div>
    <w:div w:id="1822379589">
      <w:bodyDiv w:val="1"/>
      <w:marLeft w:val="0"/>
      <w:marRight w:val="0"/>
      <w:marTop w:val="0"/>
      <w:marBottom w:val="0"/>
      <w:divBdr>
        <w:top w:val="none" w:sz="0" w:space="0" w:color="auto"/>
        <w:left w:val="none" w:sz="0" w:space="0" w:color="auto"/>
        <w:bottom w:val="none" w:sz="0" w:space="0" w:color="auto"/>
        <w:right w:val="none" w:sz="0" w:space="0" w:color="auto"/>
      </w:divBdr>
    </w:div>
    <w:div w:id="1824199636">
      <w:bodyDiv w:val="1"/>
      <w:marLeft w:val="0"/>
      <w:marRight w:val="0"/>
      <w:marTop w:val="0"/>
      <w:marBottom w:val="0"/>
      <w:divBdr>
        <w:top w:val="none" w:sz="0" w:space="0" w:color="auto"/>
        <w:left w:val="none" w:sz="0" w:space="0" w:color="auto"/>
        <w:bottom w:val="none" w:sz="0" w:space="0" w:color="auto"/>
        <w:right w:val="none" w:sz="0" w:space="0" w:color="auto"/>
      </w:divBdr>
    </w:div>
    <w:div w:id="1824663694">
      <w:bodyDiv w:val="1"/>
      <w:marLeft w:val="0"/>
      <w:marRight w:val="0"/>
      <w:marTop w:val="0"/>
      <w:marBottom w:val="0"/>
      <w:divBdr>
        <w:top w:val="none" w:sz="0" w:space="0" w:color="auto"/>
        <w:left w:val="none" w:sz="0" w:space="0" w:color="auto"/>
        <w:bottom w:val="none" w:sz="0" w:space="0" w:color="auto"/>
        <w:right w:val="none" w:sz="0" w:space="0" w:color="auto"/>
      </w:divBdr>
    </w:div>
    <w:div w:id="1830098670">
      <w:bodyDiv w:val="1"/>
      <w:marLeft w:val="0"/>
      <w:marRight w:val="0"/>
      <w:marTop w:val="0"/>
      <w:marBottom w:val="0"/>
      <w:divBdr>
        <w:top w:val="none" w:sz="0" w:space="0" w:color="auto"/>
        <w:left w:val="none" w:sz="0" w:space="0" w:color="auto"/>
        <w:bottom w:val="none" w:sz="0" w:space="0" w:color="auto"/>
        <w:right w:val="none" w:sz="0" w:space="0" w:color="auto"/>
      </w:divBdr>
    </w:div>
    <w:div w:id="1831939434">
      <w:bodyDiv w:val="1"/>
      <w:marLeft w:val="0"/>
      <w:marRight w:val="0"/>
      <w:marTop w:val="0"/>
      <w:marBottom w:val="0"/>
      <w:divBdr>
        <w:top w:val="none" w:sz="0" w:space="0" w:color="auto"/>
        <w:left w:val="none" w:sz="0" w:space="0" w:color="auto"/>
        <w:bottom w:val="none" w:sz="0" w:space="0" w:color="auto"/>
        <w:right w:val="none" w:sz="0" w:space="0" w:color="auto"/>
      </w:divBdr>
    </w:div>
    <w:div w:id="1833717728">
      <w:bodyDiv w:val="1"/>
      <w:marLeft w:val="0"/>
      <w:marRight w:val="0"/>
      <w:marTop w:val="0"/>
      <w:marBottom w:val="0"/>
      <w:divBdr>
        <w:top w:val="none" w:sz="0" w:space="0" w:color="auto"/>
        <w:left w:val="none" w:sz="0" w:space="0" w:color="auto"/>
        <w:bottom w:val="none" w:sz="0" w:space="0" w:color="auto"/>
        <w:right w:val="none" w:sz="0" w:space="0" w:color="auto"/>
      </w:divBdr>
    </w:div>
    <w:div w:id="1834642377">
      <w:bodyDiv w:val="1"/>
      <w:marLeft w:val="0"/>
      <w:marRight w:val="0"/>
      <w:marTop w:val="0"/>
      <w:marBottom w:val="0"/>
      <w:divBdr>
        <w:top w:val="none" w:sz="0" w:space="0" w:color="auto"/>
        <w:left w:val="none" w:sz="0" w:space="0" w:color="auto"/>
        <w:bottom w:val="none" w:sz="0" w:space="0" w:color="auto"/>
        <w:right w:val="none" w:sz="0" w:space="0" w:color="auto"/>
      </w:divBdr>
    </w:div>
    <w:div w:id="1835992279">
      <w:bodyDiv w:val="1"/>
      <w:marLeft w:val="0"/>
      <w:marRight w:val="0"/>
      <w:marTop w:val="0"/>
      <w:marBottom w:val="0"/>
      <w:divBdr>
        <w:top w:val="none" w:sz="0" w:space="0" w:color="auto"/>
        <w:left w:val="none" w:sz="0" w:space="0" w:color="auto"/>
        <w:bottom w:val="none" w:sz="0" w:space="0" w:color="auto"/>
        <w:right w:val="none" w:sz="0" w:space="0" w:color="auto"/>
      </w:divBdr>
    </w:div>
    <w:div w:id="1837572800">
      <w:bodyDiv w:val="1"/>
      <w:marLeft w:val="0"/>
      <w:marRight w:val="0"/>
      <w:marTop w:val="0"/>
      <w:marBottom w:val="0"/>
      <w:divBdr>
        <w:top w:val="none" w:sz="0" w:space="0" w:color="auto"/>
        <w:left w:val="none" w:sz="0" w:space="0" w:color="auto"/>
        <w:bottom w:val="none" w:sz="0" w:space="0" w:color="auto"/>
        <w:right w:val="none" w:sz="0" w:space="0" w:color="auto"/>
      </w:divBdr>
    </w:div>
    <w:div w:id="1837844398">
      <w:bodyDiv w:val="1"/>
      <w:marLeft w:val="0"/>
      <w:marRight w:val="0"/>
      <w:marTop w:val="0"/>
      <w:marBottom w:val="0"/>
      <w:divBdr>
        <w:top w:val="none" w:sz="0" w:space="0" w:color="auto"/>
        <w:left w:val="none" w:sz="0" w:space="0" w:color="auto"/>
        <w:bottom w:val="none" w:sz="0" w:space="0" w:color="auto"/>
        <w:right w:val="none" w:sz="0" w:space="0" w:color="auto"/>
      </w:divBdr>
    </w:div>
    <w:div w:id="1838694753">
      <w:bodyDiv w:val="1"/>
      <w:marLeft w:val="0"/>
      <w:marRight w:val="0"/>
      <w:marTop w:val="0"/>
      <w:marBottom w:val="0"/>
      <w:divBdr>
        <w:top w:val="none" w:sz="0" w:space="0" w:color="auto"/>
        <w:left w:val="none" w:sz="0" w:space="0" w:color="auto"/>
        <w:bottom w:val="none" w:sz="0" w:space="0" w:color="auto"/>
        <w:right w:val="none" w:sz="0" w:space="0" w:color="auto"/>
      </w:divBdr>
    </w:div>
    <w:div w:id="1839803010">
      <w:bodyDiv w:val="1"/>
      <w:marLeft w:val="0"/>
      <w:marRight w:val="0"/>
      <w:marTop w:val="0"/>
      <w:marBottom w:val="0"/>
      <w:divBdr>
        <w:top w:val="none" w:sz="0" w:space="0" w:color="auto"/>
        <w:left w:val="none" w:sz="0" w:space="0" w:color="auto"/>
        <w:bottom w:val="none" w:sz="0" w:space="0" w:color="auto"/>
        <w:right w:val="none" w:sz="0" w:space="0" w:color="auto"/>
      </w:divBdr>
    </w:div>
    <w:div w:id="1840460130">
      <w:bodyDiv w:val="1"/>
      <w:marLeft w:val="0"/>
      <w:marRight w:val="0"/>
      <w:marTop w:val="0"/>
      <w:marBottom w:val="0"/>
      <w:divBdr>
        <w:top w:val="none" w:sz="0" w:space="0" w:color="auto"/>
        <w:left w:val="none" w:sz="0" w:space="0" w:color="auto"/>
        <w:bottom w:val="none" w:sz="0" w:space="0" w:color="auto"/>
        <w:right w:val="none" w:sz="0" w:space="0" w:color="auto"/>
      </w:divBdr>
    </w:div>
    <w:div w:id="1840466825">
      <w:bodyDiv w:val="1"/>
      <w:marLeft w:val="0"/>
      <w:marRight w:val="0"/>
      <w:marTop w:val="0"/>
      <w:marBottom w:val="0"/>
      <w:divBdr>
        <w:top w:val="none" w:sz="0" w:space="0" w:color="auto"/>
        <w:left w:val="none" w:sz="0" w:space="0" w:color="auto"/>
        <w:bottom w:val="none" w:sz="0" w:space="0" w:color="auto"/>
        <w:right w:val="none" w:sz="0" w:space="0" w:color="auto"/>
      </w:divBdr>
    </w:div>
    <w:div w:id="1841001248">
      <w:bodyDiv w:val="1"/>
      <w:marLeft w:val="0"/>
      <w:marRight w:val="0"/>
      <w:marTop w:val="0"/>
      <w:marBottom w:val="0"/>
      <w:divBdr>
        <w:top w:val="none" w:sz="0" w:space="0" w:color="auto"/>
        <w:left w:val="none" w:sz="0" w:space="0" w:color="auto"/>
        <w:bottom w:val="none" w:sz="0" w:space="0" w:color="auto"/>
        <w:right w:val="none" w:sz="0" w:space="0" w:color="auto"/>
      </w:divBdr>
    </w:div>
    <w:div w:id="1844853678">
      <w:bodyDiv w:val="1"/>
      <w:marLeft w:val="0"/>
      <w:marRight w:val="0"/>
      <w:marTop w:val="0"/>
      <w:marBottom w:val="0"/>
      <w:divBdr>
        <w:top w:val="none" w:sz="0" w:space="0" w:color="auto"/>
        <w:left w:val="none" w:sz="0" w:space="0" w:color="auto"/>
        <w:bottom w:val="none" w:sz="0" w:space="0" w:color="auto"/>
        <w:right w:val="none" w:sz="0" w:space="0" w:color="auto"/>
      </w:divBdr>
    </w:div>
    <w:div w:id="1848791930">
      <w:bodyDiv w:val="1"/>
      <w:marLeft w:val="0"/>
      <w:marRight w:val="0"/>
      <w:marTop w:val="0"/>
      <w:marBottom w:val="0"/>
      <w:divBdr>
        <w:top w:val="none" w:sz="0" w:space="0" w:color="auto"/>
        <w:left w:val="none" w:sz="0" w:space="0" w:color="auto"/>
        <w:bottom w:val="none" w:sz="0" w:space="0" w:color="auto"/>
        <w:right w:val="none" w:sz="0" w:space="0" w:color="auto"/>
      </w:divBdr>
    </w:div>
    <w:div w:id="1848982743">
      <w:bodyDiv w:val="1"/>
      <w:marLeft w:val="0"/>
      <w:marRight w:val="0"/>
      <w:marTop w:val="0"/>
      <w:marBottom w:val="0"/>
      <w:divBdr>
        <w:top w:val="none" w:sz="0" w:space="0" w:color="auto"/>
        <w:left w:val="none" w:sz="0" w:space="0" w:color="auto"/>
        <w:bottom w:val="none" w:sz="0" w:space="0" w:color="auto"/>
        <w:right w:val="none" w:sz="0" w:space="0" w:color="auto"/>
      </w:divBdr>
    </w:div>
    <w:div w:id="1849754659">
      <w:bodyDiv w:val="1"/>
      <w:marLeft w:val="0"/>
      <w:marRight w:val="0"/>
      <w:marTop w:val="0"/>
      <w:marBottom w:val="0"/>
      <w:divBdr>
        <w:top w:val="none" w:sz="0" w:space="0" w:color="auto"/>
        <w:left w:val="none" w:sz="0" w:space="0" w:color="auto"/>
        <w:bottom w:val="none" w:sz="0" w:space="0" w:color="auto"/>
        <w:right w:val="none" w:sz="0" w:space="0" w:color="auto"/>
      </w:divBdr>
    </w:div>
    <w:div w:id="1851292551">
      <w:bodyDiv w:val="1"/>
      <w:marLeft w:val="0"/>
      <w:marRight w:val="0"/>
      <w:marTop w:val="0"/>
      <w:marBottom w:val="0"/>
      <w:divBdr>
        <w:top w:val="none" w:sz="0" w:space="0" w:color="auto"/>
        <w:left w:val="none" w:sz="0" w:space="0" w:color="auto"/>
        <w:bottom w:val="none" w:sz="0" w:space="0" w:color="auto"/>
        <w:right w:val="none" w:sz="0" w:space="0" w:color="auto"/>
      </w:divBdr>
    </w:div>
    <w:div w:id="1851481408">
      <w:bodyDiv w:val="1"/>
      <w:marLeft w:val="0"/>
      <w:marRight w:val="0"/>
      <w:marTop w:val="0"/>
      <w:marBottom w:val="0"/>
      <w:divBdr>
        <w:top w:val="none" w:sz="0" w:space="0" w:color="auto"/>
        <w:left w:val="none" w:sz="0" w:space="0" w:color="auto"/>
        <w:bottom w:val="none" w:sz="0" w:space="0" w:color="auto"/>
        <w:right w:val="none" w:sz="0" w:space="0" w:color="auto"/>
      </w:divBdr>
    </w:div>
    <w:div w:id="1853032559">
      <w:bodyDiv w:val="1"/>
      <w:marLeft w:val="0"/>
      <w:marRight w:val="0"/>
      <w:marTop w:val="0"/>
      <w:marBottom w:val="0"/>
      <w:divBdr>
        <w:top w:val="none" w:sz="0" w:space="0" w:color="auto"/>
        <w:left w:val="none" w:sz="0" w:space="0" w:color="auto"/>
        <w:bottom w:val="none" w:sz="0" w:space="0" w:color="auto"/>
        <w:right w:val="none" w:sz="0" w:space="0" w:color="auto"/>
      </w:divBdr>
    </w:div>
    <w:div w:id="1854761603">
      <w:bodyDiv w:val="1"/>
      <w:marLeft w:val="0"/>
      <w:marRight w:val="0"/>
      <w:marTop w:val="0"/>
      <w:marBottom w:val="0"/>
      <w:divBdr>
        <w:top w:val="none" w:sz="0" w:space="0" w:color="auto"/>
        <w:left w:val="none" w:sz="0" w:space="0" w:color="auto"/>
        <w:bottom w:val="none" w:sz="0" w:space="0" w:color="auto"/>
        <w:right w:val="none" w:sz="0" w:space="0" w:color="auto"/>
      </w:divBdr>
    </w:div>
    <w:div w:id="1855726438">
      <w:bodyDiv w:val="1"/>
      <w:marLeft w:val="0"/>
      <w:marRight w:val="0"/>
      <w:marTop w:val="0"/>
      <w:marBottom w:val="0"/>
      <w:divBdr>
        <w:top w:val="none" w:sz="0" w:space="0" w:color="auto"/>
        <w:left w:val="none" w:sz="0" w:space="0" w:color="auto"/>
        <w:bottom w:val="none" w:sz="0" w:space="0" w:color="auto"/>
        <w:right w:val="none" w:sz="0" w:space="0" w:color="auto"/>
      </w:divBdr>
    </w:div>
    <w:div w:id="1856579227">
      <w:bodyDiv w:val="1"/>
      <w:marLeft w:val="0"/>
      <w:marRight w:val="0"/>
      <w:marTop w:val="0"/>
      <w:marBottom w:val="0"/>
      <w:divBdr>
        <w:top w:val="none" w:sz="0" w:space="0" w:color="auto"/>
        <w:left w:val="none" w:sz="0" w:space="0" w:color="auto"/>
        <w:bottom w:val="none" w:sz="0" w:space="0" w:color="auto"/>
        <w:right w:val="none" w:sz="0" w:space="0" w:color="auto"/>
      </w:divBdr>
    </w:div>
    <w:div w:id="1856965993">
      <w:bodyDiv w:val="1"/>
      <w:marLeft w:val="0"/>
      <w:marRight w:val="0"/>
      <w:marTop w:val="0"/>
      <w:marBottom w:val="0"/>
      <w:divBdr>
        <w:top w:val="none" w:sz="0" w:space="0" w:color="auto"/>
        <w:left w:val="none" w:sz="0" w:space="0" w:color="auto"/>
        <w:bottom w:val="none" w:sz="0" w:space="0" w:color="auto"/>
        <w:right w:val="none" w:sz="0" w:space="0" w:color="auto"/>
      </w:divBdr>
    </w:div>
    <w:div w:id="1857114578">
      <w:bodyDiv w:val="1"/>
      <w:marLeft w:val="0"/>
      <w:marRight w:val="0"/>
      <w:marTop w:val="0"/>
      <w:marBottom w:val="0"/>
      <w:divBdr>
        <w:top w:val="none" w:sz="0" w:space="0" w:color="auto"/>
        <w:left w:val="none" w:sz="0" w:space="0" w:color="auto"/>
        <w:bottom w:val="none" w:sz="0" w:space="0" w:color="auto"/>
        <w:right w:val="none" w:sz="0" w:space="0" w:color="auto"/>
      </w:divBdr>
    </w:div>
    <w:div w:id="1857965109">
      <w:bodyDiv w:val="1"/>
      <w:marLeft w:val="0"/>
      <w:marRight w:val="0"/>
      <w:marTop w:val="0"/>
      <w:marBottom w:val="0"/>
      <w:divBdr>
        <w:top w:val="none" w:sz="0" w:space="0" w:color="auto"/>
        <w:left w:val="none" w:sz="0" w:space="0" w:color="auto"/>
        <w:bottom w:val="none" w:sz="0" w:space="0" w:color="auto"/>
        <w:right w:val="none" w:sz="0" w:space="0" w:color="auto"/>
      </w:divBdr>
    </w:div>
    <w:div w:id="1858737305">
      <w:bodyDiv w:val="1"/>
      <w:marLeft w:val="0"/>
      <w:marRight w:val="0"/>
      <w:marTop w:val="0"/>
      <w:marBottom w:val="0"/>
      <w:divBdr>
        <w:top w:val="none" w:sz="0" w:space="0" w:color="auto"/>
        <w:left w:val="none" w:sz="0" w:space="0" w:color="auto"/>
        <w:bottom w:val="none" w:sz="0" w:space="0" w:color="auto"/>
        <w:right w:val="none" w:sz="0" w:space="0" w:color="auto"/>
      </w:divBdr>
    </w:div>
    <w:div w:id="1861774689">
      <w:bodyDiv w:val="1"/>
      <w:marLeft w:val="0"/>
      <w:marRight w:val="0"/>
      <w:marTop w:val="0"/>
      <w:marBottom w:val="0"/>
      <w:divBdr>
        <w:top w:val="none" w:sz="0" w:space="0" w:color="auto"/>
        <w:left w:val="none" w:sz="0" w:space="0" w:color="auto"/>
        <w:bottom w:val="none" w:sz="0" w:space="0" w:color="auto"/>
        <w:right w:val="none" w:sz="0" w:space="0" w:color="auto"/>
      </w:divBdr>
    </w:div>
    <w:div w:id="1862014791">
      <w:bodyDiv w:val="1"/>
      <w:marLeft w:val="0"/>
      <w:marRight w:val="0"/>
      <w:marTop w:val="0"/>
      <w:marBottom w:val="0"/>
      <w:divBdr>
        <w:top w:val="none" w:sz="0" w:space="0" w:color="auto"/>
        <w:left w:val="none" w:sz="0" w:space="0" w:color="auto"/>
        <w:bottom w:val="none" w:sz="0" w:space="0" w:color="auto"/>
        <w:right w:val="none" w:sz="0" w:space="0" w:color="auto"/>
      </w:divBdr>
    </w:div>
    <w:div w:id="1862165036">
      <w:bodyDiv w:val="1"/>
      <w:marLeft w:val="0"/>
      <w:marRight w:val="0"/>
      <w:marTop w:val="0"/>
      <w:marBottom w:val="0"/>
      <w:divBdr>
        <w:top w:val="none" w:sz="0" w:space="0" w:color="auto"/>
        <w:left w:val="none" w:sz="0" w:space="0" w:color="auto"/>
        <w:bottom w:val="none" w:sz="0" w:space="0" w:color="auto"/>
        <w:right w:val="none" w:sz="0" w:space="0" w:color="auto"/>
      </w:divBdr>
    </w:div>
    <w:div w:id="1862933427">
      <w:bodyDiv w:val="1"/>
      <w:marLeft w:val="0"/>
      <w:marRight w:val="0"/>
      <w:marTop w:val="0"/>
      <w:marBottom w:val="0"/>
      <w:divBdr>
        <w:top w:val="none" w:sz="0" w:space="0" w:color="auto"/>
        <w:left w:val="none" w:sz="0" w:space="0" w:color="auto"/>
        <w:bottom w:val="none" w:sz="0" w:space="0" w:color="auto"/>
        <w:right w:val="none" w:sz="0" w:space="0" w:color="auto"/>
      </w:divBdr>
    </w:div>
    <w:div w:id="1863089415">
      <w:bodyDiv w:val="1"/>
      <w:marLeft w:val="0"/>
      <w:marRight w:val="0"/>
      <w:marTop w:val="0"/>
      <w:marBottom w:val="0"/>
      <w:divBdr>
        <w:top w:val="none" w:sz="0" w:space="0" w:color="auto"/>
        <w:left w:val="none" w:sz="0" w:space="0" w:color="auto"/>
        <w:bottom w:val="none" w:sz="0" w:space="0" w:color="auto"/>
        <w:right w:val="none" w:sz="0" w:space="0" w:color="auto"/>
      </w:divBdr>
    </w:div>
    <w:div w:id="1863586505">
      <w:bodyDiv w:val="1"/>
      <w:marLeft w:val="0"/>
      <w:marRight w:val="0"/>
      <w:marTop w:val="0"/>
      <w:marBottom w:val="0"/>
      <w:divBdr>
        <w:top w:val="none" w:sz="0" w:space="0" w:color="auto"/>
        <w:left w:val="none" w:sz="0" w:space="0" w:color="auto"/>
        <w:bottom w:val="none" w:sz="0" w:space="0" w:color="auto"/>
        <w:right w:val="none" w:sz="0" w:space="0" w:color="auto"/>
      </w:divBdr>
    </w:div>
    <w:div w:id="1865093086">
      <w:bodyDiv w:val="1"/>
      <w:marLeft w:val="0"/>
      <w:marRight w:val="0"/>
      <w:marTop w:val="0"/>
      <w:marBottom w:val="0"/>
      <w:divBdr>
        <w:top w:val="none" w:sz="0" w:space="0" w:color="auto"/>
        <w:left w:val="none" w:sz="0" w:space="0" w:color="auto"/>
        <w:bottom w:val="none" w:sz="0" w:space="0" w:color="auto"/>
        <w:right w:val="none" w:sz="0" w:space="0" w:color="auto"/>
      </w:divBdr>
    </w:div>
    <w:div w:id="1866095753">
      <w:bodyDiv w:val="1"/>
      <w:marLeft w:val="0"/>
      <w:marRight w:val="0"/>
      <w:marTop w:val="0"/>
      <w:marBottom w:val="0"/>
      <w:divBdr>
        <w:top w:val="none" w:sz="0" w:space="0" w:color="auto"/>
        <w:left w:val="none" w:sz="0" w:space="0" w:color="auto"/>
        <w:bottom w:val="none" w:sz="0" w:space="0" w:color="auto"/>
        <w:right w:val="none" w:sz="0" w:space="0" w:color="auto"/>
      </w:divBdr>
    </w:div>
    <w:div w:id="1867985430">
      <w:bodyDiv w:val="1"/>
      <w:marLeft w:val="0"/>
      <w:marRight w:val="0"/>
      <w:marTop w:val="0"/>
      <w:marBottom w:val="0"/>
      <w:divBdr>
        <w:top w:val="none" w:sz="0" w:space="0" w:color="auto"/>
        <w:left w:val="none" w:sz="0" w:space="0" w:color="auto"/>
        <w:bottom w:val="none" w:sz="0" w:space="0" w:color="auto"/>
        <w:right w:val="none" w:sz="0" w:space="0" w:color="auto"/>
      </w:divBdr>
    </w:div>
    <w:div w:id="1877699853">
      <w:bodyDiv w:val="1"/>
      <w:marLeft w:val="0"/>
      <w:marRight w:val="0"/>
      <w:marTop w:val="0"/>
      <w:marBottom w:val="0"/>
      <w:divBdr>
        <w:top w:val="none" w:sz="0" w:space="0" w:color="auto"/>
        <w:left w:val="none" w:sz="0" w:space="0" w:color="auto"/>
        <w:bottom w:val="none" w:sz="0" w:space="0" w:color="auto"/>
        <w:right w:val="none" w:sz="0" w:space="0" w:color="auto"/>
      </w:divBdr>
    </w:div>
    <w:div w:id="1878076963">
      <w:bodyDiv w:val="1"/>
      <w:marLeft w:val="0"/>
      <w:marRight w:val="0"/>
      <w:marTop w:val="0"/>
      <w:marBottom w:val="0"/>
      <w:divBdr>
        <w:top w:val="none" w:sz="0" w:space="0" w:color="auto"/>
        <w:left w:val="none" w:sz="0" w:space="0" w:color="auto"/>
        <w:bottom w:val="none" w:sz="0" w:space="0" w:color="auto"/>
        <w:right w:val="none" w:sz="0" w:space="0" w:color="auto"/>
      </w:divBdr>
    </w:div>
    <w:div w:id="1879195138">
      <w:bodyDiv w:val="1"/>
      <w:marLeft w:val="0"/>
      <w:marRight w:val="0"/>
      <w:marTop w:val="0"/>
      <w:marBottom w:val="0"/>
      <w:divBdr>
        <w:top w:val="none" w:sz="0" w:space="0" w:color="auto"/>
        <w:left w:val="none" w:sz="0" w:space="0" w:color="auto"/>
        <w:bottom w:val="none" w:sz="0" w:space="0" w:color="auto"/>
        <w:right w:val="none" w:sz="0" w:space="0" w:color="auto"/>
      </w:divBdr>
    </w:div>
    <w:div w:id="1879389439">
      <w:bodyDiv w:val="1"/>
      <w:marLeft w:val="0"/>
      <w:marRight w:val="0"/>
      <w:marTop w:val="0"/>
      <w:marBottom w:val="0"/>
      <w:divBdr>
        <w:top w:val="none" w:sz="0" w:space="0" w:color="auto"/>
        <w:left w:val="none" w:sz="0" w:space="0" w:color="auto"/>
        <w:bottom w:val="none" w:sz="0" w:space="0" w:color="auto"/>
        <w:right w:val="none" w:sz="0" w:space="0" w:color="auto"/>
      </w:divBdr>
    </w:div>
    <w:div w:id="1879514054">
      <w:bodyDiv w:val="1"/>
      <w:marLeft w:val="0"/>
      <w:marRight w:val="0"/>
      <w:marTop w:val="0"/>
      <w:marBottom w:val="0"/>
      <w:divBdr>
        <w:top w:val="none" w:sz="0" w:space="0" w:color="auto"/>
        <w:left w:val="none" w:sz="0" w:space="0" w:color="auto"/>
        <w:bottom w:val="none" w:sz="0" w:space="0" w:color="auto"/>
        <w:right w:val="none" w:sz="0" w:space="0" w:color="auto"/>
      </w:divBdr>
    </w:div>
    <w:div w:id="1880124973">
      <w:bodyDiv w:val="1"/>
      <w:marLeft w:val="0"/>
      <w:marRight w:val="0"/>
      <w:marTop w:val="0"/>
      <w:marBottom w:val="0"/>
      <w:divBdr>
        <w:top w:val="none" w:sz="0" w:space="0" w:color="auto"/>
        <w:left w:val="none" w:sz="0" w:space="0" w:color="auto"/>
        <w:bottom w:val="none" w:sz="0" w:space="0" w:color="auto"/>
        <w:right w:val="none" w:sz="0" w:space="0" w:color="auto"/>
      </w:divBdr>
    </w:div>
    <w:div w:id="1882672736">
      <w:bodyDiv w:val="1"/>
      <w:marLeft w:val="0"/>
      <w:marRight w:val="0"/>
      <w:marTop w:val="0"/>
      <w:marBottom w:val="0"/>
      <w:divBdr>
        <w:top w:val="none" w:sz="0" w:space="0" w:color="auto"/>
        <w:left w:val="none" w:sz="0" w:space="0" w:color="auto"/>
        <w:bottom w:val="none" w:sz="0" w:space="0" w:color="auto"/>
        <w:right w:val="none" w:sz="0" w:space="0" w:color="auto"/>
      </w:divBdr>
    </w:div>
    <w:div w:id="1882742310">
      <w:bodyDiv w:val="1"/>
      <w:marLeft w:val="0"/>
      <w:marRight w:val="0"/>
      <w:marTop w:val="0"/>
      <w:marBottom w:val="0"/>
      <w:divBdr>
        <w:top w:val="none" w:sz="0" w:space="0" w:color="auto"/>
        <w:left w:val="none" w:sz="0" w:space="0" w:color="auto"/>
        <w:bottom w:val="none" w:sz="0" w:space="0" w:color="auto"/>
        <w:right w:val="none" w:sz="0" w:space="0" w:color="auto"/>
      </w:divBdr>
    </w:div>
    <w:div w:id="1883010275">
      <w:bodyDiv w:val="1"/>
      <w:marLeft w:val="0"/>
      <w:marRight w:val="0"/>
      <w:marTop w:val="0"/>
      <w:marBottom w:val="0"/>
      <w:divBdr>
        <w:top w:val="none" w:sz="0" w:space="0" w:color="auto"/>
        <w:left w:val="none" w:sz="0" w:space="0" w:color="auto"/>
        <w:bottom w:val="none" w:sz="0" w:space="0" w:color="auto"/>
        <w:right w:val="none" w:sz="0" w:space="0" w:color="auto"/>
      </w:divBdr>
    </w:div>
    <w:div w:id="1883903827">
      <w:bodyDiv w:val="1"/>
      <w:marLeft w:val="0"/>
      <w:marRight w:val="0"/>
      <w:marTop w:val="0"/>
      <w:marBottom w:val="0"/>
      <w:divBdr>
        <w:top w:val="none" w:sz="0" w:space="0" w:color="auto"/>
        <w:left w:val="none" w:sz="0" w:space="0" w:color="auto"/>
        <w:bottom w:val="none" w:sz="0" w:space="0" w:color="auto"/>
        <w:right w:val="none" w:sz="0" w:space="0" w:color="auto"/>
      </w:divBdr>
    </w:div>
    <w:div w:id="1885143661">
      <w:bodyDiv w:val="1"/>
      <w:marLeft w:val="0"/>
      <w:marRight w:val="0"/>
      <w:marTop w:val="0"/>
      <w:marBottom w:val="0"/>
      <w:divBdr>
        <w:top w:val="none" w:sz="0" w:space="0" w:color="auto"/>
        <w:left w:val="none" w:sz="0" w:space="0" w:color="auto"/>
        <w:bottom w:val="none" w:sz="0" w:space="0" w:color="auto"/>
        <w:right w:val="none" w:sz="0" w:space="0" w:color="auto"/>
      </w:divBdr>
    </w:div>
    <w:div w:id="1885753909">
      <w:bodyDiv w:val="1"/>
      <w:marLeft w:val="0"/>
      <w:marRight w:val="0"/>
      <w:marTop w:val="0"/>
      <w:marBottom w:val="0"/>
      <w:divBdr>
        <w:top w:val="none" w:sz="0" w:space="0" w:color="auto"/>
        <w:left w:val="none" w:sz="0" w:space="0" w:color="auto"/>
        <w:bottom w:val="none" w:sz="0" w:space="0" w:color="auto"/>
        <w:right w:val="none" w:sz="0" w:space="0" w:color="auto"/>
      </w:divBdr>
    </w:div>
    <w:div w:id="1886020606">
      <w:bodyDiv w:val="1"/>
      <w:marLeft w:val="0"/>
      <w:marRight w:val="0"/>
      <w:marTop w:val="0"/>
      <w:marBottom w:val="0"/>
      <w:divBdr>
        <w:top w:val="none" w:sz="0" w:space="0" w:color="auto"/>
        <w:left w:val="none" w:sz="0" w:space="0" w:color="auto"/>
        <w:bottom w:val="none" w:sz="0" w:space="0" w:color="auto"/>
        <w:right w:val="none" w:sz="0" w:space="0" w:color="auto"/>
      </w:divBdr>
    </w:div>
    <w:div w:id="1890065536">
      <w:bodyDiv w:val="1"/>
      <w:marLeft w:val="0"/>
      <w:marRight w:val="0"/>
      <w:marTop w:val="0"/>
      <w:marBottom w:val="0"/>
      <w:divBdr>
        <w:top w:val="none" w:sz="0" w:space="0" w:color="auto"/>
        <w:left w:val="none" w:sz="0" w:space="0" w:color="auto"/>
        <w:bottom w:val="none" w:sz="0" w:space="0" w:color="auto"/>
        <w:right w:val="none" w:sz="0" w:space="0" w:color="auto"/>
      </w:divBdr>
    </w:div>
    <w:div w:id="1890725709">
      <w:bodyDiv w:val="1"/>
      <w:marLeft w:val="0"/>
      <w:marRight w:val="0"/>
      <w:marTop w:val="0"/>
      <w:marBottom w:val="0"/>
      <w:divBdr>
        <w:top w:val="none" w:sz="0" w:space="0" w:color="auto"/>
        <w:left w:val="none" w:sz="0" w:space="0" w:color="auto"/>
        <w:bottom w:val="none" w:sz="0" w:space="0" w:color="auto"/>
        <w:right w:val="none" w:sz="0" w:space="0" w:color="auto"/>
      </w:divBdr>
    </w:div>
    <w:div w:id="1891648357">
      <w:bodyDiv w:val="1"/>
      <w:marLeft w:val="0"/>
      <w:marRight w:val="0"/>
      <w:marTop w:val="0"/>
      <w:marBottom w:val="0"/>
      <w:divBdr>
        <w:top w:val="none" w:sz="0" w:space="0" w:color="auto"/>
        <w:left w:val="none" w:sz="0" w:space="0" w:color="auto"/>
        <w:bottom w:val="none" w:sz="0" w:space="0" w:color="auto"/>
        <w:right w:val="none" w:sz="0" w:space="0" w:color="auto"/>
      </w:divBdr>
    </w:div>
    <w:div w:id="1896160904">
      <w:bodyDiv w:val="1"/>
      <w:marLeft w:val="0"/>
      <w:marRight w:val="0"/>
      <w:marTop w:val="0"/>
      <w:marBottom w:val="0"/>
      <w:divBdr>
        <w:top w:val="none" w:sz="0" w:space="0" w:color="auto"/>
        <w:left w:val="none" w:sz="0" w:space="0" w:color="auto"/>
        <w:bottom w:val="none" w:sz="0" w:space="0" w:color="auto"/>
        <w:right w:val="none" w:sz="0" w:space="0" w:color="auto"/>
      </w:divBdr>
    </w:div>
    <w:div w:id="1898934688">
      <w:bodyDiv w:val="1"/>
      <w:marLeft w:val="0"/>
      <w:marRight w:val="0"/>
      <w:marTop w:val="0"/>
      <w:marBottom w:val="0"/>
      <w:divBdr>
        <w:top w:val="none" w:sz="0" w:space="0" w:color="auto"/>
        <w:left w:val="none" w:sz="0" w:space="0" w:color="auto"/>
        <w:bottom w:val="none" w:sz="0" w:space="0" w:color="auto"/>
        <w:right w:val="none" w:sz="0" w:space="0" w:color="auto"/>
      </w:divBdr>
    </w:div>
    <w:div w:id="1905292842">
      <w:bodyDiv w:val="1"/>
      <w:marLeft w:val="0"/>
      <w:marRight w:val="0"/>
      <w:marTop w:val="0"/>
      <w:marBottom w:val="0"/>
      <w:divBdr>
        <w:top w:val="none" w:sz="0" w:space="0" w:color="auto"/>
        <w:left w:val="none" w:sz="0" w:space="0" w:color="auto"/>
        <w:bottom w:val="none" w:sz="0" w:space="0" w:color="auto"/>
        <w:right w:val="none" w:sz="0" w:space="0" w:color="auto"/>
      </w:divBdr>
    </w:div>
    <w:div w:id="1907715418">
      <w:bodyDiv w:val="1"/>
      <w:marLeft w:val="0"/>
      <w:marRight w:val="0"/>
      <w:marTop w:val="0"/>
      <w:marBottom w:val="0"/>
      <w:divBdr>
        <w:top w:val="none" w:sz="0" w:space="0" w:color="auto"/>
        <w:left w:val="none" w:sz="0" w:space="0" w:color="auto"/>
        <w:bottom w:val="none" w:sz="0" w:space="0" w:color="auto"/>
        <w:right w:val="none" w:sz="0" w:space="0" w:color="auto"/>
      </w:divBdr>
    </w:div>
    <w:div w:id="1909723093">
      <w:bodyDiv w:val="1"/>
      <w:marLeft w:val="0"/>
      <w:marRight w:val="0"/>
      <w:marTop w:val="0"/>
      <w:marBottom w:val="0"/>
      <w:divBdr>
        <w:top w:val="none" w:sz="0" w:space="0" w:color="auto"/>
        <w:left w:val="none" w:sz="0" w:space="0" w:color="auto"/>
        <w:bottom w:val="none" w:sz="0" w:space="0" w:color="auto"/>
        <w:right w:val="none" w:sz="0" w:space="0" w:color="auto"/>
      </w:divBdr>
    </w:div>
    <w:div w:id="1912738708">
      <w:bodyDiv w:val="1"/>
      <w:marLeft w:val="0"/>
      <w:marRight w:val="0"/>
      <w:marTop w:val="0"/>
      <w:marBottom w:val="0"/>
      <w:divBdr>
        <w:top w:val="none" w:sz="0" w:space="0" w:color="auto"/>
        <w:left w:val="none" w:sz="0" w:space="0" w:color="auto"/>
        <w:bottom w:val="none" w:sz="0" w:space="0" w:color="auto"/>
        <w:right w:val="none" w:sz="0" w:space="0" w:color="auto"/>
      </w:divBdr>
    </w:div>
    <w:div w:id="1913736151">
      <w:bodyDiv w:val="1"/>
      <w:marLeft w:val="0"/>
      <w:marRight w:val="0"/>
      <w:marTop w:val="0"/>
      <w:marBottom w:val="0"/>
      <w:divBdr>
        <w:top w:val="none" w:sz="0" w:space="0" w:color="auto"/>
        <w:left w:val="none" w:sz="0" w:space="0" w:color="auto"/>
        <w:bottom w:val="none" w:sz="0" w:space="0" w:color="auto"/>
        <w:right w:val="none" w:sz="0" w:space="0" w:color="auto"/>
      </w:divBdr>
    </w:div>
    <w:div w:id="1915969878">
      <w:bodyDiv w:val="1"/>
      <w:marLeft w:val="0"/>
      <w:marRight w:val="0"/>
      <w:marTop w:val="0"/>
      <w:marBottom w:val="0"/>
      <w:divBdr>
        <w:top w:val="none" w:sz="0" w:space="0" w:color="auto"/>
        <w:left w:val="none" w:sz="0" w:space="0" w:color="auto"/>
        <w:bottom w:val="none" w:sz="0" w:space="0" w:color="auto"/>
        <w:right w:val="none" w:sz="0" w:space="0" w:color="auto"/>
      </w:divBdr>
    </w:div>
    <w:div w:id="1916237704">
      <w:bodyDiv w:val="1"/>
      <w:marLeft w:val="0"/>
      <w:marRight w:val="0"/>
      <w:marTop w:val="0"/>
      <w:marBottom w:val="0"/>
      <w:divBdr>
        <w:top w:val="none" w:sz="0" w:space="0" w:color="auto"/>
        <w:left w:val="none" w:sz="0" w:space="0" w:color="auto"/>
        <w:bottom w:val="none" w:sz="0" w:space="0" w:color="auto"/>
        <w:right w:val="none" w:sz="0" w:space="0" w:color="auto"/>
      </w:divBdr>
    </w:div>
    <w:div w:id="1916888832">
      <w:bodyDiv w:val="1"/>
      <w:marLeft w:val="0"/>
      <w:marRight w:val="0"/>
      <w:marTop w:val="0"/>
      <w:marBottom w:val="0"/>
      <w:divBdr>
        <w:top w:val="none" w:sz="0" w:space="0" w:color="auto"/>
        <w:left w:val="none" w:sz="0" w:space="0" w:color="auto"/>
        <w:bottom w:val="none" w:sz="0" w:space="0" w:color="auto"/>
        <w:right w:val="none" w:sz="0" w:space="0" w:color="auto"/>
      </w:divBdr>
    </w:div>
    <w:div w:id="1918127771">
      <w:bodyDiv w:val="1"/>
      <w:marLeft w:val="0"/>
      <w:marRight w:val="0"/>
      <w:marTop w:val="0"/>
      <w:marBottom w:val="0"/>
      <w:divBdr>
        <w:top w:val="none" w:sz="0" w:space="0" w:color="auto"/>
        <w:left w:val="none" w:sz="0" w:space="0" w:color="auto"/>
        <w:bottom w:val="none" w:sz="0" w:space="0" w:color="auto"/>
        <w:right w:val="none" w:sz="0" w:space="0" w:color="auto"/>
      </w:divBdr>
    </w:div>
    <w:div w:id="1919821521">
      <w:bodyDiv w:val="1"/>
      <w:marLeft w:val="0"/>
      <w:marRight w:val="0"/>
      <w:marTop w:val="0"/>
      <w:marBottom w:val="0"/>
      <w:divBdr>
        <w:top w:val="none" w:sz="0" w:space="0" w:color="auto"/>
        <w:left w:val="none" w:sz="0" w:space="0" w:color="auto"/>
        <w:bottom w:val="none" w:sz="0" w:space="0" w:color="auto"/>
        <w:right w:val="none" w:sz="0" w:space="0" w:color="auto"/>
      </w:divBdr>
    </w:div>
    <w:div w:id="1923223400">
      <w:bodyDiv w:val="1"/>
      <w:marLeft w:val="0"/>
      <w:marRight w:val="0"/>
      <w:marTop w:val="0"/>
      <w:marBottom w:val="0"/>
      <w:divBdr>
        <w:top w:val="none" w:sz="0" w:space="0" w:color="auto"/>
        <w:left w:val="none" w:sz="0" w:space="0" w:color="auto"/>
        <w:bottom w:val="none" w:sz="0" w:space="0" w:color="auto"/>
        <w:right w:val="none" w:sz="0" w:space="0" w:color="auto"/>
      </w:divBdr>
    </w:div>
    <w:div w:id="1925139062">
      <w:bodyDiv w:val="1"/>
      <w:marLeft w:val="0"/>
      <w:marRight w:val="0"/>
      <w:marTop w:val="0"/>
      <w:marBottom w:val="0"/>
      <w:divBdr>
        <w:top w:val="none" w:sz="0" w:space="0" w:color="auto"/>
        <w:left w:val="none" w:sz="0" w:space="0" w:color="auto"/>
        <w:bottom w:val="none" w:sz="0" w:space="0" w:color="auto"/>
        <w:right w:val="none" w:sz="0" w:space="0" w:color="auto"/>
      </w:divBdr>
    </w:div>
    <w:div w:id="1925189498">
      <w:bodyDiv w:val="1"/>
      <w:marLeft w:val="0"/>
      <w:marRight w:val="0"/>
      <w:marTop w:val="0"/>
      <w:marBottom w:val="0"/>
      <w:divBdr>
        <w:top w:val="none" w:sz="0" w:space="0" w:color="auto"/>
        <w:left w:val="none" w:sz="0" w:space="0" w:color="auto"/>
        <w:bottom w:val="none" w:sz="0" w:space="0" w:color="auto"/>
        <w:right w:val="none" w:sz="0" w:space="0" w:color="auto"/>
      </w:divBdr>
    </w:div>
    <w:div w:id="1925407802">
      <w:bodyDiv w:val="1"/>
      <w:marLeft w:val="0"/>
      <w:marRight w:val="0"/>
      <w:marTop w:val="0"/>
      <w:marBottom w:val="0"/>
      <w:divBdr>
        <w:top w:val="none" w:sz="0" w:space="0" w:color="auto"/>
        <w:left w:val="none" w:sz="0" w:space="0" w:color="auto"/>
        <w:bottom w:val="none" w:sz="0" w:space="0" w:color="auto"/>
        <w:right w:val="none" w:sz="0" w:space="0" w:color="auto"/>
      </w:divBdr>
    </w:div>
    <w:div w:id="1925526160">
      <w:bodyDiv w:val="1"/>
      <w:marLeft w:val="0"/>
      <w:marRight w:val="0"/>
      <w:marTop w:val="0"/>
      <w:marBottom w:val="0"/>
      <w:divBdr>
        <w:top w:val="none" w:sz="0" w:space="0" w:color="auto"/>
        <w:left w:val="none" w:sz="0" w:space="0" w:color="auto"/>
        <w:bottom w:val="none" w:sz="0" w:space="0" w:color="auto"/>
        <w:right w:val="none" w:sz="0" w:space="0" w:color="auto"/>
      </w:divBdr>
    </w:div>
    <w:div w:id="1925645651">
      <w:bodyDiv w:val="1"/>
      <w:marLeft w:val="0"/>
      <w:marRight w:val="0"/>
      <w:marTop w:val="0"/>
      <w:marBottom w:val="0"/>
      <w:divBdr>
        <w:top w:val="none" w:sz="0" w:space="0" w:color="auto"/>
        <w:left w:val="none" w:sz="0" w:space="0" w:color="auto"/>
        <w:bottom w:val="none" w:sz="0" w:space="0" w:color="auto"/>
        <w:right w:val="none" w:sz="0" w:space="0" w:color="auto"/>
      </w:divBdr>
    </w:div>
    <w:div w:id="1927374381">
      <w:bodyDiv w:val="1"/>
      <w:marLeft w:val="0"/>
      <w:marRight w:val="0"/>
      <w:marTop w:val="0"/>
      <w:marBottom w:val="0"/>
      <w:divBdr>
        <w:top w:val="none" w:sz="0" w:space="0" w:color="auto"/>
        <w:left w:val="none" w:sz="0" w:space="0" w:color="auto"/>
        <w:bottom w:val="none" w:sz="0" w:space="0" w:color="auto"/>
        <w:right w:val="none" w:sz="0" w:space="0" w:color="auto"/>
      </w:divBdr>
    </w:div>
    <w:div w:id="1928884305">
      <w:bodyDiv w:val="1"/>
      <w:marLeft w:val="0"/>
      <w:marRight w:val="0"/>
      <w:marTop w:val="0"/>
      <w:marBottom w:val="0"/>
      <w:divBdr>
        <w:top w:val="none" w:sz="0" w:space="0" w:color="auto"/>
        <w:left w:val="none" w:sz="0" w:space="0" w:color="auto"/>
        <w:bottom w:val="none" w:sz="0" w:space="0" w:color="auto"/>
        <w:right w:val="none" w:sz="0" w:space="0" w:color="auto"/>
      </w:divBdr>
    </w:div>
    <w:div w:id="1929728579">
      <w:bodyDiv w:val="1"/>
      <w:marLeft w:val="0"/>
      <w:marRight w:val="0"/>
      <w:marTop w:val="0"/>
      <w:marBottom w:val="0"/>
      <w:divBdr>
        <w:top w:val="none" w:sz="0" w:space="0" w:color="auto"/>
        <w:left w:val="none" w:sz="0" w:space="0" w:color="auto"/>
        <w:bottom w:val="none" w:sz="0" w:space="0" w:color="auto"/>
        <w:right w:val="none" w:sz="0" w:space="0" w:color="auto"/>
      </w:divBdr>
    </w:div>
    <w:div w:id="1931036473">
      <w:bodyDiv w:val="1"/>
      <w:marLeft w:val="0"/>
      <w:marRight w:val="0"/>
      <w:marTop w:val="0"/>
      <w:marBottom w:val="0"/>
      <w:divBdr>
        <w:top w:val="none" w:sz="0" w:space="0" w:color="auto"/>
        <w:left w:val="none" w:sz="0" w:space="0" w:color="auto"/>
        <w:bottom w:val="none" w:sz="0" w:space="0" w:color="auto"/>
        <w:right w:val="none" w:sz="0" w:space="0" w:color="auto"/>
      </w:divBdr>
    </w:div>
    <w:div w:id="1932277277">
      <w:bodyDiv w:val="1"/>
      <w:marLeft w:val="0"/>
      <w:marRight w:val="0"/>
      <w:marTop w:val="0"/>
      <w:marBottom w:val="0"/>
      <w:divBdr>
        <w:top w:val="none" w:sz="0" w:space="0" w:color="auto"/>
        <w:left w:val="none" w:sz="0" w:space="0" w:color="auto"/>
        <w:bottom w:val="none" w:sz="0" w:space="0" w:color="auto"/>
        <w:right w:val="none" w:sz="0" w:space="0" w:color="auto"/>
      </w:divBdr>
    </w:div>
    <w:div w:id="1932739296">
      <w:bodyDiv w:val="1"/>
      <w:marLeft w:val="0"/>
      <w:marRight w:val="0"/>
      <w:marTop w:val="0"/>
      <w:marBottom w:val="0"/>
      <w:divBdr>
        <w:top w:val="none" w:sz="0" w:space="0" w:color="auto"/>
        <w:left w:val="none" w:sz="0" w:space="0" w:color="auto"/>
        <w:bottom w:val="none" w:sz="0" w:space="0" w:color="auto"/>
        <w:right w:val="none" w:sz="0" w:space="0" w:color="auto"/>
      </w:divBdr>
    </w:div>
    <w:div w:id="1936328858">
      <w:bodyDiv w:val="1"/>
      <w:marLeft w:val="0"/>
      <w:marRight w:val="0"/>
      <w:marTop w:val="0"/>
      <w:marBottom w:val="0"/>
      <w:divBdr>
        <w:top w:val="none" w:sz="0" w:space="0" w:color="auto"/>
        <w:left w:val="none" w:sz="0" w:space="0" w:color="auto"/>
        <w:bottom w:val="none" w:sz="0" w:space="0" w:color="auto"/>
        <w:right w:val="none" w:sz="0" w:space="0" w:color="auto"/>
      </w:divBdr>
    </w:div>
    <w:div w:id="1937011810">
      <w:bodyDiv w:val="1"/>
      <w:marLeft w:val="0"/>
      <w:marRight w:val="0"/>
      <w:marTop w:val="0"/>
      <w:marBottom w:val="0"/>
      <w:divBdr>
        <w:top w:val="none" w:sz="0" w:space="0" w:color="auto"/>
        <w:left w:val="none" w:sz="0" w:space="0" w:color="auto"/>
        <w:bottom w:val="none" w:sz="0" w:space="0" w:color="auto"/>
        <w:right w:val="none" w:sz="0" w:space="0" w:color="auto"/>
      </w:divBdr>
    </w:div>
    <w:div w:id="1937593238">
      <w:bodyDiv w:val="1"/>
      <w:marLeft w:val="0"/>
      <w:marRight w:val="0"/>
      <w:marTop w:val="0"/>
      <w:marBottom w:val="0"/>
      <w:divBdr>
        <w:top w:val="none" w:sz="0" w:space="0" w:color="auto"/>
        <w:left w:val="none" w:sz="0" w:space="0" w:color="auto"/>
        <w:bottom w:val="none" w:sz="0" w:space="0" w:color="auto"/>
        <w:right w:val="none" w:sz="0" w:space="0" w:color="auto"/>
      </w:divBdr>
    </w:div>
    <w:div w:id="1937707009">
      <w:bodyDiv w:val="1"/>
      <w:marLeft w:val="0"/>
      <w:marRight w:val="0"/>
      <w:marTop w:val="0"/>
      <w:marBottom w:val="0"/>
      <w:divBdr>
        <w:top w:val="none" w:sz="0" w:space="0" w:color="auto"/>
        <w:left w:val="none" w:sz="0" w:space="0" w:color="auto"/>
        <w:bottom w:val="none" w:sz="0" w:space="0" w:color="auto"/>
        <w:right w:val="none" w:sz="0" w:space="0" w:color="auto"/>
      </w:divBdr>
    </w:div>
    <w:div w:id="1938056073">
      <w:bodyDiv w:val="1"/>
      <w:marLeft w:val="0"/>
      <w:marRight w:val="0"/>
      <w:marTop w:val="0"/>
      <w:marBottom w:val="0"/>
      <w:divBdr>
        <w:top w:val="none" w:sz="0" w:space="0" w:color="auto"/>
        <w:left w:val="none" w:sz="0" w:space="0" w:color="auto"/>
        <w:bottom w:val="none" w:sz="0" w:space="0" w:color="auto"/>
        <w:right w:val="none" w:sz="0" w:space="0" w:color="auto"/>
      </w:divBdr>
    </w:div>
    <w:div w:id="1938587553">
      <w:bodyDiv w:val="1"/>
      <w:marLeft w:val="0"/>
      <w:marRight w:val="0"/>
      <w:marTop w:val="0"/>
      <w:marBottom w:val="0"/>
      <w:divBdr>
        <w:top w:val="none" w:sz="0" w:space="0" w:color="auto"/>
        <w:left w:val="none" w:sz="0" w:space="0" w:color="auto"/>
        <w:bottom w:val="none" w:sz="0" w:space="0" w:color="auto"/>
        <w:right w:val="none" w:sz="0" w:space="0" w:color="auto"/>
      </w:divBdr>
    </w:div>
    <w:div w:id="1938824470">
      <w:bodyDiv w:val="1"/>
      <w:marLeft w:val="0"/>
      <w:marRight w:val="0"/>
      <w:marTop w:val="0"/>
      <w:marBottom w:val="0"/>
      <w:divBdr>
        <w:top w:val="none" w:sz="0" w:space="0" w:color="auto"/>
        <w:left w:val="none" w:sz="0" w:space="0" w:color="auto"/>
        <w:bottom w:val="none" w:sz="0" w:space="0" w:color="auto"/>
        <w:right w:val="none" w:sz="0" w:space="0" w:color="auto"/>
      </w:divBdr>
    </w:div>
    <w:div w:id="1939867383">
      <w:bodyDiv w:val="1"/>
      <w:marLeft w:val="0"/>
      <w:marRight w:val="0"/>
      <w:marTop w:val="0"/>
      <w:marBottom w:val="0"/>
      <w:divBdr>
        <w:top w:val="none" w:sz="0" w:space="0" w:color="auto"/>
        <w:left w:val="none" w:sz="0" w:space="0" w:color="auto"/>
        <w:bottom w:val="none" w:sz="0" w:space="0" w:color="auto"/>
        <w:right w:val="none" w:sz="0" w:space="0" w:color="auto"/>
      </w:divBdr>
    </w:div>
    <w:div w:id="1940865729">
      <w:bodyDiv w:val="1"/>
      <w:marLeft w:val="0"/>
      <w:marRight w:val="0"/>
      <w:marTop w:val="0"/>
      <w:marBottom w:val="0"/>
      <w:divBdr>
        <w:top w:val="none" w:sz="0" w:space="0" w:color="auto"/>
        <w:left w:val="none" w:sz="0" w:space="0" w:color="auto"/>
        <w:bottom w:val="none" w:sz="0" w:space="0" w:color="auto"/>
        <w:right w:val="none" w:sz="0" w:space="0" w:color="auto"/>
      </w:divBdr>
    </w:div>
    <w:div w:id="1941255049">
      <w:bodyDiv w:val="1"/>
      <w:marLeft w:val="0"/>
      <w:marRight w:val="0"/>
      <w:marTop w:val="0"/>
      <w:marBottom w:val="0"/>
      <w:divBdr>
        <w:top w:val="none" w:sz="0" w:space="0" w:color="auto"/>
        <w:left w:val="none" w:sz="0" w:space="0" w:color="auto"/>
        <w:bottom w:val="none" w:sz="0" w:space="0" w:color="auto"/>
        <w:right w:val="none" w:sz="0" w:space="0" w:color="auto"/>
      </w:divBdr>
    </w:div>
    <w:div w:id="1942452006">
      <w:bodyDiv w:val="1"/>
      <w:marLeft w:val="0"/>
      <w:marRight w:val="0"/>
      <w:marTop w:val="0"/>
      <w:marBottom w:val="0"/>
      <w:divBdr>
        <w:top w:val="none" w:sz="0" w:space="0" w:color="auto"/>
        <w:left w:val="none" w:sz="0" w:space="0" w:color="auto"/>
        <w:bottom w:val="none" w:sz="0" w:space="0" w:color="auto"/>
        <w:right w:val="none" w:sz="0" w:space="0" w:color="auto"/>
      </w:divBdr>
    </w:div>
    <w:div w:id="1942831582">
      <w:bodyDiv w:val="1"/>
      <w:marLeft w:val="0"/>
      <w:marRight w:val="0"/>
      <w:marTop w:val="0"/>
      <w:marBottom w:val="0"/>
      <w:divBdr>
        <w:top w:val="none" w:sz="0" w:space="0" w:color="auto"/>
        <w:left w:val="none" w:sz="0" w:space="0" w:color="auto"/>
        <w:bottom w:val="none" w:sz="0" w:space="0" w:color="auto"/>
        <w:right w:val="none" w:sz="0" w:space="0" w:color="auto"/>
      </w:divBdr>
    </w:div>
    <w:div w:id="1944805634">
      <w:bodyDiv w:val="1"/>
      <w:marLeft w:val="0"/>
      <w:marRight w:val="0"/>
      <w:marTop w:val="0"/>
      <w:marBottom w:val="0"/>
      <w:divBdr>
        <w:top w:val="none" w:sz="0" w:space="0" w:color="auto"/>
        <w:left w:val="none" w:sz="0" w:space="0" w:color="auto"/>
        <w:bottom w:val="none" w:sz="0" w:space="0" w:color="auto"/>
        <w:right w:val="none" w:sz="0" w:space="0" w:color="auto"/>
      </w:divBdr>
    </w:div>
    <w:div w:id="1944991669">
      <w:bodyDiv w:val="1"/>
      <w:marLeft w:val="0"/>
      <w:marRight w:val="0"/>
      <w:marTop w:val="0"/>
      <w:marBottom w:val="0"/>
      <w:divBdr>
        <w:top w:val="none" w:sz="0" w:space="0" w:color="auto"/>
        <w:left w:val="none" w:sz="0" w:space="0" w:color="auto"/>
        <w:bottom w:val="none" w:sz="0" w:space="0" w:color="auto"/>
        <w:right w:val="none" w:sz="0" w:space="0" w:color="auto"/>
      </w:divBdr>
    </w:div>
    <w:div w:id="1947154434">
      <w:bodyDiv w:val="1"/>
      <w:marLeft w:val="0"/>
      <w:marRight w:val="0"/>
      <w:marTop w:val="0"/>
      <w:marBottom w:val="0"/>
      <w:divBdr>
        <w:top w:val="none" w:sz="0" w:space="0" w:color="auto"/>
        <w:left w:val="none" w:sz="0" w:space="0" w:color="auto"/>
        <w:bottom w:val="none" w:sz="0" w:space="0" w:color="auto"/>
        <w:right w:val="none" w:sz="0" w:space="0" w:color="auto"/>
      </w:divBdr>
    </w:div>
    <w:div w:id="1949653692">
      <w:bodyDiv w:val="1"/>
      <w:marLeft w:val="0"/>
      <w:marRight w:val="0"/>
      <w:marTop w:val="0"/>
      <w:marBottom w:val="0"/>
      <w:divBdr>
        <w:top w:val="none" w:sz="0" w:space="0" w:color="auto"/>
        <w:left w:val="none" w:sz="0" w:space="0" w:color="auto"/>
        <w:bottom w:val="none" w:sz="0" w:space="0" w:color="auto"/>
        <w:right w:val="none" w:sz="0" w:space="0" w:color="auto"/>
      </w:divBdr>
    </w:div>
    <w:div w:id="1952130600">
      <w:bodyDiv w:val="1"/>
      <w:marLeft w:val="0"/>
      <w:marRight w:val="0"/>
      <w:marTop w:val="0"/>
      <w:marBottom w:val="0"/>
      <w:divBdr>
        <w:top w:val="none" w:sz="0" w:space="0" w:color="auto"/>
        <w:left w:val="none" w:sz="0" w:space="0" w:color="auto"/>
        <w:bottom w:val="none" w:sz="0" w:space="0" w:color="auto"/>
        <w:right w:val="none" w:sz="0" w:space="0" w:color="auto"/>
      </w:divBdr>
    </w:div>
    <w:div w:id="1952205728">
      <w:bodyDiv w:val="1"/>
      <w:marLeft w:val="0"/>
      <w:marRight w:val="0"/>
      <w:marTop w:val="0"/>
      <w:marBottom w:val="0"/>
      <w:divBdr>
        <w:top w:val="none" w:sz="0" w:space="0" w:color="auto"/>
        <w:left w:val="none" w:sz="0" w:space="0" w:color="auto"/>
        <w:bottom w:val="none" w:sz="0" w:space="0" w:color="auto"/>
        <w:right w:val="none" w:sz="0" w:space="0" w:color="auto"/>
      </w:divBdr>
    </w:div>
    <w:div w:id="1952400528">
      <w:bodyDiv w:val="1"/>
      <w:marLeft w:val="0"/>
      <w:marRight w:val="0"/>
      <w:marTop w:val="0"/>
      <w:marBottom w:val="0"/>
      <w:divBdr>
        <w:top w:val="none" w:sz="0" w:space="0" w:color="auto"/>
        <w:left w:val="none" w:sz="0" w:space="0" w:color="auto"/>
        <w:bottom w:val="none" w:sz="0" w:space="0" w:color="auto"/>
        <w:right w:val="none" w:sz="0" w:space="0" w:color="auto"/>
      </w:divBdr>
    </w:div>
    <w:div w:id="1954627825">
      <w:bodyDiv w:val="1"/>
      <w:marLeft w:val="0"/>
      <w:marRight w:val="0"/>
      <w:marTop w:val="0"/>
      <w:marBottom w:val="0"/>
      <w:divBdr>
        <w:top w:val="none" w:sz="0" w:space="0" w:color="auto"/>
        <w:left w:val="none" w:sz="0" w:space="0" w:color="auto"/>
        <w:bottom w:val="none" w:sz="0" w:space="0" w:color="auto"/>
        <w:right w:val="none" w:sz="0" w:space="0" w:color="auto"/>
      </w:divBdr>
    </w:div>
    <w:div w:id="1954704262">
      <w:bodyDiv w:val="1"/>
      <w:marLeft w:val="0"/>
      <w:marRight w:val="0"/>
      <w:marTop w:val="0"/>
      <w:marBottom w:val="0"/>
      <w:divBdr>
        <w:top w:val="none" w:sz="0" w:space="0" w:color="auto"/>
        <w:left w:val="none" w:sz="0" w:space="0" w:color="auto"/>
        <w:bottom w:val="none" w:sz="0" w:space="0" w:color="auto"/>
        <w:right w:val="none" w:sz="0" w:space="0" w:color="auto"/>
      </w:divBdr>
    </w:div>
    <w:div w:id="1955207120">
      <w:bodyDiv w:val="1"/>
      <w:marLeft w:val="0"/>
      <w:marRight w:val="0"/>
      <w:marTop w:val="0"/>
      <w:marBottom w:val="0"/>
      <w:divBdr>
        <w:top w:val="none" w:sz="0" w:space="0" w:color="auto"/>
        <w:left w:val="none" w:sz="0" w:space="0" w:color="auto"/>
        <w:bottom w:val="none" w:sz="0" w:space="0" w:color="auto"/>
        <w:right w:val="none" w:sz="0" w:space="0" w:color="auto"/>
      </w:divBdr>
    </w:div>
    <w:div w:id="1956058565">
      <w:bodyDiv w:val="1"/>
      <w:marLeft w:val="0"/>
      <w:marRight w:val="0"/>
      <w:marTop w:val="0"/>
      <w:marBottom w:val="0"/>
      <w:divBdr>
        <w:top w:val="none" w:sz="0" w:space="0" w:color="auto"/>
        <w:left w:val="none" w:sz="0" w:space="0" w:color="auto"/>
        <w:bottom w:val="none" w:sz="0" w:space="0" w:color="auto"/>
        <w:right w:val="none" w:sz="0" w:space="0" w:color="auto"/>
      </w:divBdr>
    </w:div>
    <w:div w:id="1956523481">
      <w:bodyDiv w:val="1"/>
      <w:marLeft w:val="0"/>
      <w:marRight w:val="0"/>
      <w:marTop w:val="0"/>
      <w:marBottom w:val="0"/>
      <w:divBdr>
        <w:top w:val="none" w:sz="0" w:space="0" w:color="auto"/>
        <w:left w:val="none" w:sz="0" w:space="0" w:color="auto"/>
        <w:bottom w:val="none" w:sz="0" w:space="0" w:color="auto"/>
        <w:right w:val="none" w:sz="0" w:space="0" w:color="auto"/>
      </w:divBdr>
    </w:div>
    <w:div w:id="1960456700">
      <w:bodyDiv w:val="1"/>
      <w:marLeft w:val="0"/>
      <w:marRight w:val="0"/>
      <w:marTop w:val="0"/>
      <w:marBottom w:val="0"/>
      <w:divBdr>
        <w:top w:val="none" w:sz="0" w:space="0" w:color="auto"/>
        <w:left w:val="none" w:sz="0" w:space="0" w:color="auto"/>
        <w:bottom w:val="none" w:sz="0" w:space="0" w:color="auto"/>
        <w:right w:val="none" w:sz="0" w:space="0" w:color="auto"/>
      </w:divBdr>
    </w:div>
    <w:div w:id="1960717302">
      <w:bodyDiv w:val="1"/>
      <w:marLeft w:val="0"/>
      <w:marRight w:val="0"/>
      <w:marTop w:val="0"/>
      <w:marBottom w:val="0"/>
      <w:divBdr>
        <w:top w:val="none" w:sz="0" w:space="0" w:color="auto"/>
        <w:left w:val="none" w:sz="0" w:space="0" w:color="auto"/>
        <w:bottom w:val="none" w:sz="0" w:space="0" w:color="auto"/>
        <w:right w:val="none" w:sz="0" w:space="0" w:color="auto"/>
      </w:divBdr>
    </w:div>
    <w:div w:id="1961253464">
      <w:bodyDiv w:val="1"/>
      <w:marLeft w:val="0"/>
      <w:marRight w:val="0"/>
      <w:marTop w:val="0"/>
      <w:marBottom w:val="0"/>
      <w:divBdr>
        <w:top w:val="none" w:sz="0" w:space="0" w:color="auto"/>
        <w:left w:val="none" w:sz="0" w:space="0" w:color="auto"/>
        <w:bottom w:val="none" w:sz="0" w:space="0" w:color="auto"/>
        <w:right w:val="none" w:sz="0" w:space="0" w:color="auto"/>
      </w:divBdr>
    </w:div>
    <w:div w:id="1963994882">
      <w:bodyDiv w:val="1"/>
      <w:marLeft w:val="0"/>
      <w:marRight w:val="0"/>
      <w:marTop w:val="0"/>
      <w:marBottom w:val="0"/>
      <w:divBdr>
        <w:top w:val="none" w:sz="0" w:space="0" w:color="auto"/>
        <w:left w:val="none" w:sz="0" w:space="0" w:color="auto"/>
        <w:bottom w:val="none" w:sz="0" w:space="0" w:color="auto"/>
        <w:right w:val="none" w:sz="0" w:space="0" w:color="auto"/>
      </w:divBdr>
    </w:div>
    <w:div w:id="1968930727">
      <w:bodyDiv w:val="1"/>
      <w:marLeft w:val="0"/>
      <w:marRight w:val="0"/>
      <w:marTop w:val="0"/>
      <w:marBottom w:val="0"/>
      <w:divBdr>
        <w:top w:val="none" w:sz="0" w:space="0" w:color="auto"/>
        <w:left w:val="none" w:sz="0" w:space="0" w:color="auto"/>
        <w:bottom w:val="none" w:sz="0" w:space="0" w:color="auto"/>
        <w:right w:val="none" w:sz="0" w:space="0" w:color="auto"/>
      </w:divBdr>
    </w:div>
    <w:div w:id="1969890445">
      <w:bodyDiv w:val="1"/>
      <w:marLeft w:val="0"/>
      <w:marRight w:val="0"/>
      <w:marTop w:val="0"/>
      <w:marBottom w:val="0"/>
      <w:divBdr>
        <w:top w:val="none" w:sz="0" w:space="0" w:color="auto"/>
        <w:left w:val="none" w:sz="0" w:space="0" w:color="auto"/>
        <w:bottom w:val="none" w:sz="0" w:space="0" w:color="auto"/>
        <w:right w:val="none" w:sz="0" w:space="0" w:color="auto"/>
      </w:divBdr>
    </w:div>
    <w:div w:id="1973827489">
      <w:bodyDiv w:val="1"/>
      <w:marLeft w:val="0"/>
      <w:marRight w:val="0"/>
      <w:marTop w:val="0"/>
      <w:marBottom w:val="0"/>
      <w:divBdr>
        <w:top w:val="none" w:sz="0" w:space="0" w:color="auto"/>
        <w:left w:val="none" w:sz="0" w:space="0" w:color="auto"/>
        <w:bottom w:val="none" w:sz="0" w:space="0" w:color="auto"/>
        <w:right w:val="none" w:sz="0" w:space="0" w:color="auto"/>
      </w:divBdr>
    </w:div>
    <w:div w:id="1976640305">
      <w:bodyDiv w:val="1"/>
      <w:marLeft w:val="0"/>
      <w:marRight w:val="0"/>
      <w:marTop w:val="0"/>
      <w:marBottom w:val="0"/>
      <w:divBdr>
        <w:top w:val="none" w:sz="0" w:space="0" w:color="auto"/>
        <w:left w:val="none" w:sz="0" w:space="0" w:color="auto"/>
        <w:bottom w:val="none" w:sz="0" w:space="0" w:color="auto"/>
        <w:right w:val="none" w:sz="0" w:space="0" w:color="auto"/>
      </w:divBdr>
    </w:div>
    <w:div w:id="1976790956">
      <w:bodyDiv w:val="1"/>
      <w:marLeft w:val="0"/>
      <w:marRight w:val="0"/>
      <w:marTop w:val="0"/>
      <w:marBottom w:val="0"/>
      <w:divBdr>
        <w:top w:val="none" w:sz="0" w:space="0" w:color="auto"/>
        <w:left w:val="none" w:sz="0" w:space="0" w:color="auto"/>
        <w:bottom w:val="none" w:sz="0" w:space="0" w:color="auto"/>
        <w:right w:val="none" w:sz="0" w:space="0" w:color="auto"/>
      </w:divBdr>
    </w:div>
    <w:div w:id="1978533760">
      <w:bodyDiv w:val="1"/>
      <w:marLeft w:val="0"/>
      <w:marRight w:val="0"/>
      <w:marTop w:val="0"/>
      <w:marBottom w:val="0"/>
      <w:divBdr>
        <w:top w:val="none" w:sz="0" w:space="0" w:color="auto"/>
        <w:left w:val="none" w:sz="0" w:space="0" w:color="auto"/>
        <w:bottom w:val="none" w:sz="0" w:space="0" w:color="auto"/>
        <w:right w:val="none" w:sz="0" w:space="0" w:color="auto"/>
      </w:divBdr>
    </w:div>
    <w:div w:id="1978877363">
      <w:bodyDiv w:val="1"/>
      <w:marLeft w:val="0"/>
      <w:marRight w:val="0"/>
      <w:marTop w:val="0"/>
      <w:marBottom w:val="0"/>
      <w:divBdr>
        <w:top w:val="none" w:sz="0" w:space="0" w:color="auto"/>
        <w:left w:val="none" w:sz="0" w:space="0" w:color="auto"/>
        <w:bottom w:val="none" w:sz="0" w:space="0" w:color="auto"/>
        <w:right w:val="none" w:sz="0" w:space="0" w:color="auto"/>
      </w:divBdr>
    </w:div>
    <w:div w:id="1978993620">
      <w:bodyDiv w:val="1"/>
      <w:marLeft w:val="0"/>
      <w:marRight w:val="0"/>
      <w:marTop w:val="0"/>
      <w:marBottom w:val="0"/>
      <w:divBdr>
        <w:top w:val="none" w:sz="0" w:space="0" w:color="auto"/>
        <w:left w:val="none" w:sz="0" w:space="0" w:color="auto"/>
        <w:bottom w:val="none" w:sz="0" w:space="0" w:color="auto"/>
        <w:right w:val="none" w:sz="0" w:space="0" w:color="auto"/>
      </w:divBdr>
    </w:div>
    <w:div w:id="1980257144">
      <w:bodyDiv w:val="1"/>
      <w:marLeft w:val="0"/>
      <w:marRight w:val="0"/>
      <w:marTop w:val="0"/>
      <w:marBottom w:val="0"/>
      <w:divBdr>
        <w:top w:val="none" w:sz="0" w:space="0" w:color="auto"/>
        <w:left w:val="none" w:sz="0" w:space="0" w:color="auto"/>
        <w:bottom w:val="none" w:sz="0" w:space="0" w:color="auto"/>
        <w:right w:val="none" w:sz="0" w:space="0" w:color="auto"/>
      </w:divBdr>
    </w:div>
    <w:div w:id="1982660859">
      <w:bodyDiv w:val="1"/>
      <w:marLeft w:val="0"/>
      <w:marRight w:val="0"/>
      <w:marTop w:val="0"/>
      <w:marBottom w:val="0"/>
      <w:divBdr>
        <w:top w:val="none" w:sz="0" w:space="0" w:color="auto"/>
        <w:left w:val="none" w:sz="0" w:space="0" w:color="auto"/>
        <w:bottom w:val="none" w:sz="0" w:space="0" w:color="auto"/>
        <w:right w:val="none" w:sz="0" w:space="0" w:color="auto"/>
      </w:divBdr>
    </w:div>
    <w:div w:id="1984505758">
      <w:bodyDiv w:val="1"/>
      <w:marLeft w:val="0"/>
      <w:marRight w:val="0"/>
      <w:marTop w:val="0"/>
      <w:marBottom w:val="0"/>
      <w:divBdr>
        <w:top w:val="none" w:sz="0" w:space="0" w:color="auto"/>
        <w:left w:val="none" w:sz="0" w:space="0" w:color="auto"/>
        <w:bottom w:val="none" w:sz="0" w:space="0" w:color="auto"/>
        <w:right w:val="none" w:sz="0" w:space="0" w:color="auto"/>
      </w:divBdr>
    </w:div>
    <w:div w:id="1993437685">
      <w:bodyDiv w:val="1"/>
      <w:marLeft w:val="0"/>
      <w:marRight w:val="0"/>
      <w:marTop w:val="0"/>
      <w:marBottom w:val="0"/>
      <w:divBdr>
        <w:top w:val="none" w:sz="0" w:space="0" w:color="auto"/>
        <w:left w:val="none" w:sz="0" w:space="0" w:color="auto"/>
        <w:bottom w:val="none" w:sz="0" w:space="0" w:color="auto"/>
        <w:right w:val="none" w:sz="0" w:space="0" w:color="auto"/>
      </w:divBdr>
    </w:div>
    <w:div w:id="1996686582">
      <w:bodyDiv w:val="1"/>
      <w:marLeft w:val="0"/>
      <w:marRight w:val="0"/>
      <w:marTop w:val="0"/>
      <w:marBottom w:val="0"/>
      <w:divBdr>
        <w:top w:val="none" w:sz="0" w:space="0" w:color="auto"/>
        <w:left w:val="none" w:sz="0" w:space="0" w:color="auto"/>
        <w:bottom w:val="none" w:sz="0" w:space="0" w:color="auto"/>
        <w:right w:val="none" w:sz="0" w:space="0" w:color="auto"/>
      </w:divBdr>
    </w:div>
    <w:div w:id="1997876504">
      <w:bodyDiv w:val="1"/>
      <w:marLeft w:val="0"/>
      <w:marRight w:val="0"/>
      <w:marTop w:val="0"/>
      <w:marBottom w:val="0"/>
      <w:divBdr>
        <w:top w:val="none" w:sz="0" w:space="0" w:color="auto"/>
        <w:left w:val="none" w:sz="0" w:space="0" w:color="auto"/>
        <w:bottom w:val="none" w:sz="0" w:space="0" w:color="auto"/>
        <w:right w:val="none" w:sz="0" w:space="0" w:color="auto"/>
      </w:divBdr>
    </w:div>
    <w:div w:id="2000499851">
      <w:bodyDiv w:val="1"/>
      <w:marLeft w:val="0"/>
      <w:marRight w:val="0"/>
      <w:marTop w:val="0"/>
      <w:marBottom w:val="0"/>
      <w:divBdr>
        <w:top w:val="none" w:sz="0" w:space="0" w:color="auto"/>
        <w:left w:val="none" w:sz="0" w:space="0" w:color="auto"/>
        <w:bottom w:val="none" w:sz="0" w:space="0" w:color="auto"/>
        <w:right w:val="none" w:sz="0" w:space="0" w:color="auto"/>
      </w:divBdr>
    </w:div>
    <w:div w:id="2002002360">
      <w:bodyDiv w:val="1"/>
      <w:marLeft w:val="0"/>
      <w:marRight w:val="0"/>
      <w:marTop w:val="0"/>
      <w:marBottom w:val="0"/>
      <w:divBdr>
        <w:top w:val="none" w:sz="0" w:space="0" w:color="auto"/>
        <w:left w:val="none" w:sz="0" w:space="0" w:color="auto"/>
        <w:bottom w:val="none" w:sz="0" w:space="0" w:color="auto"/>
        <w:right w:val="none" w:sz="0" w:space="0" w:color="auto"/>
      </w:divBdr>
    </w:div>
    <w:div w:id="2003387964">
      <w:bodyDiv w:val="1"/>
      <w:marLeft w:val="0"/>
      <w:marRight w:val="0"/>
      <w:marTop w:val="0"/>
      <w:marBottom w:val="0"/>
      <w:divBdr>
        <w:top w:val="none" w:sz="0" w:space="0" w:color="auto"/>
        <w:left w:val="none" w:sz="0" w:space="0" w:color="auto"/>
        <w:bottom w:val="none" w:sz="0" w:space="0" w:color="auto"/>
        <w:right w:val="none" w:sz="0" w:space="0" w:color="auto"/>
      </w:divBdr>
    </w:div>
    <w:div w:id="2003510656">
      <w:bodyDiv w:val="1"/>
      <w:marLeft w:val="0"/>
      <w:marRight w:val="0"/>
      <w:marTop w:val="0"/>
      <w:marBottom w:val="0"/>
      <w:divBdr>
        <w:top w:val="none" w:sz="0" w:space="0" w:color="auto"/>
        <w:left w:val="none" w:sz="0" w:space="0" w:color="auto"/>
        <w:bottom w:val="none" w:sz="0" w:space="0" w:color="auto"/>
        <w:right w:val="none" w:sz="0" w:space="0" w:color="auto"/>
      </w:divBdr>
    </w:div>
    <w:div w:id="2005085229">
      <w:bodyDiv w:val="1"/>
      <w:marLeft w:val="0"/>
      <w:marRight w:val="0"/>
      <w:marTop w:val="0"/>
      <w:marBottom w:val="0"/>
      <w:divBdr>
        <w:top w:val="none" w:sz="0" w:space="0" w:color="auto"/>
        <w:left w:val="none" w:sz="0" w:space="0" w:color="auto"/>
        <w:bottom w:val="none" w:sz="0" w:space="0" w:color="auto"/>
        <w:right w:val="none" w:sz="0" w:space="0" w:color="auto"/>
      </w:divBdr>
    </w:div>
    <w:div w:id="2005283464">
      <w:bodyDiv w:val="1"/>
      <w:marLeft w:val="0"/>
      <w:marRight w:val="0"/>
      <w:marTop w:val="0"/>
      <w:marBottom w:val="0"/>
      <w:divBdr>
        <w:top w:val="none" w:sz="0" w:space="0" w:color="auto"/>
        <w:left w:val="none" w:sz="0" w:space="0" w:color="auto"/>
        <w:bottom w:val="none" w:sz="0" w:space="0" w:color="auto"/>
        <w:right w:val="none" w:sz="0" w:space="0" w:color="auto"/>
      </w:divBdr>
    </w:div>
    <w:div w:id="2009214560">
      <w:bodyDiv w:val="1"/>
      <w:marLeft w:val="0"/>
      <w:marRight w:val="0"/>
      <w:marTop w:val="0"/>
      <w:marBottom w:val="0"/>
      <w:divBdr>
        <w:top w:val="none" w:sz="0" w:space="0" w:color="auto"/>
        <w:left w:val="none" w:sz="0" w:space="0" w:color="auto"/>
        <w:bottom w:val="none" w:sz="0" w:space="0" w:color="auto"/>
        <w:right w:val="none" w:sz="0" w:space="0" w:color="auto"/>
      </w:divBdr>
    </w:div>
    <w:div w:id="2009474562">
      <w:bodyDiv w:val="1"/>
      <w:marLeft w:val="0"/>
      <w:marRight w:val="0"/>
      <w:marTop w:val="0"/>
      <w:marBottom w:val="0"/>
      <w:divBdr>
        <w:top w:val="none" w:sz="0" w:space="0" w:color="auto"/>
        <w:left w:val="none" w:sz="0" w:space="0" w:color="auto"/>
        <w:bottom w:val="none" w:sz="0" w:space="0" w:color="auto"/>
        <w:right w:val="none" w:sz="0" w:space="0" w:color="auto"/>
      </w:divBdr>
    </w:div>
    <w:div w:id="2009819910">
      <w:bodyDiv w:val="1"/>
      <w:marLeft w:val="0"/>
      <w:marRight w:val="0"/>
      <w:marTop w:val="0"/>
      <w:marBottom w:val="0"/>
      <w:divBdr>
        <w:top w:val="none" w:sz="0" w:space="0" w:color="auto"/>
        <w:left w:val="none" w:sz="0" w:space="0" w:color="auto"/>
        <w:bottom w:val="none" w:sz="0" w:space="0" w:color="auto"/>
        <w:right w:val="none" w:sz="0" w:space="0" w:color="auto"/>
      </w:divBdr>
    </w:div>
    <w:div w:id="2010714833">
      <w:bodyDiv w:val="1"/>
      <w:marLeft w:val="0"/>
      <w:marRight w:val="0"/>
      <w:marTop w:val="0"/>
      <w:marBottom w:val="0"/>
      <w:divBdr>
        <w:top w:val="none" w:sz="0" w:space="0" w:color="auto"/>
        <w:left w:val="none" w:sz="0" w:space="0" w:color="auto"/>
        <w:bottom w:val="none" w:sz="0" w:space="0" w:color="auto"/>
        <w:right w:val="none" w:sz="0" w:space="0" w:color="auto"/>
      </w:divBdr>
    </w:div>
    <w:div w:id="2011567921">
      <w:bodyDiv w:val="1"/>
      <w:marLeft w:val="0"/>
      <w:marRight w:val="0"/>
      <w:marTop w:val="0"/>
      <w:marBottom w:val="0"/>
      <w:divBdr>
        <w:top w:val="none" w:sz="0" w:space="0" w:color="auto"/>
        <w:left w:val="none" w:sz="0" w:space="0" w:color="auto"/>
        <w:bottom w:val="none" w:sz="0" w:space="0" w:color="auto"/>
        <w:right w:val="none" w:sz="0" w:space="0" w:color="auto"/>
      </w:divBdr>
    </w:div>
    <w:div w:id="2011789702">
      <w:bodyDiv w:val="1"/>
      <w:marLeft w:val="0"/>
      <w:marRight w:val="0"/>
      <w:marTop w:val="0"/>
      <w:marBottom w:val="0"/>
      <w:divBdr>
        <w:top w:val="none" w:sz="0" w:space="0" w:color="auto"/>
        <w:left w:val="none" w:sz="0" w:space="0" w:color="auto"/>
        <w:bottom w:val="none" w:sz="0" w:space="0" w:color="auto"/>
        <w:right w:val="none" w:sz="0" w:space="0" w:color="auto"/>
      </w:divBdr>
    </w:div>
    <w:div w:id="2012633518">
      <w:bodyDiv w:val="1"/>
      <w:marLeft w:val="0"/>
      <w:marRight w:val="0"/>
      <w:marTop w:val="0"/>
      <w:marBottom w:val="0"/>
      <w:divBdr>
        <w:top w:val="none" w:sz="0" w:space="0" w:color="auto"/>
        <w:left w:val="none" w:sz="0" w:space="0" w:color="auto"/>
        <w:bottom w:val="none" w:sz="0" w:space="0" w:color="auto"/>
        <w:right w:val="none" w:sz="0" w:space="0" w:color="auto"/>
      </w:divBdr>
    </w:div>
    <w:div w:id="2013489068">
      <w:bodyDiv w:val="1"/>
      <w:marLeft w:val="0"/>
      <w:marRight w:val="0"/>
      <w:marTop w:val="0"/>
      <w:marBottom w:val="0"/>
      <w:divBdr>
        <w:top w:val="none" w:sz="0" w:space="0" w:color="auto"/>
        <w:left w:val="none" w:sz="0" w:space="0" w:color="auto"/>
        <w:bottom w:val="none" w:sz="0" w:space="0" w:color="auto"/>
        <w:right w:val="none" w:sz="0" w:space="0" w:color="auto"/>
      </w:divBdr>
    </w:div>
    <w:div w:id="2014335636">
      <w:bodyDiv w:val="1"/>
      <w:marLeft w:val="0"/>
      <w:marRight w:val="0"/>
      <w:marTop w:val="0"/>
      <w:marBottom w:val="0"/>
      <w:divBdr>
        <w:top w:val="none" w:sz="0" w:space="0" w:color="auto"/>
        <w:left w:val="none" w:sz="0" w:space="0" w:color="auto"/>
        <w:bottom w:val="none" w:sz="0" w:space="0" w:color="auto"/>
        <w:right w:val="none" w:sz="0" w:space="0" w:color="auto"/>
      </w:divBdr>
    </w:div>
    <w:div w:id="2014603395">
      <w:bodyDiv w:val="1"/>
      <w:marLeft w:val="0"/>
      <w:marRight w:val="0"/>
      <w:marTop w:val="0"/>
      <w:marBottom w:val="0"/>
      <w:divBdr>
        <w:top w:val="none" w:sz="0" w:space="0" w:color="auto"/>
        <w:left w:val="none" w:sz="0" w:space="0" w:color="auto"/>
        <w:bottom w:val="none" w:sz="0" w:space="0" w:color="auto"/>
        <w:right w:val="none" w:sz="0" w:space="0" w:color="auto"/>
      </w:divBdr>
    </w:div>
    <w:div w:id="2018190332">
      <w:bodyDiv w:val="1"/>
      <w:marLeft w:val="0"/>
      <w:marRight w:val="0"/>
      <w:marTop w:val="0"/>
      <w:marBottom w:val="0"/>
      <w:divBdr>
        <w:top w:val="none" w:sz="0" w:space="0" w:color="auto"/>
        <w:left w:val="none" w:sz="0" w:space="0" w:color="auto"/>
        <w:bottom w:val="none" w:sz="0" w:space="0" w:color="auto"/>
        <w:right w:val="none" w:sz="0" w:space="0" w:color="auto"/>
      </w:divBdr>
    </w:div>
    <w:div w:id="2018464182">
      <w:bodyDiv w:val="1"/>
      <w:marLeft w:val="0"/>
      <w:marRight w:val="0"/>
      <w:marTop w:val="0"/>
      <w:marBottom w:val="0"/>
      <w:divBdr>
        <w:top w:val="none" w:sz="0" w:space="0" w:color="auto"/>
        <w:left w:val="none" w:sz="0" w:space="0" w:color="auto"/>
        <w:bottom w:val="none" w:sz="0" w:space="0" w:color="auto"/>
        <w:right w:val="none" w:sz="0" w:space="0" w:color="auto"/>
      </w:divBdr>
    </w:div>
    <w:div w:id="2019000263">
      <w:bodyDiv w:val="1"/>
      <w:marLeft w:val="0"/>
      <w:marRight w:val="0"/>
      <w:marTop w:val="0"/>
      <w:marBottom w:val="0"/>
      <w:divBdr>
        <w:top w:val="none" w:sz="0" w:space="0" w:color="auto"/>
        <w:left w:val="none" w:sz="0" w:space="0" w:color="auto"/>
        <w:bottom w:val="none" w:sz="0" w:space="0" w:color="auto"/>
        <w:right w:val="none" w:sz="0" w:space="0" w:color="auto"/>
      </w:divBdr>
    </w:div>
    <w:div w:id="2022510313">
      <w:bodyDiv w:val="1"/>
      <w:marLeft w:val="0"/>
      <w:marRight w:val="0"/>
      <w:marTop w:val="0"/>
      <w:marBottom w:val="0"/>
      <w:divBdr>
        <w:top w:val="none" w:sz="0" w:space="0" w:color="auto"/>
        <w:left w:val="none" w:sz="0" w:space="0" w:color="auto"/>
        <w:bottom w:val="none" w:sz="0" w:space="0" w:color="auto"/>
        <w:right w:val="none" w:sz="0" w:space="0" w:color="auto"/>
      </w:divBdr>
    </w:div>
    <w:div w:id="2024234737">
      <w:bodyDiv w:val="1"/>
      <w:marLeft w:val="0"/>
      <w:marRight w:val="0"/>
      <w:marTop w:val="0"/>
      <w:marBottom w:val="0"/>
      <w:divBdr>
        <w:top w:val="none" w:sz="0" w:space="0" w:color="auto"/>
        <w:left w:val="none" w:sz="0" w:space="0" w:color="auto"/>
        <w:bottom w:val="none" w:sz="0" w:space="0" w:color="auto"/>
        <w:right w:val="none" w:sz="0" w:space="0" w:color="auto"/>
      </w:divBdr>
    </w:div>
    <w:div w:id="2024626503">
      <w:bodyDiv w:val="1"/>
      <w:marLeft w:val="0"/>
      <w:marRight w:val="0"/>
      <w:marTop w:val="0"/>
      <w:marBottom w:val="0"/>
      <w:divBdr>
        <w:top w:val="none" w:sz="0" w:space="0" w:color="auto"/>
        <w:left w:val="none" w:sz="0" w:space="0" w:color="auto"/>
        <w:bottom w:val="none" w:sz="0" w:space="0" w:color="auto"/>
        <w:right w:val="none" w:sz="0" w:space="0" w:color="auto"/>
      </w:divBdr>
    </w:div>
    <w:div w:id="2025128748">
      <w:bodyDiv w:val="1"/>
      <w:marLeft w:val="0"/>
      <w:marRight w:val="0"/>
      <w:marTop w:val="0"/>
      <w:marBottom w:val="0"/>
      <w:divBdr>
        <w:top w:val="none" w:sz="0" w:space="0" w:color="auto"/>
        <w:left w:val="none" w:sz="0" w:space="0" w:color="auto"/>
        <w:bottom w:val="none" w:sz="0" w:space="0" w:color="auto"/>
        <w:right w:val="none" w:sz="0" w:space="0" w:color="auto"/>
      </w:divBdr>
    </w:div>
    <w:div w:id="2028946635">
      <w:bodyDiv w:val="1"/>
      <w:marLeft w:val="0"/>
      <w:marRight w:val="0"/>
      <w:marTop w:val="0"/>
      <w:marBottom w:val="0"/>
      <w:divBdr>
        <w:top w:val="none" w:sz="0" w:space="0" w:color="auto"/>
        <w:left w:val="none" w:sz="0" w:space="0" w:color="auto"/>
        <w:bottom w:val="none" w:sz="0" w:space="0" w:color="auto"/>
        <w:right w:val="none" w:sz="0" w:space="0" w:color="auto"/>
      </w:divBdr>
    </w:div>
    <w:div w:id="2032796603">
      <w:bodyDiv w:val="1"/>
      <w:marLeft w:val="0"/>
      <w:marRight w:val="0"/>
      <w:marTop w:val="0"/>
      <w:marBottom w:val="0"/>
      <w:divBdr>
        <w:top w:val="none" w:sz="0" w:space="0" w:color="auto"/>
        <w:left w:val="none" w:sz="0" w:space="0" w:color="auto"/>
        <w:bottom w:val="none" w:sz="0" w:space="0" w:color="auto"/>
        <w:right w:val="none" w:sz="0" w:space="0" w:color="auto"/>
      </w:divBdr>
    </w:div>
    <w:div w:id="2033415347">
      <w:bodyDiv w:val="1"/>
      <w:marLeft w:val="0"/>
      <w:marRight w:val="0"/>
      <w:marTop w:val="0"/>
      <w:marBottom w:val="0"/>
      <w:divBdr>
        <w:top w:val="none" w:sz="0" w:space="0" w:color="auto"/>
        <w:left w:val="none" w:sz="0" w:space="0" w:color="auto"/>
        <w:bottom w:val="none" w:sz="0" w:space="0" w:color="auto"/>
        <w:right w:val="none" w:sz="0" w:space="0" w:color="auto"/>
      </w:divBdr>
    </w:div>
    <w:div w:id="2033917615">
      <w:bodyDiv w:val="1"/>
      <w:marLeft w:val="0"/>
      <w:marRight w:val="0"/>
      <w:marTop w:val="0"/>
      <w:marBottom w:val="0"/>
      <w:divBdr>
        <w:top w:val="none" w:sz="0" w:space="0" w:color="auto"/>
        <w:left w:val="none" w:sz="0" w:space="0" w:color="auto"/>
        <w:bottom w:val="none" w:sz="0" w:space="0" w:color="auto"/>
        <w:right w:val="none" w:sz="0" w:space="0" w:color="auto"/>
      </w:divBdr>
    </w:div>
    <w:div w:id="2034963051">
      <w:bodyDiv w:val="1"/>
      <w:marLeft w:val="0"/>
      <w:marRight w:val="0"/>
      <w:marTop w:val="0"/>
      <w:marBottom w:val="0"/>
      <w:divBdr>
        <w:top w:val="none" w:sz="0" w:space="0" w:color="auto"/>
        <w:left w:val="none" w:sz="0" w:space="0" w:color="auto"/>
        <w:bottom w:val="none" w:sz="0" w:space="0" w:color="auto"/>
        <w:right w:val="none" w:sz="0" w:space="0" w:color="auto"/>
      </w:divBdr>
    </w:div>
    <w:div w:id="2036611781">
      <w:bodyDiv w:val="1"/>
      <w:marLeft w:val="0"/>
      <w:marRight w:val="0"/>
      <w:marTop w:val="0"/>
      <w:marBottom w:val="0"/>
      <w:divBdr>
        <w:top w:val="none" w:sz="0" w:space="0" w:color="auto"/>
        <w:left w:val="none" w:sz="0" w:space="0" w:color="auto"/>
        <w:bottom w:val="none" w:sz="0" w:space="0" w:color="auto"/>
        <w:right w:val="none" w:sz="0" w:space="0" w:color="auto"/>
      </w:divBdr>
    </w:div>
    <w:div w:id="2037659699">
      <w:bodyDiv w:val="1"/>
      <w:marLeft w:val="0"/>
      <w:marRight w:val="0"/>
      <w:marTop w:val="0"/>
      <w:marBottom w:val="0"/>
      <w:divBdr>
        <w:top w:val="none" w:sz="0" w:space="0" w:color="auto"/>
        <w:left w:val="none" w:sz="0" w:space="0" w:color="auto"/>
        <w:bottom w:val="none" w:sz="0" w:space="0" w:color="auto"/>
        <w:right w:val="none" w:sz="0" w:space="0" w:color="auto"/>
      </w:divBdr>
    </w:div>
    <w:div w:id="2039502560">
      <w:bodyDiv w:val="1"/>
      <w:marLeft w:val="0"/>
      <w:marRight w:val="0"/>
      <w:marTop w:val="0"/>
      <w:marBottom w:val="0"/>
      <w:divBdr>
        <w:top w:val="none" w:sz="0" w:space="0" w:color="auto"/>
        <w:left w:val="none" w:sz="0" w:space="0" w:color="auto"/>
        <w:bottom w:val="none" w:sz="0" w:space="0" w:color="auto"/>
        <w:right w:val="none" w:sz="0" w:space="0" w:color="auto"/>
      </w:divBdr>
    </w:div>
    <w:div w:id="2040161767">
      <w:bodyDiv w:val="1"/>
      <w:marLeft w:val="0"/>
      <w:marRight w:val="0"/>
      <w:marTop w:val="0"/>
      <w:marBottom w:val="0"/>
      <w:divBdr>
        <w:top w:val="none" w:sz="0" w:space="0" w:color="auto"/>
        <w:left w:val="none" w:sz="0" w:space="0" w:color="auto"/>
        <w:bottom w:val="none" w:sz="0" w:space="0" w:color="auto"/>
        <w:right w:val="none" w:sz="0" w:space="0" w:color="auto"/>
      </w:divBdr>
    </w:div>
    <w:div w:id="2040543532">
      <w:bodyDiv w:val="1"/>
      <w:marLeft w:val="0"/>
      <w:marRight w:val="0"/>
      <w:marTop w:val="0"/>
      <w:marBottom w:val="0"/>
      <w:divBdr>
        <w:top w:val="none" w:sz="0" w:space="0" w:color="auto"/>
        <w:left w:val="none" w:sz="0" w:space="0" w:color="auto"/>
        <w:bottom w:val="none" w:sz="0" w:space="0" w:color="auto"/>
        <w:right w:val="none" w:sz="0" w:space="0" w:color="auto"/>
      </w:divBdr>
    </w:div>
    <w:div w:id="2041129414">
      <w:bodyDiv w:val="1"/>
      <w:marLeft w:val="0"/>
      <w:marRight w:val="0"/>
      <w:marTop w:val="0"/>
      <w:marBottom w:val="0"/>
      <w:divBdr>
        <w:top w:val="none" w:sz="0" w:space="0" w:color="auto"/>
        <w:left w:val="none" w:sz="0" w:space="0" w:color="auto"/>
        <w:bottom w:val="none" w:sz="0" w:space="0" w:color="auto"/>
        <w:right w:val="none" w:sz="0" w:space="0" w:color="auto"/>
      </w:divBdr>
    </w:div>
    <w:div w:id="2042319047">
      <w:bodyDiv w:val="1"/>
      <w:marLeft w:val="0"/>
      <w:marRight w:val="0"/>
      <w:marTop w:val="0"/>
      <w:marBottom w:val="0"/>
      <w:divBdr>
        <w:top w:val="none" w:sz="0" w:space="0" w:color="auto"/>
        <w:left w:val="none" w:sz="0" w:space="0" w:color="auto"/>
        <w:bottom w:val="none" w:sz="0" w:space="0" w:color="auto"/>
        <w:right w:val="none" w:sz="0" w:space="0" w:color="auto"/>
      </w:divBdr>
    </w:div>
    <w:div w:id="2042392609">
      <w:bodyDiv w:val="1"/>
      <w:marLeft w:val="0"/>
      <w:marRight w:val="0"/>
      <w:marTop w:val="0"/>
      <w:marBottom w:val="0"/>
      <w:divBdr>
        <w:top w:val="none" w:sz="0" w:space="0" w:color="auto"/>
        <w:left w:val="none" w:sz="0" w:space="0" w:color="auto"/>
        <w:bottom w:val="none" w:sz="0" w:space="0" w:color="auto"/>
        <w:right w:val="none" w:sz="0" w:space="0" w:color="auto"/>
      </w:divBdr>
    </w:div>
    <w:div w:id="2043968502">
      <w:bodyDiv w:val="1"/>
      <w:marLeft w:val="0"/>
      <w:marRight w:val="0"/>
      <w:marTop w:val="0"/>
      <w:marBottom w:val="0"/>
      <w:divBdr>
        <w:top w:val="none" w:sz="0" w:space="0" w:color="auto"/>
        <w:left w:val="none" w:sz="0" w:space="0" w:color="auto"/>
        <w:bottom w:val="none" w:sz="0" w:space="0" w:color="auto"/>
        <w:right w:val="none" w:sz="0" w:space="0" w:color="auto"/>
      </w:divBdr>
    </w:div>
    <w:div w:id="2045011768">
      <w:bodyDiv w:val="1"/>
      <w:marLeft w:val="0"/>
      <w:marRight w:val="0"/>
      <w:marTop w:val="0"/>
      <w:marBottom w:val="0"/>
      <w:divBdr>
        <w:top w:val="none" w:sz="0" w:space="0" w:color="auto"/>
        <w:left w:val="none" w:sz="0" w:space="0" w:color="auto"/>
        <w:bottom w:val="none" w:sz="0" w:space="0" w:color="auto"/>
        <w:right w:val="none" w:sz="0" w:space="0" w:color="auto"/>
      </w:divBdr>
    </w:div>
    <w:div w:id="2045906187">
      <w:bodyDiv w:val="1"/>
      <w:marLeft w:val="0"/>
      <w:marRight w:val="0"/>
      <w:marTop w:val="0"/>
      <w:marBottom w:val="0"/>
      <w:divBdr>
        <w:top w:val="none" w:sz="0" w:space="0" w:color="auto"/>
        <w:left w:val="none" w:sz="0" w:space="0" w:color="auto"/>
        <w:bottom w:val="none" w:sz="0" w:space="0" w:color="auto"/>
        <w:right w:val="none" w:sz="0" w:space="0" w:color="auto"/>
      </w:divBdr>
    </w:div>
    <w:div w:id="2048214830">
      <w:bodyDiv w:val="1"/>
      <w:marLeft w:val="0"/>
      <w:marRight w:val="0"/>
      <w:marTop w:val="0"/>
      <w:marBottom w:val="0"/>
      <w:divBdr>
        <w:top w:val="none" w:sz="0" w:space="0" w:color="auto"/>
        <w:left w:val="none" w:sz="0" w:space="0" w:color="auto"/>
        <w:bottom w:val="none" w:sz="0" w:space="0" w:color="auto"/>
        <w:right w:val="none" w:sz="0" w:space="0" w:color="auto"/>
      </w:divBdr>
    </w:div>
    <w:div w:id="2048680875">
      <w:bodyDiv w:val="1"/>
      <w:marLeft w:val="0"/>
      <w:marRight w:val="0"/>
      <w:marTop w:val="0"/>
      <w:marBottom w:val="0"/>
      <w:divBdr>
        <w:top w:val="none" w:sz="0" w:space="0" w:color="auto"/>
        <w:left w:val="none" w:sz="0" w:space="0" w:color="auto"/>
        <w:bottom w:val="none" w:sz="0" w:space="0" w:color="auto"/>
        <w:right w:val="none" w:sz="0" w:space="0" w:color="auto"/>
      </w:divBdr>
    </w:div>
    <w:div w:id="2053191462">
      <w:bodyDiv w:val="1"/>
      <w:marLeft w:val="0"/>
      <w:marRight w:val="0"/>
      <w:marTop w:val="0"/>
      <w:marBottom w:val="0"/>
      <w:divBdr>
        <w:top w:val="none" w:sz="0" w:space="0" w:color="auto"/>
        <w:left w:val="none" w:sz="0" w:space="0" w:color="auto"/>
        <w:bottom w:val="none" w:sz="0" w:space="0" w:color="auto"/>
        <w:right w:val="none" w:sz="0" w:space="0" w:color="auto"/>
      </w:divBdr>
    </w:div>
    <w:div w:id="2053573354">
      <w:bodyDiv w:val="1"/>
      <w:marLeft w:val="0"/>
      <w:marRight w:val="0"/>
      <w:marTop w:val="0"/>
      <w:marBottom w:val="0"/>
      <w:divBdr>
        <w:top w:val="none" w:sz="0" w:space="0" w:color="auto"/>
        <w:left w:val="none" w:sz="0" w:space="0" w:color="auto"/>
        <w:bottom w:val="none" w:sz="0" w:space="0" w:color="auto"/>
        <w:right w:val="none" w:sz="0" w:space="0" w:color="auto"/>
      </w:divBdr>
    </w:div>
    <w:div w:id="2055502716">
      <w:bodyDiv w:val="1"/>
      <w:marLeft w:val="0"/>
      <w:marRight w:val="0"/>
      <w:marTop w:val="0"/>
      <w:marBottom w:val="0"/>
      <w:divBdr>
        <w:top w:val="none" w:sz="0" w:space="0" w:color="auto"/>
        <w:left w:val="none" w:sz="0" w:space="0" w:color="auto"/>
        <w:bottom w:val="none" w:sz="0" w:space="0" w:color="auto"/>
        <w:right w:val="none" w:sz="0" w:space="0" w:color="auto"/>
      </w:divBdr>
    </w:div>
    <w:div w:id="2057004031">
      <w:bodyDiv w:val="1"/>
      <w:marLeft w:val="0"/>
      <w:marRight w:val="0"/>
      <w:marTop w:val="0"/>
      <w:marBottom w:val="0"/>
      <w:divBdr>
        <w:top w:val="none" w:sz="0" w:space="0" w:color="auto"/>
        <w:left w:val="none" w:sz="0" w:space="0" w:color="auto"/>
        <w:bottom w:val="none" w:sz="0" w:space="0" w:color="auto"/>
        <w:right w:val="none" w:sz="0" w:space="0" w:color="auto"/>
      </w:divBdr>
    </w:div>
    <w:div w:id="2059359674">
      <w:bodyDiv w:val="1"/>
      <w:marLeft w:val="0"/>
      <w:marRight w:val="0"/>
      <w:marTop w:val="0"/>
      <w:marBottom w:val="0"/>
      <w:divBdr>
        <w:top w:val="none" w:sz="0" w:space="0" w:color="auto"/>
        <w:left w:val="none" w:sz="0" w:space="0" w:color="auto"/>
        <w:bottom w:val="none" w:sz="0" w:space="0" w:color="auto"/>
        <w:right w:val="none" w:sz="0" w:space="0" w:color="auto"/>
      </w:divBdr>
    </w:div>
    <w:div w:id="2060083743">
      <w:bodyDiv w:val="1"/>
      <w:marLeft w:val="0"/>
      <w:marRight w:val="0"/>
      <w:marTop w:val="0"/>
      <w:marBottom w:val="0"/>
      <w:divBdr>
        <w:top w:val="none" w:sz="0" w:space="0" w:color="auto"/>
        <w:left w:val="none" w:sz="0" w:space="0" w:color="auto"/>
        <w:bottom w:val="none" w:sz="0" w:space="0" w:color="auto"/>
        <w:right w:val="none" w:sz="0" w:space="0" w:color="auto"/>
      </w:divBdr>
    </w:div>
    <w:div w:id="2061398257">
      <w:bodyDiv w:val="1"/>
      <w:marLeft w:val="0"/>
      <w:marRight w:val="0"/>
      <w:marTop w:val="0"/>
      <w:marBottom w:val="0"/>
      <w:divBdr>
        <w:top w:val="none" w:sz="0" w:space="0" w:color="auto"/>
        <w:left w:val="none" w:sz="0" w:space="0" w:color="auto"/>
        <w:bottom w:val="none" w:sz="0" w:space="0" w:color="auto"/>
        <w:right w:val="none" w:sz="0" w:space="0" w:color="auto"/>
      </w:divBdr>
    </w:div>
    <w:div w:id="2061585890">
      <w:bodyDiv w:val="1"/>
      <w:marLeft w:val="0"/>
      <w:marRight w:val="0"/>
      <w:marTop w:val="0"/>
      <w:marBottom w:val="0"/>
      <w:divBdr>
        <w:top w:val="none" w:sz="0" w:space="0" w:color="auto"/>
        <w:left w:val="none" w:sz="0" w:space="0" w:color="auto"/>
        <w:bottom w:val="none" w:sz="0" w:space="0" w:color="auto"/>
        <w:right w:val="none" w:sz="0" w:space="0" w:color="auto"/>
      </w:divBdr>
    </w:div>
    <w:div w:id="2062557562">
      <w:bodyDiv w:val="1"/>
      <w:marLeft w:val="0"/>
      <w:marRight w:val="0"/>
      <w:marTop w:val="0"/>
      <w:marBottom w:val="0"/>
      <w:divBdr>
        <w:top w:val="none" w:sz="0" w:space="0" w:color="auto"/>
        <w:left w:val="none" w:sz="0" w:space="0" w:color="auto"/>
        <w:bottom w:val="none" w:sz="0" w:space="0" w:color="auto"/>
        <w:right w:val="none" w:sz="0" w:space="0" w:color="auto"/>
      </w:divBdr>
    </w:div>
    <w:div w:id="2063139670">
      <w:bodyDiv w:val="1"/>
      <w:marLeft w:val="0"/>
      <w:marRight w:val="0"/>
      <w:marTop w:val="0"/>
      <w:marBottom w:val="0"/>
      <w:divBdr>
        <w:top w:val="none" w:sz="0" w:space="0" w:color="auto"/>
        <w:left w:val="none" w:sz="0" w:space="0" w:color="auto"/>
        <w:bottom w:val="none" w:sz="0" w:space="0" w:color="auto"/>
        <w:right w:val="none" w:sz="0" w:space="0" w:color="auto"/>
      </w:divBdr>
    </w:div>
    <w:div w:id="2065516954">
      <w:bodyDiv w:val="1"/>
      <w:marLeft w:val="0"/>
      <w:marRight w:val="0"/>
      <w:marTop w:val="0"/>
      <w:marBottom w:val="0"/>
      <w:divBdr>
        <w:top w:val="none" w:sz="0" w:space="0" w:color="auto"/>
        <w:left w:val="none" w:sz="0" w:space="0" w:color="auto"/>
        <w:bottom w:val="none" w:sz="0" w:space="0" w:color="auto"/>
        <w:right w:val="none" w:sz="0" w:space="0" w:color="auto"/>
      </w:divBdr>
    </w:div>
    <w:div w:id="2066484833">
      <w:bodyDiv w:val="1"/>
      <w:marLeft w:val="0"/>
      <w:marRight w:val="0"/>
      <w:marTop w:val="0"/>
      <w:marBottom w:val="0"/>
      <w:divBdr>
        <w:top w:val="none" w:sz="0" w:space="0" w:color="auto"/>
        <w:left w:val="none" w:sz="0" w:space="0" w:color="auto"/>
        <w:bottom w:val="none" w:sz="0" w:space="0" w:color="auto"/>
        <w:right w:val="none" w:sz="0" w:space="0" w:color="auto"/>
      </w:divBdr>
    </w:div>
    <w:div w:id="2067675912">
      <w:bodyDiv w:val="1"/>
      <w:marLeft w:val="0"/>
      <w:marRight w:val="0"/>
      <w:marTop w:val="0"/>
      <w:marBottom w:val="0"/>
      <w:divBdr>
        <w:top w:val="none" w:sz="0" w:space="0" w:color="auto"/>
        <w:left w:val="none" w:sz="0" w:space="0" w:color="auto"/>
        <w:bottom w:val="none" w:sz="0" w:space="0" w:color="auto"/>
        <w:right w:val="none" w:sz="0" w:space="0" w:color="auto"/>
      </w:divBdr>
    </w:div>
    <w:div w:id="2070688578">
      <w:bodyDiv w:val="1"/>
      <w:marLeft w:val="0"/>
      <w:marRight w:val="0"/>
      <w:marTop w:val="0"/>
      <w:marBottom w:val="0"/>
      <w:divBdr>
        <w:top w:val="none" w:sz="0" w:space="0" w:color="auto"/>
        <w:left w:val="none" w:sz="0" w:space="0" w:color="auto"/>
        <w:bottom w:val="none" w:sz="0" w:space="0" w:color="auto"/>
        <w:right w:val="none" w:sz="0" w:space="0" w:color="auto"/>
      </w:divBdr>
    </w:div>
    <w:div w:id="2072271079">
      <w:bodyDiv w:val="1"/>
      <w:marLeft w:val="0"/>
      <w:marRight w:val="0"/>
      <w:marTop w:val="0"/>
      <w:marBottom w:val="0"/>
      <w:divBdr>
        <w:top w:val="none" w:sz="0" w:space="0" w:color="auto"/>
        <w:left w:val="none" w:sz="0" w:space="0" w:color="auto"/>
        <w:bottom w:val="none" w:sz="0" w:space="0" w:color="auto"/>
        <w:right w:val="none" w:sz="0" w:space="0" w:color="auto"/>
      </w:divBdr>
    </w:div>
    <w:div w:id="2073118213">
      <w:bodyDiv w:val="1"/>
      <w:marLeft w:val="0"/>
      <w:marRight w:val="0"/>
      <w:marTop w:val="0"/>
      <w:marBottom w:val="0"/>
      <w:divBdr>
        <w:top w:val="none" w:sz="0" w:space="0" w:color="auto"/>
        <w:left w:val="none" w:sz="0" w:space="0" w:color="auto"/>
        <w:bottom w:val="none" w:sz="0" w:space="0" w:color="auto"/>
        <w:right w:val="none" w:sz="0" w:space="0" w:color="auto"/>
      </w:divBdr>
    </w:div>
    <w:div w:id="2074308710">
      <w:bodyDiv w:val="1"/>
      <w:marLeft w:val="0"/>
      <w:marRight w:val="0"/>
      <w:marTop w:val="0"/>
      <w:marBottom w:val="0"/>
      <w:divBdr>
        <w:top w:val="none" w:sz="0" w:space="0" w:color="auto"/>
        <w:left w:val="none" w:sz="0" w:space="0" w:color="auto"/>
        <w:bottom w:val="none" w:sz="0" w:space="0" w:color="auto"/>
        <w:right w:val="none" w:sz="0" w:space="0" w:color="auto"/>
      </w:divBdr>
    </w:div>
    <w:div w:id="2075810589">
      <w:bodyDiv w:val="1"/>
      <w:marLeft w:val="0"/>
      <w:marRight w:val="0"/>
      <w:marTop w:val="0"/>
      <w:marBottom w:val="0"/>
      <w:divBdr>
        <w:top w:val="none" w:sz="0" w:space="0" w:color="auto"/>
        <w:left w:val="none" w:sz="0" w:space="0" w:color="auto"/>
        <w:bottom w:val="none" w:sz="0" w:space="0" w:color="auto"/>
        <w:right w:val="none" w:sz="0" w:space="0" w:color="auto"/>
      </w:divBdr>
    </w:div>
    <w:div w:id="2075853909">
      <w:bodyDiv w:val="1"/>
      <w:marLeft w:val="0"/>
      <w:marRight w:val="0"/>
      <w:marTop w:val="0"/>
      <w:marBottom w:val="0"/>
      <w:divBdr>
        <w:top w:val="none" w:sz="0" w:space="0" w:color="auto"/>
        <w:left w:val="none" w:sz="0" w:space="0" w:color="auto"/>
        <w:bottom w:val="none" w:sz="0" w:space="0" w:color="auto"/>
        <w:right w:val="none" w:sz="0" w:space="0" w:color="auto"/>
      </w:divBdr>
    </w:div>
    <w:div w:id="2076665387">
      <w:bodyDiv w:val="1"/>
      <w:marLeft w:val="0"/>
      <w:marRight w:val="0"/>
      <w:marTop w:val="0"/>
      <w:marBottom w:val="0"/>
      <w:divBdr>
        <w:top w:val="none" w:sz="0" w:space="0" w:color="auto"/>
        <w:left w:val="none" w:sz="0" w:space="0" w:color="auto"/>
        <w:bottom w:val="none" w:sz="0" w:space="0" w:color="auto"/>
        <w:right w:val="none" w:sz="0" w:space="0" w:color="auto"/>
      </w:divBdr>
    </w:div>
    <w:div w:id="2077046286">
      <w:bodyDiv w:val="1"/>
      <w:marLeft w:val="0"/>
      <w:marRight w:val="0"/>
      <w:marTop w:val="0"/>
      <w:marBottom w:val="0"/>
      <w:divBdr>
        <w:top w:val="none" w:sz="0" w:space="0" w:color="auto"/>
        <w:left w:val="none" w:sz="0" w:space="0" w:color="auto"/>
        <w:bottom w:val="none" w:sz="0" w:space="0" w:color="auto"/>
        <w:right w:val="none" w:sz="0" w:space="0" w:color="auto"/>
      </w:divBdr>
    </w:div>
    <w:div w:id="2079860496">
      <w:bodyDiv w:val="1"/>
      <w:marLeft w:val="0"/>
      <w:marRight w:val="0"/>
      <w:marTop w:val="0"/>
      <w:marBottom w:val="0"/>
      <w:divBdr>
        <w:top w:val="none" w:sz="0" w:space="0" w:color="auto"/>
        <w:left w:val="none" w:sz="0" w:space="0" w:color="auto"/>
        <w:bottom w:val="none" w:sz="0" w:space="0" w:color="auto"/>
        <w:right w:val="none" w:sz="0" w:space="0" w:color="auto"/>
      </w:divBdr>
    </w:div>
    <w:div w:id="2080514524">
      <w:bodyDiv w:val="1"/>
      <w:marLeft w:val="0"/>
      <w:marRight w:val="0"/>
      <w:marTop w:val="0"/>
      <w:marBottom w:val="0"/>
      <w:divBdr>
        <w:top w:val="none" w:sz="0" w:space="0" w:color="auto"/>
        <w:left w:val="none" w:sz="0" w:space="0" w:color="auto"/>
        <w:bottom w:val="none" w:sz="0" w:space="0" w:color="auto"/>
        <w:right w:val="none" w:sz="0" w:space="0" w:color="auto"/>
      </w:divBdr>
    </w:div>
    <w:div w:id="2080668782">
      <w:bodyDiv w:val="1"/>
      <w:marLeft w:val="0"/>
      <w:marRight w:val="0"/>
      <w:marTop w:val="0"/>
      <w:marBottom w:val="0"/>
      <w:divBdr>
        <w:top w:val="none" w:sz="0" w:space="0" w:color="auto"/>
        <w:left w:val="none" w:sz="0" w:space="0" w:color="auto"/>
        <w:bottom w:val="none" w:sz="0" w:space="0" w:color="auto"/>
        <w:right w:val="none" w:sz="0" w:space="0" w:color="auto"/>
      </w:divBdr>
    </w:div>
    <w:div w:id="2080709031">
      <w:bodyDiv w:val="1"/>
      <w:marLeft w:val="0"/>
      <w:marRight w:val="0"/>
      <w:marTop w:val="0"/>
      <w:marBottom w:val="0"/>
      <w:divBdr>
        <w:top w:val="none" w:sz="0" w:space="0" w:color="auto"/>
        <w:left w:val="none" w:sz="0" w:space="0" w:color="auto"/>
        <w:bottom w:val="none" w:sz="0" w:space="0" w:color="auto"/>
        <w:right w:val="none" w:sz="0" w:space="0" w:color="auto"/>
      </w:divBdr>
    </w:div>
    <w:div w:id="2083792839">
      <w:bodyDiv w:val="1"/>
      <w:marLeft w:val="0"/>
      <w:marRight w:val="0"/>
      <w:marTop w:val="0"/>
      <w:marBottom w:val="0"/>
      <w:divBdr>
        <w:top w:val="none" w:sz="0" w:space="0" w:color="auto"/>
        <w:left w:val="none" w:sz="0" w:space="0" w:color="auto"/>
        <w:bottom w:val="none" w:sz="0" w:space="0" w:color="auto"/>
        <w:right w:val="none" w:sz="0" w:space="0" w:color="auto"/>
      </w:divBdr>
    </w:div>
    <w:div w:id="2084906591">
      <w:bodyDiv w:val="1"/>
      <w:marLeft w:val="0"/>
      <w:marRight w:val="0"/>
      <w:marTop w:val="0"/>
      <w:marBottom w:val="0"/>
      <w:divBdr>
        <w:top w:val="none" w:sz="0" w:space="0" w:color="auto"/>
        <w:left w:val="none" w:sz="0" w:space="0" w:color="auto"/>
        <w:bottom w:val="none" w:sz="0" w:space="0" w:color="auto"/>
        <w:right w:val="none" w:sz="0" w:space="0" w:color="auto"/>
      </w:divBdr>
    </w:div>
    <w:div w:id="2085838709">
      <w:bodyDiv w:val="1"/>
      <w:marLeft w:val="0"/>
      <w:marRight w:val="0"/>
      <w:marTop w:val="0"/>
      <w:marBottom w:val="0"/>
      <w:divBdr>
        <w:top w:val="none" w:sz="0" w:space="0" w:color="auto"/>
        <w:left w:val="none" w:sz="0" w:space="0" w:color="auto"/>
        <w:bottom w:val="none" w:sz="0" w:space="0" w:color="auto"/>
        <w:right w:val="none" w:sz="0" w:space="0" w:color="auto"/>
      </w:divBdr>
    </w:div>
    <w:div w:id="2086107297">
      <w:bodyDiv w:val="1"/>
      <w:marLeft w:val="0"/>
      <w:marRight w:val="0"/>
      <w:marTop w:val="0"/>
      <w:marBottom w:val="0"/>
      <w:divBdr>
        <w:top w:val="none" w:sz="0" w:space="0" w:color="auto"/>
        <w:left w:val="none" w:sz="0" w:space="0" w:color="auto"/>
        <w:bottom w:val="none" w:sz="0" w:space="0" w:color="auto"/>
        <w:right w:val="none" w:sz="0" w:space="0" w:color="auto"/>
      </w:divBdr>
    </w:div>
    <w:div w:id="2087072383">
      <w:bodyDiv w:val="1"/>
      <w:marLeft w:val="0"/>
      <w:marRight w:val="0"/>
      <w:marTop w:val="0"/>
      <w:marBottom w:val="0"/>
      <w:divBdr>
        <w:top w:val="none" w:sz="0" w:space="0" w:color="auto"/>
        <w:left w:val="none" w:sz="0" w:space="0" w:color="auto"/>
        <w:bottom w:val="none" w:sz="0" w:space="0" w:color="auto"/>
        <w:right w:val="none" w:sz="0" w:space="0" w:color="auto"/>
      </w:divBdr>
    </w:div>
    <w:div w:id="2088913978">
      <w:bodyDiv w:val="1"/>
      <w:marLeft w:val="0"/>
      <w:marRight w:val="0"/>
      <w:marTop w:val="0"/>
      <w:marBottom w:val="0"/>
      <w:divBdr>
        <w:top w:val="none" w:sz="0" w:space="0" w:color="auto"/>
        <w:left w:val="none" w:sz="0" w:space="0" w:color="auto"/>
        <w:bottom w:val="none" w:sz="0" w:space="0" w:color="auto"/>
        <w:right w:val="none" w:sz="0" w:space="0" w:color="auto"/>
      </w:divBdr>
    </w:div>
    <w:div w:id="2089376558">
      <w:bodyDiv w:val="1"/>
      <w:marLeft w:val="0"/>
      <w:marRight w:val="0"/>
      <w:marTop w:val="0"/>
      <w:marBottom w:val="0"/>
      <w:divBdr>
        <w:top w:val="none" w:sz="0" w:space="0" w:color="auto"/>
        <w:left w:val="none" w:sz="0" w:space="0" w:color="auto"/>
        <w:bottom w:val="none" w:sz="0" w:space="0" w:color="auto"/>
        <w:right w:val="none" w:sz="0" w:space="0" w:color="auto"/>
      </w:divBdr>
    </w:div>
    <w:div w:id="2090615361">
      <w:bodyDiv w:val="1"/>
      <w:marLeft w:val="0"/>
      <w:marRight w:val="0"/>
      <w:marTop w:val="0"/>
      <w:marBottom w:val="0"/>
      <w:divBdr>
        <w:top w:val="none" w:sz="0" w:space="0" w:color="auto"/>
        <w:left w:val="none" w:sz="0" w:space="0" w:color="auto"/>
        <w:bottom w:val="none" w:sz="0" w:space="0" w:color="auto"/>
        <w:right w:val="none" w:sz="0" w:space="0" w:color="auto"/>
      </w:divBdr>
    </w:div>
    <w:div w:id="2091268320">
      <w:bodyDiv w:val="1"/>
      <w:marLeft w:val="0"/>
      <w:marRight w:val="0"/>
      <w:marTop w:val="0"/>
      <w:marBottom w:val="0"/>
      <w:divBdr>
        <w:top w:val="none" w:sz="0" w:space="0" w:color="auto"/>
        <w:left w:val="none" w:sz="0" w:space="0" w:color="auto"/>
        <w:bottom w:val="none" w:sz="0" w:space="0" w:color="auto"/>
        <w:right w:val="none" w:sz="0" w:space="0" w:color="auto"/>
      </w:divBdr>
    </w:div>
    <w:div w:id="2097049798">
      <w:bodyDiv w:val="1"/>
      <w:marLeft w:val="0"/>
      <w:marRight w:val="0"/>
      <w:marTop w:val="0"/>
      <w:marBottom w:val="0"/>
      <w:divBdr>
        <w:top w:val="none" w:sz="0" w:space="0" w:color="auto"/>
        <w:left w:val="none" w:sz="0" w:space="0" w:color="auto"/>
        <w:bottom w:val="none" w:sz="0" w:space="0" w:color="auto"/>
        <w:right w:val="none" w:sz="0" w:space="0" w:color="auto"/>
      </w:divBdr>
    </w:div>
    <w:div w:id="2097095291">
      <w:bodyDiv w:val="1"/>
      <w:marLeft w:val="0"/>
      <w:marRight w:val="0"/>
      <w:marTop w:val="0"/>
      <w:marBottom w:val="0"/>
      <w:divBdr>
        <w:top w:val="none" w:sz="0" w:space="0" w:color="auto"/>
        <w:left w:val="none" w:sz="0" w:space="0" w:color="auto"/>
        <w:bottom w:val="none" w:sz="0" w:space="0" w:color="auto"/>
        <w:right w:val="none" w:sz="0" w:space="0" w:color="auto"/>
      </w:divBdr>
    </w:div>
    <w:div w:id="2098356026">
      <w:bodyDiv w:val="1"/>
      <w:marLeft w:val="0"/>
      <w:marRight w:val="0"/>
      <w:marTop w:val="0"/>
      <w:marBottom w:val="0"/>
      <w:divBdr>
        <w:top w:val="none" w:sz="0" w:space="0" w:color="auto"/>
        <w:left w:val="none" w:sz="0" w:space="0" w:color="auto"/>
        <w:bottom w:val="none" w:sz="0" w:space="0" w:color="auto"/>
        <w:right w:val="none" w:sz="0" w:space="0" w:color="auto"/>
      </w:divBdr>
    </w:div>
    <w:div w:id="2099904993">
      <w:bodyDiv w:val="1"/>
      <w:marLeft w:val="0"/>
      <w:marRight w:val="0"/>
      <w:marTop w:val="0"/>
      <w:marBottom w:val="0"/>
      <w:divBdr>
        <w:top w:val="none" w:sz="0" w:space="0" w:color="auto"/>
        <w:left w:val="none" w:sz="0" w:space="0" w:color="auto"/>
        <w:bottom w:val="none" w:sz="0" w:space="0" w:color="auto"/>
        <w:right w:val="none" w:sz="0" w:space="0" w:color="auto"/>
      </w:divBdr>
    </w:div>
    <w:div w:id="2100370664">
      <w:bodyDiv w:val="1"/>
      <w:marLeft w:val="0"/>
      <w:marRight w:val="0"/>
      <w:marTop w:val="0"/>
      <w:marBottom w:val="0"/>
      <w:divBdr>
        <w:top w:val="none" w:sz="0" w:space="0" w:color="auto"/>
        <w:left w:val="none" w:sz="0" w:space="0" w:color="auto"/>
        <w:bottom w:val="none" w:sz="0" w:space="0" w:color="auto"/>
        <w:right w:val="none" w:sz="0" w:space="0" w:color="auto"/>
      </w:divBdr>
    </w:div>
    <w:div w:id="2101021925">
      <w:bodyDiv w:val="1"/>
      <w:marLeft w:val="0"/>
      <w:marRight w:val="0"/>
      <w:marTop w:val="0"/>
      <w:marBottom w:val="0"/>
      <w:divBdr>
        <w:top w:val="none" w:sz="0" w:space="0" w:color="auto"/>
        <w:left w:val="none" w:sz="0" w:space="0" w:color="auto"/>
        <w:bottom w:val="none" w:sz="0" w:space="0" w:color="auto"/>
        <w:right w:val="none" w:sz="0" w:space="0" w:color="auto"/>
      </w:divBdr>
    </w:div>
    <w:div w:id="2101902026">
      <w:bodyDiv w:val="1"/>
      <w:marLeft w:val="0"/>
      <w:marRight w:val="0"/>
      <w:marTop w:val="0"/>
      <w:marBottom w:val="0"/>
      <w:divBdr>
        <w:top w:val="none" w:sz="0" w:space="0" w:color="auto"/>
        <w:left w:val="none" w:sz="0" w:space="0" w:color="auto"/>
        <w:bottom w:val="none" w:sz="0" w:space="0" w:color="auto"/>
        <w:right w:val="none" w:sz="0" w:space="0" w:color="auto"/>
      </w:divBdr>
    </w:div>
    <w:div w:id="2102875054">
      <w:bodyDiv w:val="1"/>
      <w:marLeft w:val="0"/>
      <w:marRight w:val="0"/>
      <w:marTop w:val="0"/>
      <w:marBottom w:val="0"/>
      <w:divBdr>
        <w:top w:val="none" w:sz="0" w:space="0" w:color="auto"/>
        <w:left w:val="none" w:sz="0" w:space="0" w:color="auto"/>
        <w:bottom w:val="none" w:sz="0" w:space="0" w:color="auto"/>
        <w:right w:val="none" w:sz="0" w:space="0" w:color="auto"/>
      </w:divBdr>
    </w:div>
    <w:div w:id="2103455768">
      <w:bodyDiv w:val="1"/>
      <w:marLeft w:val="0"/>
      <w:marRight w:val="0"/>
      <w:marTop w:val="0"/>
      <w:marBottom w:val="0"/>
      <w:divBdr>
        <w:top w:val="none" w:sz="0" w:space="0" w:color="auto"/>
        <w:left w:val="none" w:sz="0" w:space="0" w:color="auto"/>
        <w:bottom w:val="none" w:sz="0" w:space="0" w:color="auto"/>
        <w:right w:val="none" w:sz="0" w:space="0" w:color="auto"/>
      </w:divBdr>
    </w:div>
    <w:div w:id="2105418408">
      <w:bodyDiv w:val="1"/>
      <w:marLeft w:val="0"/>
      <w:marRight w:val="0"/>
      <w:marTop w:val="0"/>
      <w:marBottom w:val="0"/>
      <w:divBdr>
        <w:top w:val="none" w:sz="0" w:space="0" w:color="auto"/>
        <w:left w:val="none" w:sz="0" w:space="0" w:color="auto"/>
        <w:bottom w:val="none" w:sz="0" w:space="0" w:color="auto"/>
        <w:right w:val="none" w:sz="0" w:space="0" w:color="auto"/>
      </w:divBdr>
    </w:div>
    <w:div w:id="2106147127">
      <w:bodyDiv w:val="1"/>
      <w:marLeft w:val="0"/>
      <w:marRight w:val="0"/>
      <w:marTop w:val="0"/>
      <w:marBottom w:val="0"/>
      <w:divBdr>
        <w:top w:val="none" w:sz="0" w:space="0" w:color="auto"/>
        <w:left w:val="none" w:sz="0" w:space="0" w:color="auto"/>
        <w:bottom w:val="none" w:sz="0" w:space="0" w:color="auto"/>
        <w:right w:val="none" w:sz="0" w:space="0" w:color="auto"/>
      </w:divBdr>
    </w:div>
    <w:div w:id="2108302861">
      <w:bodyDiv w:val="1"/>
      <w:marLeft w:val="0"/>
      <w:marRight w:val="0"/>
      <w:marTop w:val="0"/>
      <w:marBottom w:val="0"/>
      <w:divBdr>
        <w:top w:val="none" w:sz="0" w:space="0" w:color="auto"/>
        <w:left w:val="none" w:sz="0" w:space="0" w:color="auto"/>
        <w:bottom w:val="none" w:sz="0" w:space="0" w:color="auto"/>
        <w:right w:val="none" w:sz="0" w:space="0" w:color="auto"/>
      </w:divBdr>
    </w:div>
    <w:div w:id="2108456758">
      <w:bodyDiv w:val="1"/>
      <w:marLeft w:val="0"/>
      <w:marRight w:val="0"/>
      <w:marTop w:val="0"/>
      <w:marBottom w:val="0"/>
      <w:divBdr>
        <w:top w:val="none" w:sz="0" w:space="0" w:color="auto"/>
        <w:left w:val="none" w:sz="0" w:space="0" w:color="auto"/>
        <w:bottom w:val="none" w:sz="0" w:space="0" w:color="auto"/>
        <w:right w:val="none" w:sz="0" w:space="0" w:color="auto"/>
      </w:divBdr>
    </w:div>
    <w:div w:id="2112773530">
      <w:bodyDiv w:val="1"/>
      <w:marLeft w:val="0"/>
      <w:marRight w:val="0"/>
      <w:marTop w:val="0"/>
      <w:marBottom w:val="0"/>
      <w:divBdr>
        <w:top w:val="none" w:sz="0" w:space="0" w:color="auto"/>
        <w:left w:val="none" w:sz="0" w:space="0" w:color="auto"/>
        <w:bottom w:val="none" w:sz="0" w:space="0" w:color="auto"/>
        <w:right w:val="none" w:sz="0" w:space="0" w:color="auto"/>
      </w:divBdr>
    </w:div>
    <w:div w:id="2112817869">
      <w:bodyDiv w:val="1"/>
      <w:marLeft w:val="0"/>
      <w:marRight w:val="0"/>
      <w:marTop w:val="0"/>
      <w:marBottom w:val="0"/>
      <w:divBdr>
        <w:top w:val="none" w:sz="0" w:space="0" w:color="auto"/>
        <w:left w:val="none" w:sz="0" w:space="0" w:color="auto"/>
        <w:bottom w:val="none" w:sz="0" w:space="0" w:color="auto"/>
        <w:right w:val="none" w:sz="0" w:space="0" w:color="auto"/>
      </w:divBdr>
    </w:div>
    <w:div w:id="2115588460">
      <w:bodyDiv w:val="1"/>
      <w:marLeft w:val="0"/>
      <w:marRight w:val="0"/>
      <w:marTop w:val="0"/>
      <w:marBottom w:val="0"/>
      <w:divBdr>
        <w:top w:val="none" w:sz="0" w:space="0" w:color="auto"/>
        <w:left w:val="none" w:sz="0" w:space="0" w:color="auto"/>
        <w:bottom w:val="none" w:sz="0" w:space="0" w:color="auto"/>
        <w:right w:val="none" w:sz="0" w:space="0" w:color="auto"/>
      </w:divBdr>
    </w:div>
    <w:div w:id="2121488331">
      <w:bodyDiv w:val="1"/>
      <w:marLeft w:val="0"/>
      <w:marRight w:val="0"/>
      <w:marTop w:val="0"/>
      <w:marBottom w:val="0"/>
      <w:divBdr>
        <w:top w:val="none" w:sz="0" w:space="0" w:color="auto"/>
        <w:left w:val="none" w:sz="0" w:space="0" w:color="auto"/>
        <w:bottom w:val="none" w:sz="0" w:space="0" w:color="auto"/>
        <w:right w:val="none" w:sz="0" w:space="0" w:color="auto"/>
      </w:divBdr>
    </w:div>
    <w:div w:id="2123107034">
      <w:bodyDiv w:val="1"/>
      <w:marLeft w:val="0"/>
      <w:marRight w:val="0"/>
      <w:marTop w:val="0"/>
      <w:marBottom w:val="0"/>
      <w:divBdr>
        <w:top w:val="none" w:sz="0" w:space="0" w:color="auto"/>
        <w:left w:val="none" w:sz="0" w:space="0" w:color="auto"/>
        <w:bottom w:val="none" w:sz="0" w:space="0" w:color="auto"/>
        <w:right w:val="none" w:sz="0" w:space="0" w:color="auto"/>
      </w:divBdr>
    </w:div>
    <w:div w:id="2124614969">
      <w:bodyDiv w:val="1"/>
      <w:marLeft w:val="0"/>
      <w:marRight w:val="0"/>
      <w:marTop w:val="0"/>
      <w:marBottom w:val="0"/>
      <w:divBdr>
        <w:top w:val="none" w:sz="0" w:space="0" w:color="auto"/>
        <w:left w:val="none" w:sz="0" w:space="0" w:color="auto"/>
        <w:bottom w:val="none" w:sz="0" w:space="0" w:color="auto"/>
        <w:right w:val="none" w:sz="0" w:space="0" w:color="auto"/>
      </w:divBdr>
    </w:div>
    <w:div w:id="2125347582">
      <w:bodyDiv w:val="1"/>
      <w:marLeft w:val="0"/>
      <w:marRight w:val="0"/>
      <w:marTop w:val="0"/>
      <w:marBottom w:val="0"/>
      <w:divBdr>
        <w:top w:val="none" w:sz="0" w:space="0" w:color="auto"/>
        <w:left w:val="none" w:sz="0" w:space="0" w:color="auto"/>
        <w:bottom w:val="none" w:sz="0" w:space="0" w:color="auto"/>
        <w:right w:val="none" w:sz="0" w:space="0" w:color="auto"/>
      </w:divBdr>
    </w:div>
    <w:div w:id="2127773938">
      <w:bodyDiv w:val="1"/>
      <w:marLeft w:val="0"/>
      <w:marRight w:val="0"/>
      <w:marTop w:val="0"/>
      <w:marBottom w:val="0"/>
      <w:divBdr>
        <w:top w:val="none" w:sz="0" w:space="0" w:color="auto"/>
        <w:left w:val="none" w:sz="0" w:space="0" w:color="auto"/>
        <w:bottom w:val="none" w:sz="0" w:space="0" w:color="auto"/>
        <w:right w:val="none" w:sz="0" w:space="0" w:color="auto"/>
      </w:divBdr>
    </w:div>
    <w:div w:id="2131900755">
      <w:bodyDiv w:val="1"/>
      <w:marLeft w:val="0"/>
      <w:marRight w:val="0"/>
      <w:marTop w:val="0"/>
      <w:marBottom w:val="0"/>
      <w:divBdr>
        <w:top w:val="none" w:sz="0" w:space="0" w:color="auto"/>
        <w:left w:val="none" w:sz="0" w:space="0" w:color="auto"/>
        <w:bottom w:val="none" w:sz="0" w:space="0" w:color="auto"/>
        <w:right w:val="none" w:sz="0" w:space="0" w:color="auto"/>
      </w:divBdr>
    </w:div>
    <w:div w:id="2132018546">
      <w:bodyDiv w:val="1"/>
      <w:marLeft w:val="0"/>
      <w:marRight w:val="0"/>
      <w:marTop w:val="0"/>
      <w:marBottom w:val="0"/>
      <w:divBdr>
        <w:top w:val="none" w:sz="0" w:space="0" w:color="auto"/>
        <w:left w:val="none" w:sz="0" w:space="0" w:color="auto"/>
        <w:bottom w:val="none" w:sz="0" w:space="0" w:color="auto"/>
        <w:right w:val="none" w:sz="0" w:space="0" w:color="auto"/>
      </w:divBdr>
    </w:div>
    <w:div w:id="2136172361">
      <w:bodyDiv w:val="1"/>
      <w:marLeft w:val="0"/>
      <w:marRight w:val="0"/>
      <w:marTop w:val="0"/>
      <w:marBottom w:val="0"/>
      <w:divBdr>
        <w:top w:val="none" w:sz="0" w:space="0" w:color="auto"/>
        <w:left w:val="none" w:sz="0" w:space="0" w:color="auto"/>
        <w:bottom w:val="none" w:sz="0" w:space="0" w:color="auto"/>
        <w:right w:val="none" w:sz="0" w:space="0" w:color="auto"/>
      </w:divBdr>
    </w:div>
    <w:div w:id="2142650420">
      <w:bodyDiv w:val="1"/>
      <w:marLeft w:val="0"/>
      <w:marRight w:val="0"/>
      <w:marTop w:val="0"/>
      <w:marBottom w:val="0"/>
      <w:divBdr>
        <w:top w:val="none" w:sz="0" w:space="0" w:color="auto"/>
        <w:left w:val="none" w:sz="0" w:space="0" w:color="auto"/>
        <w:bottom w:val="none" w:sz="0" w:space="0" w:color="auto"/>
        <w:right w:val="none" w:sz="0" w:space="0" w:color="auto"/>
      </w:divBdr>
    </w:div>
    <w:div w:id="2144535332">
      <w:bodyDiv w:val="1"/>
      <w:marLeft w:val="0"/>
      <w:marRight w:val="0"/>
      <w:marTop w:val="0"/>
      <w:marBottom w:val="0"/>
      <w:divBdr>
        <w:top w:val="none" w:sz="0" w:space="0" w:color="auto"/>
        <w:left w:val="none" w:sz="0" w:space="0" w:color="auto"/>
        <w:bottom w:val="none" w:sz="0" w:space="0" w:color="auto"/>
        <w:right w:val="none" w:sz="0" w:space="0" w:color="auto"/>
      </w:divBdr>
    </w:div>
    <w:div w:id="2145535055">
      <w:bodyDiv w:val="1"/>
      <w:marLeft w:val="0"/>
      <w:marRight w:val="0"/>
      <w:marTop w:val="0"/>
      <w:marBottom w:val="0"/>
      <w:divBdr>
        <w:top w:val="none" w:sz="0" w:space="0" w:color="auto"/>
        <w:left w:val="none" w:sz="0" w:space="0" w:color="auto"/>
        <w:bottom w:val="none" w:sz="0" w:space="0" w:color="auto"/>
        <w:right w:val="none" w:sz="0" w:space="0" w:color="auto"/>
      </w:divBdr>
    </w:div>
    <w:div w:id="214711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chart" Target="charts/chart2.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5.png"/><Relationship Id="rId23" Type="http://schemas.microsoft.com/office/2007/relationships/stylesWithEffects" Target="stylesWithEffects.xm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plotArea>
      <c:layout/>
      <c:pieChart>
        <c:varyColors val="1"/>
        <c:ser>
          <c:idx val="0"/>
          <c:order val="0"/>
          <c:tx>
            <c:strRef>
              <c:f>Sheet1!$B$1</c:f>
              <c:strCache>
                <c:ptCount val="1"/>
                <c:pt idx="0">
                  <c:v>Distribution of DA trends (%)</c:v>
                </c:pt>
              </c:strCache>
            </c:strRef>
          </c:tx>
          <c:explosion val="25"/>
          <c:dLbls>
            <c:dLbl>
              <c:idx val="0"/>
              <c:showVal val="1"/>
              <c:extLst>
                <c:ext xmlns:c15="http://schemas.microsoft.com/office/drawing/2012/chart" uri="{CE6537A1-D6FC-4f65-9D91-7224C49458BB}"/>
              </c:extLst>
            </c:dLbl>
            <c:dLbl>
              <c:idx val="1"/>
              <c:showVal val="1"/>
              <c:extLst>
                <c:ext xmlns:c15="http://schemas.microsoft.com/office/drawing/2012/chart" uri="{CE6537A1-D6FC-4f65-9D91-7224C49458BB}"/>
              </c:extLst>
            </c:dLbl>
            <c:delete val="1"/>
            <c:spPr>
              <a:noFill/>
              <a:ln>
                <a:noFill/>
              </a:ln>
              <a:effectLst/>
            </c:spPr>
            <c:extLst>
              <c:ext xmlns:c15="http://schemas.microsoft.com/office/drawing/2012/chart" uri="{CE6537A1-D6FC-4f65-9D91-7224C49458BB}"/>
            </c:extLst>
          </c:dLbls>
          <c:cat>
            <c:strRef>
              <c:f>Sheet1!$A$2:$A$3</c:f>
              <c:strCache>
                <c:ptCount val="2"/>
                <c:pt idx="0">
                  <c:v>Lower discretionary accruals in the first year after rotation than the year before</c:v>
                </c:pt>
                <c:pt idx="1">
                  <c:v>Higher discretionary accruals in the first year after rotation than the year before</c:v>
                </c:pt>
              </c:strCache>
            </c:strRef>
          </c:cat>
          <c:val>
            <c:numRef>
              <c:f>Sheet1!$B$2:$B$3</c:f>
              <c:numCache>
                <c:formatCode>0.00%</c:formatCode>
                <c:ptCount val="2"/>
                <c:pt idx="0">
                  <c:v>0.54285714285714259</c:v>
                </c:pt>
                <c:pt idx="1">
                  <c:v>0.45714285714285735</c:v>
                </c:pt>
              </c:numCache>
            </c:numRef>
          </c:val>
        </c:ser>
        <c:firstSliceAng val="0"/>
      </c:pieChart>
    </c:plotArea>
    <c:legend>
      <c:legendPos val="r"/>
    </c:legend>
    <c:plotVisOnly val="1"/>
    <c:dispBlanksAs val="zero"/>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plotArea>
      <c:layout/>
      <c:barChart>
        <c:barDir val="col"/>
        <c:grouping val="stacked"/>
        <c:ser>
          <c:idx val="0"/>
          <c:order val="0"/>
          <c:tx>
            <c:strRef>
              <c:f>Sheet1!$B$1</c:f>
              <c:strCache>
                <c:ptCount val="1"/>
                <c:pt idx="0">
                  <c:v>Distribution of DA trends</c:v>
                </c:pt>
              </c:strCache>
            </c:strRef>
          </c:tx>
          <c:dPt>
            <c:idx val="0"/>
            <c:spPr>
              <a:solidFill>
                <a:schemeClr val="accent2"/>
              </a:solidFill>
            </c:spPr>
          </c:dPt>
          <c:dLbls>
            <c:spPr>
              <a:noFill/>
              <a:ln>
                <a:noFill/>
              </a:ln>
              <a:effectLst/>
            </c:spPr>
            <c:showVal val="1"/>
            <c:extLst>
              <c:ext xmlns:c15="http://schemas.microsoft.com/office/drawing/2012/chart" uri="{CE6537A1-D6FC-4f65-9D91-7224C49458BB}">
                <c15:showLeaderLines val="0"/>
              </c:ext>
            </c:extLst>
          </c:dLbls>
          <c:cat>
            <c:strRef>
              <c:f>Sheet1!$A$2:$A$3</c:f>
              <c:strCache>
                <c:ptCount val="2"/>
                <c:pt idx="0">
                  <c:v>Higher discretionary accruals in the first year after rotation than the year before</c:v>
                </c:pt>
                <c:pt idx="1">
                  <c:v>Lower discretionary accruals in the first year after rotation than the year before</c:v>
                </c:pt>
              </c:strCache>
            </c:strRef>
          </c:cat>
          <c:val>
            <c:numRef>
              <c:f>Sheet1!$B$2:$B$3</c:f>
              <c:numCache>
                <c:formatCode>Standaard</c:formatCode>
                <c:ptCount val="2"/>
                <c:pt idx="0">
                  <c:v>16</c:v>
                </c:pt>
                <c:pt idx="1">
                  <c:v>19</c:v>
                </c:pt>
              </c:numCache>
            </c:numRef>
          </c:val>
        </c:ser>
        <c:overlap val="100"/>
        <c:axId val="96379648"/>
        <c:axId val="96381184"/>
      </c:barChart>
      <c:catAx>
        <c:axId val="96379648"/>
        <c:scaling>
          <c:orientation val="minMax"/>
        </c:scaling>
        <c:axPos val="b"/>
        <c:numFmt formatCode="Standaard" sourceLinked="0"/>
        <c:tickLblPos val="nextTo"/>
        <c:crossAx val="96381184"/>
        <c:crosses val="autoZero"/>
        <c:auto val="1"/>
        <c:lblAlgn val="ctr"/>
        <c:lblOffset val="100"/>
      </c:catAx>
      <c:valAx>
        <c:axId val="96381184"/>
        <c:scaling>
          <c:orientation val="minMax"/>
          <c:max val="34"/>
          <c:min val="0"/>
        </c:scaling>
        <c:axPos val="l"/>
        <c:majorGridlines/>
        <c:numFmt formatCode="Standaard" sourceLinked="1"/>
        <c:tickLblPos val="nextTo"/>
        <c:crossAx val="96379648"/>
        <c:crosses val="autoZero"/>
        <c:crossBetween val="between"/>
      </c:valAx>
    </c:plotArea>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
  <CompanyAddress>CS</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Version="6">
  <b:Source>
    <b:Tag>Eur03</b:Tag>
    <b:SourceType>Report</b:SourceType>
    <b:Guid>{2864F551-4446-44E4-875D-1281F87CD7FB}</b:Guid>
    <b:Title>Required Study on the Potential Effectss of Mandatory Audit Firm Rotation</b:Title>
    <b:Year>2003</b:Year>
    <b:Publisher>General Accounting Office</b:Publisher>
    <b:Author>
      <b:Author>
        <b:NameList>
          <b:Person>
            <b:Last>GAO</b:Last>
          </b:Person>
        </b:NameList>
      </b:Author>
    </b:Author>
    <b:City>Available at: http://www.gao.gov/assets/250/240736.pdf</b:City>
    <b:LCID>2057</b:LCID>
    <b:RefOrder>2</b:RefOrder>
  </b:Source>
  <b:Source>
    <b:Tag>Sta</b:Tag>
    <b:SourceType>InternetSite</b:SourceType>
    <b:Guid>{03132E09-8D39-4D9E-8852-5B4325ADBB09}</b:Guid>
    <b:Author>
      <b:Author>
        <b:NameList>
          <b:Person>
            <b:Last>Staten-Generaal</b:Last>
            <b:First>Eerste</b:First>
            <b:Middle>Kamer der</b:Middle>
          </b:Person>
        </b:NameList>
      </b:Author>
    </b:Author>
    <b:Year>2012</b:Year>
    <b:URL>http://www.eerstekamer.nl/wetsvoorstel/33025_wet_op_het_accountantsberoep#p1</b:URL>
    <b:InternetSiteTitle>www.eerstekamer.nl</b:InternetSiteTitle>
    <b:Title>Wet op accountantsberoep</b:Title>
    <b:LCID>2057</b:LCID>
    <b:RefOrder>4</b:RefOrder>
  </b:Source>
  <b:Source>
    <b:Tag>Tow</b:Tag>
    <b:SourceType>JournalArticle</b:SourceType>
    <b:Guid>{493B8CB2-A698-40B2-B043-26840BDBD1DF}</b:Guid>
    <b:Title>Towards a positive theory of the determination of accounting standards</b:Title>
    <b:Author>
      <b:Author>
        <b:NameList>
          <b:Person>
            <b:Last>Watts</b:Last>
            <b:First>R.L.</b:First>
          </b:Person>
          <b:Person>
            <b:Last>Zimmerman</b:Last>
            <b:First>J.L.</b:First>
          </b:Person>
        </b:NameList>
      </b:Author>
    </b:Author>
    <b:Year>1978</b:Year>
    <b:JournalName>The Accounting Review</b:JournalName>
    <b:Pages>112-134</b:Pages>
    <b:RefOrder>29</b:RefOrder>
  </b:Source>
  <b:Source>
    <b:Tag>Jen76</b:Tag>
    <b:SourceType>JournalArticle</b:SourceType>
    <b:Guid>{07C9DE3E-43FE-48CB-9710-81607E611C7F}</b:Guid>
    <b:Author>
      <b:Author>
        <b:NameList>
          <b:Person>
            <b:Last>Jensen</b:Last>
            <b:First>M.C.</b:First>
          </b:Person>
          <b:Person>
            <b:Last>Meckling</b:Last>
            <b:First>W.H.</b:First>
          </b:Person>
        </b:NameList>
      </b:Author>
    </b:Author>
    <b:Title>Theory of the Firm: Managerial Behavior, Agency Costs and Ownership Structure</b:Title>
    <b:JournalName>Journal of Financial Economics</b:JournalName>
    <b:Year>1976</b:Year>
    <b:Pages>305-360</b:Pages>
    <b:RefOrder>27</b:RefOrder>
  </b:Source>
  <b:Source>
    <b:Tag>Dav00</b:Tag>
    <b:SourceType>JournalArticle</b:SourceType>
    <b:Guid>{D20D2ABB-362A-4636-BF0E-1F5337D9942C}</b:Guid>
    <b:Author>
      <b:Author>
        <b:NameList>
          <b:Person>
            <b:Last>Davis</b:Last>
            <b:First>L.R.</b:First>
          </b:Person>
          <b:Person>
            <b:Last>Soo</b:Last>
            <b:First>B.</b:First>
          </b:Person>
          <b:Person>
            <b:Last>Trompeter</b:Last>
            <b:First>G</b:First>
          </b:Person>
        </b:NameList>
      </b:Author>
    </b:Author>
    <b:Year>2000</b:Year>
    <b:Title>Auditor Tenure, Auditor Independence and Earnings Management</b:Title>
    <b:JournalName>Available at: http://aaahq.org/audit/midyear/01midyear/papers/soo.pdf</b:JournalName>
    <b:RefOrder>7</b:RefOrder>
  </b:Source>
  <b:Source>
    <b:Tag>DeC95</b:Tag>
    <b:SourceType>JournalArticle</b:SourceType>
    <b:Guid>{B6AF3EB6-CABE-40FD-AD72-376BBF827253}</b:Guid>
    <b:Author>
      <b:Author>
        <b:NameList>
          <b:Person>
            <b:Last>Dechow</b:Last>
            <b:First>P.M.</b:First>
          </b:Person>
          <b:Person>
            <b:Last>Sweeney</b:Last>
            <b:First>A.P.</b:First>
          </b:Person>
          <b:Person>
            <b:Last>Sloan</b:Last>
            <b:First>R.G</b:First>
          </b:Person>
        </b:NameList>
      </b:Author>
    </b:Author>
    <b:Year>1995</b:Year>
    <b:Title>Detecting earnings management</b:Title>
    <b:JournalName>The Accouting Review</b:JournalName>
    <b:Pages>193-225</b:Pages>
    <b:RefOrder>32</b:RefOrder>
  </b:Source>
  <b:Source>
    <b:Tag>Sco14</b:Tag>
    <b:SourceType>Book</b:SourceType>
    <b:Guid>{5C4750C8-E349-4EBD-8B15-6F6689A96980}</b:Guid>
    <b:Title>Financial Accounting Theory</b:Title>
    <b:Year>2014</b:Year>
    <b:Author>
      <b:Author>
        <b:NameList>
          <b:Person>
            <b:Last>Scott</b:Last>
            <b:First>W.R.</b:First>
          </b:Person>
        </b:NameList>
      </b:Author>
    </b:Author>
    <b:City>Harlow, UK</b:City>
    <b:Publisher>Pearson Education Limited</b:Publisher>
    <b:RefOrder>18</b:RefOrder>
  </b:Source>
  <b:Source>
    <b:Tag>Dee03</b:Tag>
    <b:SourceType>Book</b:SourceType>
    <b:Guid>{220D1536-7C99-4146-92E5-8E829FF0A8CF}</b:Guid>
    <b:Author>
      <b:Author>
        <b:NameList>
          <b:Person>
            <b:Last>Deegan</b:Last>
            <b:First>C.</b:First>
          </b:Person>
          <b:Person>
            <b:Last>Unerman</b:Last>
            <b:First>J.</b:First>
          </b:Person>
        </b:NameList>
      </b:Author>
    </b:Author>
    <b:Title>Financial Accounting Theory</b:Title>
    <b:Year>2011</b:Year>
    <b:Publisher>McGraw-Hill Education</b:Publisher>
    <b:City>Maidenhead, Berkshire, United Kindom</b:City>
    <b:RefOrder>30</b:RefOrder>
  </b:Source>
  <b:Source>
    <b:Tag>Are99</b:Tag>
    <b:SourceType>JournalArticle</b:SourceType>
    <b:Guid>{73970FCE-0519-4620-B898-8A5E1534F7CB}</b:Guid>
    <b:Title>A review of the earnings management literature and its implications for standard setting</b:Title>
    <b:Year>1999</b:Year>
    <b:Author>
      <b:Author>
        <b:NameList>
          <b:Person>
            <b:Last>Healy</b:Last>
            <b:First>P.M.</b:First>
          </b:Person>
          <b:Person>
            <b:Last>Whalen</b:Last>
            <b:First>J.M.</b:First>
          </b:Person>
        </b:NameList>
      </b:Author>
    </b:Author>
    <b:JournalName>Accounting Horizons 13</b:JournalName>
    <b:Pages>365-383</b:Pages>
    <b:RefOrder>17</b:RefOrder>
  </b:Source>
  <b:Source>
    <b:Tag>Sch99</b:Tag>
    <b:SourceType>JournalArticle</b:SourceType>
    <b:Guid>{259D7224-F8FB-467C-A3C6-FCDAA9ECFB76}</b:Guid>
    <b:Author>
      <b:Author>
        <b:NameList>
          <b:Person>
            <b:Last>Schipper</b:Last>
            <b:First>K.</b:First>
          </b:Person>
        </b:NameList>
      </b:Author>
    </b:Author>
    <b:Year>1989</b:Year>
    <b:Title>Commentary on earnings management</b:Title>
    <b:JournalName>Accounting Horizons</b:JournalName>
    <b:Pages>91-102</b:Pages>
    <b:RefOrder>6</b:RefOrder>
  </b:Source>
  <b:Source>
    <b:Tag>Ear</b:Tag>
    <b:SourceType>JournalArticle</b:SourceType>
    <b:Guid>{00275E35-7D6C-4C36-86C6-37964454FB8D}</b:Guid>
    <b:Title>Earnings management trough real activities manipulation</b:Title>
    <b:JournalName>Journal of Accounting and Economics</b:JournalName>
    <b:Author>
      <b:Author>
        <b:NameList>
          <b:Person>
            <b:Last>Roychowdhury</b:Last>
            <b:First>S.</b:First>
          </b:Person>
        </b:NameList>
      </b:Author>
    </b:Author>
    <b:Year>2006</b:Year>
    <b:Pages>335-370</b:Pages>
    <b:RefOrder>20</b:RefOrder>
  </b:Source>
  <b:Source>
    <b:Tag>McK05</b:Tag>
    <b:SourceType>Book</b:SourceType>
    <b:Guid>{97406A1C-42B7-4F9B-9C52-184FF2A8EB78}</b:Guid>
    <b:Title>Earnings Management: an executive perspective</b:Title>
    <b:Year>2005</b:Year>
    <b:Author>
      <b:Author>
        <b:NameList>
          <b:Person>
            <b:Last>McKee</b:Last>
            <b:First>T.E.</b:First>
          </b:Person>
        </b:NameList>
      </b:Author>
    </b:Author>
    <b:City>Stamford, Connecticut, United States of America</b:City>
    <b:Publisher>Division of Thomson Learning</b:Publisher>
    <b:RefOrder>21</b:RefOrder>
  </b:Source>
  <b:Source>
    <b:Tag>Ear98</b:Tag>
    <b:SourceType>JournalArticle</b:SourceType>
    <b:Guid>{4847613E-6C01-4E3D-904D-8E4750ED406A}</b:Guid>
    <b:Title>Earnings Management and the Revelation Principle</b:Title>
    <b:Year>1998</b:Year>
    <b:JournalName>Review of Accounting Studies</b:JournalName>
    <b:Author>
      <b:Author>
        <b:NameList>
          <b:Person>
            <b:Last>Arya</b:Last>
            <b:First>A.</b:First>
          </b:Person>
          <b:Person>
            <b:Last>Glover</b:Last>
            <b:First>J.</b:First>
          </b:Person>
          <b:Person>
            <b:Last>Sunder</b:Last>
            <b:First>S.</b:First>
          </b:Person>
        </b:NameList>
      </b:Author>
    </b:Author>
    <b:Pages>7-34</b:Pages>
    <b:RefOrder>46</b:RefOrder>
  </b:Source>
  <b:Source>
    <b:Tag>Rev</b:Tag>
    <b:SourceType>JournalArticle</b:SourceType>
    <b:Guid>{BDF32D30-3904-423D-BE5E-CB5A6213E59F}</b:Guid>
    <b:Title>Review of Real Earnings Management Literature</b:Title>
    <b:JournalName>Journal of Accounting Literature</b:JournalName>
    <b:Author>
      <b:Author>
        <b:NameList>
          <b:Person>
            <b:Last>Xu</b:Last>
            <b:First>R.Z.</b:First>
          </b:Person>
          <b:Person>
            <b:Last>Taylor</b:Last>
            <b:First>G.K.</b:First>
          </b:Person>
          <b:Person>
            <b:Last>Dugan</b:Last>
            <b:First>M.T.</b:First>
          </b:Person>
        </b:NameList>
      </b:Author>
    </b:Author>
    <b:Year>2007</b:Year>
    <b:Pages>195-228</b:Pages>
    <b:RefOrder>23</b:RefOrder>
  </b:Source>
  <b:Source>
    <b:Tag>Gra05</b:Tag>
    <b:SourceType>JournalArticle</b:SourceType>
    <b:Guid>{A2ACF620-7DE1-4FAF-A054-5AAA1AA5ECB1}</b:Guid>
    <b:Author>
      <b:Author>
        <b:NameList>
          <b:Person>
            <b:Last>Graham</b:Last>
            <b:First>J.R.</b:First>
          </b:Person>
          <b:Person>
            <b:Last>Harvey</b:Last>
            <b:First>C.R.</b:First>
          </b:Person>
          <b:Person>
            <b:Last>Rajgopal</b:Last>
            <b:First>S.</b:First>
          </b:Person>
        </b:NameList>
      </b:Author>
    </b:Author>
    <b:Title>The economic implications of corporate financial reporting</b:Title>
    <b:JournalName>Journal of Accounting and Economics</b:JournalName>
    <b:Year>2005</b:Year>
    <b:Pages>3-73</b:Pages>
    <b:RefOrder>24</b:RefOrder>
  </b:Source>
  <b:Source>
    <b:Tag>Coh10</b:Tag>
    <b:SourceType>JournalArticle</b:SourceType>
    <b:Guid>{C47F5C99-B559-43B5-B9A8-5FE50D09964A}</b:Guid>
    <b:Author>
      <b:Author>
        <b:NameList>
          <b:Person>
            <b:Last>Cohen</b:Last>
            <b:First>D.A.</b:First>
          </b:Person>
          <b:Person>
            <b:Last>Zarowin</b:Last>
            <b:First>P.</b:First>
          </b:Person>
        </b:NameList>
      </b:Author>
    </b:Author>
    <b:JournalName>Journal of Accounting and Economics</b:JournalName>
    <b:Year>2010</b:Year>
    <b:Pages>2-19</b:Pages>
    <b:Title>Accrual-based and real earnings management activities around seasoned equity offerings</b:Title>
    <b:RefOrder>25</b:RefOrder>
  </b:Source>
  <b:Source>
    <b:Tag>alC08</b:Tag>
    <b:SourceType>JournalArticle</b:SourceType>
    <b:Guid>{2326655E-1C89-4650-A7D5-9998D45F8FA6}</b:Guid>
    <b:Author>
      <b:Author>
        <b:NameList>
          <b:Person>
            <b:Last>Cohen</b:Last>
            <b:First>D.A.</b:First>
          </b:Person>
          <b:Person>
            <b:Last>Dey</b:Last>
            <b:First>A.</b:First>
          </b:Person>
          <b:Person>
            <b:Last>Lys</b:Last>
            <b:First>T.Z.</b:First>
          </b:Person>
        </b:NameList>
      </b:Author>
    </b:Author>
    <b:Title>Real and Accrual Based Earnings Management in the Pre and Post Sarbanes Oxley Periods</b:Title>
    <b:Year>2008</b:Year>
    <b:JournalName>The Accounting Review</b:JournalName>
    <b:Pages>757-787</b:Pages>
    <b:RefOrder>19</b:RefOrder>
  </b:Source>
  <b:Source>
    <b:Tag>Dec00</b:Tag>
    <b:SourceType>JournalArticle</b:SourceType>
    <b:Guid>{E4072CEE-BA03-4202-8DF5-16F281BE06FA}</b:Guid>
    <b:Author>
      <b:Author>
        <b:NameList>
          <b:Person>
            <b:Last>Dechow</b:Last>
            <b:First>P.M.</b:First>
          </b:Person>
          <b:Person>
            <b:Last>Skinner</b:Last>
            <b:First>D.J.</b:First>
          </b:Person>
        </b:NameList>
      </b:Author>
    </b:Author>
    <b:Title>Earnings Management: Reconciling the Views of Accounting Academics, Practitioners, and Regulators</b:Title>
    <b:JournalName>Accounting Horizons</b:JournalName>
    <b:Year>2000</b:Year>
    <b:Pages>235-250</b:Pages>
    <b:RefOrder>26</b:RefOrder>
  </b:Source>
  <b:Source>
    <b:Tag>Cam12</b:Tag>
    <b:SourceType>JournalArticle</b:SourceType>
    <b:Guid>{6B2E0694-9822-4281-8ECE-255B43060DF1}</b:Guid>
    <b:Author>
      <b:Author>
        <b:NameList>
          <b:Person>
            <b:Last>Cameran</b:Last>
            <b:First>M.</b:First>
          </b:Person>
          <b:Person>
            <b:Last>Prencipe</b:Last>
            <b:First>A.</b:First>
          </b:Person>
          <b:Person>
            <b:Last>Trombetta</b:Last>
            <b:First>M.</b:First>
          </b:Person>
        </b:NameList>
      </b:Author>
    </b:Author>
    <b:Year>2012</b:Year>
    <b:Title>Mandatory Audit Firm Rotation and Audit Quality: Evidence from the Italian Setting</b:Title>
    <b:JournalName>Available at: http://www.uam.es/otros/catedraccc/docs/prencipe.pdf</b:JournalName>
    <b:RefOrder>8</b:RefOrder>
  </b:Source>
  <b:Source>
    <b:Tag>GAO08</b:Tag>
    <b:SourceType>Report</b:SourceType>
    <b:Guid>{E74E961C-7383-4079-AAB8-93D62077938D}</b:Guid>
    <b:Author>
      <b:Author>
        <b:NameList>
          <b:Person>
            <b:Last>GAO</b:Last>
          </b:Person>
        </b:NameList>
      </b:Author>
    </b:Author>
    <b:Year>2008</b:Year>
    <b:Title>Continued concentration in audit market for large public companies does not call for immediate action</b:Title>
    <b:Publisher>Government Accountability Office</b:Publisher>
    <b:City>Available at: http://www.gao.gov/assets/280/270953.pdf</b:City>
    <b:RefOrder>10</b:RefOrder>
  </b:Source>
  <b:Source>
    <b:Tag>PCA11</b:Tag>
    <b:SourceType>Report</b:SourceType>
    <b:Guid>{253F968B-60CD-41D6-B0E9-752818154429}</b:Guid>
    <b:Author>
      <b:Author>
        <b:NameList>
          <b:Person>
            <b:Last>PCAOB</b:Last>
          </b:Person>
        </b:NameList>
      </b:Author>
    </b:Author>
    <b:Year>2011</b:Year>
    <b:Publisher>Public Company Accounting Oversight Board</b:Publisher>
    <b:City>Available at: http://pcaobus.org/Rules/Rulemaking/Docket037/Release_2011-006.pdf</b:City>
    <b:Title>Concept Release on Auditor Independence and Audit Firm Rotation (PCAOB Release No. 2011-006, August 16, 2011; PCAOB Rulemaking Docket Matter No. 37)</b:Title>
    <b:RefOrder>11</b:RefOrder>
  </b:Source>
  <b:Source>
    <b:Tag>The06</b:Tag>
    <b:SourceType>Report</b:SourceType>
    <b:Guid>{538C99AF-9081-411B-8AF3-A0091B685634}</b:Guid>
    <b:Author>
      <b:Author>
        <b:NameList>
          <b:Person>
            <b:Last>The European Parliament and the Council of the European Union</b:Last>
          </b:Person>
        </b:NameList>
      </b:Author>
    </b:Author>
    <b:Title>DIRECTIVE 2006/43/EC OF THE EUROPEAN PARLIAMENT AND OF THE COUNCIL on statutory audits of annual accounts and consolidated accounts</b:Title>
    <b:Year>2006</b:Year>
    <b:Publisher>Official Journal of the European Union</b:Publisher>
    <b:City>Available at: http://eur-lex.europa.eu/legal-content/EN/TXT/PDF/?uri=CELEX:32006L0043&amp;from=EN</b:City>
    <b:RefOrder>9</b:RefOrder>
  </b:Source>
  <b:Source>
    <b:Tag>Eur11</b:Tag>
    <b:SourceType>Report</b:SourceType>
    <b:Guid>{9B6FF28C-4B3E-4EC1-BCF8-8D04AB56F094}</b:Guid>
    <b:Author>
      <b:Author>
        <b:NameList>
          <b:Person>
            <b:Last>European Commission</b:Last>
          </b:Person>
        </b:NameList>
      </b:Author>
    </b:Author>
    <b:Title>Proposal for a Regulation of the European Parliament and of the council on specific requirements regarding statutory audits of public-interest entities</b:Title>
    <b:Year>2011</b:Year>
    <b:Publisher>European Commission</b:Publisher>
    <b:City>Available at: http://ec.europa.eu/internal_market/auditing/docs/reform/regulation_en.pdf</b:City>
    <b:RefOrder>3</b:RefOrder>
  </b:Source>
  <b:Source>
    <b:Tag>Rai06</b:Tag>
    <b:SourceType>JournalArticle</b:SourceType>
    <b:Guid>{A5C33EEE-0B6C-4284-9B2F-9662D49732EE}</b:Guid>
    <b:Author>
      <b:Author>
        <b:NameList>
          <b:Person>
            <b:Last>Raiborn</b:Last>
            <b:First>C.</b:First>
          </b:Person>
          <b:Person>
            <b:Last>Schorg</b:Last>
            <b:First>C.A.</b:First>
          </b:Person>
          <b:Person>
            <b:Last>Massoud</b:Last>
            <b:First>M.</b:First>
          </b:Person>
        </b:NameList>
      </b:Author>
    </b:Author>
    <b:Title>Should Auditor Rotation Be Mandatory?</b:Title>
    <b:Year>2006</b:Year>
    <b:JournalName>Journal of Corporate Accounting &amp; Finance</b:JournalName>
    <b:Pages>37-49</b:Pages>
    <b:RefOrder>13</b:RefOrder>
  </b:Source>
  <b:Source>
    <b:Tag>Cam05</b:Tag>
    <b:SourceType>JournalArticle</b:SourceType>
    <b:Guid>{1FC085C5-F042-4B0E-A4B9-A610BEC6868B}</b:Guid>
    <b:Author>
      <b:Author>
        <b:NameList>
          <b:Person>
            <b:Last>Cameran</b:Last>
            <b:First>M.</b:First>
          </b:Person>
          <b:Person>
            <b:Last>Merlotti</b:Last>
            <b:First>E.</b:First>
          </b:Person>
          <b:Person>
            <b:Last>DiVincenzo</b:Last>
            <b:First>D.</b:First>
          </b:Person>
        </b:NameList>
      </b:Author>
    </b:Author>
    <b:Title>The Audit Firm Rotation Rule: A Review of the Literature</b:Title>
    <b:JournalName>SDA Bocconi Research Paper</b:JournalName>
    <b:Year>2005</b:Year>
    <b:Pages>Available at: http://papers.ssrn.com/sol3/papers.cfm?abstract_id=825404</b:Pages>
    <b:RefOrder>16</b:RefOrder>
  </b:Source>
  <b:Source>
    <b:Tag>DeA81</b:Tag>
    <b:SourceType>JournalArticle</b:SourceType>
    <b:Guid>{75277CA1-E1B7-43AD-8BA3-A4B498325248}</b:Guid>
    <b:Author>
      <b:Author>
        <b:NameList>
          <b:Person>
            <b:Last>DeAngelo</b:Last>
            <b:First>L.E.</b:First>
          </b:Person>
        </b:NameList>
      </b:Author>
    </b:Author>
    <b:Title>Auditor Size and Audit Quality</b:Title>
    <b:JournalName>Journal of Accounting and Economics</b:JournalName>
    <b:Year>1981</b:Year>
    <b:Pages>183-199</b:Pages>
    <b:RefOrder>12</b:RefOrder>
  </b:Source>
  <b:Source>
    <b:Tag>Dei92</b:Tag>
    <b:SourceType>JournalArticle</b:SourceType>
    <b:Guid>{1104969A-6974-4119-BEAB-7FCE6A53FBDE}</b:Guid>
    <b:Author>
      <b:Author>
        <b:NameList>
          <b:Person>
            <b:Last>Deis</b:Last>
            <b:First>D.R.</b:First>
          </b:Person>
          <b:Person>
            <b:Last>Giroux</b:Last>
            <b:First>G.A.</b:First>
          </b:Person>
        </b:NameList>
      </b:Author>
    </b:Author>
    <b:Title>Determinants of Audit Quality in the Public Sector</b:Title>
    <b:JournalName>The Accounting Review</b:JournalName>
    <b:Year>1992</b:Year>
    <b:Pages>462-479</b:Pages>
    <b:RefOrder>14</b:RefOrder>
  </b:Source>
  <b:Source>
    <b:Tag>Jon91</b:Tag>
    <b:SourceType>JournalArticle</b:SourceType>
    <b:Guid>{36D213E2-83C8-4602-8C03-D48974C5BDD7}</b:Guid>
    <b:Author>
      <b:Author>
        <b:NameList>
          <b:Person>
            <b:Last>Jones</b:Last>
            <b:First>J.J.</b:First>
          </b:Person>
        </b:NameList>
      </b:Author>
    </b:Author>
    <b:Title>Earnings Management During Import Relief Investigations</b:Title>
    <b:JournalName>Journal of Accounting Research</b:JournalName>
    <b:Year>1991</b:Year>
    <b:Pages>193-228</b:Pages>
    <b:RefOrder>31</b:RefOrder>
  </b:Source>
  <b:Source>
    <b:Tag>McN88</b:Tag>
    <b:SourceType>JournalArticle</b:SourceType>
    <b:Guid>{A3DF7A18-CB67-43DA-A4AA-B30817D530CB}</b:Guid>
    <b:Author>
      <b:Author>
        <b:NameList>
          <b:Person>
            <b:Last>McNichols</b:Last>
            <b:First>M.</b:First>
          </b:Person>
          <b:Person>
            <b:Last>Wilson</b:Last>
            <b:First>G.P.</b:First>
          </b:Person>
        </b:NameList>
      </b:Author>
    </b:Author>
    <b:Title>Evidence of Earnings Management from the Provision for Bad Debts</b:Title>
    <b:JournalName>Journal of Accounting Research</b:JournalName>
    <b:Year>1988</b:Year>
    <b:Pages>1-31</b:Pages>
    <b:RefOrder>47</b:RefOrder>
  </b:Source>
  <b:Source>
    <b:Tag>Hea85</b:Tag>
    <b:SourceType>JournalArticle</b:SourceType>
    <b:Guid>{6A2AD316-80F6-4CF4-98BE-BA6C71CD8380}</b:Guid>
    <b:Author>
      <b:Author>
        <b:NameList>
          <b:Person>
            <b:Last>Healy</b:Last>
            <b:First>P.</b:First>
          </b:Person>
        </b:NameList>
      </b:Author>
    </b:Author>
    <b:Title>The Impact of Bonus Schemes on the Selection of Accounting Principles</b:Title>
    <b:JournalName>Journal of Accounting and Economics</b:JournalName>
    <b:Year>1985</b:Year>
    <b:Pages>85-107</b:Pages>
    <b:RefOrder>48</b:RefOrder>
  </b:Source>
  <b:Source>
    <b:Tag>McN</b:Tag>
    <b:SourceType>JournalArticle</b:SourceType>
    <b:Guid>{F4C29CC8-ED9C-44BC-8414-7FDB7365F299}</b:Guid>
    <b:Author>
      <b:Author>
        <b:NameList>
          <b:Person>
            <b:Last>McNichols</b:Last>
          </b:Person>
        </b:NameList>
      </b:Author>
    </b:Author>
    <b:Title>Discussion of the Quality of Accruals and Earnings: The Role of Accrual Estimation Errors</b:Title>
    <b:JournalName>The Accounting Review</b:JournalName>
    <b:Year>2002</b:Year>
    <b:Pages>61-69</b:Pages>
    <b:RefOrder>33</b:RefOrder>
  </b:Source>
  <b:Source>
    <b:Tag>Dec03</b:Tag>
    <b:SourceType>JournalArticle</b:SourceType>
    <b:Guid>{66023BBA-1D4B-4AA6-92FF-F40C81905DA7}</b:Guid>
    <b:Author>
      <b:Author>
        <b:NameList>
          <b:Person>
            <b:Last>Dechow</b:Last>
            <b:First>P.M.</b:First>
          </b:Person>
          <b:Person>
            <b:Last>Richardson</b:Last>
            <b:First>S.A.</b:First>
          </b:Person>
          <b:Person>
            <b:Last>Tuna</b:Last>
            <b:First>I.</b:First>
          </b:Person>
        </b:NameList>
      </b:Author>
    </b:Author>
    <b:Title>Why are earnings kinky? An examination of the earnings management explanation</b:Title>
    <b:JournalName>Review of Accounting Studies</b:JournalName>
    <b:Year>2003</b:Year>
    <b:Pages>355-384</b:Pages>
    <b:RefOrder>34</b:RefOrder>
  </b:Source>
  <b:Source>
    <b:Tag>Acc14</b:Tag>
    <b:SourceType>InternetSite</b:SourceType>
    <b:Guid>{E61AF4D9-043D-4849-870B-45707F13F913}</b:Guid>
    <b:Title>www.accountancynieuws.nl</b:Title>
    <b:Year>2014</b:Year>
    <b:Author>
      <b:Author>
        <b:NameList>
          <b:Person>
            <b:Last>Accountancynieuws</b:Last>
          </b:Person>
        </b:NameList>
      </b:Author>
    </b:Author>
    <b:InternetSiteTitle>Accountancynieuws</b:InternetSiteTitle>
    <b:Month>May</b:Month>
    <b:Day>14</b:Day>
    <b:URL>http://www.accountancynieuws.nl/actueel/accountancymarkt/verplichte-accountantsroulatie-bij-oob-s.133876.lynkx#.U99gu_mSySo</b:URL>
    <b:LCID>2057</b:LCID>
    <b:RefOrder>5</b:RefOrder>
  </b:Source>
  <b:Source>
    <b:Tag>Ben97</b:Tag>
    <b:SourceType>JournalArticle</b:SourceType>
    <b:Guid>{43BFF0B8-B128-4DDB-9F2B-CA082EA55636}</b:Guid>
    <b:Author>
      <b:Author>
        <b:NameList>
          <b:Person>
            <b:Last>Beneish</b:Last>
            <b:First>M.D.</b:First>
          </b:Person>
        </b:NameList>
      </b:Author>
    </b:Author>
    <b:Title>Detecting GAAP violation: implications for assessing earnings management among firms with extreme financial performance</b:Title>
    <b:Year>1997</b:Year>
    <b:JournalName>Journal of Accounting and Public Policy</b:JournalName>
    <b:Pages>271–309</b:Pages>
    <b:RefOrder>35</b:RefOrder>
  </b:Source>
  <b:Source>
    <b:Tag>Rui09</b:Tag>
    <b:SourceType>JournalArticle</b:SourceType>
    <b:Guid>{1281D27A-B29C-4E6E-A815-65BA3C65428A}</b:Guid>
    <b:Author>
      <b:Author>
        <b:NameList>
          <b:Person>
            <b:Last>Ruiz-Barbadillo</b:Last>
            <b:First>E.</b:First>
          </b:Person>
          <b:Person>
            <b:Last>Gomez-Aguilar</b:Last>
            <b:First>N.</b:First>
          </b:Person>
          <b:Person>
            <b:Last>Carrera</b:Last>
            <b:First>N.</b:First>
          </b:Person>
        </b:NameList>
      </b:Author>
    </b:Author>
    <b:Title>Does Mandatory Audit Firm Rotation Enhance Auditor Independence? Evidence from Spain</b:Title>
    <b:JournalName>Auditing: A Journal of Practice &amp; Theory</b:JournalName>
    <b:Year>2009</b:Year>
    <b:Pages>113-135</b:Pages>
    <b:RefOrder>36</b:RefOrder>
  </b:Source>
  <b:Source>
    <b:Tag>Jac08</b:Tag>
    <b:SourceType>JournalArticle</b:SourceType>
    <b:Guid>{AB222016-73FF-42E5-BA94-A5368540ED26}</b:Guid>
    <b:Author>
      <b:Author>
        <b:NameList>
          <b:Person>
            <b:Last>Jackson</b:Last>
            <b:First>A.B.</b:First>
          </b:Person>
          <b:Person>
            <b:Last>Moldrich</b:Last>
            <b:First>M.</b:First>
          </b:Person>
          <b:Person>
            <b:Last>Roebuck</b:Last>
            <b:First>P.</b:First>
          </b:Person>
        </b:NameList>
      </b:Author>
    </b:Author>
    <b:Title>Mandatory Audit Firm Rotation and Audit Quality</b:Title>
    <b:JournalName>Managerial Auditing Journal</b:JournalName>
    <b:Year>2008</b:Year>
    <b:Pages>420-437</b:Pages>
    <b:RefOrder>37</b:RefOrder>
  </b:Source>
  <b:Source>
    <b:Tag>Sha05</b:Tag>
    <b:SourceType>JournalArticle</b:SourceType>
    <b:Guid>{24132712-80EC-4A54-BE5E-2B5ECE398D2A}</b:Guid>
    <b:Author>
      <b:Author>
        <b:NameList>
          <b:Person>
            <b:Last>Shapiro</b:Last>
            <b:First>S.P.</b:First>
          </b:Person>
        </b:NameList>
      </b:Author>
    </b:Author>
    <b:Title>Agency Theory</b:Title>
    <b:JournalName>Annual Review of Sociology</b:JournalName>
    <b:Year>2005</b:Year>
    <b:Pages>263-284</b:Pages>
    <b:RefOrder>28</b:RefOrder>
  </b:Source>
  <b:Source>
    <b:Tag>DeA86</b:Tag>
    <b:SourceType>JournalArticle</b:SourceType>
    <b:Guid>{6ACDC75E-44E9-4286-A992-148918EFFAA0}</b:Guid>
    <b:Author>
      <b:Author>
        <b:NameList>
          <b:Person>
            <b:Last>DeAngelo</b:Last>
            <b:First>L.E.</b:First>
          </b:Person>
        </b:NameList>
      </b:Author>
    </b:Author>
    <b:Title>Accounting Numbers as Market Valuation Substitutes: A Study of Management Buyouts of Public Stockholders</b:Title>
    <b:JournalName>The Accounting Review</b:JournalName>
    <b:Year>1986</b:Year>
    <b:Pages>400-420</b:Pages>
    <b:RefOrder>49</b:RefOrder>
  </b:Source>
  <b:Source>
    <b:Tag>Hea04</b:Tag>
    <b:SourceType>ArticleInAPeriodical</b:SourceType>
    <b:Guid>{E16A3039-B4AD-4285-9833-92CEB28786C5}</b:Guid>
    <b:Author>
      <b:Author>
        <b:NameList>
          <b:Person>
            <b:Last>Healey</b:Last>
          </b:Person>
        </b:NameList>
      </b:Author>
    </b:Author>
    <b:Title>The Best Safeguard Against Financial Scandal</b:Title>
    <b:JournalName>Financial Times</b:JournalName>
    <b:Year>2004</b:Year>
    <b:Pages>15</b:Pages>
    <b:PeriodicalTitle>Financial Times</b:PeriodicalTitle>
    <b:Month>March</b:Month>
    <b:Day>12</b:Day>
    <b:LCID>2057</b:LCID>
    <b:RefOrder>15</b:RefOrder>
  </b:Source>
  <b:Source>
    <b:Tag>Hea03</b:Tag>
    <b:SourceType>JournalArticle</b:SourceType>
    <b:Guid>{A70034F9-FF99-48A8-B481-C1BAE29026EF}</b:Guid>
    <b:Author>
      <b:Author>
        <b:NameList>
          <b:Person>
            <b:Last>Healey</b:Last>
            <b:First>T.J.</b:First>
          </b:Person>
          <b:Person>
            <b:Last>Kim</b:Last>
            <b:First>Y.</b:First>
          </b:Person>
        </b:NameList>
      </b:Author>
    </b:Author>
    <b:Year>2003</b:Year>
    <b:Title>The Benefits of Mandatory Auditor Rotation</b:Title>
    <b:JournalName>Regulation 26</b:JournalName>
    <b:Pages>10</b:Pages>
    <b:RefOrder>1</b:RefOrder>
  </b:Source>
  <b:Source>
    <b:Tag>LiF08</b:Tag>
    <b:SourceType>JournalArticle</b:SourceType>
    <b:Guid>{C1A9BD9B-97A1-45C1-BC6B-C368A298E6C1}</b:Guid>
    <b:Author>
      <b:Author>
        <b:NameList>
          <b:Person>
            <b:Last>Li</b:Last>
            <b:First>S.F.</b:First>
          </b:Person>
          <b:Person>
            <b:Last>McDowell</b:Last>
            <b:First>E.</b:First>
          </b:Person>
          <b:Person>
            <b:Last>Moore</b:Last>
            <b:First>E.A.</b:First>
          </b:Person>
        </b:NameList>
      </b:Author>
    </b:Author>
    <b:Title>Accrual Based Earnings Management, Real Transactions Manipulation and Expectations Management: U.S. and International Evidence</b:Title>
    <b:Year>2008</b:Year>
    <b:JournalName>Journal of Global Business Management</b:JournalName>
    <b:Pages>Available at: http://www.jgbm.org/page/32%20Sherry%20Fang%20Li.pdf</b:Pages>
    <b:RefOrder>22</b:RefOrder>
  </b:Source>
  <b:Source>
    <b:Tag>Bec98</b:Tag>
    <b:SourceType>JournalArticle</b:SourceType>
    <b:Guid>{A50700C7-59DC-485B-9B36-B0DC02E3CF41}</b:Guid>
    <b:Author>
      <b:Author>
        <b:NameList>
          <b:Person>
            <b:Last>Becker</b:Last>
            <b:First>C.L.</b:First>
          </b:Person>
          <b:Person>
            <b:Last>Defond</b:Last>
            <b:First>M.L.</b:First>
          </b:Person>
          <b:Person>
            <b:Last>Jiambalvo</b:Last>
            <b:First>J.</b:First>
          </b:Person>
          <b:Person>
            <b:Last>Subramanyam</b:Last>
            <b:First>K.R.</b:First>
          </b:Person>
        </b:NameList>
      </b:Author>
    </b:Author>
    <b:Title>The Effect of Audit Quality on Earnings Management</b:Title>
    <b:Year>1998</b:Year>
    <b:Pages>1-24</b:Pages>
    <b:JournalName>Contemporary Accounting Research</b:JournalName>
    <b:RefOrder>38</b:RefOrder>
  </b:Source>
  <b:Source>
    <b:Tag>Mye03</b:Tag>
    <b:SourceType>JournalArticle</b:SourceType>
    <b:Guid>{A10DE51E-7FBA-4E62-8AC0-602164B5020D}</b:Guid>
    <b:Author>
      <b:Author>
        <b:NameList>
          <b:Person>
            <b:Last>Myers</b:Last>
            <b:First>J.N.</b:First>
          </b:Person>
          <b:Person>
            <b:Last>Myers</b:Last>
            <b:First>L.A.</b:First>
          </b:Person>
          <b:Person>
            <b:Last>Omer</b:Last>
            <b:First>T.C.</b:First>
          </b:Person>
        </b:NameList>
      </b:Author>
    </b:Author>
    <b:Title>Exploring the Term of the Auditor-Client Relationship and the Quality of Earnings: A Case for Mandatory Auditor Rotation?</b:Title>
    <b:JournalName>The Accounting Review</b:JournalName>
    <b:Year>2003</b:Year>
    <b:Pages>779-799</b:Pages>
    <b:RefOrder>41</b:RefOrder>
  </b:Source>
  <b:Source>
    <b:Tag>Che08</b:Tag>
    <b:SourceType>JournalArticle</b:SourceType>
    <b:Guid>{A878ABFD-C518-471D-BA4D-F54AAC692925}</b:Guid>
    <b:Author>
      <b:Author>
        <b:NameList>
          <b:Person>
            <b:Last>Chen</b:Last>
            <b:First>C.Y.</b:First>
          </b:Person>
          <b:Person>
            <b:Last>Lin</b:Last>
            <b:First>C.J.</b:First>
          </b:Person>
          <b:Person>
            <b:Last>Lin</b:Last>
            <b:First>Y.C.</b:First>
          </b:Person>
        </b:NameList>
      </b:Author>
    </b:Author>
    <b:Title>Audit Partner Tenure, Audit Firm Tenure, and Discretionary Accruals: Does Long Auditor Tenure Impair Earnings Quality?</b:Title>
    <b:JournalName>Contemporary Accounting Research</b:JournalName>
    <b:Year>2008</b:Year>
    <b:Pages>415-445</b:Pages>
    <b:RefOrder>42</b:RefOrder>
  </b:Source>
  <b:Source>
    <b:Tag>Dav001</b:Tag>
    <b:SourceType>JournalArticle</b:SourceType>
    <b:Guid>{C9D2759E-3652-4AAE-8BA5-471C8676C9AF}</b:Guid>
    <b:Author>
      <b:Author>
        <b:NameList>
          <b:Person>
            <b:Last>Davis</b:Last>
            <b:First>L.R.</b:First>
          </b:Person>
          <b:Person>
            <b:Last>Soo</b:Last>
            <b:First>B.</b:First>
          </b:Person>
          <b:Person>
            <b:Last>Trompeter</b:Last>
            <b:First>G.</b:First>
          </b:Person>
        </b:NameList>
      </b:Author>
    </b:Author>
    <b:Title>Auditor Tenure, Auditor Independence and Earnings Management</b:Title>
    <b:Year>2000</b:Year>
    <b:Pages>Available at: http://aaahq.org/audit/midyear/01midyear/papers/soo.pdf</b:Pages>
    <b:RefOrder>39</b:RefOrder>
  </b:Source>
  <b:Source>
    <b:Tag>Col02</b:Tag>
    <b:SourceType>JournalArticle</b:SourceType>
    <b:Guid>{2FE0AAEE-4EBC-4BC8-913A-720C24555073}</b:Guid>
    <b:Author>
      <b:Author>
        <b:NameList>
          <b:Person>
            <b:Last>Collins</b:Last>
            <b:First>D.W.</b:First>
          </b:Person>
          <b:Person>
            <b:Last>Hribar</b:Last>
            <b:First>P.</b:First>
          </b:Person>
        </b:NameList>
      </b:Author>
    </b:Author>
    <b:Title>Errors in Estimating Accruals: Implications for Empirical Research</b:Title>
    <b:JournalName>Journal of Acccounting and Research</b:JournalName>
    <b:Year>2002</b:Year>
    <b:Pages>105-134</b:Pages>
    <b:RefOrder>40</b:RefOrder>
  </b:Source>
  <b:Source>
    <b:Tag>Kot01</b:Tag>
    <b:SourceType>JournalArticle</b:SourceType>
    <b:Guid>{6A75F348-F46D-45FB-A323-7B6FC1D2466A}</b:Guid>
    <b:Author>
      <b:Author>
        <b:NameList>
          <b:Person>
            <b:Last>Kothari</b:Last>
            <b:First>S.P.</b:First>
          </b:Person>
        </b:NameList>
      </b:Author>
    </b:Author>
    <b:Title>Capital Market Research in Accountin</b:Title>
    <b:JournalName>Journal of Accounting and Economics</b:JournalName>
    <b:Year>2001</b:Year>
    <b:Pages>105-231</b:Pages>
    <b:RefOrder>43</b:RefOrder>
  </b:Source>
  <b:Source>
    <b:Tag>But04</b:Tag>
    <b:SourceType>JournalArticle</b:SourceType>
    <b:Guid>{C7B17D62-2DB5-422C-B691-B2CB134156E8}</b:Guid>
    <b:Author>
      <b:Author>
        <b:NameList>
          <b:Person>
            <b:Last>Butler</b:Last>
            <b:First>M.</b:First>
          </b:Person>
          <b:Person>
            <b:Last>Leone</b:Last>
            <b:First>A.J.</b:First>
          </b:Person>
          <b:Person>
            <b:Last>Willenborg</b:Last>
            <b:First>M.</b:First>
          </b:Person>
        </b:NameList>
      </b:Author>
    </b:Author>
    <b:Title>An Empirical Analysis of Auditor Reporting and its Association with Abnormal Accruals</b:Title>
    <b:JournalName>Journal of Accounting and Economics</b:JournalName>
    <b:Year>2004</b:Year>
    <b:Pages>139-165</b:Pages>
    <b:RefOrder>44</b:RefOrder>
  </b:Source>
  <b:Source>
    <b:Tag>Kot05</b:Tag>
    <b:SourceType>JournalArticle</b:SourceType>
    <b:Guid>{47F21066-E0B3-4E30-9DE2-1C38F3A70ED8}</b:Guid>
    <b:Title>Performance Matched Discretionary Accruals Measures</b:Title>
    <b:Year>2005</b:Year>
    <b:Author>
      <b:Author>
        <b:NameList>
          <b:Person>
            <b:Last>Kothari</b:Last>
            <b:First>S.P.</b:First>
          </b:Person>
          <b:Person>
            <b:Last>Leone</b:Last>
            <b:First>A.J.</b:First>
          </b:Person>
          <b:Person>
            <b:Last>Wasley</b:Last>
            <b:First>C.E.</b:First>
          </b:Person>
        </b:NameList>
      </b:Author>
    </b:Author>
    <b:JournalName>Journal of Accounting and Economics</b:JournalName>
    <b:Pages>163-197</b:Pages>
    <b:RefOrder>50</b:RefOrder>
  </b:Source>
  <b:Source>
    <b:Tag>Lib81</b:Tag>
    <b:SourceType>Book</b:SourceType>
    <b:Guid>{CAADE38D-BF27-4355-B263-45E74E5FBE36}</b:Guid>
    <b:Author>
      <b:Author>
        <b:NameList>
          <b:Person>
            <b:Last>Libby</b:Last>
            <b:First>R.</b:First>
          </b:Person>
        </b:NameList>
      </b:Author>
    </b:Author>
    <b:Title>Accounting and Human Information Processing: Theory and Applications</b:Title>
    <b:Year>1981</b:Year>
    <b:City>University of Michigan</b:City>
    <b:Publisher>Prentice-Hall</b:Publisher>
    <b:RefOrder>45</b:RefOrder>
  </b:Source>
  <b:Source>
    <b:Tag>Gor09</b:Tag>
    <b:SourceType>JournalArticle</b:SourceType>
    <b:Guid>{4E9E7102-6301-4B2C-8273-93A1AF4ABEB2}</b:Guid>
    <b:Title>Reading and Understanding Academic Research in Accounting: A Guide for Students</b:Title>
    <b:Year>2009</b:Year>
    <b:Author>
      <b:Author>
        <b:NameList>
          <b:Person>
            <b:Last>Gordon</b:Last>
            <b:First>T.P.</b:First>
          </b:Person>
          <b:Person>
            <b:Last>Porter</b:Last>
            <b:First>J.C.</b:First>
          </b:Person>
        </b:NameList>
      </b:Author>
    </b:Author>
    <b:JournalName>Global Perspectives on Accounting Education</b:JournalName>
    <b:Pages>25-45</b:Pages>
    <b:RefOrder>51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19FFA1C-7FAA-4897-97C7-F74F256D1F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54</Pages>
  <Words>25941</Words>
  <Characters>147869</Characters>
  <Application>Microsoft Office Word</Application>
  <DocSecurity>4</DocSecurity>
  <Lines>1232</Lines>
  <Paragraphs>346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Master Thesis</vt:lpstr>
      <vt:lpstr>Master Thesis</vt:lpstr>
    </vt:vector>
  </TitlesOfParts>
  <Company>Erasmus University Rotterdam</Company>
  <LinksUpToDate>false</LinksUpToDate>
  <CharactersWithSpaces>173464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 Thesis</dc:title>
  <dc:subject>The Behaviour of Management in a Mandatory Audit Firm Rotation Setting (An Analysis of the Magnitude of the Use of Earnings Management)</dc:subject>
  <dc:creator>Author: Adrian vandraș</dc:creator>
  <cp:lastModifiedBy>K. Steenbeek</cp:lastModifiedBy>
  <cp:revision>2</cp:revision>
  <cp:lastPrinted>2014-08-24T07:02:00Z</cp:lastPrinted>
  <dcterms:created xsi:type="dcterms:W3CDTF">2014-09-11T10:10:00Z</dcterms:created>
  <dcterms:modified xsi:type="dcterms:W3CDTF">2014-09-11T10:10:00Z</dcterms:modified>
</cp:coreProperties>
</file>