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470EF4" w14:textId="77777777" w:rsidR="004660F9" w:rsidRDefault="004660F9" w:rsidP="004660F9">
      <w:pPr>
        <w:pStyle w:val="Default"/>
      </w:pPr>
    </w:p>
    <w:p w14:paraId="1315A379" w14:textId="77777777" w:rsidR="004660F9" w:rsidRPr="00315648" w:rsidRDefault="004660F9" w:rsidP="004660F9">
      <w:pPr>
        <w:pStyle w:val="Default"/>
        <w:rPr>
          <w:rFonts w:asciiTheme="minorHAnsi" w:hAnsiTheme="minorHAnsi" w:cstheme="minorHAnsi"/>
          <w:sz w:val="23"/>
          <w:szCs w:val="23"/>
        </w:rPr>
      </w:pPr>
      <w:r w:rsidRPr="00315648">
        <w:rPr>
          <w:rFonts w:asciiTheme="minorHAnsi" w:hAnsiTheme="minorHAnsi" w:cstheme="minorHAnsi"/>
          <w:b/>
          <w:bCs/>
          <w:sz w:val="23"/>
          <w:szCs w:val="23"/>
        </w:rPr>
        <w:t xml:space="preserve">ERASMUS UNIVERSITY ROTTERDAM </w:t>
      </w:r>
    </w:p>
    <w:p w14:paraId="402D241C" w14:textId="77777777" w:rsidR="004660F9" w:rsidRPr="00315648" w:rsidRDefault="004660F9" w:rsidP="004660F9">
      <w:pPr>
        <w:pStyle w:val="Default"/>
        <w:rPr>
          <w:rFonts w:asciiTheme="minorHAnsi" w:hAnsiTheme="minorHAnsi" w:cstheme="minorHAnsi"/>
          <w:sz w:val="23"/>
          <w:szCs w:val="23"/>
        </w:rPr>
      </w:pPr>
      <w:r w:rsidRPr="00315648">
        <w:rPr>
          <w:rFonts w:asciiTheme="minorHAnsi" w:hAnsiTheme="minorHAnsi" w:cstheme="minorHAnsi"/>
          <w:b/>
          <w:bCs/>
          <w:sz w:val="23"/>
          <w:szCs w:val="23"/>
        </w:rPr>
        <w:t xml:space="preserve">ERASMUS SCHOOL OF ECONOMICS </w:t>
      </w:r>
    </w:p>
    <w:p w14:paraId="1ECF2722" w14:textId="77777777" w:rsidR="004660F9" w:rsidRPr="00315648" w:rsidRDefault="004660F9" w:rsidP="004660F9">
      <w:pPr>
        <w:pStyle w:val="Default"/>
        <w:rPr>
          <w:rFonts w:asciiTheme="minorHAnsi" w:hAnsiTheme="minorHAnsi" w:cstheme="minorHAnsi"/>
          <w:sz w:val="23"/>
          <w:szCs w:val="23"/>
        </w:rPr>
      </w:pPr>
      <w:r w:rsidRPr="00315648">
        <w:rPr>
          <w:rFonts w:asciiTheme="minorHAnsi" w:hAnsiTheme="minorHAnsi" w:cstheme="minorHAnsi"/>
          <w:b/>
          <w:bCs/>
          <w:sz w:val="23"/>
          <w:szCs w:val="23"/>
        </w:rPr>
        <w:t xml:space="preserve">Department of </w:t>
      </w:r>
      <w:r>
        <w:rPr>
          <w:rFonts w:asciiTheme="minorHAnsi" w:hAnsiTheme="minorHAnsi" w:cstheme="minorHAnsi"/>
          <w:b/>
          <w:bCs/>
          <w:sz w:val="23"/>
          <w:szCs w:val="23"/>
        </w:rPr>
        <w:t>Business Economics</w:t>
      </w:r>
    </w:p>
    <w:p w14:paraId="0C1CF87B" w14:textId="77777777" w:rsidR="004660F9" w:rsidRPr="00315648" w:rsidRDefault="004660F9" w:rsidP="004660F9">
      <w:pPr>
        <w:rPr>
          <w:rFonts w:cstheme="minorHAnsi"/>
        </w:rPr>
      </w:pPr>
      <w:r w:rsidRPr="00315648">
        <w:rPr>
          <w:rFonts w:cstheme="minorHAnsi"/>
          <w:b/>
          <w:bCs/>
          <w:sz w:val="23"/>
          <w:szCs w:val="23"/>
        </w:rPr>
        <w:t>Bachelor Thesis Entrepreneurship</w:t>
      </w:r>
    </w:p>
    <w:p w14:paraId="4E7531D7" w14:textId="77777777" w:rsidR="004660F9" w:rsidRDefault="004660F9" w:rsidP="004660F9"/>
    <w:p w14:paraId="0105F6ED" w14:textId="77777777" w:rsidR="004660F9" w:rsidRDefault="004660F9" w:rsidP="004660F9"/>
    <w:p w14:paraId="5CDE9233" w14:textId="05998B03" w:rsidR="004660F9" w:rsidRPr="00BA5B6D" w:rsidRDefault="00BA5B6D" w:rsidP="00BA5B6D">
      <w:pPr>
        <w:jc w:val="center"/>
        <w:rPr>
          <w:b/>
          <w:sz w:val="28"/>
          <w:szCs w:val="28"/>
        </w:rPr>
      </w:pPr>
      <w:r w:rsidRPr="00BA5B6D">
        <w:rPr>
          <w:b/>
          <w:sz w:val="28"/>
          <w:szCs w:val="28"/>
        </w:rPr>
        <w:t>DETERMINANTS OF CAPITAL STRUCTURE OF SMEs</w:t>
      </w:r>
    </w:p>
    <w:p w14:paraId="619B9FE5" w14:textId="77777777" w:rsidR="004660F9" w:rsidRDefault="004660F9" w:rsidP="004660F9"/>
    <w:p w14:paraId="2A51F2AD" w14:textId="77777777" w:rsidR="004660F9" w:rsidRDefault="004660F9" w:rsidP="004660F9"/>
    <w:p w14:paraId="24D7B290" w14:textId="77777777" w:rsidR="004660F9" w:rsidRDefault="004660F9" w:rsidP="004660F9"/>
    <w:p w14:paraId="01E9FE61" w14:textId="77777777" w:rsidR="004660F9" w:rsidRDefault="004660F9" w:rsidP="004660F9">
      <w:r>
        <w:t xml:space="preserve">                </w:t>
      </w:r>
      <w:r>
        <w:rPr>
          <w:noProof/>
          <w:lang w:val="en-GB" w:eastAsia="en-GB"/>
        </w:rPr>
        <w:drawing>
          <wp:inline distT="0" distB="0" distL="0" distR="0" wp14:anchorId="1194DB8F" wp14:editId="16B7B9B8">
            <wp:extent cx="5160397" cy="2017575"/>
            <wp:effectExtent l="0" t="0" r="254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4853" cy="2019317"/>
                    </a:xfrm>
                    <a:prstGeom prst="rect">
                      <a:avLst/>
                    </a:prstGeom>
                    <a:noFill/>
                    <a:ln>
                      <a:noFill/>
                    </a:ln>
                  </pic:spPr>
                </pic:pic>
              </a:graphicData>
            </a:graphic>
          </wp:inline>
        </w:drawing>
      </w:r>
      <w:r>
        <w:t xml:space="preserve">   </w:t>
      </w:r>
    </w:p>
    <w:p w14:paraId="08D08E55" w14:textId="77777777" w:rsidR="004660F9" w:rsidRDefault="004660F9" w:rsidP="004660F9"/>
    <w:p w14:paraId="43F1041C" w14:textId="77777777" w:rsidR="004660F9" w:rsidRDefault="004660F9" w:rsidP="004660F9"/>
    <w:p w14:paraId="3BDA6CE4" w14:textId="77777777" w:rsidR="004660F9" w:rsidRDefault="004660F9" w:rsidP="004660F9">
      <w:bookmarkStart w:id="0" w:name="_GoBack"/>
      <w:bookmarkEnd w:id="0"/>
    </w:p>
    <w:p w14:paraId="4590288A" w14:textId="77777777" w:rsidR="004660F9" w:rsidRDefault="004660F9" w:rsidP="004660F9"/>
    <w:p w14:paraId="46701B70" w14:textId="77777777" w:rsidR="004660F9" w:rsidRDefault="004660F9" w:rsidP="004660F9">
      <w:pPr>
        <w:pStyle w:val="Default"/>
      </w:pPr>
    </w:p>
    <w:p w14:paraId="55D96157" w14:textId="77777777" w:rsidR="004660F9" w:rsidRDefault="004660F9" w:rsidP="004660F9">
      <w:pPr>
        <w:pStyle w:val="Default"/>
        <w:spacing w:line="360" w:lineRule="auto"/>
        <w:jc w:val="both"/>
      </w:pPr>
    </w:p>
    <w:p w14:paraId="0F7835A7" w14:textId="77777777" w:rsidR="004660F9" w:rsidRPr="00315648" w:rsidRDefault="004660F9" w:rsidP="004660F9">
      <w:pPr>
        <w:pStyle w:val="Default"/>
        <w:spacing w:line="360" w:lineRule="auto"/>
        <w:jc w:val="both"/>
        <w:rPr>
          <w:rFonts w:asciiTheme="minorHAnsi" w:hAnsiTheme="minorHAnsi" w:cstheme="minorHAnsi"/>
          <w:sz w:val="23"/>
          <w:szCs w:val="23"/>
        </w:rPr>
      </w:pPr>
      <w:r w:rsidRPr="00315648">
        <w:rPr>
          <w:rFonts w:asciiTheme="minorHAnsi" w:hAnsiTheme="minorHAnsi" w:cstheme="minorHAnsi"/>
          <w:b/>
          <w:bCs/>
          <w:sz w:val="23"/>
          <w:szCs w:val="23"/>
        </w:rPr>
        <w:t xml:space="preserve">Author: </w:t>
      </w:r>
      <w:r w:rsidRPr="001C6242">
        <w:rPr>
          <w:rFonts w:asciiTheme="minorHAnsi" w:hAnsiTheme="minorHAnsi" w:cstheme="minorHAnsi"/>
          <w:sz w:val="22"/>
          <w:szCs w:val="22"/>
        </w:rPr>
        <w:t>K.M.A. Romijn</w:t>
      </w:r>
      <w:r w:rsidRPr="00315648">
        <w:rPr>
          <w:rFonts w:asciiTheme="minorHAnsi" w:hAnsiTheme="minorHAnsi" w:cstheme="minorHAnsi"/>
          <w:sz w:val="23"/>
          <w:szCs w:val="23"/>
        </w:rPr>
        <w:t xml:space="preserve"> </w:t>
      </w:r>
    </w:p>
    <w:p w14:paraId="11AF027D" w14:textId="77777777" w:rsidR="004660F9" w:rsidRPr="00315648" w:rsidRDefault="004660F9" w:rsidP="004660F9">
      <w:pPr>
        <w:pStyle w:val="Default"/>
        <w:spacing w:line="360" w:lineRule="auto"/>
        <w:jc w:val="both"/>
        <w:rPr>
          <w:rFonts w:asciiTheme="minorHAnsi" w:hAnsiTheme="minorHAnsi" w:cstheme="minorHAnsi"/>
          <w:sz w:val="23"/>
          <w:szCs w:val="23"/>
        </w:rPr>
      </w:pPr>
      <w:r w:rsidRPr="00315648">
        <w:rPr>
          <w:rFonts w:asciiTheme="minorHAnsi" w:hAnsiTheme="minorHAnsi" w:cstheme="minorHAnsi"/>
          <w:b/>
          <w:bCs/>
          <w:sz w:val="23"/>
          <w:szCs w:val="23"/>
        </w:rPr>
        <w:t xml:space="preserve">Student number: </w:t>
      </w:r>
      <w:r w:rsidRPr="001C6242">
        <w:rPr>
          <w:rFonts w:asciiTheme="minorHAnsi" w:hAnsiTheme="minorHAnsi" w:cstheme="minorHAnsi"/>
          <w:bCs/>
          <w:sz w:val="22"/>
          <w:szCs w:val="22"/>
        </w:rPr>
        <w:t>328622kr</w:t>
      </w:r>
    </w:p>
    <w:p w14:paraId="01FF3F72" w14:textId="77777777" w:rsidR="004660F9" w:rsidRPr="00315648" w:rsidRDefault="004660F9" w:rsidP="004660F9">
      <w:pPr>
        <w:pStyle w:val="Default"/>
        <w:spacing w:line="360" w:lineRule="auto"/>
        <w:jc w:val="both"/>
        <w:rPr>
          <w:rFonts w:asciiTheme="minorHAnsi" w:hAnsiTheme="minorHAnsi" w:cstheme="minorHAnsi"/>
          <w:sz w:val="23"/>
          <w:szCs w:val="23"/>
        </w:rPr>
      </w:pPr>
      <w:r w:rsidRPr="00315648">
        <w:rPr>
          <w:rFonts w:asciiTheme="minorHAnsi" w:hAnsiTheme="minorHAnsi" w:cstheme="minorHAnsi"/>
          <w:b/>
          <w:bCs/>
          <w:sz w:val="23"/>
          <w:szCs w:val="23"/>
        </w:rPr>
        <w:t xml:space="preserve">Thesis supervisor: </w:t>
      </w:r>
      <w:r>
        <w:rPr>
          <w:rFonts w:ascii="Calibri" w:hAnsi="Calibri" w:cs="Calibri"/>
          <w:sz w:val="22"/>
          <w:szCs w:val="22"/>
          <w:shd w:val="clear" w:color="auto" w:fill="FFFFFF"/>
        </w:rPr>
        <w:t xml:space="preserve">A. </w:t>
      </w:r>
      <w:r w:rsidRPr="001C6242">
        <w:rPr>
          <w:rFonts w:ascii="Calibri" w:hAnsi="Calibri" w:cs="Calibri"/>
          <w:sz w:val="22"/>
          <w:szCs w:val="22"/>
          <w:shd w:val="clear" w:color="auto" w:fill="FFFFFF"/>
        </w:rPr>
        <w:t xml:space="preserve">van </w:t>
      </w:r>
      <w:proofErr w:type="spellStart"/>
      <w:r w:rsidRPr="001C6242">
        <w:rPr>
          <w:rFonts w:ascii="Calibri" w:hAnsi="Calibri" w:cs="Calibri"/>
          <w:sz w:val="22"/>
          <w:szCs w:val="22"/>
          <w:shd w:val="clear" w:color="auto" w:fill="FFFFFF"/>
        </w:rPr>
        <w:t>Stel</w:t>
      </w:r>
      <w:proofErr w:type="spellEnd"/>
    </w:p>
    <w:p w14:paraId="38319736" w14:textId="1728AB43" w:rsidR="00CE1359" w:rsidRDefault="004660F9" w:rsidP="004660F9">
      <w:pPr>
        <w:spacing w:line="360" w:lineRule="auto"/>
        <w:jc w:val="both"/>
        <w:rPr>
          <w:rFonts w:cstheme="minorHAnsi"/>
          <w:bCs/>
        </w:rPr>
        <w:sectPr w:rsidR="00CE1359" w:rsidSect="00B67A79">
          <w:pgSz w:w="12240" w:h="15840"/>
          <w:pgMar w:top="1440" w:right="1440" w:bottom="1440" w:left="1440" w:header="720" w:footer="720" w:gutter="0"/>
          <w:cols w:space="720"/>
          <w:titlePg/>
          <w:docGrid w:linePitch="360"/>
        </w:sectPr>
      </w:pPr>
      <w:r w:rsidRPr="00315648">
        <w:rPr>
          <w:rFonts w:cstheme="minorHAnsi"/>
          <w:b/>
          <w:bCs/>
          <w:sz w:val="23"/>
          <w:szCs w:val="23"/>
        </w:rPr>
        <w:t xml:space="preserve">Finish date: </w:t>
      </w:r>
      <w:r w:rsidR="00E91FFA" w:rsidRPr="00740455">
        <w:rPr>
          <w:rFonts w:cstheme="minorHAnsi"/>
          <w:bCs/>
          <w:sz w:val="23"/>
          <w:szCs w:val="23"/>
        </w:rPr>
        <w:t>Ju</w:t>
      </w:r>
      <w:r w:rsidR="00E91FFA">
        <w:rPr>
          <w:rFonts w:cstheme="minorHAnsi"/>
          <w:bCs/>
          <w:sz w:val="23"/>
          <w:szCs w:val="23"/>
        </w:rPr>
        <w:t>ly</w:t>
      </w:r>
      <w:r w:rsidR="00E91FFA">
        <w:rPr>
          <w:rFonts w:cstheme="minorHAnsi"/>
          <w:b/>
          <w:bCs/>
          <w:sz w:val="23"/>
          <w:szCs w:val="23"/>
        </w:rPr>
        <w:t xml:space="preserve"> </w:t>
      </w:r>
      <w:r w:rsidR="00CE1359">
        <w:rPr>
          <w:rFonts w:cstheme="minorHAnsi"/>
          <w:bCs/>
        </w:rPr>
        <w:t>2016</w:t>
      </w:r>
    </w:p>
    <w:p w14:paraId="6182BF32" w14:textId="77777777" w:rsidR="004660F9" w:rsidRDefault="004660F9" w:rsidP="004660F9">
      <w:pPr>
        <w:spacing w:line="360" w:lineRule="auto"/>
        <w:rPr>
          <w:b/>
          <w:bCs/>
          <w:sz w:val="28"/>
          <w:szCs w:val="28"/>
        </w:rPr>
      </w:pPr>
      <w:r w:rsidRPr="00315648">
        <w:rPr>
          <w:b/>
          <w:bCs/>
          <w:sz w:val="28"/>
          <w:szCs w:val="28"/>
        </w:rPr>
        <w:lastRenderedPageBreak/>
        <w:t>ABSTRACT</w:t>
      </w:r>
    </w:p>
    <w:p w14:paraId="6FEDC411" w14:textId="34601E5E" w:rsidR="004660F9" w:rsidRPr="00570F82" w:rsidRDefault="004660F9" w:rsidP="004660F9">
      <w:pPr>
        <w:spacing w:line="360" w:lineRule="auto"/>
        <w:jc w:val="both"/>
        <w:rPr>
          <w:b/>
          <w:bCs/>
          <w:sz w:val="28"/>
          <w:szCs w:val="28"/>
        </w:rPr>
      </w:pPr>
      <w:r>
        <w:rPr>
          <w:bCs/>
        </w:rPr>
        <w:t xml:space="preserve">This paper analyzes how country- and </w:t>
      </w:r>
      <w:r w:rsidR="008F21BB">
        <w:rPr>
          <w:bCs/>
        </w:rPr>
        <w:t xml:space="preserve">aggregated </w:t>
      </w:r>
      <w:r>
        <w:rPr>
          <w:bCs/>
        </w:rPr>
        <w:t>firm</w:t>
      </w:r>
      <w:r w:rsidR="009D3BEB">
        <w:rPr>
          <w:bCs/>
        </w:rPr>
        <w:t>-</w:t>
      </w:r>
      <w:r>
        <w:rPr>
          <w:bCs/>
        </w:rPr>
        <w:t>specific variables affect the capital structure of European small and medium sized enterprises. 11,720 firms across 1</w:t>
      </w:r>
      <w:r w:rsidR="00144852">
        <w:rPr>
          <w:bCs/>
        </w:rPr>
        <w:t>1</w:t>
      </w:r>
      <w:r>
        <w:rPr>
          <w:bCs/>
        </w:rPr>
        <w:t xml:space="preserve"> European countries are studied using data from the year 2009 to 2014. Data from a survey done by the European Central Bank and European Commission are used. Country specific variables are examined </w:t>
      </w:r>
      <w:r w:rsidRPr="00815B68">
        <w:rPr>
          <w:bCs/>
        </w:rPr>
        <w:t xml:space="preserve">to find out to what </w:t>
      </w:r>
      <w:r w:rsidR="007D64A1">
        <w:rPr>
          <w:bCs/>
        </w:rPr>
        <w:t>extent</w:t>
      </w:r>
      <w:r>
        <w:rPr>
          <w:bCs/>
        </w:rPr>
        <w:t xml:space="preserve"> they affect capital structure of SMEs. The determinants of capital structure namely GDP per capita, GDP growth, inflation and interest rate are tested</w:t>
      </w:r>
      <w:r w:rsidR="00C36900">
        <w:rPr>
          <w:bCs/>
        </w:rPr>
        <w:t xml:space="preserve">. </w:t>
      </w:r>
      <w:r w:rsidR="00AD2DD3">
        <w:rPr>
          <w:bCs/>
        </w:rPr>
        <w:t xml:space="preserve">The aggregated </w:t>
      </w:r>
      <w:r>
        <w:rPr>
          <w:bCs/>
        </w:rPr>
        <w:t>firm specific variables are Turnover, General Economic View</w:t>
      </w:r>
      <w:r w:rsidR="009132A5">
        <w:rPr>
          <w:bCs/>
        </w:rPr>
        <w:t xml:space="preserve"> and Profitability.</w:t>
      </w:r>
      <w:r w:rsidR="00E1377A">
        <w:rPr>
          <w:bCs/>
        </w:rPr>
        <w:t xml:space="preserve"> Two theories are used to examine how these variables affect the capital structure. The two theories used are the pecking order theory and the trade-off theory. The results show that </w:t>
      </w:r>
      <w:r w:rsidR="00E1377A">
        <w:t>macroeconomic and aggregated firm specific variables are an important aspect in explaining SME’s capital structure and cannot be neglected.</w:t>
      </w:r>
    </w:p>
    <w:p w14:paraId="0F87B764" w14:textId="77777777" w:rsidR="004660F9" w:rsidRPr="00800913" w:rsidRDefault="004660F9" w:rsidP="004660F9">
      <w:pPr>
        <w:spacing w:line="360" w:lineRule="auto"/>
        <w:rPr>
          <w:rFonts w:cstheme="minorHAnsi"/>
        </w:rPr>
      </w:pPr>
      <w:r>
        <w:rPr>
          <w:b/>
        </w:rPr>
        <w:t xml:space="preserve">Keywords: </w:t>
      </w:r>
      <w:r>
        <w:t>Capital Structure, Trade</w:t>
      </w:r>
      <w:r w:rsidR="00137E31">
        <w:t>-</w:t>
      </w:r>
      <w:r>
        <w:t>off Theory, Pecking Order Theory, SME, Cross Country Data</w:t>
      </w:r>
    </w:p>
    <w:p w14:paraId="64932A81" w14:textId="77777777" w:rsidR="004660F9" w:rsidRDefault="004660F9" w:rsidP="004660F9">
      <w:pPr>
        <w:rPr>
          <w:rFonts w:cstheme="minorHAnsi"/>
        </w:rPr>
      </w:pPr>
    </w:p>
    <w:p w14:paraId="7CD27306" w14:textId="77777777" w:rsidR="004660F9" w:rsidRDefault="004660F9" w:rsidP="004660F9">
      <w:pPr>
        <w:rPr>
          <w:rFonts w:cstheme="minorHAnsi"/>
        </w:rPr>
      </w:pPr>
    </w:p>
    <w:p w14:paraId="3093970E" w14:textId="77777777" w:rsidR="004660F9" w:rsidRDefault="004660F9" w:rsidP="004660F9">
      <w:pPr>
        <w:rPr>
          <w:rFonts w:cstheme="minorHAnsi"/>
        </w:rPr>
      </w:pPr>
    </w:p>
    <w:p w14:paraId="2916C0E4" w14:textId="77777777" w:rsidR="004660F9" w:rsidRDefault="004660F9" w:rsidP="004660F9">
      <w:pPr>
        <w:rPr>
          <w:rFonts w:cstheme="minorHAnsi"/>
        </w:rPr>
      </w:pPr>
    </w:p>
    <w:p w14:paraId="68F2A545" w14:textId="77777777" w:rsidR="004660F9" w:rsidRDefault="004660F9" w:rsidP="004660F9">
      <w:pPr>
        <w:rPr>
          <w:rFonts w:cstheme="minorHAnsi"/>
        </w:rPr>
      </w:pPr>
    </w:p>
    <w:p w14:paraId="3FBB3BFB" w14:textId="77777777" w:rsidR="004660F9" w:rsidRDefault="004660F9" w:rsidP="004660F9">
      <w:pPr>
        <w:rPr>
          <w:rFonts w:cstheme="minorHAnsi"/>
        </w:rPr>
      </w:pPr>
    </w:p>
    <w:p w14:paraId="0CF8E5F3" w14:textId="77777777" w:rsidR="004660F9" w:rsidRDefault="004660F9" w:rsidP="004660F9">
      <w:pPr>
        <w:spacing w:line="360" w:lineRule="auto"/>
        <w:rPr>
          <w:rFonts w:cstheme="minorHAnsi"/>
        </w:rPr>
      </w:pPr>
    </w:p>
    <w:p w14:paraId="439A65FB" w14:textId="77777777" w:rsidR="004660F9" w:rsidRDefault="004660F9" w:rsidP="004660F9">
      <w:pPr>
        <w:spacing w:line="360" w:lineRule="auto"/>
        <w:rPr>
          <w:rFonts w:cstheme="minorHAnsi"/>
        </w:rPr>
      </w:pPr>
    </w:p>
    <w:p w14:paraId="15472BB2" w14:textId="77777777" w:rsidR="004660F9" w:rsidRDefault="004660F9" w:rsidP="004660F9">
      <w:pPr>
        <w:spacing w:line="360" w:lineRule="auto"/>
        <w:rPr>
          <w:rFonts w:cstheme="minorHAnsi"/>
        </w:rPr>
      </w:pPr>
    </w:p>
    <w:p w14:paraId="66641983" w14:textId="77777777" w:rsidR="004660F9" w:rsidRDefault="004660F9" w:rsidP="004660F9">
      <w:pPr>
        <w:spacing w:line="360" w:lineRule="auto"/>
        <w:rPr>
          <w:rFonts w:cstheme="minorHAnsi"/>
        </w:rPr>
      </w:pPr>
    </w:p>
    <w:p w14:paraId="2933AC3B" w14:textId="77777777" w:rsidR="004660F9" w:rsidRDefault="004660F9" w:rsidP="004660F9">
      <w:pPr>
        <w:spacing w:line="360" w:lineRule="auto"/>
        <w:rPr>
          <w:rFonts w:cstheme="minorHAnsi"/>
        </w:rPr>
      </w:pPr>
    </w:p>
    <w:p w14:paraId="3E630DA7" w14:textId="77777777" w:rsidR="004660F9" w:rsidRDefault="004660F9" w:rsidP="004660F9">
      <w:pPr>
        <w:spacing w:line="360" w:lineRule="auto"/>
        <w:rPr>
          <w:rFonts w:cstheme="minorHAnsi"/>
        </w:rPr>
      </w:pPr>
    </w:p>
    <w:p w14:paraId="790F9EAD" w14:textId="77777777" w:rsidR="00CE1359" w:rsidRDefault="00CE1359" w:rsidP="004660F9">
      <w:pPr>
        <w:spacing w:line="360" w:lineRule="auto"/>
        <w:rPr>
          <w:rFonts w:cstheme="minorHAnsi"/>
        </w:rPr>
        <w:sectPr w:rsidR="00CE1359" w:rsidSect="00CE1359">
          <w:footerReference w:type="default" r:id="rId9"/>
          <w:footerReference w:type="first" r:id="rId10"/>
          <w:pgSz w:w="12240" w:h="15840"/>
          <w:pgMar w:top="1440" w:right="1440" w:bottom="1440" w:left="1440" w:header="720" w:footer="720" w:gutter="0"/>
          <w:pgNumType w:start="4"/>
          <w:cols w:space="720"/>
          <w:titlePg/>
          <w:docGrid w:linePitch="360"/>
        </w:sectPr>
      </w:pPr>
    </w:p>
    <w:p w14:paraId="674738F9" w14:textId="77777777" w:rsidR="004660F9" w:rsidRDefault="004660F9" w:rsidP="004660F9">
      <w:pPr>
        <w:spacing w:line="360" w:lineRule="auto"/>
        <w:rPr>
          <w:b/>
          <w:bCs/>
          <w:sz w:val="24"/>
          <w:szCs w:val="24"/>
        </w:rPr>
      </w:pPr>
      <w:r w:rsidRPr="00315648">
        <w:rPr>
          <w:b/>
          <w:bCs/>
          <w:sz w:val="24"/>
          <w:szCs w:val="24"/>
        </w:rPr>
        <w:lastRenderedPageBreak/>
        <w:t>TABLE OF CONTENTS</w:t>
      </w:r>
    </w:p>
    <w:p w14:paraId="3261987A" w14:textId="77777777" w:rsidR="004660F9" w:rsidRPr="00CE4E3D" w:rsidRDefault="004660F9" w:rsidP="0017092B">
      <w:pPr>
        <w:autoSpaceDE w:val="0"/>
        <w:autoSpaceDN w:val="0"/>
        <w:adjustRightInd w:val="0"/>
        <w:spacing w:after="0" w:line="360" w:lineRule="auto"/>
        <w:jc w:val="both"/>
        <w:rPr>
          <w:rFonts w:cstheme="minorHAnsi"/>
        </w:rPr>
      </w:pPr>
      <w:r>
        <w:rPr>
          <w:rFonts w:cstheme="minorHAnsi"/>
        </w:rPr>
        <w:t>ABSTRACT</w:t>
      </w:r>
      <w:r w:rsidRPr="00CE4E3D">
        <w:rPr>
          <w:rFonts w:cstheme="minorHAnsi"/>
        </w:rPr>
        <w:t xml:space="preserve"> .......................................................................................................................</w:t>
      </w:r>
      <w:r>
        <w:rPr>
          <w:rFonts w:cstheme="minorHAnsi"/>
        </w:rPr>
        <w:t>........</w:t>
      </w:r>
      <w:r w:rsidR="00F171F3">
        <w:rPr>
          <w:rFonts w:cstheme="minorHAnsi"/>
        </w:rPr>
        <w:t>.............</w:t>
      </w:r>
      <w:r w:rsidRPr="00CE4E3D">
        <w:rPr>
          <w:rFonts w:cstheme="minorHAnsi"/>
        </w:rPr>
        <w:t xml:space="preserve">.. ii </w:t>
      </w:r>
    </w:p>
    <w:p w14:paraId="65234900" w14:textId="77777777" w:rsidR="004660F9" w:rsidRPr="00991294" w:rsidRDefault="004660F9" w:rsidP="0017092B">
      <w:pPr>
        <w:autoSpaceDE w:val="0"/>
        <w:autoSpaceDN w:val="0"/>
        <w:adjustRightInd w:val="0"/>
        <w:spacing w:after="0" w:line="360" w:lineRule="auto"/>
        <w:jc w:val="both"/>
        <w:rPr>
          <w:rFonts w:cstheme="minorHAnsi"/>
        </w:rPr>
      </w:pPr>
    </w:p>
    <w:p w14:paraId="15B4662F" w14:textId="77777777" w:rsidR="004660F9" w:rsidRPr="00CE4E3D" w:rsidRDefault="004660F9" w:rsidP="0017092B">
      <w:pPr>
        <w:autoSpaceDE w:val="0"/>
        <w:autoSpaceDN w:val="0"/>
        <w:adjustRightInd w:val="0"/>
        <w:spacing w:after="0" w:line="360" w:lineRule="auto"/>
        <w:jc w:val="both"/>
        <w:rPr>
          <w:rFonts w:cstheme="minorHAnsi"/>
        </w:rPr>
      </w:pPr>
      <w:r>
        <w:rPr>
          <w:rFonts w:cstheme="minorHAnsi"/>
        </w:rPr>
        <w:t>TABLE OF CONTENTS</w:t>
      </w:r>
      <w:r w:rsidRPr="00CE4E3D">
        <w:rPr>
          <w:rFonts w:cstheme="minorHAnsi"/>
        </w:rPr>
        <w:t>..............................................................................................................</w:t>
      </w:r>
      <w:r w:rsidR="00C25357">
        <w:rPr>
          <w:rFonts w:cstheme="minorHAnsi"/>
        </w:rPr>
        <w:t>..</w:t>
      </w:r>
      <w:r w:rsidR="00F171F3">
        <w:rPr>
          <w:rFonts w:cstheme="minorHAnsi"/>
        </w:rPr>
        <w:t>.............</w:t>
      </w:r>
      <w:r w:rsidRPr="00CE4E3D">
        <w:rPr>
          <w:rFonts w:cstheme="minorHAnsi"/>
        </w:rPr>
        <w:t xml:space="preserve"> iii </w:t>
      </w:r>
    </w:p>
    <w:p w14:paraId="44C0E31A" w14:textId="77777777" w:rsidR="004660F9" w:rsidRPr="00534E6D" w:rsidRDefault="004660F9" w:rsidP="0017092B">
      <w:pPr>
        <w:autoSpaceDE w:val="0"/>
        <w:autoSpaceDN w:val="0"/>
        <w:adjustRightInd w:val="0"/>
        <w:spacing w:after="0" w:line="360" w:lineRule="auto"/>
        <w:jc w:val="both"/>
        <w:rPr>
          <w:rFonts w:cstheme="minorHAnsi"/>
          <w:color w:val="000000"/>
        </w:rPr>
      </w:pPr>
    </w:p>
    <w:p w14:paraId="36D547F8" w14:textId="77777777" w:rsidR="004660F9" w:rsidRPr="00CE4E3D" w:rsidRDefault="004660F9" w:rsidP="0017092B">
      <w:pPr>
        <w:autoSpaceDE w:val="0"/>
        <w:autoSpaceDN w:val="0"/>
        <w:adjustRightInd w:val="0"/>
        <w:spacing w:after="0" w:line="360" w:lineRule="auto"/>
        <w:jc w:val="both"/>
        <w:rPr>
          <w:rFonts w:cstheme="minorHAnsi"/>
          <w:color w:val="000000"/>
        </w:rPr>
      </w:pPr>
      <w:r w:rsidRPr="00F651EC">
        <w:rPr>
          <w:rFonts w:cstheme="minorHAnsi"/>
          <w:color w:val="000000"/>
        </w:rPr>
        <w:t>CHAPTER 1.</w:t>
      </w:r>
      <w:r w:rsidRPr="00CE4E3D">
        <w:rPr>
          <w:rFonts w:cstheme="minorHAnsi"/>
          <w:color w:val="000000"/>
        </w:rPr>
        <w:t xml:space="preserve"> </w:t>
      </w:r>
      <w:r w:rsidRPr="00F651EC">
        <w:rPr>
          <w:rFonts w:cstheme="minorHAnsi"/>
          <w:color w:val="000000"/>
        </w:rPr>
        <w:t>Introduction</w:t>
      </w:r>
      <w:r w:rsidRPr="00CE4E3D">
        <w:rPr>
          <w:rFonts w:cstheme="minorHAnsi"/>
          <w:color w:val="000000"/>
        </w:rPr>
        <w:t xml:space="preserve"> .........................................................................................................</w:t>
      </w:r>
      <w:r w:rsidRPr="00F651EC">
        <w:rPr>
          <w:rFonts w:cstheme="minorHAnsi"/>
          <w:color w:val="000000"/>
        </w:rPr>
        <w:t>.......</w:t>
      </w:r>
      <w:r w:rsidR="00F171F3">
        <w:rPr>
          <w:rFonts w:cstheme="minorHAnsi"/>
          <w:color w:val="000000"/>
        </w:rPr>
        <w:t>..</w:t>
      </w:r>
      <w:r w:rsidRPr="00CE4E3D">
        <w:rPr>
          <w:rFonts w:cstheme="minorHAnsi"/>
          <w:color w:val="000000"/>
        </w:rPr>
        <w:t xml:space="preserve">..... 1 </w:t>
      </w:r>
    </w:p>
    <w:p w14:paraId="2F36C1AC" w14:textId="77777777" w:rsidR="004660F9" w:rsidRPr="00F651EC" w:rsidRDefault="004660F9" w:rsidP="0017092B">
      <w:pPr>
        <w:autoSpaceDE w:val="0"/>
        <w:autoSpaceDN w:val="0"/>
        <w:adjustRightInd w:val="0"/>
        <w:spacing w:after="0" w:line="360" w:lineRule="auto"/>
        <w:jc w:val="both"/>
        <w:rPr>
          <w:rFonts w:cstheme="minorHAnsi"/>
          <w:color w:val="000000"/>
        </w:rPr>
      </w:pPr>
    </w:p>
    <w:p w14:paraId="62B0AF63" w14:textId="77777777" w:rsidR="00F171F3" w:rsidRDefault="004660F9" w:rsidP="0017092B">
      <w:pPr>
        <w:autoSpaceDE w:val="0"/>
        <w:autoSpaceDN w:val="0"/>
        <w:adjustRightInd w:val="0"/>
        <w:spacing w:after="0" w:line="360" w:lineRule="auto"/>
        <w:jc w:val="both"/>
        <w:rPr>
          <w:rFonts w:cstheme="minorHAnsi"/>
          <w:color w:val="000000"/>
        </w:rPr>
      </w:pPr>
      <w:r w:rsidRPr="00F651EC">
        <w:rPr>
          <w:rFonts w:cstheme="minorHAnsi"/>
          <w:color w:val="000000"/>
        </w:rPr>
        <w:t>CHAPTER 2</w:t>
      </w:r>
      <w:r w:rsidRPr="00CE4E3D">
        <w:rPr>
          <w:rFonts w:cstheme="minorHAnsi"/>
          <w:color w:val="000000"/>
        </w:rPr>
        <w:t xml:space="preserve">. </w:t>
      </w:r>
      <w:r w:rsidRPr="00F651EC">
        <w:rPr>
          <w:rFonts w:cstheme="minorHAnsi"/>
          <w:color w:val="000000"/>
        </w:rPr>
        <w:t>Literature Review.................................................................</w:t>
      </w:r>
      <w:r w:rsidR="00B67A79">
        <w:rPr>
          <w:rFonts w:cstheme="minorHAnsi"/>
          <w:color w:val="000000"/>
        </w:rPr>
        <w:t>..</w:t>
      </w:r>
      <w:r w:rsidRPr="00F651EC">
        <w:rPr>
          <w:rFonts w:cstheme="minorHAnsi"/>
          <w:color w:val="000000"/>
        </w:rPr>
        <w:t>..........</w:t>
      </w:r>
      <w:r w:rsidR="00F171F3">
        <w:rPr>
          <w:rFonts w:cstheme="minorHAnsi"/>
          <w:color w:val="000000"/>
        </w:rPr>
        <w:t>...................................3</w:t>
      </w:r>
      <w:r w:rsidRPr="00F651EC">
        <w:rPr>
          <w:rFonts w:cstheme="minorHAnsi"/>
          <w:color w:val="000000"/>
        </w:rPr>
        <w:t xml:space="preserve"> </w:t>
      </w:r>
    </w:p>
    <w:p w14:paraId="2F4542E1" w14:textId="77777777" w:rsidR="004660F9" w:rsidRPr="00F651EC" w:rsidRDefault="004660F9" w:rsidP="0017092B">
      <w:pPr>
        <w:autoSpaceDE w:val="0"/>
        <w:autoSpaceDN w:val="0"/>
        <w:adjustRightInd w:val="0"/>
        <w:spacing w:after="0" w:line="360" w:lineRule="auto"/>
        <w:jc w:val="both"/>
        <w:rPr>
          <w:rFonts w:cstheme="minorHAnsi"/>
          <w:color w:val="000000"/>
        </w:rPr>
      </w:pPr>
      <w:r w:rsidRPr="00F651EC">
        <w:rPr>
          <w:rFonts w:cstheme="minorHAnsi"/>
          <w:color w:val="000000"/>
        </w:rPr>
        <w:t>2.1 Pecking Order theory................................................................................................</w:t>
      </w:r>
      <w:r w:rsidR="00B67A79">
        <w:rPr>
          <w:rFonts w:cstheme="minorHAnsi"/>
          <w:color w:val="000000"/>
        </w:rPr>
        <w:t>.........</w:t>
      </w:r>
      <w:r w:rsidR="00F171F3">
        <w:rPr>
          <w:rFonts w:cstheme="minorHAnsi"/>
          <w:color w:val="000000"/>
        </w:rPr>
        <w:t>.............</w:t>
      </w:r>
      <w:r w:rsidRPr="00F651EC">
        <w:rPr>
          <w:rFonts w:cstheme="minorHAnsi"/>
          <w:color w:val="000000"/>
        </w:rPr>
        <w:t xml:space="preserve">. </w:t>
      </w:r>
      <w:r w:rsidR="00F171F3">
        <w:rPr>
          <w:rFonts w:cstheme="minorHAnsi"/>
          <w:color w:val="000000"/>
        </w:rPr>
        <w:t>3</w:t>
      </w:r>
      <w:r w:rsidRPr="00F651EC">
        <w:rPr>
          <w:rFonts w:cstheme="minorHAnsi"/>
          <w:color w:val="000000"/>
        </w:rPr>
        <w:t xml:space="preserve"> </w:t>
      </w:r>
    </w:p>
    <w:p w14:paraId="0F238A62" w14:textId="77777777" w:rsidR="004660F9" w:rsidRPr="00F651EC" w:rsidRDefault="004660F9" w:rsidP="0017092B">
      <w:pPr>
        <w:autoSpaceDE w:val="0"/>
        <w:autoSpaceDN w:val="0"/>
        <w:adjustRightInd w:val="0"/>
        <w:spacing w:after="0" w:line="360" w:lineRule="auto"/>
        <w:jc w:val="both"/>
        <w:rPr>
          <w:rFonts w:cstheme="minorHAnsi"/>
          <w:color w:val="000000"/>
        </w:rPr>
      </w:pPr>
      <w:r w:rsidRPr="00F651EC">
        <w:rPr>
          <w:rFonts w:cstheme="minorHAnsi"/>
          <w:color w:val="000000"/>
        </w:rPr>
        <w:t>2.2 Tradeoff theory ........................................................................................</w:t>
      </w:r>
      <w:r w:rsidR="00B67A79">
        <w:rPr>
          <w:rFonts w:cstheme="minorHAnsi"/>
          <w:color w:val="000000"/>
        </w:rPr>
        <w:t>...................</w:t>
      </w:r>
      <w:r w:rsidR="00F171F3">
        <w:rPr>
          <w:rFonts w:cstheme="minorHAnsi"/>
          <w:color w:val="000000"/>
        </w:rPr>
        <w:t>.</w:t>
      </w:r>
      <w:r w:rsidR="00B67A79">
        <w:rPr>
          <w:rFonts w:cstheme="minorHAnsi"/>
          <w:color w:val="000000"/>
        </w:rPr>
        <w:t>............</w:t>
      </w:r>
      <w:r w:rsidR="00F171F3">
        <w:rPr>
          <w:rFonts w:cstheme="minorHAnsi"/>
          <w:color w:val="000000"/>
        </w:rPr>
        <w:t>....... 4</w:t>
      </w:r>
      <w:r w:rsidRPr="00F651EC">
        <w:rPr>
          <w:rFonts w:cstheme="minorHAnsi"/>
          <w:color w:val="000000"/>
        </w:rPr>
        <w:t xml:space="preserve"> </w:t>
      </w:r>
    </w:p>
    <w:p w14:paraId="61808081" w14:textId="77777777" w:rsidR="004660F9" w:rsidRPr="00F651EC" w:rsidRDefault="00F171F3" w:rsidP="0017092B">
      <w:pPr>
        <w:autoSpaceDE w:val="0"/>
        <w:autoSpaceDN w:val="0"/>
        <w:adjustRightInd w:val="0"/>
        <w:spacing w:after="0" w:line="360" w:lineRule="auto"/>
        <w:jc w:val="both"/>
        <w:rPr>
          <w:rFonts w:cstheme="minorHAnsi"/>
          <w:color w:val="000000"/>
        </w:rPr>
      </w:pPr>
      <w:r>
        <w:rPr>
          <w:rFonts w:cstheme="minorHAnsi"/>
          <w:color w:val="000000"/>
        </w:rPr>
        <w:t>2.3</w:t>
      </w:r>
      <w:r w:rsidR="004660F9" w:rsidRPr="00F651EC">
        <w:rPr>
          <w:rFonts w:cstheme="minorHAnsi"/>
          <w:color w:val="000000"/>
        </w:rPr>
        <w:t xml:space="preserve"> Determinants.....................................................................................................</w:t>
      </w:r>
      <w:r>
        <w:rPr>
          <w:rFonts w:cstheme="minorHAnsi"/>
          <w:color w:val="000000"/>
        </w:rPr>
        <w:t>..............................</w:t>
      </w:r>
      <w:r w:rsidR="004660F9" w:rsidRPr="00F651EC">
        <w:rPr>
          <w:rFonts w:cstheme="minorHAnsi"/>
          <w:color w:val="000000"/>
        </w:rPr>
        <w:t xml:space="preserve">. </w:t>
      </w:r>
      <w:r>
        <w:rPr>
          <w:rFonts w:cstheme="minorHAnsi"/>
          <w:color w:val="000000"/>
        </w:rPr>
        <w:t>5</w:t>
      </w:r>
    </w:p>
    <w:p w14:paraId="19CEC9D4" w14:textId="77777777" w:rsidR="004660F9" w:rsidRPr="00F651EC" w:rsidRDefault="004660F9" w:rsidP="0017092B">
      <w:pPr>
        <w:autoSpaceDE w:val="0"/>
        <w:autoSpaceDN w:val="0"/>
        <w:adjustRightInd w:val="0"/>
        <w:spacing w:after="0" w:line="360" w:lineRule="auto"/>
        <w:jc w:val="both"/>
        <w:rPr>
          <w:rFonts w:cstheme="minorHAnsi"/>
          <w:color w:val="000000"/>
        </w:rPr>
      </w:pPr>
    </w:p>
    <w:p w14:paraId="2D21923F" w14:textId="67720984" w:rsidR="004660F9" w:rsidRPr="00CE4E3D" w:rsidRDefault="004660F9" w:rsidP="0017092B">
      <w:pPr>
        <w:autoSpaceDE w:val="0"/>
        <w:autoSpaceDN w:val="0"/>
        <w:adjustRightInd w:val="0"/>
        <w:spacing w:after="0" w:line="360" w:lineRule="auto"/>
        <w:jc w:val="both"/>
        <w:rPr>
          <w:rFonts w:cstheme="minorHAnsi"/>
          <w:color w:val="000000"/>
        </w:rPr>
      </w:pPr>
      <w:r w:rsidRPr="00F651EC">
        <w:rPr>
          <w:rFonts w:cstheme="minorHAnsi"/>
          <w:color w:val="000000"/>
        </w:rPr>
        <w:t>CHAPTER 3.</w:t>
      </w:r>
      <w:r w:rsidRPr="00CE4E3D">
        <w:rPr>
          <w:rFonts w:cstheme="minorHAnsi"/>
          <w:color w:val="000000"/>
        </w:rPr>
        <w:t xml:space="preserve"> </w:t>
      </w:r>
      <w:r w:rsidRPr="00F651EC">
        <w:rPr>
          <w:rFonts w:cstheme="minorHAnsi"/>
          <w:color w:val="000000"/>
        </w:rPr>
        <w:t>Research Question &amp; Hypotheses...........................................................................</w:t>
      </w:r>
      <w:r>
        <w:rPr>
          <w:rFonts w:cstheme="minorHAnsi"/>
          <w:color w:val="000000"/>
        </w:rPr>
        <w:t>......</w:t>
      </w:r>
      <w:r w:rsidR="00B763B7">
        <w:rPr>
          <w:rFonts w:cstheme="minorHAnsi"/>
          <w:color w:val="000000"/>
        </w:rPr>
        <w:t>..... 8</w:t>
      </w:r>
    </w:p>
    <w:p w14:paraId="7BF4589E" w14:textId="77777777" w:rsidR="004660F9" w:rsidRPr="00F651EC" w:rsidRDefault="004660F9" w:rsidP="0017092B">
      <w:pPr>
        <w:autoSpaceDE w:val="0"/>
        <w:autoSpaceDN w:val="0"/>
        <w:adjustRightInd w:val="0"/>
        <w:spacing w:after="0" w:line="360" w:lineRule="auto"/>
        <w:jc w:val="both"/>
        <w:rPr>
          <w:rFonts w:cstheme="minorHAnsi"/>
          <w:color w:val="000000"/>
        </w:rPr>
      </w:pPr>
    </w:p>
    <w:p w14:paraId="67F8AE84" w14:textId="77777777" w:rsidR="004660F9" w:rsidRPr="00CE4E3D" w:rsidRDefault="004660F9" w:rsidP="0017092B">
      <w:pPr>
        <w:autoSpaceDE w:val="0"/>
        <w:autoSpaceDN w:val="0"/>
        <w:adjustRightInd w:val="0"/>
        <w:spacing w:after="0" w:line="360" w:lineRule="auto"/>
        <w:jc w:val="both"/>
        <w:rPr>
          <w:rFonts w:cstheme="minorHAnsi"/>
          <w:color w:val="000000"/>
        </w:rPr>
      </w:pPr>
      <w:r w:rsidRPr="00F651EC">
        <w:rPr>
          <w:rFonts w:cstheme="minorHAnsi"/>
          <w:color w:val="000000"/>
        </w:rPr>
        <w:t>CHAPTER 4.</w:t>
      </w:r>
      <w:r w:rsidRPr="00CE4E3D">
        <w:rPr>
          <w:rFonts w:cstheme="minorHAnsi"/>
          <w:color w:val="000000"/>
        </w:rPr>
        <w:t xml:space="preserve"> </w:t>
      </w:r>
      <w:r w:rsidRPr="00F651EC">
        <w:rPr>
          <w:rFonts w:cstheme="minorHAnsi"/>
          <w:color w:val="000000"/>
        </w:rPr>
        <w:t>Data</w:t>
      </w:r>
      <w:r w:rsidR="00F171F3">
        <w:rPr>
          <w:rFonts w:cstheme="minorHAnsi"/>
          <w:color w:val="000000"/>
        </w:rPr>
        <w:t xml:space="preserve"> &amp; Methodology</w:t>
      </w:r>
      <w:r w:rsidRPr="00CE4E3D">
        <w:rPr>
          <w:rFonts w:cstheme="minorHAnsi"/>
          <w:color w:val="000000"/>
        </w:rPr>
        <w:t>...................................................</w:t>
      </w:r>
      <w:r w:rsidR="00F171F3">
        <w:rPr>
          <w:rFonts w:cstheme="minorHAnsi"/>
          <w:color w:val="000000"/>
        </w:rPr>
        <w:t>...............</w:t>
      </w:r>
      <w:r w:rsidRPr="00CE4E3D">
        <w:rPr>
          <w:rFonts w:cstheme="minorHAnsi"/>
          <w:color w:val="000000"/>
        </w:rPr>
        <w:t>....................</w:t>
      </w:r>
      <w:r w:rsidRPr="00F651EC">
        <w:rPr>
          <w:rFonts w:cstheme="minorHAnsi"/>
          <w:color w:val="000000"/>
        </w:rPr>
        <w:t>............</w:t>
      </w:r>
      <w:r>
        <w:rPr>
          <w:rFonts w:cstheme="minorHAnsi"/>
          <w:color w:val="000000"/>
        </w:rPr>
        <w:t>...</w:t>
      </w:r>
      <w:r w:rsidRPr="00F651EC">
        <w:rPr>
          <w:rFonts w:cstheme="minorHAnsi"/>
          <w:color w:val="000000"/>
        </w:rPr>
        <w:t>...</w:t>
      </w:r>
      <w:r w:rsidRPr="00CE4E3D">
        <w:rPr>
          <w:rFonts w:cstheme="minorHAnsi"/>
          <w:color w:val="000000"/>
        </w:rPr>
        <w:t xml:space="preserve"> </w:t>
      </w:r>
      <w:r w:rsidR="00F171F3">
        <w:rPr>
          <w:rFonts w:cstheme="minorHAnsi"/>
          <w:color w:val="000000"/>
        </w:rPr>
        <w:t>12</w:t>
      </w:r>
    </w:p>
    <w:p w14:paraId="4A4BE760" w14:textId="77777777" w:rsidR="004660F9" w:rsidRPr="00F651EC" w:rsidRDefault="004660F9" w:rsidP="0017092B">
      <w:pPr>
        <w:autoSpaceDE w:val="0"/>
        <w:autoSpaceDN w:val="0"/>
        <w:adjustRightInd w:val="0"/>
        <w:spacing w:after="0" w:line="360" w:lineRule="auto"/>
        <w:jc w:val="both"/>
        <w:rPr>
          <w:rFonts w:cstheme="minorHAnsi"/>
          <w:color w:val="000000"/>
        </w:rPr>
      </w:pPr>
    </w:p>
    <w:p w14:paraId="5CF83D84" w14:textId="0184C6AE" w:rsidR="004660F9" w:rsidRPr="00F651EC" w:rsidRDefault="00F171F3" w:rsidP="0017092B">
      <w:pPr>
        <w:autoSpaceDE w:val="0"/>
        <w:autoSpaceDN w:val="0"/>
        <w:adjustRightInd w:val="0"/>
        <w:spacing w:after="0" w:line="360" w:lineRule="auto"/>
        <w:jc w:val="both"/>
        <w:rPr>
          <w:rFonts w:cstheme="minorHAnsi"/>
          <w:color w:val="000000"/>
        </w:rPr>
      </w:pPr>
      <w:r>
        <w:rPr>
          <w:rFonts w:cstheme="minorHAnsi"/>
          <w:color w:val="000000"/>
        </w:rPr>
        <w:t>CHAPTER 5</w:t>
      </w:r>
      <w:r w:rsidR="004660F9" w:rsidRPr="00CE4E3D">
        <w:rPr>
          <w:rFonts w:cstheme="minorHAnsi"/>
          <w:color w:val="000000"/>
        </w:rPr>
        <w:t xml:space="preserve">. </w:t>
      </w:r>
      <w:r w:rsidR="004660F9" w:rsidRPr="00F651EC">
        <w:rPr>
          <w:rFonts w:cstheme="minorHAnsi"/>
          <w:color w:val="000000"/>
        </w:rPr>
        <w:t>Results</w:t>
      </w:r>
      <w:r w:rsidR="004660F9" w:rsidRPr="00CE4E3D">
        <w:rPr>
          <w:rFonts w:cstheme="minorHAnsi"/>
          <w:color w:val="000000"/>
        </w:rPr>
        <w:t>.................................................</w:t>
      </w:r>
      <w:r>
        <w:rPr>
          <w:rFonts w:cstheme="minorHAnsi"/>
          <w:color w:val="000000"/>
        </w:rPr>
        <w:t>...............................</w:t>
      </w:r>
      <w:r w:rsidR="004660F9" w:rsidRPr="00CE4E3D">
        <w:rPr>
          <w:rFonts w:cstheme="minorHAnsi"/>
          <w:color w:val="000000"/>
        </w:rPr>
        <w:t>.............................</w:t>
      </w:r>
      <w:r w:rsidR="004660F9" w:rsidRPr="00F651EC">
        <w:rPr>
          <w:rFonts w:cstheme="minorHAnsi"/>
          <w:color w:val="000000"/>
        </w:rPr>
        <w:t>...............</w:t>
      </w:r>
      <w:r w:rsidR="00152361">
        <w:rPr>
          <w:rFonts w:cstheme="minorHAnsi"/>
          <w:color w:val="000000"/>
        </w:rPr>
        <w:t>...17</w:t>
      </w:r>
      <w:r w:rsidR="004660F9" w:rsidRPr="00CE4E3D">
        <w:rPr>
          <w:rFonts w:cstheme="minorHAnsi"/>
          <w:color w:val="000000"/>
        </w:rPr>
        <w:t xml:space="preserve"> </w:t>
      </w:r>
    </w:p>
    <w:p w14:paraId="3A5CE385" w14:textId="77777777" w:rsidR="004660F9" w:rsidRPr="00CE4E3D" w:rsidRDefault="004660F9" w:rsidP="0017092B">
      <w:pPr>
        <w:autoSpaceDE w:val="0"/>
        <w:autoSpaceDN w:val="0"/>
        <w:adjustRightInd w:val="0"/>
        <w:spacing w:after="0" w:line="360" w:lineRule="auto"/>
        <w:jc w:val="both"/>
        <w:rPr>
          <w:rFonts w:cstheme="minorHAnsi"/>
          <w:color w:val="000000"/>
        </w:rPr>
      </w:pPr>
    </w:p>
    <w:p w14:paraId="189134BE" w14:textId="3D6DB7AB" w:rsidR="00F171F3" w:rsidRDefault="00F171F3" w:rsidP="0017092B">
      <w:pPr>
        <w:spacing w:line="360" w:lineRule="auto"/>
        <w:jc w:val="both"/>
        <w:rPr>
          <w:rFonts w:cstheme="minorHAnsi"/>
          <w:color w:val="000000"/>
        </w:rPr>
      </w:pPr>
      <w:r>
        <w:rPr>
          <w:rFonts w:cstheme="minorHAnsi"/>
          <w:color w:val="000000"/>
        </w:rPr>
        <w:t>CHAPTER. 6 Conclusion………………………………………</w:t>
      </w:r>
      <w:r w:rsidR="00152361">
        <w:rPr>
          <w:rFonts w:cstheme="minorHAnsi"/>
          <w:color w:val="000000"/>
        </w:rPr>
        <w:t>…………………………………………………………………………….21</w:t>
      </w:r>
    </w:p>
    <w:p w14:paraId="15A1252F" w14:textId="7639CB87" w:rsidR="004660F9" w:rsidRPr="00F651EC" w:rsidRDefault="00F171F3" w:rsidP="0017092B">
      <w:pPr>
        <w:spacing w:line="360" w:lineRule="auto"/>
        <w:jc w:val="both"/>
        <w:rPr>
          <w:rFonts w:cstheme="minorHAnsi"/>
          <w:b/>
          <w:bCs/>
          <w:sz w:val="24"/>
          <w:szCs w:val="24"/>
        </w:rPr>
      </w:pPr>
      <w:r>
        <w:rPr>
          <w:rFonts w:cstheme="minorHAnsi"/>
          <w:color w:val="000000"/>
        </w:rPr>
        <w:t>CHAPTER 7</w:t>
      </w:r>
      <w:r w:rsidR="00F40A06">
        <w:rPr>
          <w:rFonts w:cstheme="minorHAnsi"/>
          <w:color w:val="000000"/>
        </w:rPr>
        <w:t>. Bibliography</w:t>
      </w:r>
      <w:r w:rsidR="004660F9" w:rsidRPr="00F651EC">
        <w:rPr>
          <w:rFonts w:cstheme="minorHAnsi"/>
          <w:color w:val="000000"/>
        </w:rPr>
        <w:t>..............</w:t>
      </w:r>
      <w:r w:rsidR="00F40A06">
        <w:rPr>
          <w:rFonts w:cstheme="minorHAnsi"/>
          <w:color w:val="000000"/>
        </w:rPr>
        <w:t>..............................</w:t>
      </w:r>
      <w:r w:rsidR="004660F9" w:rsidRPr="00F651EC">
        <w:rPr>
          <w:rFonts w:cstheme="minorHAnsi"/>
          <w:color w:val="000000"/>
        </w:rPr>
        <w:t>........................</w:t>
      </w:r>
      <w:r>
        <w:rPr>
          <w:rFonts w:cstheme="minorHAnsi"/>
          <w:color w:val="000000"/>
        </w:rPr>
        <w:t>.....................................</w:t>
      </w:r>
      <w:r w:rsidR="004660F9" w:rsidRPr="00F651EC">
        <w:rPr>
          <w:rFonts w:cstheme="minorHAnsi"/>
          <w:color w:val="000000"/>
        </w:rPr>
        <w:t>......</w:t>
      </w:r>
      <w:r w:rsidR="004660F9">
        <w:rPr>
          <w:rFonts w:cstheme="minorHAnsi"/>
          <w:color w:val="000000"/>
        </w:rPr>
        <w:t>.</w:t>
      </w:r>
      <w:r>
        <w:rPr>
          <w:rFonts w:cstheme="minorHAnsi"/>
          <w:color w:val="000000"/>
        </w:rPr>
        <w:t>......</w:t>
      </w:r>
      <w:r w:rsidR="004660F9" w:rsidRPr="00F651EC">
        <w:rPr>
          <w:rFonts w:cstheme="minorHAnsi"/>
          <w:color w:val="000000"/>
        </w:rPr>
        <w:t xml:space="preserve"> </w:t>
      </w:r>
      <w:r>
        <w:rPr>
          <w:rFonts w:cstheme="minorHAnsi"/>
          <w:color w:val="000000"/>
        </w:rPr>
        <w:t>2</w:t>
      </w:r>
      <w:r w:rsidR="00152361">
        <w:rPr>
          <w:rFonts w:cstheme="minorHAnsi"/>
          <w:color w:val="000000"/>
        </w:rPr>
        <w:t>3</w:t>
      </w:r>
    </w:p>
    <w:p w14:paraId="621C2C7A" w14:textId="77777777" w:rsidR="004660F9" w:rsidRDefault="004660F9" w:rsidP="00EC5342">
      <w:pPr>
        <w:jc w:val="both"/>
        <w:rPr>
          <w:b/>
          <w:bCs/>
          <w:sz w:val="28"/>
          <w:szCs w:val="28"/>
        </w:rPr>
      </w:pPr>
    </w:p>
    <w:p w14:paraId="6DE32B32" w14:textId="77777777" w:rsidR="004660F9" w:rsidRDefault="004660F9" w:rsidP="00EC5342">
      <w:pPr>
        <w:jc w:val="both"/>
        <w:rPr>
          <w:b/>
          <w:bCs/>
          <w:sz w:val="28"/>
          <w:szCs w:val="28"/>
        </w:rPr>
      </w:pPr>
    </w:p>
    <w:p w14:paraId="3EFD0610" w14:textId="77777777" w:rsidR="004660F9" w:rsidRDefault="004660F9" w:rsidP="00EC5342">
      <w:pPr>
        <w:jc w:val="both"/>
        <w:rPr>
          <w:b/>
          <w:bCs/>
          <w:sz w:val="28"/>
          <w:szCs w:val="28"/>
        </w:rPr>
      </w:pPr>
    </w:p>
    <w:p w14:paraId="0BDE790B" w14:textId="77777777" w:rsidR="004660F9" w:rsidRDefault="004660F9" w:rsidP="00EC5342">
      <w:pPr>
        <w:jc w:val="both"/>
        <w:rPr>
          <w:b/>
          <w:bCs/>
          <w:sz w:val="28"/>
          <w:szCs w:val="28"/>
        </w:rPr>
      </w:pPr>
    </w:p>
    <w:p w14:paraId="70D65DAE" w14:textId="77777777" w:rsidR="000002F3" w:rsidRDefault="000002F3" w:rsidP="00EC5342">
      <w:pPr>
        <w:jc w:val="both"/>
        <w:rPr>
          <w:b/>
          <w:bCs/>
          <w:sz w:val="28"/>
          <w:szCs w:val="28"/>
        </w:rPr>
      </w:pPr>
    </w:p>
    <w:p w14:paraId="6AD4CF60" w14:textId="77777777" w:rsidR="00CE1359" w:rsidRDefault="00CE1359" w:rsidP="00EC5342">
      <w:pPr>
        <w:jc w:val="both"/>
        <w:rPr>
          <w:b/>
          <w:bCs/>
          <w:sz w:val="28"/>
          <w:szCs w:val="28"/>
        </w:rPr>
        <w:sectPr w:rsidR="00CE1359" w:rsidSect="00B67A79">
          <w:footerReference w:type="first" r:id="rId11"/>
          <w:pgSz w:w="12240" w:h="15840"/>
          <w:pgMar w:top="1440" w:right="1440" w:bottom="1440" w:left="1440" w:header="720" w:footer="720" w:gutter="0"/>
          <w:cols w:space="720"/>
          <w:titlePg/>
          <w:docGrid w:linePitch="360"/>
        </w:sectPr>
      </w:pPr>
    </w:p>
    <w:p w14:paraId="012476C3" w14:textId="77777777" w:rsidR="00EC5342" w:rsidRDefault="00EC5342" w:rsidP="00EC5342">
      <w:pPr>
        <w:jc w:val="both"/>
        <w:rPr>
          <w:b/>
          <w:bCs/>
          <w:sz w:val="24"/>
          <w:szCs w:val="24"/>
        </w:rPr>
      </w:pPr>
      <w:r>
        <w:rPr>
          <w:b/>
          <w:bCs/>
          <w:sz w:val="28"/>
          <w:szCs w:val="28"/>
        </w:rPr>
        <w:lastRenderedPageBreak/>
        <w:t>1 Introduction</w:t>
      </w:r>
    </w:p>
    <w:p w14:paraId="6EECC511" w14:textId="0D7D9ECD" w:rsidR="0029459C" w:rsidRDefault="00F5072C" w:rsidP="0029459C">
      <w:pPr>
        <w:spacing w:line="360" w:lineRule="auto"/>
        <w:jc w:val="both"/>
        <w:rPr>
          <w:bCs/>
        </w:rPr>
      </w:pPr>
      <w:r>
        <w:rPr>
          <w:rFonts w:cstheme="minorHAnsi"/>
          <w:color w:val="000000"/>
        </w:rPr>
        <w:t xml:space="preserve">Small and Medium Sized enterprises, hereinafter SMEs, </w:t>
      </w:r>
      <w:r>
        <w:rPr>
          <w:rFonts w:cstheme="minorHAnsi"/>
          <w:bCs/>
        </w:rPr>
        <w:t xml:space="preserve">are central to economic prosperity of almost every developed country. They boost competition and entrepreneurship. They provide efficiency, innovation and aggregate productivity </w:t>
      </w:r>
      <w:r w:rsidRPr="0025770A">
        <w:rPr>
          <w:rFonts w:cstheme="minorHAnsi"/>
          <w:bCs/>
          <w:color w:val="000000" w:themeColor="text1"/>
        </w:rPr>
        <w:t>growth (</w:t>
      </w:r>
      <w:r w:rsidR="002A7877">
        <w:rPr>
          <w:rFonts w:cstheme="minorHAnsi"/>
          <w:bCs/>
          <w:color w:val="000000" w:themeColor="text1"/>
        </w:rPr>
        <w:t xml:space="preserve">Grossman &amp; </w:t>
      </w:r>
      <w:proofErr w:type="spellStart"/>
      <w:r w:rsidR="002A7877">
        <w:rPr>
          <w:rFonts w:cstheme="minorHAnsi"/>
          <w:bCs/>
          <w:color w:val="000000" w:themeColor="text1"/>
        </w:rPr>
        <w:t>Helpman</w:t>
      </w:r>
      <w:proofErr w:type="spellEnd"/>
      <w:r w:rsidR="0025770A">
        <w:rPr>
          <w:rFonts w:cstheme="minorHAnsi"/>
          <w:bCs/>
          <w:color w:val="000000" w:themeColor="text1"/>
        </w:rPr>
        <w:t xml:space="preserve">, </w:t>
      </w:r>
      <w:r w:rsidR="002A7877">
        <w:rPr>
          <w:rFonts w:cstheme="minorHAnsi"/>
          <w:bCs/>
          <w:color w:val="000000" w:themeColor="text1"/>
        </w:rPr>
        <w:t>1993</w:t>
      </w:r>
      <w:r w:rsidRPr="0025770A">
        <w:rPr>
          <w:rFonts w:cstheme="minorHAnsi"/>
          <w:bCs/>
          <w:color w:val="000000" w:themeColor="text1"/>
        </w:rPr>
        <w:t>)</w:t>
      </w:r>
      <w:r w:rsidR="00015C7A">
        <w:rPr>
          <w:rFonts w:cstheme="minorHAnsi"/>
          <w:bCs/>
          <w:color w:val="000000" w:themeColor="text1"/>
        </w:rPr>
        <w:t>, (Bhaskaran,200</w:t>
      </w:r>
      <w:r w:rsidR="009073AC">
        <w:rPr>
          <w:rFonts w:cstheme="minorHAnsi"/>
          <w:bCs/>
          <w:color w:val="000000" w:themeColor="text1"/>
        </w:rPr>
        <w:t>6</w:t>
      </w:r>
      <w:r w:rsidR="00015C7A">
        <w:rPr>
          <w:rFonts w:cstheme="minorHAnsi"/>
          <w:bCs/>
          <w:color w:val="000000" w:themeColor="text1"/>
        </w:rPr>
        <w:t>)</w:t>
      </w:r>
      <w:r w:rsidRPr="0025770A">
        <w:rPr>
          <w:rFonts w:cstheme="minorHAnsi"/>
          <w:bCs/>
          <w:color w:val="000000" w:themeColor="text1"/>
        </w:rPr>
        <w:t xml:space="preserve">. </w:t>
      </w:r>
      <w:r>
        <w:rPr>
          <w:rFonts w:cstheme="minorHAnsi"/>
          <w:bCs/>
        </w:rPr>
        <w:t xml:space="preserve">According to the </w:t>
      </w:r>
      <w:proofErr w:type="spellStart"/>
      <w:r>
        <w:rPr>
          <w:bCs/>
        </w:rPr>
        <w:t>Organisation</w:t>
      </w:r>
      <w:proofErr w:type="spellEnd"/>
      <w:r>
        <w:rPr>
          <w:bCs/>
        </w:rPr>
        <w:t xml:space="preserve"> for Economic Co-operation and Development, SMEs in OECD countries stand for more than 60% in the economy.</w:t>
      </w:r>
      <w:r w:rsidRPr="00DA6976">
        <w:rPr>
          <w:bCs/>
          <w:color w:val="FF0000"/>
        </w:rPr>
        <w:t xml:space="preserve"> </w:t>
      </w:r>
      <w:r w:rsidRPr="00845261">
        <w:rPr>
          <w:bCs/>
        </w:rPr>
        <w:t xml:space="preserve">This illustrates </w:t>
      </w:r>
      <w:r w:rsidR="00845261" w:rsidRPr="00845261">
        <w:rPr>
          <w:bCs/>
        </w:rPr>
        <w:t>the importance of SMEs</w:t>
      </w:r>
      <w:r w:rsidRPr="00845261">
        <w:rPr>
          <w:bCs/>
        </w:rPr>
        <w:t xml:space="preserve">. </w:t>
      </w:r>
      <w:r>
        <w:rPr>
          <w:bCs/>
        </w:rPr>
        <w:t xml:space="preserve">Different cross country studies have shown that there are multiple factors which are capable of explaining </w:t>
      </w:r>
      <w:r w:rsidR="00E91FFA">
        <w:rPr>
          <w:bCs/>
        </w:rPr>
        <w:t>SMEs</w:t>
      </w:r>
      <w:r w:rsidR="00192648">
        <w:rPr>
          <w:bCs/>
        </w:rPr>
        <w:t xml:space="preserve"> </w:t>
      </w:r>
      <w:r>
        <w:rPr>
          <w:bCs/>
        </w:rPr>
        <w:t>capital structure.</w:t>
      </w:r>
      <w:r w:rsidR="00A6179A">
        <w:rPr>
          <w:bCs/>
        </w:rPr>
        <w:t xml:space="preserve"> </w:t>
      </w:r>
      <w:r w:rsidR="00270EA2">
        <w:rPr>
          <w:bCs/>
        </w:rPr>
        <w:t>Decisions relating to financing the assets of a firm are very crucial in every business</w:t>
      </w:r>
      <w:r w:rsidR="00E23A88">
        <w:rPr>
          <w:bCs/>
        </w:rPr>
        <w:t>.</w:t>
      </w:r>
      <w:r w:rsidR="00270EA2">
        <w:rPr>
          <w:bCs/>
        </w:rPr>
        <w:t xml:space="preserve"> </w:t>
      </w:r>
      <w:r w:rsidR="00E23A88">
        <w:rPr>
          <w:bCs/>
        </w:rPr>
        <w:t>By determining a proper mix of fund sources, a firm can keep the overall cost of capital to the lowest as well as maximizing its market value.  There are some variables which have an influence on how firms determine their capital structure. Identifying</w:t>
      </w:r>
      <w:r w:rsidR="00270EA2">
        <w:rPr>
          <w:bCs/>
        </w:rPr>
        <w:t xml:space="preserve"> to what extend country- and </w:t>
      </w:r>
      <w:r w:rsidR="004910C3">
        <w:rPr>
          <w:bCs/>
        </w:rPr>
        <w:t xml:space="preserve">aggregated </w:t>
      </w:r>
      <w:r w:rsidR="00270EA2">
        <w:rPr>
          <w:bCs/>
        </w:rPr>
        <w:t>firm specific variables affect it was one of the major reasons for writing this research paper.</w:t>
      </w:r>
    </w:p>
    <w:p w14:paraId="7FF83281" w14:textId="2741E355" w:rsidR="00E91FFA" w:rsidRPr="00EC453D" w:rsidRDefault="00E91FFA" w:rsidP="0029459C">
      <w:pPr>
        <w:spacing w:line="360" w:lineRule="auto"/>
        <w:jc w:val="both"/>
        <w:rPr>
          <w:bCs/>
        </w:rPr>
      </w:pPr>
      <w:r>
        <w:t>T</w:t>
      </w:r>
      <w:r w:rsidR="00F5072C">
        <w:t xml:space="preserve">here are large numbers of research papers with the focus on determinants which affects a firm’s capital structure. However, </w:t>
      </w:r>
      <w:r w:rsidR="00F5072C">
        <w:rPr>
          <w:bCs/>
        </w:rPr>
        <w:t xml:space="preserve">most of the research done on capital structure has been carried out on large listed companies in the US. </w:t>
      </w:r>
      <w:r w:rsidR="006B60F7">
        <w:rPr>
          <w:bCs/>
        </w:rPr>
        <w:t>The most prominent theories that came out of all this research were the trade-off theory and pecking order theory. There has been a large number of empirical work done in order to test both theories, and some have favored one theory over the other. Yet, there still is no clear answer on which theory explains capital structure best.</w:t>
      </w:r>
      <w:r w:rsidR="00B778A1">
        <w:rPr>
          <w:bCs/>
        </w:rPr>
        <w:t xml:space="preserve"> Rather, it seems like both theories are only partly capable of explaining capital structure of companies. This research paper will focus on the capital structure of SME’s in Europe and try to provide new insight on how these two theories explain capital structure.</w:t>
      </w:r>
    </w:p>
    <w:p w14:paraId="0C512028" w14:textId="72EDDC63" w:rsidR="0029459C" w:rsidRPr="0029459C" w:rsidRDefault="00F5072C" w:rsidP="0029459C">
      <w:pPr>
        <w:spacing w:line="360" w:lineRule="auto"/>
        <w:jc w:val="both"/>
        <w:rPr>
          <w:bCs/>
        </w:rPr>
      </w:pPr>
      <w:r>
        <w:t xml:space="preserve">The first authors who developed a capital structure theory were Modigliani and Miller in 1958. The proposal of this theorem, under certain assumptions, is that the market value of the firm is independent of its capital structure composition </w:t>
      </w:r>
      <w:r>
        <w:rPr>
          <w:sz w:val="23"/>
          <w:szCs w:val="23"/>
        </w:rPr>
        <w:t>(</w:t>
      </w:r>
      <w:r>
        <w:t>Modigliani &amp; Miller, 1958). Since then, numerous economists presented their financial leverage theories to try and explain the different compositions of debt ratios maintained by firms. Some theories suggest that debt is relevant due to the existence of information asymmetry (Myers</w:t>
      </w:r>
      <w:r w:rsidR="002A7877">
        <w:t xml:space="preserve"> &amp; </w:t>
      </w:r>
      <w:proofErr w:type="spellStart"/>
      <w:r w:rsidR="002A7877">
        <w:t>Majluf</w:t>
      </w:r>
      <w:proofErr w:type="spellEnd"/>
      <w:r>
        <w:t>, 1984). Other theories mention that the existence of bankruptcy and taxes are what make debt relevant (</w:t>
      </w:r>
      <w:proofErr w:type="spellStart"/>
      <w:r>
        <w:t>DeAngelo</w:t>
      </w:r>
      <w:proofErr w:type="spellEnd"/>
      <w:r>
        <w:t xml:space="preserve"> &amp; </w:t>
      </w:r>
      <w:proofErr w:type="spellStart"/>
      <w:r>
        <w:t>Masulis</w:t>
      </w:r>
      <w:proofErr w:type="spellEnd"/>
      <w:r>
        <w:t>, 1980). However, the empirical evidence regarding the alternative theories lead to different results and conclusions.</w:t>
      </w:r>
    </w:p>
    <w:p w14:paraId="15B59A14" w14:textId="0E506958" w:rsidR="004910C3" w:rsidRPr="00595E56" w:rsidRDefault="00F5072C" w:rsidP="00270EA2">
      <w:pPr>
        <w:autoSpaceDE w:val="0"/>
        <w:autoSpaceDN w:val="0"/>
        <w:adjustRightInd w:val="0"/>
        <w:spacing w:after="0" w:line="360" w:lineRule="auto"/>
        <w:jc w:val="both"/>
        <w:rPr>
          <w:rFonts w:cstheme="minorHAnsi"/>
          <w:color w:val="000000"/>
        </w:rPr>
      </w:pPr>
      <w:r>
        <w:t xml:space="preserve">This paper contributes to the literature by examining </w:t>
      </w:r>
      <w:r>
        <w:rPr>
          <w:rFonts w:cstheme="minorHAnsi"/>
          <w:color w:val="000000"/>
        </w:rPr>
        <w:t xml:space="preserve">which country specific variables as well as </w:t>
      </w:r>
      <w:r w:rsidR="00B763B7">
        <w:rPr>
          <w:rFonts w:cstheme="minorHAnsi"/>
          <w:color w:val="000000"/>
        </w:rPr>
        <w:t xml:space="preserve">aggregated </w:t>
      </w:r>
      <w:r>
        <w:rPr>
          <w:rFonts w:cstheme="minorHAnsi"/>
          <w:color w:val="000000"/>
        </w:rPr>
        <w:t>firm specific variable influence the capital structure of SMEs in Western Europe</w:t>
      </w:r>
      <w:r>
        <w:t xml:space="preserve">. In particular, </w:t>
      </w:r>
      <w:r>
        <w:lastRenderedPageBreak/>
        <w:t>we address the following question:</w:t>
      </w:r>
      <w:r>
        <w:rPr>
          <w:rFonts w:cstheme="minorHAnsi"/>
          <w:color w:val="000000"/>
        </w:rPr>
        <w:t xml:space="preserve"> </w:t>
      </w:r>
      <w:r>
        <w:rPr>
          <w:rFonts w:cstheme="minorHAnsi"/>
          <w:i/>
        </w:rPr>
        <w:t>‘To what extent</w:t>
      </w:r>
      <w:r w:rsidRPr="00C15B29">
        <w:rPr>
          <w:rFonts w:cstheme="minorHAnsi"/>
          <w:i/>
        </w:rPr>
        <w:t xml:space="preserve"> do macroeconomic variables </w:t>
      </w:r>
      <w:r>
        <w:rPr>
          <w:rFonts w:cstheme="minorHAnsi"/>
          <w:i/>
        </w:rPr>
        <w:t xml:space="preserve">and </w:t>
      </w:r>
      <w:r w:rsidR="00ED6BD0">
        <w:rPr>
          <w:rFonts w:cstheme="minorHAnsi"/>
          <w:i/>
        </w:rPr>
        <w:t xml:space="preserve">aggregated </w:t>
      </w:r>
      <w:r>
        <w:rPr>
          <w:rFonts w:cstheme="minorHAnsi"/>
          <w:i/>
        </w:rPr>
        <w:t xml:space="preserve">firm-specific variables </w:t>
      </w:r>
      <w:r w:rsidRPr="00C15B29">
        <w:rPr>
          <w:rFonts w:cstheme="minorHAnsi"/>
          <w:i/>
        </w:rPr>
        <w:t>help in explaining the capital structure in small and medium sized businesses in Western Europe’</w:t>
      </w:r>
    </w:p>
    <w:p w14:paraId="5C280DE7" w14:textId="77777777" w:rsidR="00ED6BD0" w:rsidRDefault="00ED6BD0" w:rsidP="00270EA2">
      <w:pPr>
        <w:spacing w:line="360" w:lineRule="auto"/>
        <w:rPr>
          <w:rFonts w:cstheme="minorHAnsi"/>
          <w:bCs/>
        </w:rPr>
      </w:pPr>
    </w:p>
    <w:p w14:paraId="3726B1C5" w14:textId="74FE55A2" w:rsidR="006B7EFD" w:rsidRDefault="00F5072C" w:rsidP="00270EA2">
      <w:pPr>
        <w:spacing w:line="360" w:lineRule="auto"/>
        <w:rPr>
          <w:rFonts w:cstheme="minorHAnsi"/>
          <w:bCs/>
        </w:rPr>
      </w:pPr>
      <w:r>
        <w:rPr>
          <w:rFonts w:cstheme="minorHAnsi"/>
          <w:bCs/>
        </w:rPr>
        <w:t xml:space="preserve">The remainder of this paper is organized as follows. In chapter 2 a literature review will be conducted, starting with the paper of Myers and </w:t>
      </w:r>
      <w:proofErr w:type="spellStart"/>
      <w:r>
        <w:rPr>
          <w:rFonts w:cstheme="minorHAnsi"/>
          <w:bCs/>
        </w:rPr>
        <w:t>Majluf</w:t>
      </w:r>
      <w:proofErr w:type="spellEnd"/>
      <w:r>
        <w:rPr>
          <w:rFonts w:cstheme="minorHAnsi"/>
          <w:bCs/>
        </w:rPr>
        <w:t>. In this chapter earlier studies on capital structure will be explained. In chapter 3 the research question and hypotheses will be explained. Chapter 4 will p</w:t>
      </w:r>
      <w:r w:rsidR="00270EA2">
        <w:rPr>
          <w:rFonts w:cstheme="minorHAnsi"/>
          <w:bCs/>
        </w:rPr>
        <w:t>resent the data gathered for this</w:t>
      </w:r>
      <w:r>
        <w:rPr>
          <w:rFonts w:cstheme="minorHAnsi"/>
          <w:bCs/>
        </w:rPr>
        <w:t xml:space="preserve"> r</w:t>
      </w:r>
      <w:r w:rsidR="00270EA2">
        <w:rPr>
          <w:rFonts w:cstheme="minorHAnsi"/>
          <w:bCs/>
        </w:rPr>
        <w:t>esearch, as well as the theories and methods which were used to conduct this study.</w:t>
      </w:r>
      <w:r w:rsidR="00B631E9">
        <w:rPr>
          <w:rFonts w:cstheme="minorHAnsi"/>
          <w:bCs/>
        </w:rPr>
        <w:t xml:space="preserve"> </w:t>
      </w:r>
      <w:r>
        <w:rPr>
          <w:rFonts w:cstheme="minorHAnsi"/>
          <w:bCs/>
        </w:rPr>
        <w:t>Chap</w:t>
      </w:r>
      <w:r w:rsidR="00B631E9">
        <w:rPr>
          <w:rFonts w:cstheme="minorHAnsi"/>
          <w:bCs/>
        </w:rPr>
        <w:t>ter 5</w:t>
      </w:r>
      <w:r>
        <w:rPr>
          <w:rFonts w:cstheme="minorHAnsi"/>
          <w:bCs/>
        </w:rPr>
        <w:t xml:space="preserve"> is where the results of the research will be presented. In the last chapter a short summary will be provided along with a conclusion.</w:t>
      </w:r>
    </w:p>
    <w:p w14:paraId="627E9E2B" w14:textId="77777777" w:rsidR="00192648" w:rsidRDefault="00192648" w:rsidP="00192648"/>
    <w:p w14:paraId="2E86BC07" w14:textId="77777777" w:rsidR="00CC1A36" w:rsidRDefault="00CC1A36" w:rsidP="00192648"/>
    <w:p w14:paraId="01E81B4F" w14:textId="77777777" w:rsidR="00CC1A36" w:rsidRDefault="00CC1A36" w:rsidP="00192648"/>
    <w:p w14:paraId="406C531B" w14:textId="77777777" w:rsidR="00CC1A36" w:rsidRDefault="00CC1A36" w:rsidP="00192648"/>
    <w:p w14:paraId="16BD0F80" w14:textId="77777777" w:rsidR="00CC1A36" w:rsidRDefault="00CC1A36" w:rsidP="00192648"/>
    <w:p w14:paraId="6E086010" w14:textId="77777777" w:rsidR="00CC1A36" w:rsidRDefault="00CC1A36" w:rsidP="00192648"/>
    <w:p w14:paraId="525A395A" w14:textId="77777777" w:rsidR="00CC1A36" w:rsidRDefault="00CC1A36" w:rsidP="00192648"/>
    <w:p w14:paraId="6A570F21" w14:textId="77777777" w:rsidR="00CC1A36" w:rsidRDefault="00CC1A36" w:rsidP="00192648"/>
    <w:p w14:paraId="28EC523C" w14:textId="77777777" w:rsidR="00CC1A36" w:rsidRDefault="00CC1A36" w:rsidP="00192648"/>
    <w:p w14:paraId="0D1B9B32" w14:textId="77777777" w:rsidR="00CC1A36" w:rsidRDefault="00CC1A36" w:rsidP="00192648"/>
    <w:p w14:paraId="771D8701" w14:textId="77777777" w:rsidR="00CC1A36" w:rsidRDefault="00CC1A36" w:rsidP="00192648"/>
    <w:p w14:paraId="42D13A42" w14:textId="77777777" w:rsidR="00CC1A36" w:rsidRDefault="00CC1A36" w:rsidP="00192648"/>
    <w:p w14:paraId="6FB4CA6B" w14:textId="77777777" w:rsidR="00CC1A36" w:rsidRDefault="00CC1A36" w:rsidP="00192648"/>
    <w:p w14:paraId="05C65FEA" w14:textId="77777777" w:rsidR="00CC1A36" w:rsidRDefault="00CC1A36" w:rsidP="00192648"/>
    <w:p w14:paraId="265A3CFF" w14:textId="77777777" w:rsidR="00CC1A36" w:rsidRDefault="00CC1A36" w:rsidP="00192648"/>
    <w:p w14:paraId="6EE2C3D2" w14:textId="39082959" w:rsidR="00CC1A36" w:rsidRDefault="00CC1A36" w:rsidP="00192648"/>
    <w:p w14:paraId="141105CB" w14:textId="77777777" w:rsidR="00CC1A36" w:rsidRDefault="00CC1A36" w:rsidP="00192648"/>
    <w:p w14:paraId="6C17FE02" w14:textId="77777777" w:rsidR="00CC1A36" w:rsidRDefault="00CC1A36" w:rsidP="00CC1A36">
      <w:pPr>
        <w:spacing w:line="360" w:lineRule="auto"/>
        <w:jc w:val="both"/>
        <w:rPr>
          <w:color w:val="FF0000"/>
        </w:rPr>
      </w:pPr>
      <w:r>
        <w:rPr>
          <w:b/>
          <w:bCs/>
          <w:sz w:val="28"/>
          <w:szCs w:val="28"/>
        </w:rPr>
        <w:lastRenderedPageBreak/>
        <w:t>2 Literature Review</w:t>
      </w:r>
    </w:p>
    <w:p w14:paraId="6F787495" w14:textId="77777777" w:rsidR="00CC1A36" w:rsidRPr="00810EEE" w:rsidRDefault="00CC1A36" w:rsidP="00CC1A36">
      <w:pPr>
        <w:pStyle w:val="Heading2"/>
        <w:spacing w:line="360" w:lineRule="auto"/>
        <w:rPr>
          <w:rFonts w:asciiTheme="minorHAnsi" w:hAnsiTheme="minorHAnsi" w:cstheme="minorHAnsi"/>
          <w:color w:val="auto"/>
          <w:sz w:val="22"/>
          <w:szCs w:val="22"/>
        </w:rPr>
      </w:pPr>
      <w:r w:rsidRPr="00810EEE">
        <w:rPr>
          <w:rFonts w:asciiTheme="minorHAnsi" w:hAnsiTheme="minorHAnsi" w:cstheme="minorHAnsi"/>
          <w:color w:val="auto"/>
          <w:sz w:val="22"/>
          <w:szCs w:val="22"/>
        </w:rPr>
        <w:t>2.1 Pecking Order theory</w:t>
      </w:r>
    </w:p>
    <w:p w14:paraId="7B1D5AA8" w14:textId="77777777" w:rsidR="00CC1A36" w:rsidRDefault="00CC1A36" w:rsidP="00CC1A36">
      <w:pPr>
        <w:spacing w:line="360" w:lineRule="auto"/>
        <w:jc w:val="both"/>
        <w:rPr>
          <w:bCs/>
        </w:rPr>
      </w:pPr>
      <w:r>
        <w:t xml:space="preserve">The Pecking Order Model developed by Myers and </w:t>
      </w:r>
      <w:proofErr w:type="spellStart"/>
      <w:r>
        <w:t>Majluf</w:t>
      </w:r>
      <w:proofErr w:type="spellEnd"/>
      <w:r>
        <w:t xml:space="preserve"> (1984), suggests that firms prefer internal funding over external funding. Capital structure is driven by a firm’s desire to finance new investments, first internally, then with debt, and if all else fails equity is generated as a last resort. So the firms don’t have an optimum debt to equity ratio. This theory is applicable for large firms as well as small </w:t>
      </w:r>
      <w:r w:rsidRPr="00C10772">
        <w:t>firms</w:t>
      </w:r>
      <w:r>
        <w:t xml:space="preserve">. </w:t>
      </w:r>
      <w:r w:rsidRPr="00C10772">
        <w:rPr>
          <w:bCs/>
        </w:rPr>
        <w:t>When</w:t>
      </w:r>
      <w:r>
        <w:rPr>
          <w:bCs/>
        </w:rPr>
        <w:t xml:space="preserve"> it comes to pecking order theory it has been supported by many academics. Merton Miller and his colleague Franco Modigliani published their paper on capital structure in 1958. In this paper they presented what is nowadays often referred to as M&amp;M’s proposition I, also known as ‘The Irrelevance Proposition’, which is considered to be the first real theory on capital structure. M&amp;M stated that the value of a leveraged firm is equal to the value of an unleveraged firm (Modigliani &amp; Miller, 1958,). </w:t>
      </w:r>
    </w:p>
    <w:p w14:paraId="302BD9D7" w14:textId="77777777" w:rsidR="00CC1A36" w:rsidRDefault="00CC1A36" w:rsidP="00CC1A36">
      <w:pPr>
        <w:spacing w:line="360" w:lineRule="auto"/>
        <w:jc w:val="both"/>
        <w:rPr>
          <w:bCs/>
        </w:rPr>
      </w:pPr>
      <w:r>
        <w:rPr>
          <w:bCs/>
        </w:rPr>
        <w:t xml:space="preserve">The logic behind the proposition was that the value of a pizza does not depend on how it is sliced (Myers, 2001). The composition of assets on the left hand side of a balance sheet will generate expected cash flow for a company. Depending on the operating risk of the company the cash flows are discounted to find the value of the company. According to the proposition, the amount of debt relative to equity only serves to determine the split of cash flows between equity holders and debt holders, and does not affect the value of the company. This statement however, only holds in the fabricated world of M&amp;M, where capital structures are perfect. </w:t>
      </w:r>
    </w:p>
    <w:p w14:paraId="1D50DBDC" w14:textId="77777777" w:rsidR="00CC1A36" w:rsidRDefault="00CC1A36" w:rsidP="00CC1A36">
      <w:pPr>
        <w:spacing w:line="360" w:lineRule="auto"/>
        <w:jc w:val="both"/>
        <w:rPr>
          <w:bCs/>
        </w:rPr>
      </w:pPr>
      <w:r>
        <w:rPr>
          <w:bCs/>
        </w:rPr>
        <w:t>While this theory is based on a perfect world, it triggered something very valuable, namely emphasizing the importance of the capital structure theory. “The Irrelevance Proposition” brought a stream of research trying to disprove M&amp;M’s proposition, in other words that financing actually matters. Several research has shown that the Modigliani-Miller theorem fails under a varie</w:t>
      </w:r>
      <w:r w:rsidR="00BB3CA7">
        <w:rPr>
          <w:bCs/>
        </w:rPr>
        <w:t>ty of circumstances (Frank &amp; Goy</w:t>
      </w:r>
      <w:r>
        <w:rPr>
          <w:bCs/>
        </w:rPr>
        <w:t>al, 2005). The most commonly used factors include bankruptcy costs, consideration of taxes, transaction costs, and agency costs.</w:t>
      </w:r>
    </w:p>
    <w:p w14:paraId="420F36BA" w14:textId="77777777" w:rsidR="00CC1A36" w:rsidRDefault="00CC1A36" w:rsidP="00CC1A36">
      <w:pPr>
        <w:spacing w:line="360" w:lineRule="auto"/>
        <w:jc w:val="both"/>
        <w:rPr>
          <w:rFonts w:cstheme="minorHAnsi"/>
        </w:rPr>
      </w:pPr>
      <w:r>
        <w:rPr>
          <w:bCs/>
        </w:rPr>
        <w:t xml:space="preserve">Referring to the pizza again, Myers argues that the value of a pizza actually depends on how it is sliced, since consumers rather pay more for more slices, than for a whole pizza (Myers, 2001). </w:t>
      </w:r>
      <w:r>
        <w:rPr>
          <w:rFonts w:cstheme="minorHAnsi"/>
        </w:rPr>
        <w:t xml:space="preserve">One of the aspects of the pecking order theory is that when it comes to profitable firms, they would always </w:t>
      </w:r>
      <w:r w:rsidRPr="00B43C79">
        <w:rPr>
          <w:rFonts w:cstheme="minorHAnsi"/>
        </w:rPr>
        <w:t>prefer internal financing if available.</w:t>
      </w:r>
      <w:r>
        <w:rPr>
          <w:rFonts w:cstheme="minorHAnsi"/>
        </w:rPr>
        <w:t xml:space="preserve"> Retained earnings have no adverse selection as compared to equity and debt.</w:t>
      </w:r>
      <w:r>
        <w:rPr>
          <w:rFonts w:cstheme="minorHAnsi"/>
          <w:color w:val="FF0000"/>
        </w:rPr>
        <w:t xml:space="preserve"> </w:t>
      </w:r>
      <w:r>
        <w:rPr>
          <w:rFonts w:cstheme="minorHAnsi"/>
        </w:rPr>
        <w:t xml:space="preserve">This argument is supported by </w:t>
      </w:r>
      <w:proofErr w:type="spellStart"/>
      <w:r>
        <w:rPr>
          <w:rFonts w:cstheme="minorHAnsi"/>
        </w:rPr>
        <w:t>Fama</w:t>
      </w:r>
      <w:proofErr w:type="spellEnd"/>
      <w:r>
        <w:rPr>
          <w:rFonts w:cstheme="minorHAnsi"/>
        </w:rPr>
        <w:t xml:space="preserve"> and French (2000) who found that profitable firms were less leveraged as compared to non- profitable firms. </w:t>
      </w:r>
    </w:p>
    <w:p w14:paraId="5CB35310" w14:textId="77777777" w:rsidR="00CC1A36" w:rsidRDefault="00CC1A36" w:rsidP="00CC1A36">
      <w:pPr>
        <w:pStyle w:val="Heading2"/>
        <w:spacing w:line="360" w:lineRule="auto"/>
        <w:rPr>
          <w:rFonts w:asciiTheme="minorHAnsi" w:hAnsiTheme="minorHAnsi" w:cstheme="minorHAnsi"/>
          <w:color w:val="auto"/>
          <w:sz w:val="22"/>
          <w:szCs w:val="22"/>
        </w:rPr>
      </w:pPr>
      <w:r w:rsidRPr="00810EEE">
        <w:rPr>
          <w:rFonts w:asciiTheme="minorHAnsi" w:hAnsiTheme="minorHAnsi" w:cstheme="minorHAnsi"/>
          <w:color w:val="auto"/>
          <w:sz w:val="22"/>
          <w:szCs w:val="22"/>
        </w:rPr>
        <w:lastRenderedPageBreak/>
        <w:t>2.1</w:t>
      </w:r>
      <w:r>
        <w:rPr>
          <w:rFonts w:asciiTheme="minorHAnsi" w:hAnsiTheme="minorHAnsi" w:cstheme="minorHAnsi"/>
          <w:color w:val="auto"/>
          <w:sz w:val="22"/>
          <w:szCs w:val="22"/>
        </w:rPr>
        <w:t>.1 SME’s &amp;</w:t>
      </w:r>
      <w:r w:rsidRPr="00810EEE">
        <w:rPr>
          <w:rFonts w:asciiTheme="minorHAnsi" w:hAnsiTheme="minorHAnsi" w:cstheme="minorHAnsi"/>
          <w:color w:val="auto"/>
          <w:sz w:val="22"/>
          <w:szCs w:val="22"/>
        </w:rPr>
        <w:t xml:space="preserve"> Pecking Order theory</w:t>
      </w:r>
    </w:p>
    <w:p w14:paraId="66867051" w14:textId="77777777" w:rsidR="00CC1A36" w:rsidRDefault="00CC1A36" w:rsidP="00CC1A36">
      <w:pPr>
        <w:spacing w:line="360" w:lineRule="auto"/>
        <w:jc w:val="both"/>
      </w:pPr>
      <w:r>
        <w:t xml:space="preserve">The structure of SMEs and their availability to capital is very different to that of large firms. It is therefore essential to verify if the pecking order theory is also valid for SMEs. When testing the pecking order theory for SMEs, it is important to identify the reason why SMEs behave according to this theory, since the reason can be very different compared to large firms. There are some clear explanations why the pecking order theory should be able to explain the behavior of SMEs regarding their capital structure. </w:t>
      </w:r>
    </w:p>
    <w:p w14:paraId="4E8FB5A8" w14:textId="77777777" w:rsidR="00CC1A36" w:rsidRDefault="00CC1A36" w:rsidP="00CC1A36">
      <w:pPr>
        <w:spacing w:line="360" w:lineRule="auto"/>
        <w:jc w:val="both"/>
      </w:pPr>
      <w:r>
        <w:t xml:space="preserve">One of these reasons is that SMEs are often owned by one shareholder, who at the same time, are the founder of the firm. Issuing equity can lead to a loss of control over the company and is therefore not the first choice of the owner. The avoid issuing equity, the owner may turn to debt for financing his business (Lopez- Garcia &amp; </w:t>
      </w:r>
      <w:proofErr w:type="spellStart"/>
      <w:r w:rsidR="00C554D7">
        <w:t>Mestre-Barbera</w:t>
      </w:r>
      <w:proofErr w:type="spellEnd"/>
      <w:r w:rsidR="00C554D7">
        <w:t>, 2011</w:t>
      </w:r>
      <w:r>
        <w:t>). This is in line with the pecking order theory where financing with debt is preferred over financing with equity.</w:t>
      </w:r>
    </w:p>
    <w:p w14:paraId="7A38CCE3" w14:textId="77777777" w:rsidR="00CC1A36" w:rsidRDefault="00CC1A36" w:rsidP="00CC1A36">
      <w:pPr>
        <w:pStyle w:val="Heading2"/>
        <w:spacing w:line="360" w:lineRule="auto"/>
        <w:rPr>
          <w:rFonts w:asciiTheme="minorHAnsi" w:eastAsiaTheme="minorHAnsi" w:hAnsiTheme="minorHAnsi" w:cstheme="minorBidi"/>
          <w:b w:val="0"/>
          <w:bCs w:val="0"/>
          <w:color w:val="auto"/>
          <w:sz w:val="22"/>
          <w:szCs w:val="22"/>
        </w:rPr>
      </w:pPr>
    </w:p>
    <w:p w14:paraId="70191F04" w14:textId="3DE5FCAE" w:rsidR="00CC1A36" w:rsidRPr="00810EEE" w:rsidRDefault="00CC1A36" w:rsidP="00CC1A36">
      <w:pPr>
        <w:pStyle w:val="Heading2"/>
        <w:spacing w:line="360" w:lineRule="auto"/>
        <w:rPr>
          <w:rFonts w:asciiTheme="minorHAnsi" w:hAnsiTheme="minorHAnsi" w:cstheme="minorHAnsi"/>
          <w:color w:val="auto"/>
          <w:sz w:val="22"/>
          <w:szCs w:val="22"/>
        </w:rPr>
      </w:pPr>
      <w:r w:rsidRPr="00810EEE">
        <w:rPr>
          <w:rFonts w:asciiTheme="minorHAnsi" w:hAnsiTheme="minorHAnsi" w:cstheme="minorHAnsi"/>
          <w:color w:val="auto"/>
          <w:sz w:val="22"/>
          <w:szCs w:val="22"/>
        </w:rPr>
        <w:t>2.2 Trade</w:t>
      </w:r>
      <w:r>
        <w:rPr>
          <w:rFonts w:asciiTheme="minorHAnsi" w:hAnsiTheme="minorHAnsi" w:cstheme="minorHAnsi"/>
          <w:color w:val="auto"/>
          <w:sz w:val="22"/>
          <w:szCs w:val="22"/>
        </w:rPr>
        <w:t>-</w:t>
      </w:r>
      <w:r w:rsidRPr="00810EEE">
        <w:rPr>
          <w:rFonts w:asciiTheme="minorHAnsi" w:hAnsiTheme="minorHAnsi" w:cstheme="minorHAnsi"/>
          <w:color w:val="auto"/>
          <w:sz w:val="22"/>
          <w:szCs w:val="22"/>
        </w:rPr>
        <w:t>off Theory</w:t>
      </w:r>
    </w:p>
    <w:p w14:paraId="0EC7D4B7" w14:textId="3B1B8364" w:rsidR="00CC1A36" w:rsidRPr="007C5B01" w:rsidRDefault="00CC1A36" w:rsidP="00CC1A36">
      <w:pPr>
        <w:autoSpaceDE w:val="0"/>
        <w:autoSpaceDN w:val="0"/>
        <w:adjustRightInd w:val="0"/>
        <w:spacing w:after="0" w:line="360" w:lineRule="auto"/>
        <w:jc w:val="both"/>
        <w:rPr>
          <w:rFonts w:cstheme="minorHAnsi"/>
        </w:rPr>
      </w:pPr>
      <w:r>
        <w:rPr>
          <w:rFonts w:cstheme="minorHAnsi"/>
        </w:rPr>
        <w:t>Probably due to the many critics that the irrelevance proposition was based on a perfect world, M&amp;M decided to add taxes, in a later paper (Modigliani &amp; Miller, 1963). By taking into account that interests are tax deductible, which leads to tax benefits, t</w:t>
      </w:r>
      <w:r w:rsidRPr="002B6128">
        <w:rPr>
          <w:rFonts w:cstheme="minorHAnsi"/>
          <w:color w:val="000000" w:themeColor="text1"/>
        </w:rPr>
        <w:t xml:space="preserve">heir model introduced an interest tax shield. </w:t>
      </w:r>
      <w:r>
        <w:rPr>
          <w:rFonts w:cstheme="minorHAnsi"/>
          <w:color w:val="000000" w:themeColor="text1"/>
        </w:rPr>
        <w:t xml:space="preserve">Internal financing is generally thought to be less expensive than external financing, because there are no transaction costs and </w:t>
      </w:r>
      <w:proofErr w:type="gramStart"/>
      <w:r>
        <w:rPr>
          <w:rFonts w:cstheme="minorHAnsi"/>
          <w:color w:val="000000" w:themeColor="text1"/>
        </w:rPr>
        <w:t>there  is</w:t>
      </w:r>
      <w:proofErr w:type="gramEnd"/>
      <w:r>
        <w:rPr>
          <w:rFonts w:cstheme="minorHAnsi"/>
          <w:color w:val="000000" w:themeColor="text1"/>
        </w:rPr>
        <w:t xml:space="preserve"> no need to pay taxes associated with paying dividends. Yet, when </w:t>
      </w:r>
      <w:r>
        <w:rPr>
          <w:rFonts w:cstheme="minorHAnsi"/>
        </w:rPr>
        <w:t xml:space="preserve">debt is assumed to be risk-free and there is no drawback in increasing one’s leverage then an optimum capital structure consists only of debt. This induced an increase in the popularity of the tradeoff theory. </w:t>
      </w:r>
    </w:p>
    <w:p w14:paraId="2338387D" w14:textId="77777777" w:rsidR="00CC1A36" w:rsidRDefault="00CC1A36" w:rsidP="00CC1A36">
      <w:pPr>
        <w:autoSpaceDE w:val="0"/>
        <w:autoSpaceDN w:val="0"/>
        <w:adjustRightInd w:val="0"/>
        <w:spacing w:after="0" w:line="360" w:lineRule="auto"/>
        <w:jc w:val="both"/>
        <w:rPr>
          <w:rFonts w:cstheme="minorHAnsi"/>
        </w:rPr>
      </w:pPr>
    </w:p>
    <w:p w14:paraId="3EDBDC3E" w14:textId="77777777" w:rsidR="00CC1A36" w:rsidRDefault="00CC1A36" w:rsidP="00CC1A36">
      <w:pPr>
        <w:autoSpaceDE w:val="0"/>
        <w:autoSpaceDN w:val="0"/>
        <w:adjustRightInd w:val="0"/>
        <w:spacing w:after="0" w:line="360" w:lineRule="auto"/>
        <w:jc w:val="both"/>
        <w:rPr>
          <w:rFonts w:cstheme="minorHAnsi"/>
        </w:rPr>
      </w:pPr>
      <w:r>
        <w:rPr>
          <w:rFonts w:cstheme="minorHAnsi"/>
        </w:rPr>
        <w:t xml:space="preserve">The tradeoff theory suggests that the optimal capital structure of a company is based on a tradeoff between the value of the interest tax shield and the leverage cost. The optimal capital structure is where the marginal increase in the additional leverage costs negates the marginal benefits of the increase in the interest tax shield from additional leverage. Leverage costs are direct costs of bankruptcy, lawyers’ fees, administration expenses etc. Bankruptcy cost is a cost directly incurred when the perceived probability that the firm will default on financing is greater than zero. One of the bankruptcy cost is liquidation cost, which represents the loss of value as a result of liquidating the net assets of the firm. Another bankruptcy cost is distress cost, which is the cost a firm incurs if stakeholders believe that the firm will discontinue. A study however, showed that bankruptcy cost is negligible, and therefor do not rationalize the borrowing </w:t>
      </w:r>
      <w:r>
        <w:rPr>
          <w:rFonts w:cstheme="minorHAnsi"/>
        </w:rPr>
        <w:lastRenderedPageBreak/>
        <w:t>among most firms (Warner</w:t>
      </w:r>
      <w:r w:rsidR="00C554D7">
        <w:rPr>
          <w:rFonts w:cstheme="minorHAnsi"/>
        </w:rPr>
        <w:t xml:space="preserve"> &amp; Gruber</w:t>
      </w:r>
      <w:r>
        <w:rPr>
          <w:rFonts w:cstheme="minorHAnsi"/>
        </w:rPr>
        <w:t>, 1977). According to the tradeoff theory, firms are expected to look for a target debt ratio (</w:t>
      </w:r>
      <w:proofErr w:type="spellStart"/>
      <w:r>
        <w:rPr>
          <w:rFonts w:cstheme="minorHAnsi"/>
        </w:rPr>
        <w:t>Jalilvand</w:t>
      </w:r>
      <w:proofErr w:type="spellEnd"/>
      <w:r>
        <w:rPr>
          <w:rFonts w:cstheme="minorHAnsi"/>
        </w:rPr>
        <w:t xml:space="preserve"> &amp; Harris, 1984).</w:t>
      </w:r>
    </w:p>
    <w:p w14:paraId="139CFF48" w14:textId="77777777" w:rsidR="00CC1A36" w:rsidRDefault="00CC1A36" w:rsidP="00CC1A36">
      <w:pPr>
        <w:pStyle w:val="Heading2"/>
        <w:spacing w:line="360" w:lineRule="auto"/>
        <w:rPr>
          <w:rFonts w:asciiTheme="minorHAnsi" w:hAnsiTheme="minorHAnsi" w:cstheme="minorHAnsi"/>
          <w:color w:val="auto"/>
          <w:sz w:val="22"/>
          <w:szCs w:val="22"/>
        </w:rPr>
      </w:pPr>
    </w:p>
    <w:p w14:paraId="08FA2EF2" w14:textId="77777777" w:rsidR="00CC1A36" w:rsidRDefault="00CC1A36" w:rsidP="00CC1A36">
      <w:pPr>
        <w:pStyle w:val="Heading2"/>
        <w:spacing w:line="360" w:lineRule="auto"/>
        <w:rPr>
          <w:rFonts w:asciiTheme="minorHAnsi" w:hAnsiTheme="minorHAnsi" w:cstheme="minorHAnsi"/>
          <w:color w:val="auto"/>
          <w:sz w:val="22"/>
          <w:szCs w:val="22"/>
        </w:rPr>
      </w:pPr>
      <w:r w:rsidRPr="00810EEE">
        <w:rPr>
          <w:rFonts w:asciiTheme="minorHAnsi" w:hAnsiTheme="minorHAnsi" w:cstheme="minorHAnsi"/>
          <w:color w:val="auto"/>
          <w:sz w:val="22"/>
          <w:szCs w:val="22"/>
        </w:rPr>
        <w:t>2.2</w:t>
      </w:r>
      <w:r>
        <w:rPr>
          <w:rFonts w:asciiTheme="minorHAnsi" w:hAnsiTheme="minorHAnsi" w:cstheme="minorHAnsi"/>
          <w:color w:val="auto"/>
          <w:sz w:val="22"/>
          <w:szCs w:val="22"/>
        </w:rPr>
        <w:t xml:space="preserve">.2 SME’s &amp; </w:t>
      </w:r>
      <w:r w:rsidRPr="00810EEE">
        <w:rPr>
          <w:rFonts w:asciiTheme="minorHAnsi" w:hAnsiTheme="minorHAnsi" w:cstheme="minorHAnsi"/>
          <w:color w:val="auto"/>
          <w:sz w:val="22"/>
          <w:szCs w:val="22"/>
        </w:rPr>
        <w:t>Trade</w:t>
      </w:r>
      <w:r>
        <w:rPr>
          <w:rFonts w:asciiTheme="minorHAnsi" w:hAnsiTheme="minorHAnsi" w:cstheme="minorHAnsi"/>
          <w:color w:val="auto"/>
          <w:sz w:val="22"/>
          <w:szCs w:val="22"/>
        </w:rPr>
        <w:t>-</w:t>
      </w:r>
      <w:r w:rsidRPr="00810EEE">
        <w:rPr>
          <w:rFonts w:asciiTheme="minorHAnsi" w:hAnsiTheme="minorHAnsi" w:cstheme="minorHAnsi"/>
          <w:color w:val="auto"/>
          <w:sz w:val="22"/>
          <w:szCs w:val="22"/>
        </w:rPr>
        <w:t>off Theory</w:t>
      </w:r>
    </w:p>
    <w:p w14:paraId="00E7BFD4" w14:textId="77777777" w:rsidR="00CC1A36" w:rsidRDefault="00CC1A36" w:rsidP="00CC1A36">
      <w:pPr>
        <w:spacing w:line="360" w:lineRule="auto"/>
        <w:jc w:val="both"/>
      </w:pPr>
      <w:r>
        <w:t>Normally, research on capital structure including the trade-off theory has been performed on large listed US companies, due to the better availability of data. However, in this paper we will focus on SME’s and therefore it is felt necessary to elaborate whether one can expect SME’s to behave in a similar way as large companies in terms of the trade-off theory. Several papers have been published with arguments that support financial decisions by managers of SME’s, indicating that they can be explained by the same theories used for large firms i.e. pecking order theory and trade-off theory (</w:t>
      </w:r>
      <w:proofErr w:type="spellStart"/>
      <w:r>
        <w:t>Sogorb</w:t>
      </w:r>
      <w:proofErr w:type="spellEnd"/>
      <w:r>
        <w:t xml:space="preserve">-Mira, 2005). However, SME’s might face certain problems that large firms do not face to the same degree. </w:t>
      </w:r>
    </w:p>
    <w:p w14:paraId="55B6C72F" w14:textId="77777777" w:rsidR="00CC1A36" w:rsidRDefault="00CC1A36" w:rsidP="00CC1A36">
      <w:pPr>
        <w:spacing w:line="360" w:lineRule="auto"/>
        <w:jc w:val="both"/>
      </w:pPr>
      <w:r>
        <w:t xml:space="preserve">One possible example in which SME’s might not follow the trade-off theory as compared to large firms is the lack of knowledge among managers. These managers should be aware that having a higher leverage may be advantageous. Many small firms led by entrepreneurs will have skills that are not in the field of finance, and therefore might not have the knowledge to take advantage of this (Jensen &amp; </w:t>
      </w:r>
      <w:proofErr w:type="spellStart"/>
      <w:r>
        <w:t>Uhl</w:t>
      </w:r>
      <w:proofErr w:type="spellEnd"/>
      <w:r>
        <w:t>, 2008). Managers who do not possess this knowledge tend to operate at a lower debt level than is optimal.</w:t>
      </w:r>
    </w:p>
    <w:p w14:paraId="6004457E" w14:textId="5482C604" w:rsidR="00CC1A36" w:rsidRDefault="00CC1A36" w:rsidP="00CC1A36">
      <w:pPr>
        <w:spacing w:line="360" w:lineRule="auto"/>
        <w:jc w:val="both"/>
      </w:pPr>
      <w:r>
        <w:t xml:space="preserve">Another important issue is the potential financial constraint SMEs have compared to large firms. This implies that SMEs might not </w:t>
      </w:r>
      <w:r w:rsidR="00DE6B36">
        <w:t>be able to acquire</w:t>
      </w:r>
      <w:r>
        <w:t xml:space="preserve"> debt</w:t>
      </w:r>
      <w:r w:rsidR="00DE6B36">
        <w:t xml:space="preserve"> as easily as large firms, </w:t>
      </w:r>
      <w:r>
        <w:t xml:space="preserve">due to </w:t>
      </w:r>
      <w:r w:rsidR="00DE6B36">
        <w:t>information asymmetry</w:t>
      </w:r>
      <w:r>
        <w:t xml:space="preserve">. This doesn’t have to be a big issue, but it becomes a serious problem if the lack of debt financing results in SME’s having to pass up on profitable investment opportunities which may restrict growth. </w:t>
      </w:r>
    </w:p>
    <w:p w14:paraId="1EEADBE6" w14:textId="77777777" w:rsidR="00CC1A36" w:rsidRDefault="00CC1A36" w:rsidP="00CC1A36">
      <w:pPr>
        <w:pStyle w:val="Heading2"/>
        <w:spacing w:line="360" w:lineRule="auto"/>
        <w:rPr>
          <w:rFonts w:asciiTheme="minorHAnsi" w:eastAsiaTheme="minorHAnsi" w:hAnsiTheme="minorHAnsi" w:cstheme="minorBidi"/>
          <w:b w:val="0"/>
          <w:bCs w:val="0"/>
          <w:color w:val="auto"/>
          <w:sz w:val="22"/>
          <w:szCs w:val="22"/>
        </w:rPr>
      </w:pPr>
    </w:p>
    <w:p w14:paraId="3302DA53" w14:textId="298C678D" w:rsidR="00CC1A36" w:rsidRPr="00810EEE" w:rsidRDefault="00CC1A36" w:rsidP="00CC1A36">
      <w:pPr>
        <w:pStyle w:val="Heading2"/>
        <w:spacing w:line="360" w:lineRule="auto"/>
        <w:rPr>
          <w:rFonts w:asciiTheme="minorHAnsi" w:hAnsiTheme="minorHAnsi" w:cstheme="minorHAnsi"/>
          <w:color w:val="auto"/>
          <w:sz w:val="22"/>
          <w:szCs w:val="22"/>
        </w:rPr>
      </w:pPr>
      <w:r>
        <w:rPr>
          <w:rFonts w:asciiTheme="minorHAnsi" w:hAnsiTheme="minorHAnsi" w:cstheme="minorHAnsi"/>
          <w:color w:val="auto"/>
          <w:sz w:val="22"/>
          <w:szCs w:val="22"/>
        </w:rPr>
        <w:t>2.</w:t>
      </w:r>
      <w:r w:rsidR="00027A92">
        <w:rPr>
          <w:rFonts w:asciiTheme="minorHAnsi" w:hAnsiTheme="minorHAnsi" w:cstheme="minorHAnsi"/>
          <w:color w:val="auto"/>
          <w:sz w:val="22"/>
          <w:szCs w:val="22"/>
        </w:rPr>
        <w:t>3</w:t>
      </w:r>
      <w:r>
        <w:rPr>
          <w:rFonts w:asciiTheme="minorHAnsi" w:hAnsiTheme="minorHAnsi" w:cstheme="minorHAnsi"/>
          <w:color w:val="auto"/>
          <w:sz w:val="22"/>
          <w:szCs w:val="22"/>
        </w:rPr>
        <w:t xml:space="preserve"> Determinants</w:t>
      </w:r>
    </w:p>
    <w:p w14:paraId="0F7E7ED8" w14:textId="77777777" w:rsidR="00CC1A36" w:rsidRDefault="00CC1A36" w:rsidP="00CC1A36">
      <w:pPr>
        <w:autoSpaceDE w:val="0"/>
        <w:autoSpaceDN w:val="0"/>
        <w:adjustRightInd w:val="0"/>
        <w:spacing w:after="0" w:line="360" w:lineRule="auto"/>
        <w:jc w:val="both"/>
        <w:rPr>
          <w:rFonts w:cstheme="minorHAnsi"/>
        </w:rPr>
      </w:pPr>
      <w:r>
        <w:rPr>
          <w:rFonts w:cstheme="minorHAnsi"/>
        </w:rPr>
        <w:t>There have been a lot of theories to explain the capital structure choices which firms make. Most of these theories were mainly developed and tested in advanced countries like the US. Some studies have been conducted for the G7 countries which show that the capital structure choices in these countries are similar to one and other (</w:t>
      </w:r>
      <w:proofErr w:type="spellStart"/>
      <w:r>
        <w:rPr>
          <w:rFonts w:cstheme="minorHAnsi"/>
        </w:rPr>
        <w:t>Rajan</w:t>
      </w:r>
      <w:proofErr w:type="spellEnd"/>
      <w:r>
        <w:rPr>
          <w:rFonts w:cstheme="minorHAnsi"/>
        </w:rPr>
        <w:t xml:space="preserve"> &amp; </w:t>
      </w:r>
      <w:proofErr w:type="spellStart"/>
      <w:r>
        <w:rPr>
          <w:rFonts w:cstheme="minorHAnsi"/>
        </w:rPr>
        <w:t>Zingalas</w:t>
      </w:r>
      <w:proofErr w:type="spellEnd"/>
      <w:r>
        <w:rPr>
          <w:rFonts w:cstheme="minorHAnsi"/>
        </w:rPr>
        <w:t xml:space="preserve">, 1995). The authors did a firm level research with size, asset tangibility, growth rate and profitability as independent variables. They found that 19% of the variation in the firms’ leverage in the G7 countries is explained by these factors. The findings in these paper was also supported by the author Wald (1999), who continued </w:t>
      </w:r>
      <w:proofErr w:type="spellStart"/>
      <w:r>
        <w:rPr>
          <w:rFonts w:cstheme="minorHAnsi"/>
        </w:rPr>
        <w:t>Rajan</w:t>
      </w:r>
      <w:proofErr w:type="spellEnd"/>
      <w:r>
        <w:rPr>
          <w:rFonts w:cstheme="minorHAnsi"/>
        </w:rPr>
        <w:t xml:space="preserve"> and </w:t>
      </w:r>
      <w:proofErr w:type="spellStart"/>
      <w:r>
        <w:rPr>
          <w:rFonts w:cstheme="minorHAnsi"/>
        </w:rPr>
        <w:t>Zingales</w:t>
      </w:r>
      <w:proofErr w:type="spellEnd"/>
      <w:r>
        <w:rPr>
          <w:rFonts w:cstheme="minorHAnsi"/>
        </w:rPr>
        <w:t xml:space="preserve">’ paper to study the capital structure </w:t>
      </w:r>
      <w:r>
        <w:rPr>
          <w:rFonts w:cstheme="minorHAnsi"/>
        </w:rPr>
        <w:lastRenderedPageBreak/>
        <w:t xml:space="preserve">determinants including Germany, Japan, France, US and the United Kingdom. Other authors like </w:t>
      </w:r>
      <w:proofErr w:type="spellStart"/>
      <w:r>
        <w:rPr>
          <w:rFonts w:cstheme="minorHAnsi"/>
        </w:rPr>
        <w:t>Fama</w:t>
      </w:r>
      <w:proofErr w:type="spellEnd"/>
      <w:r>
        <w:rPr>
          <w:rFonts w:cstheme="minorHAnsi"/>
        </w:rPr>
        <w:t xml:space="preserve"> and French (2002) reached a similar conclusion about companies financing behavior, where the pecking order theory couldn’t be rejected.</w:t>
      </w:r>
    </w:p>
    <w:p w14:paraId="02D4CC09" w14:textId="77777777" w:rsidR="00CC1A36" w:rsidRDefault="00CC1A36" w:rsidP="00CC1A36">
      <w:pPr>
        <w:autoSpaceDE w:val="0"/>
        <w:autoSpaceDN w:val="0"/>
        <w:adjustRightInd w:val="0"/>
        <w:spacing w:after="0" w:line="360" w:lineRule="auto"/>
        <w:rPr>
          <w:rFonts w:cstheme="minorHAnsi"/>
        </w:rPr>
      </w:pPr>
    </w:p>
    <w:p w14:paraId="38A42526" w14:textId="0A6D45FF" w:rsidR="00CC1A36" w:rsidRPr="00DE6B36" w:rsidRDefault="00CC1A36" w:rsidP="00CC1A36">
      <w:pPr>
        <w:autoSpaceDE w:val="0"/>
        <w:autoSpaceDN w:val="0"/>
        <w:adjustRightInd w:val="0"/>
        <w:spacing w:after="0" w:line="360" w:lineRule="auto"/>
        <w:jc w:val="both"/>
        <w:rPr>
          <w:rFonts w:cstheme="minorHAnsi"/>
        </w:rPr>
      </w:pPr>
      <w:r>
        <w:t xml:space="preserve">As previously mentioned, most research on capital structure has been performed on datasets consisting of large listed companies mainly located in the US. Even though attention on SMEs has been increasing lately, research on capital structure has primarily been based on US firms (Sulla, </w:t>
      </w:r>
      <w:proofErr w:type="spellStart"/>
      <w:r w:rsidR="00894CA5">
        <w:t>Sarria</w:t>
      </w:r>
      <w:proofErr w:type="spellEnd"/>
      <w:r w:rsidR="00894CA5">
        <w:t xml:space="preserve">- Allende &amp; </w:t>
      </w:r>
      <w:proofErr w:type="spellStart"/>
      <w:r>
        <w:t>Klapper</w:t>
      </w:r>
      <w:proofErr w:type="spellEnd"/>
      <w:r>
        <w:t>, 2002). Earlier studies that highlight the importance of country specific variables</w:t>
      </w:r>
      <w:r w:rsidR="005F3D29">
        <w:t xml:space="preserve"> are e.g. (Booth et al, 2001), </w:t>
      </w:r>
      <w:r>
        <w:t>(</w:t>
      </w:r>
      <w:proofErr w:type="spellStart"/>
      <w:r>
        <w:t>J</w:t>
      </w:r>
      <w:r w:rsidRPr="00DB0F6C">
        <w:rPr>
          <w:rFonts w:cstheme="minorHAnsi"/>
        </w:rPr>
        <w:t>õ</w:t>
      </w:r>
      <w:r>
        <w:rPr>
          <w:rFonts w:cstheme="minorHAnsi"/>
        </w:rPr>
        <w:t>eveer</w:t>
      </w:r>
      <w:proofErr w:type="spellEnd"/>
      <w:r>
        <w:rPr>
          <w:rFonts w:cstheme="minorHAnsi"/>
        </w:rPr>
        <w:t xml:space="preserve">, 2005) and several others. The importance of country level variables is emphasized in these studies. </w:t>
      </w:r>
      <w:proofErr w:type="spellStart"/>
      <w:r>
        <w:t>J</w:t>
      </w:r>
      <w:r w:rsidRPr="00DB0F6C">
        <w:rPr>
          <w:rFonts w:cstheme="minorHAnsi"/>
        </w:rPr>
        <w:t>õ</w:t>
      </w:r>
      <w:r>
        <w:rPr>
          <w:rFonts w:cstheme="minorHAnsi"/>
        </w:rPr>
        <w:t>eveer</w:t>
      </w:r>
      <w:proofErr w:type="spellEnd"/>
      <w:r>
        <w:rPr>
          <w:rFonts w:cstheme="minorHAnsi"/>
        </w:rPr>
        <w:t xml:space="preserve"> makes an important statement in her paper in connection with the country level variables. She argues that country level variables have a larger impact on the capital structure of SMEs</w:t>
      </w:r>
      <w:r w:rsidR="00DE6B36">
        <w:rPr>
          <w:rFonts w:cstheme="minorHAnsi"/>
        </w:rPr>
        <w:t xml:space="preserve">. Small firms are more likely to operate under borrowing constraints, so they will face non- firm- specific determinants of capital structure. </w:t>
      </w:r>
      <w:r>
        <w:rPr>
          <w:rFonts w:cstheme="minorHAnsi"/>
        </w:rPr>
        <w:t xml:space="preserve">Her paper points out the importance of country level variables in the context of this study since it only deals with SMEs. This might suggest that when a company reaches a certain size, the importance of country level variables is reduced because the company might obtain access to other capital markets. </w:t>
      </w:r>
    </w:p>
    <w:p w14:paraId="0C31FF46" w14:textId="77777777" w:rsidR="00CC1A36" w:rsidRDefault="00CC1A36" w:rsidP="00CC1A36">
      <w:pPr>
        <w:autoSpaceDE w:val="0"/>
        <w:autoSpaceDN w:val="0"/>
        <w:adjustRightInd w:val="0"/>
        <w:spacing w:after="0" w:line="360" w:lineRule="auto"/>
        <w:jc w:val="both"/>
      </w:pPr>
    </w:p>
    <w:p w14:paraId="751ACA16" w14:textId="77777777" w:rsidR="00CC1A36" w:rsidRDefault="00CC1A36" w:rsidP="00CC1A36">
      <w:pPr>
        <w:autoSpaceDE w:val="0"/>
        <w:autoSpaceDN w:val="0"/>
        <w:adjustRightInd w:val="0"/>
        <w:spacing w:after="0" w:line="360" w:lineRule="auto"/>
        <w:jc w:val="both"/>
      </w:pPr>
      <w:r>
        <w:t xml:space="preserve">Studies on the capital structure of firms, have attempted to identify country specific determinants of capital structure choices as function of the factors that build the theories such as the pecking order theory. There have been some country specific determinants of capital structure identified, based on the most accepted theoretical models of capital structure. The country specific determinants many previous studies have used to determine their impact on the capital structure decisions include the Gross Domestic Product (GDP), growth rate, inflation, interest and taxes. A paper written by Bas, </w:t>
      </w:r>
      <w:proofErr w:type="spellStart"/>
      <w:r>
        <w:t>Muradoglu</w:t>
      </w:r>
      <w:proofErr w:type="spellEnd"/>
      <w:r>
        <w:t xml:space="preserve"> and </w:t>
      </w:r>
      <w:proofErr w:type="spellStart"/>
      <w:r>
        <w:t>Phylaktis</w:t>
      </w:r>
      <w:proofErr w:type="spellEnd"/>
      <w:r>
        <w:t xml:space="preserve"> (2009) show that most of the macroeconomic variables are significant. The coefficient estimate</w:t>
      </w:r>
      <w:r w:rsidR="006449A9">
        <w:t>s</w:t>
      </w:r>
      <w:r>
        <w:t xml:space="preserve"> of GDP per capita and growth were positively correlated, while inflation and taxes had a negative effect on leverage. These results are not shared by a</w:t>
      </w:r>
      <w:r w:rsidR="00210792">
        <w:t>ll. Authors Je</w:t>
      </w:r>
      <w:r>
        <w:t xml:space="preserve">nsen and </w:t>
      </w:r>
      <w:proofErr w:type="spellStart"/>
      <w:r>
        <w:t>Uhl</w:t>
      </w:r>
      <w:proofErr w:type="spellEnd"/>
      <w:r>
        <w:t xml:space="preserve"> (2008) have contradicting results in their paper. The different views suggest that the study on determinants of capital structure is not yet complete and gives room for further studying. </w:t>
      </w:r>
    </w:p>
    <w:p w14:paraId="1FC7ADE6" w14:textId="77777777" w:rsidR="00CC1A36" w:rsidRDefault="00CC1A36" w:rsidP="00CC1A36">
      <w:pPr>
        <w:autoSpaceDE w:val="0"/>
        <w:autoSpaceDN w:val="0"/>
        <w:adjustRightInd w:val="0"/>
        <w:spacing w:after="0" w:line="360" w:lineRule="auto"/>
        <w:jc w:val="both"/>
      </w:pPr>
    </w:p>
    <w:p w14:paraId="4A67066E" w14:textId="77777777" w:rsidR="00CC1A36" w:rsidRDefault="00CC1A36" w:rsidP="00CC1A36">
      <w:pPr>
        <w:autoSpaceDE w:val="0"/>
        <w:autoSpaceDN w:val="0"/>
        <w:adjustRightInd w:val="0"/>
        <w:spacing w:after="0" w:line="360" w:lineRule="auto"/>
        <w:jc w:val="both"/>
        <w:rPr>
          <w:rFonts w:cstheme="minorHAnsi"/>
        </w:rPr>
      </w:pPr>
      <w:r>
        <w:t xml:space="preserve">This paper will take both theories into account while examining the factors which may influence a firms’ capital structure.  Many studies have been published about these two theories, but most of them have been focused on only one. Therefore, it is hard to conclude if one is better than the other. A paper by De </w:t>
      </w:r>
      <w:r>
        <w:lastRenderedPageBreak/>
        <w:t>Jon</w:t>
      </w:r>
      <w:r w:rsidR="00210792">
        <w:t xml:space="preserve">g, </w:t>
      </w:r>
      <w:proofErr w:type="spellStart"/>
      <w:r w:rsidR="00210792">
        <w:t>Verbeek</w:t>
      </w:r>
      <w:proofErr w:type="spellEnd"/>
      <w:r w:rsidR="00210792">
        <w:t xml:space="preserve"> and </w:t>
      </w:r>
      <w:proofErr w:type="spellStart"/>
      <w:r w:rsidR="00210792">
        <w:t>Verwijmeren</w:t>
      </w:r>
      <w:proofErr w:type="spellEnd"/>
      <w:r w:rsidR="00210792">
        <w:t xml:space="preserve"> (2011</w:t>
      </w:r>
      <w:r>
        <w:t xml:space="preserve">), studies how these two theories do against each other. The authors wanted to study if the pecking order theory was better than the tradeoff theory. </w:t>
      </w:r>
      <w:r>
        <w:rPr>
          <w:rFonts w:cstheme="minorHAnsi"/>
        </w:rPr>
        <w:t>The important difference in the prediction is that the tradeoff theory argues that a firm increases its leverage until it reaches its target debt ratio, while the pecking order theory yields debt issuance until the debt capacity is reached. For example, the research did on 6000 US firms between 1985 to 2005 shows that pecking order theory captures the issue decisions of firms better than the tradeoff theory. On the other hand, a company’s capital structure decisions are better explained by the tradeoff theory if focused on the repurchase decisions. Therefore, it was concluded that neither was better than the other. By testing the firm- and country specific variables on capital structure, an expected outcome can be made by using either the tradeoff theory or the pecking order theory.</w:t>
      </w:r>
    </w:p>
    <w:p w14:paraId="6D6E7470" w14:textId="77777777" w:rsidR="00CC1A36" w:rsidRPr="008D7A6C" w:rsidRDefault="00CC1A36" w:rsidP="00CC1A36">
      <w:pPr>
        <w:autoSpaceDE w:val="0"/>
        <w:autoSpaceDN w:val="0"/>
        <w:adjustRightInd w:val="0"/>
        <w:spacing w:after="0" w:line="360" w:lineRule="auto"/>
        <w:jc w:val="both"/>
      </w:pPr>
    </w:p>
    <w:p w14:paraId="4175DBA8" w14:textId="77777777" w:rsidR="00CC1A36" w:rsidRDefault="00CC1A36" w:rsidP="00CC1A36">
      <w:pPr>
        <w:jc w:val="both"/>
      </w:pPr>
      <w:r>
        <w:t xml:space="preserve">The following section will explain the research question and hypotheses that will be used to conduct this study. </w:t>
      </w:r>
    </w:p>
    <w:p w14:paraId="61789651" w14:textId="77777777" w:rsidR="00CC1A36" w:rsidRDefault="00CC1A36" w:rsidP="00192648"/>
    <w:p w14:paraId="6A2B9CE8" w14:textId="77777777" w:rsidR="00CC1A36" w:rsidRDefault="00CC1A36" w:rsidP="00192648"/>
    <w:p w14:paraId="262F574F" w14:textId="77777777" w:rsidR="00CC1A36" w:rsidRDefault="00CC1A36" w:rsidP="00192648"/>
    <w:p w14:paraId="0135422D" w14:textId="77777777" w:rsidR="00CC1A36" w:rsidRDefault="00CC1A36" w:rsidP="00192648"/>
    <w:p w14:paraId="73386EF8" w14:textId="77777777" w:rsidR="00CC1A36" w:rsidRDefault="00CC1A36" w:rsidP="00192648"/>
    <w:p w14:paraId="570609E5" w14:textId="77777777" w:rsidR="00CC1A36" w:rsidRDefault="00CC1A36" w:rsidP="00192648"/>
    <w:p w14:paraId="1DB6677E" w14:textId="77777777" w:rsidR="00CC1A36" w:rsidRDefault="00CC1A36" w:rsidP="00192648"/>
    <w:p w14:paraId="79AD0351" w14:textId="77777777" w:rsidR="00CC1A36" w:rsidRDefault="00CC1A36" w:rsidP="00192648"/>
    <w:p w14:paraId="7D65439E" w14:textId="77777777" w:rsidR="00CC1A36" w:rsidRDefault="00CC1A36" w:rsidP="00192648"/>
    <w:p w14:paraId="30DFF4B8" w14:textId="77777777" w:rsidR="00CC1A36" w:rsidRDefault="00CC1A36" w:rsidP="00192648"/>
    <w:p w14:paraId="1ABBF51D" w14:textId="77777777" w:rsidR="00CC1A36" w:rsidRDefault="00CC1A36" w:rsidP="00192648"/>
    <w:p w14:paraId="37B70AD7" w14:textId="793718BC" w:rsidR="00CC1A36" w:rsidRDefault="00CC1A36" w:rsidP="00192648"/>
    <w:p w14:paraId="51BCDB22" w14:textId="40054500" w:rsidR="00DE6B36" w:rsidRDefault="00DE6B36" w:rsidP="00192648"/>
    <w:p w14:paraId="2534DB2E" w14:textId="77777777" w:rsidR="00DE6B36" w:rsidRDefault="00DE6B36" w:rsidP="00192648"/>
    <w:p w14:paraId="0427A184" w14:textId="77777777" w:rsidR="00CC1A36" w:rsidRDefault="00CC1A36" w:rsidP="00192648"/>
    <w:p w14:paraId="7F6BFC66" w14:textId="77777777" w:rsidR="00CC1A36" w:rsidRPr="009C3431" w:rsidRDefault="00CC1A36" w:rsidP="00CC1A36">
      <w:pPr>
        <w:spacing w:line="360" w:lineRule="auto"/>
        <w:jc w:val="both"/>
        <w:rPr>
          <w:bCs/>
          <w:sz w:val="24"/>
          <w:szCs w:val="24"/>
        </w:rPr>
      </w:pPr>
      <w:r>
        <w:rPr>
          <w:b/>
          <w:bCs/>
          <w:sz w:val="28"/>
          <w:szCs w:val="28"/>
        </w:rPr>
        <w:lastRenderedPageBreak/>
        <w:t>3   Research question and hypotheses</w:t>
      </w:r>
    </w:p>
    <w:p w14:paraId="6CBEBEC7" w14:textId="351E0F2A" w:rsidR="00CC1A36" w:rsidRPr="00140DDF" w:rsidRDefault="00CC1A36" w:rsidP="00CC1A36">
      <w:pPr>
        <w:spacing w:line="360" w:lineRule="auto"/>
        <w:jc w:val="both"/>
        <w:rPr>
          <w:bCs/>
        </w:rPr>
      </w:pPr>
      <w:r>
        <w:rPr>
          <w:bCs/>
        </w:rPr>
        <w:t xml:space="preserve">In the literature review, the most important capital structure theories were reviewed together with some empirical evidence. It was also shown how the focus on macro- and firm specific variables in explaining capital structure choices has increased in the past few years. In this study it is expected that the capital structure of firms is influenced by the macroeconomic variables as well </w:t>
      </w:r>
      <w:r w:rsidR="00B763B7">
        <w:rPr>
          <w:bCs/>
        </w:rPr>
        <w:t xml:space="preserve">as aggregated </w:t>
      </w:r>
      <w:r>
        <w:rPr>
          <w:bCs/>
        </w:rPr>
        <w:t xml:space="preserve">firm specific variables. </w:t>
      </w:r>
      <w:r>
        <w:rPr>
          <w:rFonts w:cstheme="minorHAnsi"/>
        </w:rPr>
        <w:t>This expectation can be summarized by the following research question:</w:t>
      </w:r>
    </w:p>
    <w:p w14:paraId="6CA9BD85" w14:textId="28C04FC1" w:rsidR="00CC1A36" w:rsidRPr="00C15B29" w:rsidRDefault="00CC1A36" w:rsidP="00CC1A36">
      <w:pPr>
        <w:autoSpaceDE w:val="0"/>
        <w:autoSpaceDN w:val="0"/>
        <w:adjustRightInd w:val="0"/>
        <w:spacing w:after="0" w:line="360" w:lineRule="auto"/>
        <w:jc w:val="both"/>
        <w:rPr>
          <w:rFonts w:cstheme="minorHAnsi"/>
          <w:i/>
        </w:rPr>
      </w:pPr>
      <w:r>
        <w:rPr>
          <w:rFonts w:cstheme="minorHAnsi"/>
          <w:i/>
        </w:rPr>
        <w:t>‘To what extent</w:t>
      </w:r>
      <w:r w:rsidRPr="00C15B29">
        <w:rPr>
          <w:rFonts w:cstheme="minorHAnsi"/>
          <w:i/>
        </w:rPr>
        <w:t xml:space="preserve"> do macroeconomic variables </w:t>
      </w:r>
      <w:r w:rsidR="00B763B7">
        <w:rPr>
          <w:rFonts w:cstheme="minorHAnsi"/>
          <w:i/>
        </w:rPr>
        <w:t xml:space="preserve">and aggregated </w:t>
      </w:r>
      <w:r>
        <w:rPr>
          <w:rFonts w:cstheme="minorHAnsi"/>
          <w:i/>
        </w:rPr>
        <w:t xml:space="preserve">firm-specific variables </w:t>
      </w:r>
      <w:r w:rsidRPr="00C15B29">
        <w:rPr>
          <w:rFonts w:cstheme="minorHAnsi"/>
          <w:i/>
        </w:rPr>
        <w:t>help in explaining the capital structure in small and medium sized businesses in Western Europe’</w:t>
      </w:r>
    </w:p>
    <w:p w14:paraId="46D88071" w14:textId="77777777" w:rsidR="00CC1A36" w:rsidRDefault="00CC1A36" w:rsidP="00CC1A36">
      <w:pPr>
        <w:autoSpaceDE w:val="0"/>
        <w:autoSpaceDN w:val="0"/>
        <w:adjustRightInd w:val="0"/>
        <w:spacing w:after="0" w:line="360" w:lineRule="auto"/>
        <w:rPr>
          <w:rFonts w:ascii="Times-Roman" w:hAnsi="Times-Roman" w:cs="Times-Roman"/>
          <w:sz w:val="24"/>
          <w:szCs w:val="24"/>
        </w:rPr>
      </w:pPr>
    </w:p>
    <w:p w14:paraId="7AC442E4" w14:textId="77777777" w:rsidR="00CC1A36" w:rsidRDefault="00CC1A36" w:rsidP="00CC1A36">
      <w:pPr>
        <w:autoSpaceDE w:val="0"/>
        <w:autoSpaceDN w:val="0"/>
        <w:adjustRightInd w:val="0"/>
        <w:spacing w:after="0" w:line="360" w:lineRule="auto"/>
        <w:jc w:val="both"/>
        <w:rPr>
          <w:rFonts w:cstheme="minorHAnsi"/>
        </w:rPr>
      </w:pPr>
      <w:r>
        <w:rPr>
          <w:rFonts w:cstheme="minorHAnsi"/>
        </w:rPr>
        <w:t>The results that will be obtained by this study may produce valuable information to policy makers on which factors affect the capital structure of SMEs. Traditional capital structure theories do not take macroeconomic variables into account that influence SMEs access to debt and therefore only illustrate an incomplete picture. This paper controls for the following macroeconomic variables: GDP per capita, growth rate of GDP, inflation rate and the interest rate. These will be further explained and the expected outcomes are shown in table 1.</w:t>
      </w:r>
    </w:p>
    <w:p w14:paraId="56472ED8" w14:textId="77777777" w:rsidR="00CC1A36" w:rsidRDefault="00CC1A36" w:rsidP="00CC1A36">
      <w:pPr>
        <w:autoSpaceDE w:val="0"/>
        <w:autoSpaceDN w:val="0"/>
        <w:adjustRightInd w:val="0"/>
        <w:spacing w:after="0" w:line="360" w:lineRule="auto"/>
        <w:jc w:val="both"/>
        <w:rPr>
          <w:rFonts w:cstheme="minorHAnsi"/>
        </w:rPr>
      </w:pPr>
    </w:p>
    <w:p w14:paraId="03DD04CA" w14:textId="77777777" w:rsidR="00CC1A36" w:rsidRDefault="00CC1A36" w:rsidP="00CC1A36">
      <w:pPr>
        <w:spacing w:after="0" w:line="360" w:lineRule="auto"/>
        <w:jc w:val="both"/>
        <w:rPr>
          <w:b/>
        </w:rPr>
      </w:pPr>
      <w:r w:rsidRPr="00864E70">
        <w:rPr>
          <w:b/>
        </w:rPr>
        <w:t xml:space="preserve">Gross Domestic Product per capita                                                                                                                                                           </w:t>
      </w:r>
      <w:r>
        <w:rPr>
          <w:b/>
        </w:rPr>
        <w:t xml:space="preserve">                               </w:t>
      </w:r>
    </w:p>
    <w:p w14:paraId="510D7793" w14:textId="5DA6A321" w:rsidR="00CC1A36" w:rsidRPr="00CD2B0D" w:rsidRDefault="00CC1A36" w:rsidP="00CC1A36">
      <w:pPr>
        <w:spacing w:line="360" w:lineRule="auto"/>
        <w:jc w:val="both"/>
        <w:rPr>
          <w:rFonts w:cstheme="minorHAnsi"/>
        </w:rPr>
      </w:pPr>
      <w:r>
        <w:t>Gross Domestic Product (GDP) is the expenditure on final goods and services minus imports: final consumption expenditures, gross capital formation and exports less imports. Intuition behind this is that the higher the GDP per capita is the richer a country is.</w:t>
      </w:r>
      <w:r w:rsidR="000E4FDB">
        <w:t xml:space="preserve"> </w:t>
      </w:r>
      <w:r w:rsidR="000E4FDB">
        <w:rPr>
          <w:rFonts w:cstheme="minorHAnsi"/>
        </w:rPr>
        <w:t xml:space="preserve">A wealthy country may indicate that firms have more retained earnings compared to poorer countries and are more capable of financing themselves with internal finance. According to the pecking order theory this means that GDP and leverage are </w:t>
      </w:r>
      <w:r w:rsidR="00B60BA7">
        <w:rPr>
          <w:rFonts w:cstheme="minorHAnsi"/>
        </w:rPr>
        <w:t xml:space="preserve">negatively </w:t>
      </w:r>
      <w:r w:rsidR="000E4FDB">
        <w:rPr>
          <w:rFonts w:cstheme="minorHAnsi"/>
        </w:rPr>
        <w:t xml:space="preserve">associated with each other. On the other hand, </w:t>
      </w:r>
      <w:r w:rsidR="000E4FDB">
        <w:t>a</w:t>
      </w:r>
      <w:r>
        <w:t xml:space="preserve"> well-developed capital market makes it easier for SMEs to borrow money. If debt is considered to be risk-free </w:t>
      </w:r>
      <w:r>
        <w:rPr>
          <w:rFonts w:cstheme="minorHAnsi"/>
        </w:rPr>
        <w:t>there is no drawback in increasing one’s leverage, then firms will most likely borrow more</w:t>
      </w:r>
      <w:r w:rsidR="000E4FDB">
        <w:rPr>
          <w:rFonts w:cstheme="minorHAnsi"/>
        </w:rPr>
        <w:t xml:space="preserve">. </w:t>
      </w:r>
      <w:r>
        <w:t>Therefore, the first hypothesis is as follows: ‘</w:t>
      </w:r>
      <w:r w:rsidRPr="002C1ADA">
        <w:rPr>
          <w:rFonts w:cstheme="minorHAnsi"/>
          <w:i/>
        </w:rPr>
        <w:t>The GDP per capita is positively correlated with the capital structure of SME</w:t>
      </w:r>
      <w:r>
        <w:rPr>
          <w:rFonts w:cstheme="minorHAnsi"/>
          <w:i/>
        </w:rPr>
        <w:t>s’.</w:t>
      </w:r>
    </w:p>
    <w:p w14:paraId="0CB1131B" w14:textId="77777777" w:rsidR="00CC1A36" w:rsidRDefault="00CC1A36" w:rsidP="00CC1A36">
      <w:pPr>
        <w:autoSpaceDE w:val="0"/>
        <w:autoSpaceDN w:val="0"/>
        <w:adjustRightInd w:val="0"/>
        <w:spacing w:after="0" w:line="240" w:lineRule="auto"/>
        <w:rPr>
          <w:b/>
        </w:rPr>
      </w:pPr>
    </w:p>
    <w:p w14:paraId="003697FA" w14:textId="77777777" w:rsidR="00CC1A36" w:rsidRDefault="00CC1A36" w:rsidP="00CC1A36">
      <w:pPr>
        <w:autoSpaceDE w:val="0"/>
        <w:autoSpaceDN w:val="0"/>
        <w:adjustRightInd w:val="0"/>
        <w:spacing w:after="0" w:line="360" w:lineRule="auto"/>
        <w:jc w:val="both"/>
        <w:rPr>
          <w:b/>
        </w:rPr>
      </w:pPr>
      <w:r w:rsidRPr="00864E70">
        <w:rPr>
          <w:b/>
        </w:rPr>
        <w:t xml:space="preserve">Gross Domestic Product Growth                                                                                                                                 </w:t>
      </w:r>
    </w:p>
    <w:p w14:paraId="497108E4" w14:textId="2DD3610C" w:rsidR="00CC1A36" w:rsidRPr="00817473" w:rsidRDefault="00CC1A36" w:rsidP="00CC1A36">
      <w:pPr>
        <w:autoSpaceDE w:val="0"/>
        <w:autoSpaceDN w:val="0"/>
        <w:adjustRightInd w:val="0"/>
        <w:spacing w:after="0" w:line="360" w:lineRule="auto"/>
        <w:jc w:val="both"/>
      </w:pPr>
      <w:r>
        <w:t xml:space="preserve">GDP growth (GDPGROWTH) is used as a macroeconomic variable to proxy for the overall state of the economy in a country. A growing GDP signals that firms have better investment opportunities and are expected to create more profits. The pecking order theory suggests that these improved economic </w:t>
      </w:r>
      <w:r>
        <w:lastRenderedPageBreak/>
        <w:t>conditions lead to a higher free cash- flow. This means that firms have more internal funds, which decreases their need for external funding. Earlier studies show that pecking order theory is applicable for SMEs, which means that SMEs will prefer internal funding over external funding if there is a GDP growth.</w:t>
      </w:r>
      <w:r w:rsidR="00817473">
        <w:t xml:space="preserve"> According to the pecking order theory, GDP growth is positively related with capital structure in the short term, but negatively related in the long run.</w:t>
      </w:r>
      <w:r>
        <w:t xml:space="preserve"> </w:t>
      </w:r>
      <w:r w:rsidR="007C6279">
        <w:t xml:space="preserve">However, as the firm grows, their requirement of finance increases. </w:t>
      </w:r>
      <w:r w:rsidR="00EC00F1">
        <w:t xml:space="preserve">Growth is likely to push SMEs into borrowing if their internal finance is not enough to finance the increasing demand. </w:t>
      </w:r>
      <w:r w:rsidR="00D95D9A">
        <w:t>Therefore, the trade-off theory suggests a positive association between GDP</w:t>
      </w:r>
      <w:r w:rsidR="004E26BD">
        <w:t xml:space="preserve"> growth</w:t>
      </w:r>
      <w:r w:rsidR="00D95D9A">
        <w:t xml:space="preserve"> and capital structure</w:t>
      </w:r>
      <w:r w:rsidR="00817473">
        <w:t xml:space="preserve"> in the long run</w:t>
      </w:r>
      <w:r w:rsidR="00D95D9A">
        <w:t>.</w:t>
      </w:r>
      <w:r w:rsidR="00817473">
        <w:t xml:space="preserve"> </w:t>
      </w:r>
      <w:r>
        <w:t>The second hypothesis is ‘</w:t>
      </w:r>
      <w:r w:rsidRPr="002C1ADA">
        <w:rPr>
          <w:rFonts w:cstheme="minorHAnsi"/>
          <w:i/>
        </w:rPr>
        <w:t xml:space="preserve">the growth rate of GDP is </w:t>
      </w:r>
      <w:r w:rsidR="004E26BD">
        <w:rPr>
          <w:rFonts w:cstheme="minorHAnsi"/>
          <w:i/>
        </w:rPr>
        <w:t>positively</w:t>
      </w:r>
      <w:r w:rsidRPr="002C1ADA">
        <w:rPr>
          <w:rFonts w:cstheme="minorHAnsi"/>
          <w:i/>
        </w:rPr>
        <w:t xml:space="preserve"> correlated with the capital structure of SMEs</w:t>
      </w:r>
      <w:r>
        <w:rPr>
          <w:rFonts w:cstheme="minorHAnsi"/>
          <w:i/>
        </w:rPr>
        <w:t>’</w:t>
      </w:r>
      <w:r w:rsidRPr="002C1ADA">
        <w:rPr>
          <w:rFonts w:cstheme="minorHAnsi"/>
          <w:i/>
        </w:rPr>
        <w:t>.</w:t>
      </w:r>
    </w:p>
    <w:p w14:paraId="2C984B9C" w14:textId="1CDEC8C5" w:rsidR="00733B71" w:rsidRDefault="00733B71" w:rsidP="00CC1A36">
      <w:pPr>
        <w:spacing w:line="360" w:lineRule="auto"/>
        <w:jc w:val="both"/>
      </w:pPr>
    </w:p>
    <w:p w14:paraId="0D62BAB0" w14:textId="77777777" w:rsidR="00CC1A36" w:rsidRDefault="00CC1A36" w:rsidP="00CC1A36">
      <w:pPr>
        <w:spacing w:after="0" w:line="360" w:lineRule="auto"/>
        <w:jc w:val="both"/>
      </w:pPr>
      <w:r w:rsidRPr="00864E70">
        <w:rPr>
          <w:b/>
        </w:rPr>
        <w:t xml:space="preserve">Inflation           </w:t>
      </w:r>
      <w:r>
        <w:t xml:space="preserve">                                                                                                                                                          </w:t>
      </w:r>
    </w:p>
    <w:p w14:paraId="1FA0A6FD" w14:textId="59BF0598" w:rsidR="00CC1A36" w:rsidRPr="007B729C" w:rsidRDefault="00CC1A36" w:rsidP="00CC1A36">
      <w:pPr>
        <w:spacing w:line="360" w:lineRule="auto"/>
        <w:jc w:val="both"/>
      </w:pPr>
      <w:r>
        <w:t xml:space="preserve"> This variable is represented in the regression as (INFLATION). Inflation provides evidence on the stability of the local currency and is measured based on the GDP deflator. </w:t>
      </w:r>
      <w:r w:rsidR="0024520F">
        <w:t>If this increases, the cost of equity as well as the cost of debt should increase. However, this might not be the case in real terms, due to the deterioration of the real value. Furthermore, when part of the interest paid on a loan is actually compensation for deterioration of the principal, then also the value of the tax shield is increased, because part of the principal repayment is then tax-deductible (Jensen &amp;</w:t>
      </w:r>
      <w:r w:rsidR="000E4FDB">
        <w:t xml:space="preserve"> </w:t>
      </w:r>
      <w:proofErr w:type="spellStart"/>
      <w:r w:rsidR="0024520F">
        <w:t>Uhl</w:t>
      </w:r>
      <w:proofErr w:type="spellEnd"/>
      <w:r w:rsidR="0024520F">
        <w:t>, 2008). Therefore, a positive relation between inflation and leverage can be expected.</w:t>
      </w:r>
      <w:r w:rsidR="003F0BDA">
        <w:t xml:space="preserve"> </w:t>
      </w:r>
      <w:r>
        <w:t>Countries with high inflation are associated with high uncertainty (</w:t>
      </w:r>
      <w:proofErr w:type="spellStart"/>
      <w:r>
        <w:t>Demirgyc</w:t>
      </w:r>
      <w:proofErr w:type="spellEnd"/>
      <w:r>
        <w:t xml:space="preserve">- </w:t>
      </w:r>
      <w:proofErr w:type="spellStart"/>
      <w:r>
        <w:t>Kunt</w:t>
      </w:r>
      <w:proofErr w:type="spellEnd"/>
      <w:r>
        <w:t xml:space="preserve"> &amp; </w:t>
      </w:r>
      <w:proofErr w:type="spellStart"/>
      <w:r>
        <w:t>Maksimovic</w:t>
      </w:r>
      <w:proofErr w:type="spellEnd"/>
      <w:r>
        <w:t xml:space="preserve">, 1996). The rate of inflation may influence the riskiness of debt financing so that lenders are more likely to avoid providing debt. The trade-off theory puts the emphasis on using more debt, but an increase of inflation will most likely lead do less lending. Therefore, we expect inflation to be negatively correlated with capital structures of SMEs. </w:t>
      </w:r>
      <w:r w:rsidR="00BD07CE">
        <w:t>According to the pecking order theory, inflation would have no effect on capital structure (</w:t>
      </w:r>
      <w:proofErr w:type="spellStart"/>
      <w:r w:rsidR="00BD07CE">
        <w:t>Houwen</w:t>
      </w:r>
      <w:proofErr w:type="spellEnd"/>
      <w:r w:rsidR="00BD07CE">
        <w:t xml:space="preserve">, 2011). </w:t>
      </w:r>
      <w:r w:rsidRPr="00903704">
        <w:rPr>
          <w:rFonts w:cstheme="minorHAnsi"/>
        </w:rPr>
        <w:t xml:space="preserve">The third hypothesis is </w:t>
      </w:r>
      <w:r w:rsidRPr="00903704">
        <w:rPr>
          <w:rFonts w:cstheme="minorHAnsi"/>
          <w:i/>
        </w:rPr>
        <w:t>‘Inflation is negatively correlated with the capital structure of SMEs’.</w:t>
      </w:r>
    </w:p>
    <w:p w14:paraId="12F8E905" w14:textId="24E512CE" w:rsidR="00733B71" w:rsidRDefault="00733B71" w:rsidP="00CC1A36">
      <w:pPr>
        <w:spacing w:after="0" w:line="360" w:lineRule="auto"/>
        <w:jc w:val="both"/>
      </w:pPr>
    </w:p>
    <w:p w14:paraId="4CF25ECE" w14:textId="0F0292CC" w:rsidR="00CC1A36" w:rsidRDefault="00CC1A36" w:rsidP="00CC1A36">
      <w:pPr>
        <w:spacing w:after="0" w:line="360" w:lineRule="auto"/>
        <w:jc w:val="both"/>
        <w:rPr>
          <w:color w:val="000000"/>
        </w:rPr>
      </w:pPr>
      <w:r>
        <w:rPr>
          <w:b/>
        </w:rPr>
        <w:t>Interest</w:t>
      </w:r>
      <w:r>
        <w:rPr>
          <w:color w:val="000000"/>
        </w:rPr>
        <w:t xml:space="preserve">                                                                                                                                                                                         </w:t>
      </w:r>
    </w:p>
    <w:p w14:paraId="092BDB15" w14:textId="3F7F55DC" w:rsidR="00CC1A36" w:rsidRPr="00CD2B0D" w:rsidRDefault="00CC1A36" w:rsidP="00CC1A36">
      <w:pPr>
        <w:spacing w:line="360" w:lineRule="auto"/>
        <w:jc w:val="both"/>
        <w:rPr>
          <w:color w:val="000000"/>
        </w:rPr>
      </w:pPr>
      <w:r>
        <w:rPr>
          <w:color w:val="000000"/>
        </w:rPr>
        <w:t>I</w:t>
      </w:r>
      <w:r w:rsidRPr="005557BA">
        <w:rPr>
          <w:color w:val="000000"/>
        </w:rPr>
        <w:t>f interest rate increases firms will be less willing to finance new investment with debt.</w:t>
      </w:r>
      <w:r w:rsidR="00A9595A">
        <w:rPr>
          <w:color w:val="000000"/>
        </w:rPr>
        <w:t xml:space="preserve"> According to the pecking order theory, a</w:t>
      </w:r>
      <w:r w:rsidRPr="005557BA">
        <w:rPr>
          <w:color w:val="000000"/>
        </w:rPr>
        <w:t>dditional debt will be less attractive due to the increase cost of borrowing (</w:t>
      </w:r>
      <w:proofErr w:type="spellStart"/>
      <w:r w:rsidRPr="005557BA">
        <w:rPr>
          <w:color w:val="000000"/>
        </w:rPr>
        <w:t>Bartholdy</w:t>
      </w:r>
      <w:proofErr w:type="spellEnd"/>
      <w:r w:rsidRPr="005557BA">
        <w:rPr>
          <w:color w:val="000000"/>
        </w:rPr>
        <w:t xml:space="preserve"> &amp; </w:t>
      </w:r>
      <w:proofErr w:type="spellStart"/>
      <w:r w:rsidRPr="005557BA">
        <w:rPr>
          <w:color w:val="000000"/>
        </w:rPr>
        <w:t>Mateus</w:t>
      </w:r>
      <w:proofErr w:type="spellEnd"/>
      <w:r w:rsidRPr="005557BA">
        <w:rPr>
          <w:color w:val="000000"/>
        </w:rPr>
        <w:t xml:space="preserve">, 2008). </w:t>
      </w:r>
      <w:r w:rsidR="00A9595A">
        <w:rPr>
          <w:color w:val="000000"/>
        </w:rPr>
        <w:t xml:space="preserve">This indicates a negative relation between the interest rate and leverage. </w:t>
      </w:r>
      <w:r>
        <w:rPr>
          <w:color w:val="000000"/>
        </w:rPr>
        <w:t>The trade-off theory states that interest are tax deductib</w:t>
      </w:r>
      <w:r w:rsidR="00A9595A">
        <w:rPr>
          <w:color w:val="000000"/>
        </w:rPr>
        <w:t>le, which leads to tax benefits.</w:t>
      </w:r>
      <w:r>
        <w:rPr>
          <w:color w:val="000000"/>
        </w:rPr>
        <w:t xml:space="preserve"> </w:t>
      </w:r>
      <w:r w:rsidRPr="005557BA">
        <w:rPr>
          <w:color w:val="000000"/>
        </w:rPr>
        <w:t xml:space="preserve">This is the reason </w:t>
      </w:r>
      <w:r w:rsidRPr="005557BA">
        <w:rPr>
          <w:color w:val="000000"/>
        </w:rPr>
        <w:lastRenderedPageBreak/>
        <w:t>why</w:t>
      </w:r>
      <w:r w:rsidR="00A9595A">
        <w:rPr>
          <w:color w:val="000000"/>
        </w:rPr>
        <w:t xml:space="preserve"> a positive </w:t>
      </w:r>
      <w:r w:rsidRPr="005557BA">
        <w:rPr>
          <w:color w:val="000000"/>
        </w:rPr>
        <w:t>relationship is expected with capital structure.</w:t>
      </w:r>
      <w:r>
        <w:rPr>
          <w:color w:val="000000"/>
        </w:rPr>
        <w:t xml:space="preserve"> </w:t>
      </w:r>
      <w:r w:rsidR="00864870">
        <w:rPr>
          <w:color w:val="000000"/>
        </w:rPr>
        <w:t xml:space="preserve"> </w:t>
      </w:r>
      <w:r w:rsidR="005B4E32">
        <w:rPr>
          <w:rFonts w:cstheme="minorHAnsi"/>
        </w:rPr>
        <w:t>T</w:t>
      </w:r>
      <w:r w:rsidRPr="00903704">
        <w:rPr>
          <w:rFonts w:cstheme="minorHAnsi"/>
        </w:rPr>
        <w:t>he fourth hypothesis is as follows:</w:t>
      </w:r>
      <w:r>
        <w:rPr>
          <w:rFonts w:cstheme="minorHAnsi"/>
        </w:rPr>
        <w:t xml:space="preserve"> </w:t>
      </w:r>
      <w:r w:rsidRPr="00903704">
        <w:rPr>
          <w:rFonts w:cstheme="minorHAnsi"/>
          <w:i/>
        </w:rPr>
        <w:t>‘The change in interest rate is negatively correlated with the capital structure of SMEs’.</w:t>
      </w:r>
    </w:p>
    <w:p w14:paraId="70600BF2" w14:textId="440DFD30" w:rsidR="003F0BDA" w:rsidRPr="00631D63" w:rsidRDefault="003F0BDA" w:rsidP="00CC1A36">
      <w:pPr>
        <w:spacing w:line="360" w:lineRule="auto"/>
        <w:jc w:val="both"/>
        <w:rPr>
          <w:color w:val="000000"/>
        </w:rPr>
      </w:pPr>
    </w:p>
    <w:p w14:paraId="72806AB9" w14:textId="77777777" w:rsidR="00CC1A36" w:rsidRDefault="00CC1A36" w:rsidP="00CC1A36">
      <w:pPr>
        <w:autoSpaceDE w:val="0"/>
        <w:autoSpaceDN w:val="0"/>
        <w:adjustRightInd w:val="0"/>
        <w:spacing w:after="0" w:line="240" w:lineRule="auto"/>
        <w:jc w:val="both"/>
        <w:rPr>
          <w:rFonts w:cstheme="minorHAnsi"/>
        </w:rPr>
      </w:pPr>
    </w:p>
    <w:tbl>
      <w:tblPr>
        <w:tblStyle w:val="TableGrid"/>
        <w:tblW w:w="9445" w:type="dxa"/>
        <w:tblLook w:val="04A0" w:firstRow="1" w:lastRow="0" w:firstColumn="1" w:lastColumn="0" w:noHBand="0" w:noVBand="1"/>
      </w:tblPr>
      <w:tblGrid>
        <w:gridCol w:w="2337"/>
        <w:gridCol w:w="2608"/>
        <w:gridCol w:w="2067"/>
        <w:gridCol w:w="2433"/>
      </w:tblGrid>
      <w:tr w:rsidR="00CC1A36" w14:paraId="31519FEE" w14:textId="77777777" w:rsidTr="00CD2B0D">
        <w:trPr>
          <w:trHeight w:val="503"/>
        </w:trPr>
        <w:tc>
          <w:tcPr>
            <w:tcW w:w="2337" w:type="dxa"/>
          </w:tcPr>
          <w:p w14:paraId="438B40F4" w14:textId="77777777" w:rsidR="00CC1A36" w:rsidRPr="00631D63" w:rsidRDefault="00CC1A36" w:rsidP="00467FD5">
            <w:pPr>
              <w:autoSpaceDE w:val="0"/>
              <w:autoSpaceDN w:val="0"/>
              <w:adjustRightInd w:val="0"/>
              <w:jc w:val="both"/>
              <w:rPr>
                <w:rFonts w:cstheme="minorHAnsi"/>
                <w:b/>
                <w:sz w:val="24"/>
                <w:szCs w:val="24"/>
              </w:rPr>
            </w:pPr>
            <w:r w:rsidRPr="00631D63">
              <w:rPr>
                <w:rFonts w:cstheme="minorHAnsi"/>
                <w:b/>
                <w:sz w:val="24"/>
                <w:szCs w:val="24"/>
              </w:rPr>
              <w:t>VARIABLE</w:t>
            </w:r>
          </w:p>
        </w:tc>
        <w:tc>
          <w:tcPr>
            <w:tcW w:w="2608" w:type="dxa"/>
          </w:tcPr>
          <w:p w14:paraId="5047B352" w14:textId="77777777" w:rsidR="00CC1A36" w:rsidRPr="00631D63" w:rsidRDefault="00CC1A36" w:rsidP="00467FD5">
            <w:pPr>
              <w:autoSpaceDE w:val="0"/>
              <w:autoSpaceDN w:val="0"/>
              <w:adjustRightInd w:val="0"/>
              <w:jc w:val="both"/>
              <w:rPr>
                <w:rFonts w:cstheme="minorHAnsi"/>
                <w:b/>
                <w:sz w:val="24"/>
                <w:szCs w:val="24"/>
              </w:rPr>
            </w:pPr>
            <w:r w:rsidRPr="00631D63">
              <w:rPr>
                <w:rFonts w:cstheme="minorHAnsi"/>
                <w:b/>
                <w:sz w:val="24"/>
                <w:szCs w:val="24"/>
              </w:rPr>
              <w:t>DEFINITION</w:t>
            </w:r>
          </w:p>
        </w:tc>
        <w:tc>
          <w:tcPr>
            <w:tcW w:w="2067" w:type="dxa"/>
          </w:tcPr>
          <w:p w14:paraId="69B73318" w14:textId="130DBDB4" w:rsidR="00CC1A36" w:rsidRPr="00631D63" w:rsidRDefault="00B778A1" w:rsidP="00467FD5">
            <w:pPr>
              <w:autoSpaceDE w:val="0"/>
              <w:autoSpaceDN w:val="0"/>
              <w:adjustRightInd w:val="0"/>
              <w:jc w:val="both"/>
              <w:rPr>
                <w:rFonts w:cstheme="minorHAnsi"/>
                <w:b/>
                <w:sz w:val="24"/>
                <w:szCs w:val="24"/>
              </w:rPr>
            </w:pPr>
            <w:r>
              <w:rPr>
                <w:rFonts w:cstheme="minorHAnsi"/>
                <w:b/>
                <w:sz w:val="24"/>
                <w:szCs w:val="24"/>
              </w:rPr>
              <w:t>Trade-off theory</w:t>
            </w:r>
          </w:p>
        </w:tc>
        <w:tc>
          <w:tcPr>
            <w:tcW w:w="2433" w:type="dxa"/>
          </w:tcPr>
          <w:p w14:paraId="3430058C" w14:textId="113361A2" w:rsidR="00CC1A36" w:rsidRPr="00631D63" w:rsidRDefault="00B778A1" w:rsidP="00467FD5">
            <w:pPr>
              <w:autoSpaceDE w:val="0"/>
              <w:autoSpaceDN w:val="0"/>
              <w:adjustRightInd w:val="0"/>
              <w:jc w:val="both"/>
              <w:rPr>
                <w:rFonts w:cstheme="minorHAnsi"/>
                <w:b/>
                <w:sz w:val="24"/>
                <w:szCs w:val="24"/>
              </w:rPr>
            </w:pPr>
            <w:r>
              <w:rPr>
                <w:rFonts w:cstheme="minorHAnsi"/>
                <w:b/>
                <w:sz w:val="24"/>
                <w:szCs w:val="24"/>
              </w:rPr>
              <w:t>Pecking Order Theory</w:t>
            </w:r>
          </w:p>
        </w:tc>
      </w:tr>
      <w:tr w:rsidR="00CC1A36" w14:paraId="4789AFEC" w14:textId="77777777" w:rsidTr="00CD2B0D">
        <w:trPr>
          <w:trHeight w:val="440"/>
        </w:trPr>
        <w:tc>
          <w:tcPr>
            <w:tcW w:w="2337" w:type="dxa"/>
          </w:tcPr>
          <w:p w14:paraId="23713FA9" w14:textId="77777777" w:rsidR="00CC1A36" w:rsidRDefault="00CC1A36" w:rsidP="00467FD5">
            <w:pPr>
              <w:autoSpaceDE w:val="0"/>
              <w:autoSpaceDN w:val="0"/>
              <w:adjustRightInd w:val="0"/>
              <w:jc w:val="both"/>
              <w:rPr>
                <w:rFonts w:cstheme="minorHAnsi"/>
              </w:rPr>
            </w:pPr>
            <w:r>
              <w:rPr>
                <w:rFonts w:cstheme="minorHAnsi"/>
              </w:rPr>
              <w:t>GDP</w:t>
            </w:r>
          </w:p>
        </w:tc>
        <w:tc>
          <w:tcPr>
            <w:tcW w:w="2608" w:type="dxa"/>
          </w:tcPr>
          <w:p w14:paraId="4AA3F3D6" w14:textId="77777777" w:rsidR="00CC1A36" w:rsidRDefault="00CC1A36" w:rsidP="00467FD5">
            <w:pPr>
              <w:autoSpaceDE w:val="0"/>
              <w:autoSpaceDN w:val="0"/>
              <w:adjustRightInd w:val="0"/>
              <w:jc w:val="both"/>
              <w:rPr>
                <w:rFonts w:cstheme="minorHAnsi"/>
              </w:rPr>
            </w:pPr>
            <w:r>
              <w:rPr>
                <w:rFonts w:cstheme="minorHAnsi"/>
              </w:rPr>
              <w:t>Gross Domestic Product</w:t>
            </w:r>
          </w:p>
        </w:tc>
        <w:tc>
          <w:tcPr>
            <w:tcW w:w="2067" w:type="dxa"/>
          </w:tcPr>
          <w:p w14:paraId="0ECE307D" w14:textId="7B0A88EB" w:rsidR="00CC1A36" w:rsidRPr="001F6040" w:rsidRDefault="001F6040" w:rsidP="00CD2B0D">
            <w:pPr>
              <w:autoSpaceDE w:val="0"/>
              <w:autoSpaceDN w:val="0"/>
              <w:adjustRightInd w:val="0"/>
              <w:jc w:val="center"/>
              <w:rPr>
                <w:rFonts w:cstheme="minorHAnsi"/>
                <w:i/>
              </w:rPr>
            </w:pPr>
            <w:r w:rsidRPr="00631D63">
              <w:rPr>
                <w:rFonts w:cstheme="minorHAnsi"/>
                <w:b/>
                <w:sz w:val="32"/>
                <w:szCs w:val="32"/>
              </w:rPr>
              <w:t>+</w:t>
            </w:r>
          </w:p>
        </w:tc>
        <w:tc>
          <w:tcPr>
            <w:tcW w:w="2433" w:type="dxa"/>
          </w:tcPr>
          <w:p w14:paraId="1726D36D" w14:textId="5E338F9D" w:rsidR="00CC1A36" w:rsidRPr="00631D63" w:rsidRDefault="00B60BA7" w:rsidP="00467FD5">
            <w:pPr>
              <w:autoSpaceDE w:val="0"/>
              <w:autoSpaceDN w:val="0"/>
              <w:adjustRightInd w:val="0"/>
              <w:jc w:val="center"/>
              <w:rPr>
                <w:rFonts w:cstheme="minorHAnsi"/>
                <w:b/>
                <w:sz w:val="32"/>
                <w:szCs w:val="32"/>
              </w:rPr>
            </w:pPr>
            <w:r>
              <w:rPr>
                <w:rFonts w:cstheme="minorHAnsi"/>
                <w:b/>
                <w:sz w:val="32"/>
                <w:szCs w:val="32"/>
              </w:rPr>
              <w:t>-</w:t>
            </w:r>
          </w:p>
        </w:tc>
      </w:tr>
      <w:tr w:rsidR="00CC1A36" w14:paraId="243F64C9" w14:textId="77777777" w:rsidTr="00CD2B0D">
        <w:trPr>
          <w:trHeight w:val="440"/>
        </w:trPr>
        <w:tc>
          <w:tcPr>
            <w:tcW w:w="2337" w:type="dxa"/>
          </w:tcPr>
          <w:p w14:paraId="082EDAD6" w14:textId="77777777" w:rsidR="00CC1A36" w:rsidRDefault="00CC1A36" w:rsidP="00467FD5">
            <w:pPr>
              <w:autoSpaceDE w:val="0"/>
              <w:autoSpaceDN w:val="0"/>
              <w:adjustRightInd w:val="0"/>
              <w:jc w:val="both"/>
              <w:rPr>
                <w:rFonts w:cstheme="minorHAnsi"/>
              </w:rPr>
            </w:pPr>
            <w:r>
              <w:rPr>
                <w:rFonts w:cstheme="minorHAnsi"/>
              </w:rPr>
              <w:t>GDPGROWTH</w:t>
            </w:r>
          </w:p>
        </w:tc>
        <w:tc>
          <w:tcPr>
            <w:tcW w:w="2608" w:type="dxa"/>
          </w:tcPr>
          <w:p w14:paraId="088DFF04" w14:textId="77777777" w:rsidR="00CC1A36" w:rsidRDefault="00CC1A36" w:rsidP="00467FD5">
            <w:pPr>
              <w:autoSpaceDE w:val="0"/>
              <w:autoSpaceDN w:val="0"/>
              <w:adjustRightInd w:val="0"/>
              <w:jc w:val="both"/>
              <w:rPr>
                <w:rFonts w:cstheme="minorHAnsi"/>
              </w:rPr>
            </w:pPr>
            <w:r>
              <w:rPr>
                <w:rFonts w:cstheme="minorHAnsi"/>
              </w:rPr>
              <w:t>Growth rate of the Gross Domestic Product</w:t>
            </w:r>
          </w:p>
        </w:tc>
        <w:tc>
          <w:tcPr>
            <w:tcW w:w="2067" w:type="dxa"/>
          </w:tcPr>
          <w:p w14:paraId="4A7CE391" w14:textId="7B1957C4" w:rsidR="00CC1A36" w:rsidRPr="00CD2B0D" w:rsidRDefault="00733B71" w:rsidP="00CD2B0D">
            <w:pPr>
              <w:autoSpaceDE w:val="0"/>
              <w:autoSpaceDN w:val="0"/>
              <w:adjustRightInd w:val="0"/>
              <w:jc w:val="center"/>
              <w:rPr>
                <w:rFonts w:cstheme="minorHAnsi"/>
                <w:b/>
                <w:sz w:val="32"/>
                <w:szCs w:val="32"/>
              </w:rPr>
            </w:pPr>
            <w:r w:rsidRPr="00CD2B0D">
              <w:rPr>
                <w:rFonts w:cstheme="minorHAnsi"/>
                <w:b/>
                <w:sz w:val="32"/>
                <w:szCs w:val="32"/>
              </w:rPr>
              <w:t>+</w:t>
            </w:r>
          </w:p>
        </w:tc>
        <w:tc>
          <w:tcPr>
            <w:tcW w:w="2433" w:type="dxa"/>
          </w:tcPr>
          <w:p w14:paraId="34330479" w14:textId="33B821EC" w:rsidR="00CC1A36" w:rsidRPr="00631D63" w:rsidRDefault="004E26BD" w:rsidP="00467FD5">
            <w:pPr>
              <w:autoSpaceDE w:val="0"/>
              <w:autoSpaceDN w:val="0"/>
              <w:adjustRightInd w:val="0"/>
              <w:jc w:val="center"/>
              <w:rPr>
                <w:rFonts w:cstheme="minorHAnsi"/>
                <w:b/>
                <w:sz w:val="32"/>
                <w:szCs w:val="32"/>
              </w:rPr>
            </w:pPr>
            <w:r>
              <w:rPr>
                <w:rFonts w:cstheme="minorHAnsi"/>
                <w:b/>
                <w:sz w:val="32"/>
                <w:szCs w:val="32"/>
              </w:rPr>
              <w:t>+</w:t>
            </w:r>
          </w:p>
        </w:tc>
      </w:tr>
      <w:tr w:rsidR="00CC1A36" w14:paraId="381FD99E" w14:textId="77777777" w:rsidTr="00CD2B0D">
        <w:trPr>
          <w:trHeight w:val="440"/>
        </w:trPr>
        <w:tc>
          <w:tcPr>
            <w:tcW w:w="2337" w:type="dxa"/>
          </w:tcPr>
          <w:p w14:paraId="2F0A29CB" w14:textId="77777777" w:rsidR="00CC1A36" w:rsidRDefault="00CC1A36" w:rsidP="00467FD5">
            <w:pPr>
              <w:autoSpaceDE w:val="0"/>
              <w:autoSpaceDN w:val="0"/>
              <w:adjustRightInd w:val="0"/>
              <w:jc w:val="both"/>
              <w:rPr>
                <w:rFonts w:cstheme="minorHAnsi"/>
              </w:rPr>
            </w:pPr>
            <w:r>
              <w:rPr>
                <w:rFonts w:cstheme="minorHAnsi"/>
              </w:rPr>
              <w:t>INFLATION</w:t>
            </w:r>
          </w:p>
        </w:tc>
        <w:tc>
          <w:tcPr>
            <w:tcW w:w="2608" w:type="dxa"/>
          </w:tcPr>
          <w:p w14:paraId="33F2221F" w14:textId="77777777" w:rsidR="00CC1A36" w:rsidRDefault="00CC1A36" w:rsidP="00467FD5">
            <w:pPr>
              <w:autoSpaceDE w:val="0"/>
              <w:autoSpaceDN w:val="0"/>
              <w:adjustRightInd w:val="0"/>
              <w:jc w:val="both"/>
              <w:rPr>
                <w:rFonts w:cstheme="minorHAnsi"/>
              </w:rPr>
            </w:pPr>
            <w:r>
              <w:rPr>
                <w:rFonts w:cstheme="minorHAnsi"/>
              </w:rPr>
              <w:t>Inflation rate</w:t>
            </w:r>
          </w:p>
        </w:tc>
        <w:tc>
          <w:tcPr>
            <w:tcW w:w="2067" w:type="dxa"/>
          </w:tcPr>
          <w:p w14:paraId="6B13BCC7" w14:textId="16490353" w:rsidR="00CC1A36" w:rsidRPr="00631D63" w:rsidRDefault="007C6B36" w:rsidP="00CD2B0D">
            <w:pPr>
              <w:autoSpaceDE w:val="0"/>
              <w:autoSpaceDN w:val="0"/>
              <w:adjustRightInd w:val="0"/>
              <w:jc w:val="center"/>
              <w:rPr>
                <w:rFonts w:cstheme="minorHAnsi"/>
                <w:i/>
              </w:rPr>
            </w:pPr>
            <w:r>
              <w:rPr>
                <w:rFonts w:cstheme="minorHAnsi"/>
                <w:b/>
                <w:sz w:val="32"/>
                <w:szCs w:val="32"/>
              </w:rPr>
              <w:t>+</w:t>
            </w:r>
            <w:r w:rsidR="0024520F">
              <w:rPr>
                <w:rFonts w:cstheme="minorHAnsi"/>
                <w:b/>
                <w:sz w:val="32"/>
                <w:szCs w:val="32"/>
              </w:rPr>
              <w:t>/</w:t>
            </w:r>
            <w:r>
              <w:rPr>
                <w:rFonts w:cstheme="minorHAnsi"/>
                <w:b/>
                <w:sz w:val="32"/>
                <w:szCs w:val="32"/>
              </w:rPr>
              <w:t>-</w:t>
            </w:r>
          </w:p>
        </w:tc>
        <w:tc>
          <w:tcPr>
            <w:tcW w:w="2433" w:type="dxa"/>
          </w:tcPr>
          <w:p w14:paraId="6F3DFD00" w14:textId="0A114A37" w:rsidR="00CC1A36" w:rsidRPr="00CD2B0D" w:rsidRDefault="00CC1A36" w:rsidP="00467FD5">
            <w:pPr>
              <w:autoSpaceDE w:val="0"/>
              <w:autoSpaceDN w:val="0"/>
              <w:adjustRightInd w:val="0"/>
              <w:jc w:val="center"/>
              <w:rPr>
                <w:rFonts w:cstheme="minorHAnsi"/>
              </w:rPr>
            </w:pPr>
          </w:p>
        </w:tc>
      </w:tr>
      <w:tr w:rsidR="00CC1A36" w14:paraId="2B0B84FA" w14:textId="77777777" w:rsidTr="00CD2B0D">
        <w:trPr>
          <w:trHeight w:val="440"/>
        </w:trPr>
        <w:tc>
          <w:tcPr>
            <w:tcW w:w="2337" w:type="dxa"/>
          </w:tcPr>
          <w:p w14:paraId="38EC5C8A" w14:textId="77777777" w:rsidR="00CC1A36" w:rsidRDefault="00CC1A36" w:rsidP="00467FD5">
            <w:pPr>
              <w:autoSpaceDE w:val="0"/>
              <w:autoSpaceDN w:val="0"/>
              <w:adjustRightInd w:val="0"/>
              <w:jc w:val="both"/>
              <w:rPr>
                <w:rFonts w:cstheme="minorHAnsi"/>
              </w:rPr>
            </w:pPr>
            <w:r>
              <w:rPr>
                <w:rFonts w:cstheme="minorHAnsi"/>
              </w:rPr>
              <w:t>INTEREST</w:t>
            </w:r>
          </w:p>
        </w:tc>
        <w:tc>
          <w:tcPr>
            <w:tcW w:w="2608" w:type="dxa"/>
          </w:tcPr>
          <w:p w14:paraId="5EA6E150" w14:textId="77777777" w:rsidR="00CC1A36" w:rsidRDefault="00CC1A36" w:rsidP="00467FD5">
            <w:pPr>
              <w:autoSpaceDE w:val="0"/>
              <w:autoSpaceDN w:val="0"/>
              <w:adjustRightInd w:val="0"/>
              <w:jc w:val="both"/>
              <w:rPr>
                <w:rFonts w:cstheme="minorHAnsi"/>
              </w:rPr>
            </w:pPr>
            <w:r>
              <w:rPr>
                <w:rFonts w:cstheme="minorHAnsi"/>
              </w:rPr>
              <w:t>Interest rate</w:t>
            </w:r>
          </w:p>
        </w:tc>
        <w:tc>
          <w:tcPr>
            <w:tcW w:w="2067" w:type="dxa"/>
          </w:tcPr>
          <w:p w14:paraId="431EA955" w14:textId="5458E942" w:rsidR="00CC1A36" w:rsidRPr="00631D63" w:rsidRDefault="00A9595A" w:rsidP="00CD2B0D">
            <w:pPr>
              <w:autoSpaceDE w:val="0"/>
              <w:autoSpaceDN w:val="0"/>
              <w:adjustRightInd w:val="0"/>
              <w:jc w:val="center"/>
              <w:rPr>
                <w:rFonts w:cstheme="minorHAnsi"/>
                <w:i/>
              </w:rPr>
            </w:pPr>
            <w:r>
              <w:rPr>
                <w:rFonts w:cstheme="minorHAnsi"/>
                <w:b/>
                <w:sz w:val="32"/>
                <w:szCs w:val="32"/>
              </w:rPr>
              <w:t>+</w:t>
            </w:r>
          </w:p>
        </w:tc>
        <w:tc>
          <w:tcPr>
            <w:tcW w:w="2433" w:type="dxa"/>
          </w:tcPr>
          <w:p w14:paraId="0A52F19B" w14:textId="71F97B8A" w:rsidR="00CC1A36" w:rsidRPr="00631D63" w:rsidRDefault="004E3E9B" w:rsidP="00467FD5">
            <w:pPr>
              <w:autoSpaceDE w:val="0"/>
              <w:autoSpaceDN w:val="0"/>
              <w:adjustRightInd w:val="0"/>
              <w:jc w:val="center"/>
              <w:rPr>
                <w:rFonts w:cstheme="minorHAnsi"/>
                <w:b/>
                <w:sz w:val="32"/>
                <w:szCs w:val="32"/>
              </w:rPr>
            </w:pPr>
            <w:r>
              <w:rPr>
                <w:rFonts w:cstheme="minorHAnsi"/>
                <w:b/>
                <w:sz w:val="32"/>
                <w:szCs w:val="32"/>
              </w:rPr>
              <w:t>-</w:t>
            </w:r>
          </w:p>
        </w:tc>
      </w:tr>
    </w:tbl>
    <w:p w14:paraId="73F9311A" w14:textId="77777777" w:rsidR="00CC1A36" w:rsidRPr="00631D63" w:rsidRDefault="00CC1A36" w:rsidP="00CC1A36">
      <w:pPr>
        <w:autoSpaceDE w:val="0"/>
        <w:autoSpaceDN w:val="0"/>
        <w:adjustRightInd w:val="0"/>
        <w:spacing w:after="0" w:line="240" w:lineRule="auto"/>
        <w:jc w:val="both"/>
        <w:rPr>
          <w:rFonts w:cstheme="minorHAnsi"/>
          <w:sz w:val="18"/>
          <w:szCs w:val="18"/>
        </w:rPr>
      </w:pPr>
      <w:r w:rsidRPr="00631D63">
        <w:rPr>
          <w:rFonts w:cstheme="minorHAnsi"/>
          <w:sz w:val="18"/>
          <w:szCs w:val="18"/>
        </w:rPr>
        <w:t>Table. 1 Macro-Economic Variables.</w:t>
      </w:r>
    </w:p>
    <w:p w14:paraId="39DD9AD2" w14:textId="77777777" w:rsidR="00CC1A36" w:rsidRDefault="00CC1A36" w:rsidP="00CC1A36">
      <w:pPr>
        <w:autoSpaceDE w:val="0"/>
        <w:autoSpaceDN w:val="0"/>
        <w:adjustRightInd w:val="0"/>
        <w:spacing w:after="0" w:line="240" w:lineRule="auto"/>
        <w:jc w:val="both"/>
        <w:rPr>
          <w:rFonts w:cstheme="minorHAnsi"/>
        </w:rPr>
      </w:pPr>
    </w:p>
    <w:p w14:paraId="0589452E" w14:textId="0B0552EC" w:rsidR="00CC1A36" w:rsidRDefault="00CC1A36" w:rsidP="00CC1A36">
      <w:pPr>
        <w:autoSpaceDE w:val="0"/>
        <w:autoSpaceDN w:val="0"/>
        <w:adjustRightInd w:val="0"/>
        <w:spacing w:after="0" w:line="360" w:lineRule="auto"/>
        <w:jc w:val="both"/>
        <w:rPr>
          <w:rFonts w:ascii="Times-Roman" w:hAnsi="Times-Roman" w:cs="Times-Roman"/>
        </w:rPr>
      </w:pPr>
      <w:r w:rsidRPr="00FF24A7">
        <w:rPr>
          <w:rFonts w:cstheme="minorHAnsi"/>
        </w:rPr>
        <w:t xml:space="preserve">The availability of reliable data is scarce due to the fact that most studies which focus on capital structure of SMEs are researched with firm level variables. </w:t>
      </w:r>
      <w:r>
        <w:rPr>
          <w:rFonts w:cstheme="minorHAnsi"/>
        </w:rPr>
        <w:t>However, with the</w:t>
      </w:r>
      <w:r w:rsidRPr="00467F04">
        <w:rPr>
          <w:rFonts w:cstheme="minorHAnsi"/>
        </w:rPr>
        <w:t xml:space="preserve"> </w:t>
      </w:r>
      <w:r>
        <w:rPr>
          <w:rFonts w:cstheme="minorHAnsi"/>
        </w:rPr>
        <w:t>Doing Business initiative of the World Bank, the available data has increased. Most of the country specific variables will be obtained through this database. Using this source of data and researching several countries to create variation in the country specific variables, it is expected to see a relationship between these variables and the capital structure of SMEs. This may provide additional insight into capital structure theories and the importance of country specific variables. Knowing which specific variables influence capital structure, it is possible for policy makers to use this information to change certain government policies in order to provide SMEs with additional support. This does not mean that unexpected findings will not be elaborated on. If possible, further interesting findings will be analyzed and concluded on, or otherwise suggested for further research.</w:t>
      </w:r>
    </w:p>
    <w:p w14:paraId="7E2FB5D9" w14:textId="77777777" w:rsidR="00CC1A36" w:rsidRDefault="00CC1A36" w:rsidP="00CC1A36">
      <w:pPr>
        <w:autoSpaceDE w:val="0"/>
        <w:autoSpaceDN w:val="0"/>
        <w:adjustRightInd w:val="0"/>
        <w:spacing w:after="0" w:line="360" w:lineRule="auto"/>
        <w:rPr>
          <w:rFonts w:ascii="Times-Roman" w:hAnsi="Times-Roman" w:cs="Times-Roman"/>
        </w:rPr>
      </w:pPr>
    </w:p>
    <w:p w14:paraId="07603242" w14:textId="4C98B02D" w:rsidR="00CC1A36" w:rsidRDefault="00CC1A36" w:rsidP="00CC1A36">
      <w:pPr>
        <w:autoSpaceDE w:val="0"/>
        <w:autoSpaceDN w:val="0"/>
        <w:adjustRightInd w:val="0"/>
        <w:spacing w:after="0" w:line="360" w:lineRule="auto"/>
        <w:jc w:val="both"/>
        <w:rPr>
          <w:bCs/>
        </w:rPr>
      </w:pPr>
      <w:r w:rsidRPr="009F3A57">
        <w:rPr>
          <w:rFonts w:cstheme="minorHAnsi"/>
        </w:rPr>
        <w:t xml:space="preserve">The </w:t>
      </w:r>
      <w:r>
        <w:rPr>
          <w:rFonts w:cstheme="minorHAnsi"/>
        </w:rPr>
        <w:t xml:space="preserve">second part of this study will investigate the relationship between </w:t>
      </w:r>
      <w:r w:rsidR="00B763B7">
        <w:rPr>
          <w:rFonts w:cstheme="minorHAnsi"/>
        </w:rPr>
        <w:t xml:space="preserve">aggregated </w:t>
      </w:r>
      <w:r>
        <w:rPr>
          <w:rFonts w:cstheme="minorHAnsi"/>
        </w:rPr>
        <w:t xml:space="preserve">firm specific variables and capital structure. There has been previous study done on this topic, but none which uses the </w:t>
      </w:r>
      <w:r>
        <w:rPr>
          <w:bCs/>
        </w:rPr>
        <w:t xml:space="preserve">Survey on Access to Finance of Enterprises as a database. The </w:t>
      </w:r>
      <w:r w:rsidR="009E6D09">
        <w:rPr>
          <w:bCs/>
        </w:rPr>
        <w:t>three aggregated</w:t>
      </w:r>
      <w:r>
        <w:rPr>
          <w:bCs/>
        </w:rPr>
        <w:t xml:space="preserve"> firm specific variables obtained from this data source are the Turnover rate, the General Economic Outlook</w:t>
      </w:r>
      <w:r w:rsidR="009E6D09">
        <w:rPr>
          <w:bCs/>
        </w:rPr>
        <w:t xml:space="preserve">, and the </w:t>
      </w:r>
      <w:r>
        <w:rPr>
          <w:bCs/>
        </w:rPr>
        <w:t>Profitability</w:t>
      </w:r>
      <w:r w:rsidR="009E6D09">
        <w:rPr>
          <w:bCs/>
        </w:rPr>
        <w:t>.</w:t>
      </w:r>
      <w:r>
        <w:rPr>
          <w:bCs/>
        </w:rPr>
        <w:t xml:space="preserve"> These variables will be further explained and their expected effect on capital structure will be shown in table 2.</w:t>
      </w:r>
    </w:p>
    <w:p w14:paraId="5A57E9CF" w14:textId="7476C71F" w:rsidR="00EC453D" w:rsidRDefault="00EC453D" w:rsidP="00CC1A36">
      <w:pPr>
        <w:autoSpaceDE w:val="0"/>
        <w:autoSpaceDN w:val="0"/>
        <w:adjustRightInd w:val="0"/>
        <w:spacing w:after="0" w:line="360" w:lineRule="auto"/>
        <w:jc w:val="both"/>
        <w:rPr>
          <w:bCs/>
        </w:rPr>
      </w:pPr>
    </w:p>
    <w:p w14:paraId="28178B52" w14:textId="77777777" w:rsidR="00721A31" w:rsidRDefault="00721A31" w:rsidP="00CC1A36">
      <w:pPr>
        <w:spacing w:after="0" w:line="360" w:lineRule="auto"/>
        <w:jc w:val="both"/>
        <w:rPr>
          <w:rStyle w:val="Heading2Char"/>
          <w:rFonts w:asciiTheme="minorHAnsi" w:hAnsiTheme="minorHAnsi" w:cstheme="minorHAnsi"/>
          <w:color w:val="auto"/>
          <w:sz w:val="22"/>
          <w:szCs w:val="22"/>
        </w:rPr>
      </w:pPr>
    </w:p>
    <w:p w14:paraId="10A23654" w14:textId="77777777" w:rsidR="00721A31" w:rsidRDefault="00721A31" w:rsidP="00CC1A36">
      <w:pPr>
        <w:spacing w:after="0" w:line="360" w:lineRule="auto"/>
        <w:jc w:val="both"/>
        <w:rPr>
          <w:rStyle w:val="Heading2Char"/>
          <w:rFonts w:asciiTheme="minorHAnsi" w:hAnsiTheme="minorHAnsi" w:cstheme="minorHAnsi"/>
          <w:color w:val="auto"/>
          <w:sz w:val="22"/>
          <w:szCs w:val="22"/>
        </w:rPr>
      </w:pPr>
    </w:p>
    <w:p w14:paraId="693CDBAC" w14:textId="3905051F" w:rsidR="00CC1A36" w:rsidRDefault="00CC1A36" w:rsidP="00CC1A36">
      <w:pPr>
        <w:spacing w:after="0" w:line="360" w:lineRule="auto"/>
        <w:jc w:val="both"/>
        <w:rPr>
          <w:rFonts w:cstheme="minorHAnsi"/>
        </w:rPr>
      </w:pPr>
      <w:r w:rsidRPr="00FF24A7">
        <w:rPr>
          <w:rStyle w:val="Heading2Char"/>
          <w:rFonts w:asciiTheme="minorHAnsi" w:hAnsiTheme="minorHAnsi" w:cstheme="minorHAnsi"/>
          <w:color w:val="auto"/>
          <w:sz w:val="22"/>
          <w:szCs w:val="22"/>
        </w:rPr>
        <w:lastRenderedPageBreak/>
        <w:t>Turnover</w:t>
      </w:r>
      <w:r w:rsidRPr="00FF24A7">
        <w:rPr>
          <w:rFonts w:cstheme="minorHAnsi"/>
        </w:rPr>
        <w:t xml:space="preserve">                                                                                                                                                                             </w:t>
      </w:r>
    </w:p>
    <w:p w14:paraId="370EAE1C" w14:textId="4C8EC55E" w:rsidR="003A4F03" w:rsidRPr="003A4F03" w:rsidRDefault="00CC1A36" w:rsidP="003A4F03">
      <w:pPr>
        <w:spacing w:line="360" w:lineRule="auto"/>
        <w:jc w:val="both"/>
        <w:rPr>
          <w:rFonts w:cstheme="minorHAnsi"/>
          <w:bCs/>
        </w:rPr>
      </w:pPr>
      <w:r w:rsidRPr="00FF24A7">
        <w:rPr>
          <w:rFonts w:cstheme="minorHAnsi"/>
          <w:bCs/>
        </w:rPr>
        <w:t>The variable turnover will be used as a proxy for the size of a company and will be denoted as TURNOVER.</w:t>
      </w:r>
      <w:r w:rsidR="00E028A0">
        <w:rPr>
          <w:rFonts w:cstheme="minorHAnsi"/>
          <w:bCs/>
        </w:rPr>
        <w:t xml:space="preserve"> </w:t>
      </w:r>
      <w:r w:rsidR="00E028A0">
        <w:rPr>
          <w:rFonts w:cstheme="minorHAnsi"/>
        </w:rPr>
        <w:t xml:space="preserve">Small firms are often managed by very few people whose main objective is to keep the majority of the firm. That is why </w:t>
      </w:r>
      <w:r w:rsidR="003A4F03">
        <w:rPr>
          <w:rFonts w:cstheme="minorHAnsi"/>
        </w:rPr>
        <w:t>internal financing</w:t>
      </w:r>
      <w:r w:rsidR="00E028A0">
        <w:rPr>
          <w:rFonts w:cstheme="minorHAnsi"/>
        </w:rPr>
        <w:t xml:space="preserve"> is preferred over </w:t>
      </w:r>
      <w:r w:rsidR="003A4F03">
        <w:rPr>
          <w:rFonts w:cstheme="minorHAnsi"/>
        </w:rPr>
        <w:t>external financing,</w:t>
      </w:r>
      <w:r w:rsidR="00E028A0">
        <w:rPr>
          <w:rFonts w:cstheme="minorHAnsi"/>
        </w:rPr>
        <w:t xml:space="preserve"> in order to lower the risk of losing control. Therefore, following the pecking order theory a </w:t>
      </w:r>
      <w:r w:rsidR="003A4F03">
        <w:rPr>
          <w:rFonts w:cstheme="minorHAnsi"/>
        </w:rPr>
        <w:t>positively</w:t>
      </w:r>
      <w:r w:rsidR="00E028A0">
        <w:rPr>
          <w:rFonts w:cstheme="minorHAnsi"/>
        </w:rPr>
        <w:t xml:space="preserve"> relation is expected.</w:t>
      </w:r>
      <w:r w:rsidRPr="00FF24A7">
        <w:rPr>
          <w:rFonts w:cstheme="minorHAnsi"/>
          <w:bCs/>
        </w:rPr>
        <w:t xml:space="preserve"> </w:t>
      </w:r>
      <w:r w:rsidR="00E028A0">
        <w:rPr>
          <w:rFonts w:cstheme="minorHAnsi"/>
          <w:bCs/>
        </w:rPr>
        <w:t>Moreover, s</w:t>
      </w:r>
      <w:r w:rsidRPr="00FF24A7">
        <w:rPr>
          <w:rFonts w:cstheme="minorHAnsi"/>
          <w:bCs/>
        </w:rPr>
        <w:t xml:space="preserve">mall firms have a higher risk of default compared to larger firms. Reason for this is that larger firms tend to be more diversified and should lead to a lower debt to assets ratio for smaller firms. The </w:t>
      </w:r>
      <w:r>
        <w:rPr>
          <w:rFonts w:cstheme="minorHAnsi"/>
          <w:bCs/>
        </w:rPr>
        <w:t>trade-</w:t>
      </w:r>
      <w:r w:rsidRPr="00FF24A7">
        <w:rPr>
          <w:rFonts w:cstheme="minorHAnsi"/>
          <w:bCs/>
        </w:rPr>
        <w:t>off theory suggests that more debt financing is weighted against the potential cost of bankruptcy which is affected by de probability of default (</w:t>
      </w:r>
      <w:proofErr w:type="spellStart"/>
      <w:r w:rsidRPr="00FF24A7">
        <w:rPr>
          <w:rFonts w:cstheme="minorHAnsi"/>
          <w:bCs/>
        </w:rPr>
        <w:t>Rajan</w:t>
      </w:r>
      <w:proofErr w:type="spellEnd"/>
      <w:r w:rsidRPr="00FF24A7">
        <w:rPr>
          <w:rFonts w:cstheme="minorHAnsi"/>
          <w:bCs/>
        </w:rPr>
        <w:t xml:space="preserve"> &amp; </w:t>
      </w:r>
      <w:proofErr w:type="spellStart"/>
      <w:r w:rsidRPr="00FF24A7">
        <w:rPr>
          <w:rFonts w:cstheme="minorHAnsi"/>
          <w:bCs/>
        </w:rPr>
        <w:t>Zingales</w:t>
      </w:r>
      <w:proofErr w:type="spellEnd"/>
      <w:r w:rsidRPr="00FF24A7">
        <w:rPr>
          <w:rFonts w:cstheme="minorHAnsi"/>
          <w:bCs/>
        </w:rPr>
        <w:t>, 1</w:t>
      </w:r>
      <w:r>
        <w:rPr>
          <w:rFonts w:cstheme="minorHAnsi"/>
          <w:bCs/>
        </w:rPr>
        <w:t>995). According to this</w:t>
      </w:r>
      <w:r w:rsidRPr="00FF24A7">
        <w:rPr>
          <w:rFonts w:cstheme="minorHAnsi"/>
          <w:bCs/>
        </w:rPr>
        <w:t xml:space="preserve"> theory</w:t>
      </w:r>
      <w:r>
        <w:rPr>
          <w:rFonts w:cstheme="minorHAnsi"/>
          <w:bCs/>
        </w:rPr>
        <w:t>,</w:t>
      </w:r>
      <w:r w:rsidRPr="00FF24A7">
        <w:rPr>
          <w:rFonts w:cstheme="minorHAnsi"/>
          <w:bCs/>
        </w:rPr>
        <w:t xml:space="preserve"> size is positively related to the capital structure (</w:t>
      </w:r>
      <w:proofErr w:type="spellStart"/>
      <w:r w:rsidRPr="00FF24A7">
        <w:rPr>
          <w:rFonts w:cstheme="minorHAnsi"/>
          <w:bCs/>
        </w:rPr>
        <w:t>J</w:t>
      </w:r>
      <w:r w:rsidRPr="00FF24A7">
        <w:rPr>
          <w:rFonts w:cstheme="minorHAnsi"/>
        </w:rPr>
        <w:t>õeveer</w:t>
      </w:r>
      <w:proofErr w:type="spellEnd"/>
      <w:r w:rsidRPr="00FF24A7">
        <w:rPr>
          <w:rFonts w:cstheme="minorHAnsi"/>
        </w:rPr>
        <w:t>, 2006)</w:t>
      </w:r>
      <w:r>
        <w:rPr>
          <w:rFonts w:cstheme="minorHAnsi"/>
        </w:rPr>
        <w:t xml:space="preserve">. </w:t>
      </w:r>
      <w:r w:rsidR="00E028A0">
        <w:rPr>
          <w:rFonts w:cstheme="minorHAnsi"/>
        </w:rPr>
        <w:t>T</w:t>
      </w:r>
      <w:r>
        <w:rPr>
          <w:rFonts w:cstheme="minorHAnsi"/>
        </w:rPr>
        <w:t xml:space="preserve">he fifth hypothesis is that </w:t>
      </w:r>
      <w:r w:rsidRPr="00053CEE">
        <w:rPr>
          <w:rFonts w:cstheme="minorHAnsi"/>
          <w:i/>
        </w:rPr>
        <w:t>‘Turnover is positively correlated with the capital structure of SMEs</w:t>
      </w:r>
      <w:r>
        <w:rPr>
          <w:rFonts w:cstheme="minorHAnsi"/>
        </w:rPr>
        <w:t>’.</w:t>
      </w:r>
    </w:p>
    <w:p w14:paraId="17107861" w14:textId="77777777" w:rsidR="003A4F03" w:rsidRDefault="003A4F03" w:rsidP="00CC1A36">
      <w:pPr>
        <w:spacing w:after="0" w:line="360" w:lineRule="auto"/>
        <w:jc w:val="both"/>
        <w:rPr>
          <w:bCs/>
        </w:rPr>
      </w:pPr>
    </w:p>
    <w:p w14:paraId="25353F68" w14:textId="77777777" w:rsidR="00CC1A36" w:rsidRPr="0075530F" w:rsidRDefault="00CC1A36" w:rsidP="00CC1A36">
      <w:pPr>
        <w:spacing w:after="0" w:line="360" w:lineRule="auto"/>
        <w:jc w:val="both"/>
        <w:rPr>
          <w:b/>
        </w:rPr>
      </w:pPr>
      <w:r w:rsidRPr="0075530F">
        <w:rPr>
          <w:b/>
        </w:rPr>
        <w:t xml:space="preserve">General Economic Outlook         </w:t>
      </w:r>
    </w:p>
    <w:p w14:paraId="06CE4942" w14:textId="1C3681AA" w:rsidR="00CC1A36" w:rsidRDefault="00CC1A36" w:rsidP="00CC1A36">
      <w:pPr>
        <w:spacing w:line="360" w:lineRule="auto"/>
        <w:jc w:val="both"/>
        <w:rPr>
          <w:bCs/>
        </w:rPr>
      </w:pPr>
      <w:r>
        <w:rPr>
          <w:bCs/>
        </w:rPr>
        <w:t xml:space="preserve">This variable is represented in the regression as (GVIEW). This variable will be used as a proxy for future growth opportunities. High future growth opportunities will lead firms to finance themselves more with equity than with debt, because less leveraged firms are more likely to maximize profitable investment opportunities (Myers, 1977). This is also in accordance with the </w:t>
      </w:r>
      <w:r w:rsidR="00722790">
        <w:rPr>
          <w:bCs/>
        </w:rPr>
        <w:t xml:space="preserve">trade-off </w:t>
      </w:r>
      <w:r>
        <w:rPr>
          <w:bCs/>
        </w:rPr>
        <w:t xml:space="preserve">theory. </w:t>
      </w:r>
      <w:r w:rsidR="0020609B">
        <w:rPr>
          <w:bCs/>
        </w:rPr>
        <w:t xml:space="preserve"> It is however expected that retained earnings are not enough to finance all projects,</w:t>
      </w:r>
      <w:r w:rsidR="007C6279">
        <w:rPr>
          <w:bCs/>
        </w:rPr>
        <w:t xml:space="preserve"> meaning that debt financing has</w:t>
      </w:r>
      <w:r w:rsidR="0020609B">
        <w:rPr>
          <w:bCs/>
        </w:rPr>
        <w:t xml:space="preserve"> to be sou</w:t>
      </w:r>
      <w:r w:rsidR="007C6279">
        <w:rPr>
          <w:bCs/>
        </w:rPr>
        <w:t xml:space="preserve">ght. This indicates a positive relation between debt and growth opportunities, and is in line with the trade-off theory. </w:t>
      </w:r>
      <w:r>
        <w:rPr>
          <w:bCs/>
        </w:rPr>
        <w:t>The sixth hypothesis can be denoted as ‘</w:t>
      </w:r>
      <w:r w:rsidRPr="0039599F">
        <w:rPr>
          <w:bCs/>
          <w:i/>
        </w:rPr>
        <w:t>General Economic View is negatively correlated with the capital structure of SMEs</w:t>
      </w:r>
      <w:r>
        <w:rPr>
          <w:bCs/>
        </w:rPr>
        <w:t>’.</w:t>
      </w:r>
    </w:p>
    <w:p w14:paraId="193320BD" w14:textId="79A3D82C" w:rsidR="008B3BCF" w:rsidRDefault="008B3BCF" w:rsidP="008B3BCF">
      <w:pPr>
        <w:spacing w:after="0" w:line="360" w:lineRule="auto"/>
        <w:jc w:val="both"/>
        <w:rPr>
          <w:rFonts w:ascii="Times-Roman" w:hAnsi="Times-Roman" w:cs="Times-Roman"/>
          <w:sz w:val="24"/>
          <w:szCs w:val="24"/>
        </w:rPr>
      </w:pPr>
    </w:p>
    <w:p w14:paraId="68121A61" w14:textId="77777777" w:rsidR="00CC1A36" w:rsidRDefault="00CC1A36" w:rsidP="00CC1A36">
      <w:pPr>
        <w:spacing w:after="0" w:line="360" w:lineRule="auto"/>
        <w:jc w:val="both"/>
        <w:rPr>
          <w:b/>
        </w:rPr>
      </w:pPr>
      <w:r w:rsidRPr="0039599F">
        <w:rPr>
          <w:b/>
        </w:rPr>
        <w:t>Profitability</w:t>
      </w:r>
    </w:p>
    <w:p w14:paraId="00DA9263" w14:textId="2FB792C0" w:rsidR="00CC1A36" w:rsidRPr="00ED6BD0" w:rsidRDefault="00B763B7" w:rsidP="00ED6BD0">
      <w:pPr>
        <w:spacing w:line="360" w:lineRule="auto"/>
        <w:jc w:val="both"/>
      </w:pPr>
      <w:r>
        <w:t xml:space="preserve">Profitably of SMEs is used as an aggregated </w:t>
      </w:r>
      <w:r w:rsidR="00CC1A36">
        <w:t xml:space="preserve">firm specific variable to test the amount of debt in a firm and is denoted as PROFIT in the regression. </w:t>
      </w:r>
      <w:r w:rsidR="00B60BA7">
        <w:t xml:space="preserve"> According to the trade-off theory profitable firms have a lower probability of financial distress and find interest tax shields more valuable (</w:t>
      </w:r>
      <w:proofErr w:type="spellStart"/>
      <w:r w:rsidR="00B60BA7">
        <w:t>Houwen</w:t>
      </w:r>
      <w:proofErr w:type="spellEnd"/>
      <w:r w:rsidR="00B60BA7">
        <w:t>, 2011). Therefore, firms should seek more debt instead of equity. Yet, a</w:t>
      </w:r>
      <w:r w:rsidR="00CC1A36">
        <w:t xml:space="preserve">ccording to the pecking order theory firms prefer using internal financing over external financing, so profitable firms will use more equity. It is expected that profitability and capital structure is </w:t>
      </w:r>
      <w:r w:rsidR="008B3BCF">
        <w:t xml:space="preserve">negatively </w:t>
      </w:r>
      <w:r w:rsidR="00CC1A36">
        <w:t xml:space="preserve">correlated. Therefore, the seventh hypothesis is that </w:t>
      </w:r>
      <w:r w:rsidR="00CC1A36" w:rsidRPr="0039599F">
        <w:rPr>
          <w:i/>
        </w:rPr>
        <w:t xml:space="preserve">‘Profitability is </w:t>
      </w:r>
      <w:r w:rsidR="008B3BCF">
        <w:rPr>
          <w:i/>
        </w:rPr>
        <w:t>negatively</w:t>
      </w:r>
      <w:r w:rsidR="008B3BCF" w:rsidRPr="0039599F">
        <w:rPr>
          <w:i/>
        </w:rPr>
        <w:t xml:space="preserve"> </w:t>
      </w:r>
      <w:r w:rsidR="00CC1A36" w:rsidRPr="0039599F">
        <w:rPr>
          <w:i/>
        </w:rPr>
        <w:t>correlated with the capital structure of SMEs</w:t>
      </w:r>
      <w:r w:rsidR="00152361">
        <w:t>’.</w:t>
      </w:r>
    </w:p>
    <w:tbl>
      <w:tblPr>
        <w:tblStyle w:val="TableGrid"/>
        <w:tblW w:w="9445" w:type="dxa"/>
        <w:tblLook w:val="04A0" w:firstRow="1" w:lastRow="0" w:firstColumn="1" w:lastColumn="0" w:noHBand="0" w:noVBand="1"/>
      </w:tblPr>
      <w:tblGrid>
        <w:gridCol w:w="2337"/>
        <w:gridCol w:w="2608"/>
        <w:gridCol w:w="2067"/>
        <w:gridCol w:w="2433"/>
      </w:tblGrid>
      <w:tr w:rsidR="00CC1A36" w14:paraId="52C291A9" w14:textId="77777777" w:rsidTr="00CD2B0D">
        <w:trPr>
          <w:trHeight w:val="503"/>
        </w:trPr>
        <w:tc>
          <w:tcPr>
            <w:tcW w:w="2337" w:type="dxa"/>
          </w:tcPr>
          <w:p w14:paraId="5C2E8AE6" w14:textId="77777777" w:rsidR="00CC1A36" w:rsidRPr="00631D63" w:rsidRDefault="00CC1A36" w:rsidP="00467FD5">
            <w:pPr>
              <w:autoSpaceDE w:val="0"/>
              <w:autoSpaceDN w:val="0"/>
              <w:adjustRightInd w:val="0"/>
              <w:jc w:val="both"/>
              <w:rPr>
                <w:rFonts w:cstheme="minorHAnsi"/>
                <w:b/>
                <w:sz w:val="24"/>
                <w:szCs w:val="24"/>
              </w:rPr>
            </w:pPr>
            <w:r w:rsidRPr="00631D63">
              <w:rPr>
                <w:rFonts w:cstheme="minorHAnsi"/>
                <w:b/>
                <w:sz w:val="24"/>
                <w:szCs w:val="24"/>
              </w:rPr>
              <w:lastRenderedPageBreak/>
              <w:t>VARIABLE</w:t>
            </w:r>
          </w:p>
        </w:tc>
        <w:tc>
          <w:tcPr>
            <w:tcW w:w="2608" w:type="dxa"/>
          </w:tcPr>
          <w:p w14:paraId="00937679" w14:textId="77777777" w:rsidR="00CC1A36" w:rsidRPr="00631D63" w:rsidRDefault="00CC1A36" w:rsidP="00467FD5">
            <w:pPr>
              <w:autoSpaceDE w:val="0"/>
              <w:autoSpaceDN w:val="0"/>
              <w:adjustRightInd w:val="0"/>
              <w:jc w:val="both"/>
              <w:rPr>
                <w:rFonts w:cstheme="minorHAnsi"/>
                <w:b/>
                <w:sz w:val="24"/>
                <w:szCs w:val="24"/>
              </w:rPr>
            </w:pPr>
            <w:r w:rsidRPr="00631D63">
              <w:rPr>
                <w:rFonts w:cstheme="minorHAnsi"/>
                <w:b/>
                <w:sz w:val="24"/>
                <w:szCs w:val="24"/>
              </w:rPr>
              <w:t>DEFINITION</w:t>
            </w:r>
          </w:p>
        </w:tc>
        <w:tc>
          <w:tcPr>
            <w:tcW w:w="2067" w:type="dxa"/>
          </w:tcPr>
          <w:p w14:paraId="3434A187" w14:textId="30859835" w:rsidR="00CC1A36" w:rsidRPr="00631D63" w:rsidRDefault="001F6040" w:rsidP="00467FD5">
            <w:pPr>
              <w:autoSpaceDE w:val="0"/>
              <w:autoSpaceDN w:val="0"/>
              <w:adjustRightInd w:val="0"/>
              <w:jc w:val="both"/>
              <w:rPr>
                <w:rFonts w:cstheme="minorHAnsi"/>
                <w:b/>
                <w:sz w:val="24"/>
                <w:szCs w:val="24"/>
              </w:rPr>
            </w:pPr>
            <w:r>
              <w:rPr>
                <w:rFonts w:cstheme="minorHAnsi"/>
                <w:b/>
                <w:sz w:val="24"/>
                <w:szCs w:val="24"/>
              </w:rPr>
              <w:t>Trade-off theory</w:t>
            </w:r>
          </w:p>
        </w:tc>
        <w:tc>
          <w:tcPr>
            <w:tcW w:w="2433" w:type="dxa"/>
          </w:tcPr>
          <w:p w14:paraId="622579E8" w14:textId="102CF589" w:rsidR="00CC1A36" w:rsidRPr="00631D63" w:rsidRDefault="001F6040" w:rsidP="00467FD5">
            <w:pPr>
              <w:autoSpaceDE w:val="0"/>
              <w:autoSpaceDN w:val="0"/>
              <w:adjustRightInd w:val="0"/>
              <w:jc w:val="both"/>
              <w:rPr>
                <w:rFonts w:cstheme="minorHAnsi"/>
                <w:b/>
                <w:sz w:val="24"/>
                <w:szCs w:val="24"/>
              </w:rPr>
            </w:pPr>
            <w:r>
              <w:rPr>
                <w:rFonts w:cstheme="minorHAnsi"/>
                <w:b/>
                <w:sz w:val="24"/>
                <w:szCs w:val="24"/>
              </w:rPr>
              <w:t>Pecking Order Theory</w:t>
            </w:r>
          </w:p>
        </w:tc>
      </w:tr>
      <w:tr w:rsidR="00CC1A36" w14:paraId="36862829" w14:textId="77777777" w:rsidTr="00CD2B0D">
        <w:trPr>
          <w:trHeight w:val="440"/>
        </w:trPr>
        <w:tc>
          <w:tcPr>
            <w:tcW w:w="2337" w:type="dxa"/>
          </w:tcPr>
          <w:p w14:paraId="0D5AD06C" w14:textId="77777777" w:rsidR="00CC1A36" w:rsidRDefault="00CC1A36" w:rsidP="00467FD5">
            <w:pPr>
              <w:autoSpaceDE w:val="0"/>
              <w:autoSpaceDN w:val="0"/>
              <w:adjustRightInd w:val="0"/>
              <w:jc w:val="both"/>
              <w:rPr>
                <w:rFonts w:cstheme="minorHAnsi"/>
              </w:rPr>
            </w:pPr>
            <w:r>
              <w:rPr>
                <w:rFonts w:cstheme="minorHAnsi"/>
              </w:rPr>
              <w:t>TURNOVER</w:t>
            </w:r>
          </w:p>
        </w:tc>
        <w:tc>
          <w:tcPr>
            <w:tcW w:w="2608" w:type="dxa"/>
          </w:tcPr>
          <w:p w14:paraId="6FFA7268" w14:textId="77777777" w:rsidR="00CC1A36" w:rsidRDefault="00CC1A36" w:rsidP="00467FD5">
            <w:pPr>
              <w:autoSpaceDE w:val="0"/>
              <w:autoSpaceDN w:val="0"/>
              <w:adjustRightInd w:val="0"/>
              <w:jc w:val="both"/>
              <w:rPr>
                <w:rFonts w:cstheme="minorHAnsi"/>
              </w:rPr>
            </w:pPr>
            <w:r>
              <w:rPr>
                <w:rFonts w:cstheme="minorHAnsi"/>
              </w:rPr>
              <w:t>Turnover</w:t>
            </w:r>
          </w:p>
        </w:tc>
        <w:tc>
          <w:tcPr>
            <w:tcW w:w="2067" w:type="dxa"/>
          </w:tcPr>
          <w:p w14:paraId="7604024E" w14:textId="27D438CD" w:rsidR="00CC1A36" w:rsidRPr="00631D63" w:rsidRDefault="001F6040" w:rsidP="00CD2B0D">
            <w:pPr>
              <w:autoSpaceDE w:val="0"/>
              <w:autoSpaceDN w:val="0"/>
              <w:adjustRightInd w:val="0"/>
              <w:jc w:val="center"/>
              <w:rPr>
                <w:rFonts w:cstheme="minorHAnsi"/>
                <w:i/>
              </w:rPr>
            </w:pPr>
            <w:r w:rsidRPr="00631D63">
              <w:rPr>
                <w:rFonts w:cstheme="minorHAnsi"/>
                <w:b/>
                <w:sz w:val="32"/>
                <w:szCs w:val="32"/>
              </w:rPr>
              <w:t>+</w:t>
            </w:r>
          </w:p>
        </w:tc>
        <w:tc>
          <w:tcPr>
            <w:tcW w:w="2433" w:type="dxa"/>
          </w:tcPr>
          <w:p w14:paraId="12D9545D" w14:textId="1393D483" w:rsidR="00CC1A36" w:rsidRPr="00631D63" w:rsidRDefault="003A4F03" w:rsidP="00467FD5">
            <w:pPr>
              <w:autoSpaceDE w:val="0"/>
              <w:autoSpaceDN w:val="0"/>
              <w:adjustRightInd w:val="0"/>
              <w:jc w:val="center"/>
              <w:rPr>
                <w:rFonts w:cstheme="minorHAnsi"/>
                <w:b/>
                <w:sz w:val="32"/>
                <w:szCs w:val="32"/>
              </w:rPr>
            </w:pPr>
            <w:r>
              <w:rPr>
                <w:rFonts w:cstheme="minorHAnsi"/>
                <w:b/>
                <w:sz w:val="32"/>
                <w:szCs w:val="32"/>
              </w:rPr>
              <w:t>-</w:t>
            </w:r>
          </w:p>
        </w:tc>
      </w:tr>
      <w:tr w:rsidR="00CC1A36" w14:paraId="73B8A4E8" w14:textId="77777777" w:rsidTr="00CD2B0D">
        <w:trPr>
          <w:trHeight w:val="440"/>
        </w:trPr>
        <w:tc>
          <w:tcPr>
            <w:tcW w:w="2337" w:type="dxa"/>
          </w:tcPr>
          <w:p w14:paraId="53BF8575" w14:textId="77777777" w:rsidR="00CC1A36" w:rsidRDefault="00CC1A36" w:rsidP="00467FD5">
            <w:pPr>
              <w:autoSpaceDE w:val="0"/>
              <w:autoSpaceDN w:val="0"/>
              <w:adjustRightInd w:val="0"/>
              <w:jc w:val="both"/>
              <w:rPr>
                <w:rFonts w:cstheme="minorHAnsi"/>
              </w:rPr>
            </w:pPr>
            <w:r>
              <w:rPr>
                <w:rFonts w:cstheme="minorHAnsi"/>
              </w:rPr>
              <w:t>GVIEW</w:t>
            </w:r>
          </w:p>
        </w:tc>
        <w:tc>
          <w:tcPr>
            <w:tcW w:w="2608" w:type="dxa"/>
          </w:tcPr>
          <w:p w14:paraId="756FCE2A" w14:textId="77777777" w:rsidR="00CC1A36" w:rsidRDefault="00CC1A36" w:rsidP="00467FD5">
            <w:pPr>
              <w:autoSpaceDE w:val="0"/>
              <w:autoSpaceDN w:val="0"/>
              <w:adjustRightInd w:val="0"/>
              <w:jc w:val="both"/>
              <w:rPr>
                <w:rFonts w:cstheme="minorHAnsi"/>
              </w:rPr>
            </w:pPr>
            <w:r>
              <w:rPr>
                <w:rFonts w:cstheme="minorHAnsi"/>
              </w:rPr>
              <w:t>General Economic Outlook</w:t>
            </w:r>
          </w:p>
        </w:tc>
        <w:tc>
          <w:tcPr>
            <w:tcW w:w="2067" w:type="dxa"/>
          </w:tcPr>
          <w:p w14:paraId="5D451A57" w14:textId="294C565F" w:rsidR="00CC1A36" w:rsidRPr="00CD2B0D" w:rsidRDefault="00722790" w:rsidP="00CD2B0D">
            <w:pPr>
              <w:autoSpaceDE w:val="0"/>
              <w:autoSpaceDN w:val="0"/>
              <w:adjustRightInd w:val="0"/>
              <w:jc w:val="center"/>
              <w:rPr>
                <w:rFonts w:cstheme="minorHAnsi"/>
                <w:b/>
                <w:sz w:val="32"/>
                <w:szCs w:val="32"/>
              </w:rPr>
            </w:pPr>
            <w:r>
              <w:rPr>
                <w:rFonts w:cstheme="minorHAnsi"/>
                <w:b/>
                <w:sz w:val="32"/>
                <w:szCs w:val="32"/>
              </w:rPr>
              <w:t>-</w:t>
            </w:r>
          </w:p>
        </w:tc>
        <w:tc>
          <w:tcPr>
            <w:tcW w:w="2433" w:type="dxa"/>
          </w:tcPr>
          <w:p w14:paraId="3F1069D3" w14:textId="48082E96" w:rsidR="00CC1A36" w:rsidRPr="00631D63" w:rsidRDefault="00722790" w:rsidP="00467FD5">
            <w:pPr>
              <w:autoSpaceDE w:val="0"/>
              <w:autoSpaceDN w:val="0"/>
              <w:adjustRightInd w:val="0"/>
              <w:jc w:val="center"/>
              <w:rPr>
                <w:rFonts w:cstheme="minorHAnsi"/>
                <w:b/>
                <w:sz w:val="32"/>
                <w:szCs w:val="32"/>
              </w:rPr>
            </w:pPr>
            <w:r>
              <w:rPr>
                <w:rFonts w:cstheme="minorHAnsi"/>
                <w:b/>
                <w:sz w:val="32"/>
                <w:szCs w:val="32"/>
              </w:rPr>
              <w:t>+</w:t>
            </w:r>
          </w:p>
        </w:tc>
      </w:tr>
      <w:tr w:rsidR="00CC1A36" w14:paraId="1F6A7A99" w14:textId="77777777" w:rsidTr="00CD2B0D">
        <w:trPr>
          <w:trHeight w:val="440"/>
        </w:trPr>
        <w:tc>
          <w:tcPr>
            <w:tcW w:w="2337" w:type="dxa"/>
          </w:tcPr>
          <w:p w14:paraId="0D9B4FA5" w14:textId="77777777" w:rsidR="00CC1A36" w:rsidRDefault="00CC1A36" w:rsidP="00467FD5">
            <w:pPr>
              <w:autoSpaceDE w:val="0"/>
              <w:autoSpaceDN w:val="0"/>
              <w:adjustRightInd w:val="0"/>
              <w:jc w:val="both"/>
              <w:rPr>
                <w:rFonts w:cstheme="minorHAnsi"/>
              </w:rPr>
            </w:pPr>
            <w:r>
              <w:rPr>
                <w:rFonts w:cstheme="minorHAnsi"/>
              </w:rPr>
              <w:t>PROFIT</w:t>
            </w:r>
          </w:p>
        </w:tc>
        <w:tc>
          <w:tcPr>
            <w:tcW w:w="2608" w:type="dxa"/>
          </w:tcPr>
          <w:p w14:paraId="1A4B2E0F" w14:textId="77777777" w:rsidR="00CC1A36" w:rsidRDefault="00CC1A36" w:rsidP="00467FD5">
            <w:pPr>
              <w:autoSpaceDE w:val="0"/>
              <w:autoSpaceDN w:val="0"/>
              <w:adjustRightInd w:val="0"/>
              <w:jc w:val="both"/>
              <w:rPr>
                <w:rFonts w:cstheme="minorHAnsi"/>
              </w:rPr>
            </w:pPr>
            <w:r>
              <w:rPr>
                <w:rFonts w:cstheme="minorHAnsi"/>
              </w:rPr>
              <w:t>Profitability</w:t>
            </w:r>
          </w:p>
        </w:tc>
        <w:tc>
          <w:tcPr>
            <w:tcW w:w="2067" w:type="dxa"/>
          </w:tcPr>
          <w:p w14:paraId="5132A301" w14:textId="709A3780" w:rsidR="00CC1A36" w:rsidRPr="00CD2B0D" w:rsidRDefault="00B60BA7" w:rsidP="00CD2B0D">
            <w:pPr>
              <w:autoSpaceDE w:val="0"/>
              <w:autoSpaceDN w:val="0"/>
              <w:adjustRightInd w:val="0"/>
              <w:jc w:val="center"/>
              <w:rPr>
                <w:rFonts w:cstheme="minorHAnsi"/>
                <w:b/>
                <w:sz w:val="32"/>
                <w:szCs w:val="32"/>
              </w:rPr>
            </w:pPr>
            <w:r w:rsidRPr="00CD2B0D">
              <w:rPr>
                <w:rFonts w:cstheme="minorHAnsi"/>
                <w:b/>
                <w:sz w:val="32"/>
                <w:szCs w:val="32"/>
              </w:rPr>
              <w:t>+</w:t>
            </w:r>
          </w:p>
        </w:tc>
        <w:tc>
          <w:tcPr>
            <w:tcW w:w="2433" w:type="dxa"/>
          </w:tcPr>
          <w:p w14:paraId="1EA447FD" w14:textId="67502428" w:rsidR="00CC1A36" w:rsidRPr="00631D63" w:rsidRDefault="008B3BCF" w:rsidP="00467FD5">
            <w:pPr>
              <w:autoSpaceDE w:val="0"/>
              <w:autoSpaceDN w:val="0"/>
              <w:adjustRightInd w:val="0"/>
              <w:jc w:val="center"/>
              <w:rPr>
                <w:rFonts w:cstheme="minorHAnsi"/>
                <w:b/>
                <w:sz w:val="32"/>
                <w:szCs w:val="32"/>
              </w:rPr>
            </w:pPr>
            <w:r>
              <w:rPr>
                <w:rFonts w:cstheme="minorHAnsi"/>
                <w:b/>
                <w:sz w:val="32"/>
                <w:szCs w:val="32"/>
              </w:rPr>
              <w:t>-</w:t>
            </w:r>
          </w:p>
        </w:tc>
      </w:tr>
    </w:tbl>
    <w:p w14:paraId="52EDF036" w14:textId="1C46F308" w:rsidR="00CC1A36" w:rsidRPr="00631D63" w:rsidRDefault="00CC1A36" w:rsidP="00CC1A36">
      <w:pPr>
        <w:autoSpaceDE w:val="0"/>
        <w:autoSpaceDN w:val="0"/>
        <w:adjustRightInd w:val="0"/>
        <w:spacing w:after="0" w:line="240" w:lineRule="auto"/>
        <w:jc w:val="both"/>
        <w:rPr>
          <w:rFonts w:cstheme="minorHAnsi"/>
          <w:sz w:val="18"/>
          <w:szCs w:val="18"/>
        </w:rPr>
      </w:pPr>
      <w:r>
        <w:rPr>
          <w:rFonts w:cstheme="minorHAnsi"/>
          <w:sz w:val="18"/>
          <w:szCs w:val="18"/>
        </w:rPr>
        <w:t>Table. 2</w:t>
      </w:r>
      <w:r w:rsidRPr="00631D63">
        <w:rPr>
          <w:rFonts w:cstheme="minorHAnsi"/>
          <w:sz w:val="18"/>
          <w:szCs w:val="18"/>
        </w:rPr>
        <w:t xml:space="preserve"> </w:t>
      </w:r>
      <w:r w:rsidR="00B763B7">
        <w:rPr>
          <w:rFonts w:cstheme="minorHAnsi"/>
          <w:sz w:val="18"/>
          <w:szCs w:val="18"/>
        </w:rPr>
        <w:t xml:space="preserve">Aggregated </w:t>
      </w:r>
      <w:r>
        <w:rPr>
          <w:rFonts w:cstheme="minorHAnsi"/>
          <w:sz w:val="18"/>
          <w:szCs w:val="18"/>
        </w:rPr>
        <w:t xml:space="preserve">Firm Specific </w:t>
      </w:r>
      <w:r w:rsidRPr="00631D63">
        <w:rPr>
          <w:rFonts w:cstheme="minorHAnsi"/>
          <w:sz w:val="18"/>
          <w:szCs w:val="18"/>
        </w:rPr>
        <w:t>Variables.</w:t>
      </w:r>
    </w:p>
    <w:p w14:paraId="0D251D0A" w14:textId="77777777" w:rsidR="00CC1A36" w:rsidRDefault="00CC1A36" w:rsidP="00CC1A36"/>
    <w:p w14:paraId="63D7BECE" w14:textId="77777777" w:rsidR="00CC1A36" w:rsidRDefault="00CC1A36" w:rsidP="00CC1A36">
      <w:pPr>
        <w:autoSpaceDE w:val="0"/>
        <w:autoSpaceDN w:val="0"/>
        <w:adjustRightInd w:val="0"/>
        <w:spacing w:after="0" w:line="360" w:lineRule="auto"/>
        <w:jc w:val="both"/>
        <w:rPr>
          <w:rFonts w:cstheme="minorHAnsi"/>
        </w:rPr>
      </w:pPr>
      <w:r>
        <w:rPr>
          <w:rFonts w:cstheme="minorHAnsi"/>
        </w:rPr>
        <w:t>In the following section named Data I will describe how this particular data was obtained and from which sources they were gathered. Any change done with the obtained data will also be explained. Further, the methodology will also be described in the next part.</w:t>
      </w:r>
    </w:p>
    <w:p w14:paraId="4F868AB1" w14:textId="6D8C5D2B" w:rsidR="00F40A06" w:rsidRDefault="00F40A06" w:rsidP="00192648"/>
    <w:p w14:paraId="778386A2" w14:textId="77777777" w:rsidR="00CC1A36" w:rsidRDefault="00CC1A36" w:rsidP="00192648"/>
    <w:p w14:paraId="0BD0E8FE" w14:textId="77777777" w:rsidR="00CC1A36" w:rsidRDefault="00CC1A36" w:rsidP="00CC1A36">
      <w:pPr>
        <w:spacing w:line="360" w:lineRule="auto"/>
        <w:rPr>
          <w:b/>
          <w:bCs/>
        </w:rPr>
      </w:pPr>
      <w:r>
        <w:rPr>
          <w:b/>
          <w:bCs/>
          <w:sz w:val="28"/>
          <w:szCs w:val="28"/>
        </w:rPr>
        <w:t>4   Data &amp; Methodology</w:t>
      </w:r>
    </w:p>
    <w:p w14:paraId="688720BA" w14:textId="77777777" w:rsidR="00CC1A36" w:rsidRDefault="00CC1A36" w:rsidP="00CC1A36">
      <w:pPr>
        <w:spacing w:line="360" w:lineRule="auto"/>
        <w:jc w:val="both"/>
        <w:rPr>
          <w:bCs/>
        </w:rPr>
      </w:pPr>
      <w:r>
        <w:rPr>
          <w:bCs/>
        </w:rPr>
        <w:t xml:space="preserve">To conduct this research various kinds of data is needed. These are collected from a couple of different sources. Some of these sources are well known databases, for example the </w:t>
      </w:r>
      <w:r>
        <w:rPr>
          <w:rFonts w:cstheme="minorHAnsi"/>
        </w:rPr>
        <w:t>World Bank database</w:t>
      </w:r>
      <w:r>
        <w:rPr>
          <w:bCs/>
        </w:rPr>
        <w:t>. Below follows a description of the different types of data and some attributes of these data.</w:t>
      </w:r>
    </w:p>
    <w:p w14:paraId="22FF7236" w14:textId="42DBD58C" w:rsidR="00CC1A36" w:rsidRDefault="00CC1A36" w:rsidP="00CC1A36">
      <w:pPr>
        <w:spacing w:line="360" w:lineRule="auto"/>
        <w:jc w:val="both"/>
        <w:rPr>
          <w:bCs/>
        </w:rPr>
      </w:pPr>
      <w:r>
        <w:rPr>
          <w:bCs/>
        </w:rPr>
        <w:t xml:space="preserve">Our main dataset is a country-level survey data for 11,720 firms from Survey on Access to Finance of Enterprises (SAFE) conducted </w:t>
      </w:r>
      <w:r w:rsidR="008F21BB">
        <w:rPr>
          <w:bCs/>
        </w:rPr>
        <w:t>in the euro area</w:t>
      </w:r>
      <w:r>
        <w:rPr>
          <w:bCs/>
        </w:rPr>
        <w:t>. This is an investigation performed by the European Central Bank (ECB) and European Commission (EC) to study the general characteristics of the euro area</w:t>
      </w:r>
      <w:r w:rsidR="00AD2DD3">
        <w:rPr>
          <w:bCs/>
        </w:rPr>
        <w:t xml:space="preserve">. </w:t>
      </w:r>
      <w:r w:rsidR="008F21BB">
        <w:rPr>
          <w:bCs/>
        </w:rPr>
        <w:t xml:space="preserve">The results in the SAFE database is an aggregated data source of SMEs across 12 European countries. </w:t>
      </w:r>
      <w:r w:rsidR="008F21BB">
        <w:rPr>
          <w:rFonts w:cstheme="minorHAnsi"/>
        </w:rPr>
        <w:t>This signifies that these variables refer to the average results obtained within a country and year</w:t>
      </w:r>
      <w:r w:rsidR="00AD2DD3">
        <w:rPr>
          <w:rFonts w:cstheme="minorHAnsi"/>
        </w:rPr>
        <w:t xml:space="preserve"> of the enterprises that participated on the survey</w:t>
      </w:r>
      <w:r w:rsidR="008F21BB">
        <w:rPr>
          <w:rFonts w:cstheme="minorHAnsi"/>
        </w:rPr>
        <w:t>.</w:t>
      </w:r>
      <w:r w:rsidR="008F21BB">
        <w:rPr>
          <w:bCs/>
        </w:rPr>
        <w:t xml:space="preserve"> </w:t>
      </w:r>
      <w:r>
        <w:rPr>
          <w:bCs/>
        </w:rPr>
        <w:t xml:space="preserve">The countries included in this survey are the four largest euro area countries namely Germany, France, Italy, Spain and 8 other countries (Belgium, Ireland, Greece, the Netherlands, Austria, Portugal, Finland and Slovakia). The smallest countries in the euro area (Estonia, Cyprus, Latvia, Lithuania, Luxembourg, Malta and Slovenia) are excluded, since they represent less than 3% of the total number of employees in the euro area and excluding them only has a very marginal impact on the results for the euro area as a </w:t>
      </w:r>
      <w:r w:rsidRPr="00232B91">
        <w:rPr>
          <w:bCs/>
        </w:rPr>
        <w:t>whole</w:t>
      </w:r>
      <w:r>
        <w:rPr>
          <w:bCs/>
        </w:rPr>
        <w:t xml:space="preserve">. </w:t>
      </w:r>
      <w:r w:rsidRPr="00232B91">
        <w:rPr>
          <w:bCs/>
        </w:rPr>
        <w:t>In</w:t>
      </w:r>
      <w:r>
        <w:rPr>
          <w:bCs/>
        </w:rPr>
        <w:t xml:space="preserve"> this paper we will focus on the data gathered for </w:t>
      </w:r>
      <w:r w:rsidR="00015C7A">
        <w:rPr>
          <w:bCs/>
        </w:rPr>
        <w:t>eleven</w:t>
      </w:r>
      <w:r>
        <w:rPr>
          <w:bCs/>
        </w:rPr>
        <w:t xml:space="preserve"> European countries.</w:t>
      </w:r>
      <w:r w:rsidR="00015C7A">
        <w:rPr>
          <w:bCs/>
        </w:rPr>
        <w:t xml:space="preserve"> Slovakia is excluded, because not enough data was available.</w:t>
      </w:r>
    </w:p>
    <w:p w14:paraId="408F0EAE" w14:textId="77777777" w:rsidR="003A4F03" w:rsidRPr="009C6518" w:rsidRDefault="003A4F03" w:rsidP="00CC1A36">
      <w:pPr>
        <w:spacing w:line="360" w:lineRule="auto"/>
        <w:jc w:val="both"/>
        <w:rPr>
          <w:bCs/>
        </w:rPr>
      </w:pPr>
    </w:p>
    <w:tbl>
      <w:tblPr>
        <w:tblStyle w:val="TableGrid"/>
        <w:tblW w:w="0" w:type="auto"/>
        <w:tblInd w:w="108" w:type="dxa"/>
        <w:tblLook w:val="04A0" w:firstRow="1" w:lastRow="0" w:firstColumn="1" w:lastColumn="0" w:noHBand="0" w:noVBand="1"/>
      </w:tblPr>
      <w:tblGrid>
        <w:gridCol w:w="2032"/>
        <w:gridCol w:w="2542"/>
        <w:gridCol w:w="2326"/>
        <w:gridCol w:w="2342"/>
      </w:tblGrid>
      <w:tr w:rsidR="00CC1A36" w14:paraId="5401593E" w14:textId="77777777" w:rsidTr="00467FD5">
        <w:tc>
          <w:tcPr>
            <w:tcW w:w="2070" w:type="dxa"/>
          </w:tcPr>
          <w:p w14:paraId="3CCD5803" w14:textId="3374124D" w:rsidR="00CC1A36" w:rsidRPr="00232B91" w:rsidRDefault="00071CF3" w:rsidP="00467FD5">
            <w:pPr>
              <w:spacing w:line="360" w:lineRule="auto"/>
              <w:jc w:val="both"/>
              <w:rPr>
                <w:b/>
                <w:bCs/>
              </w:rPr>
            </w:pPr>
            <w:r>
              <w:rPr>
                <w:b/>
                <w:bCs/>
              </w:rPr>
              <w:lastRenderedPageBreak/>
              <w:t>SME</w:t>
            </w:r>
          </w:p>
        </w:tc>
        <w:tc>
          <w:tcPr>
            <w:tcW w:w="2610" w:type="dxa"/>
          </w:tcPr>
          <w:p w14:paraId="2CB62F20" w14:textId="77777777" w:rsidR="00CC1A36" w:rsidRPr="00EB502E" w:rsidRDefault="00CC1A36" w:rsidP="00467FD5">
            <w:pPr>
              <w:spacing w:line="360" w:lineRule="auto"/>
              <w:jc w:val="both"/>
              <w:rPr>
                <w:b/>
                <w:bCs/>
              </w:rPr>
            </w:pPr>
            <w:r w:rsidRPr="00EB502E">
              <w:rPr>
                <w:b/>
                <w:bCs/>
              </w:rPr>
              <w:t>Turnover</w:t>
            </w:r>
          </w:p>
        </w:tc>
        <w:tc>
          <w:tcPr>
            <w:tcW w:w="2394" w:type="dxa"/>
          </w:tcPr>
          <w:p w14:paraId="643AB5C4" w14:textId="77777777" w:rsidR="00CC1A36" w:rsidRPr="00EB502E" w:rsidRDefault="00CC1A36" w:rsidP="00467FD5">
            <w:pPr>
              <w:spacing w:line="360" w:lineRule="auto"/>
              <w:jc w:val="both"/>
              <w:rPr>
                <w:b/>
                <w:bCs/>
              </w:rPr>
            </w:pPr>
            <w:r w:rsidRPr="00EB502E">
              <w:rPr>
                <w:b/>
                <w:bCs/>
              </w:rPr>
              <w:t>Total Assets</w:t>
            </w:r>
          </w:p>
        </w:tc>
        <w:tc>
          <w:tcPr>
            <w:tcW w:w="2394" w:type="dxa"/>
          </w:tcPr>
          <w:p w14:paraId="3B5C038F" w14:textId="77777777" w:rsidR="00CC1A36" w:rsidRPr="00EB502E" w:rsidRDefault="00CC1A36" w:rsidP="00467FD5">
            <w:pPr>
              <w:spacing w:line="360" w:lineRule="auto"/>
              <w:jc w:val="both"/>
              <w:rPr>
                <w:b/>
                <w:bCs/>
              </w:rPr>
            </w:pPr>
            <w:r w:rsidRPr="00EB502E">
              <w:rPr>
                <w:b/>
                <w:bCs/>
              </w:rPr>
              <w:t>Number of Employees</w:t>
            </w:r>
          </w:p>
        </w:tc>
      </w:tr>
      <w:tr w:rsidR="00CC1A36" w14:paraId="6DF9B6EF" w14:textId="77777777" w:rsidTr="00467FD5">
        <w:tc>
          <w:tcPr>
            <w:tcW w:w="2070" w:type="dxa"/>
          </w:tcPr>
          <w:p w14:paraId="52C986A0" w14:textId="77777777" w:rsidR="00CC1A36" w:rsidRPr="00EB502E" w:rsidRDefault="00CC1A36" w:rsidP="00467FD5">
            <w:pPr>
              <w:spacing w:line="360" w:lineRule="auto"/>
              <w:jc w:val="both"/>
              <w:rPr>
                <w:bCs/>
                <w:i/>
              </w:rPr>
            </w:pPr>
            <w:r w:rsidRPr="00EB502E">
              <w:rPr>
                <w:bCs/>
                <w:i/>
              </w:rPr>
              <w:t>Medium companies</w:t>
            </w:r>
          </w:p>
        </w:tc>
        <w:tc>
          <w:tcPr>
            <w:tcW w:w="2610" w:type="dxa"/>
          </w:tcPr>
          <w:p w14:paraId="183E7F92" w14:textId="77777777" w:rsidR="00CC1A36" w:rsidRDefault="00CC1A36" w:rsidP="00467FD5">
            <w:pPr>
              <w:spacing w:line="360" w:lineRule="auto"/>
              <w:jc w:val="both"/>
              <w:rPr>
                <w:bCs/>
              </w:rPr>
            </w:pPr>
            <w:r>
              <w:rPr>
                <w:bCs/>
              </w:rPr>
              <w:t>&lt; 50 million EUR</w:t>
            </w:r>
          </w:p>
        </w:tc>
        <w:tc>
          <w:tcPr>
            <w:tcW w:w="2394" w:type="dxa"/>
          </w:tcPr>
          <w:p w14:paraId="30B0B68B" w14:textId="77777777" w:rsidR="00CC1A36" w:rsidRDefault="00CC1A36" w:rsidP="00467FD5">
            <w:pPr>
              <w:spacing w:line="360" w:lineRule="auto"/>
              <w:jc w:val="both"/>
              <w:rPr>
                <w:bCs/>
              </w:rPr>
            </w:pPr>
            <w:r w:rsidRPr="00EB502E">
              <w:rPr>
                <w:bCs/>
              </w:rPr>
              <w:t>≤</w:t>
            </w:r>
            <w:r>
              <w:rPr>
                <w:bCs/>
              </w:rPr>
              <w:t xml:space="preserve"> 43 million EUR</w:t>
            </w:r>
          </w:p>
        </w:tc>
        <w:tc>
          <w:tcPr>
            <w:tcW w:w="2394" w:type="dxa"/>
          </w:tcPr>
          <w:p w14:paraId="0657B64F" w14:textId="77777777" w:rsidR="00CC1A36" w:rsidRPr="00EB502E" w:rsidRDefault="00CC1A36" w:rsidP="00467FD5">
            <w:pPr>
              <w:spacing w:line="360" w:lineRule="auto"/>
              <w:jc w:val="both"/>
              <w:rPr>
                <w:rFonts w:cstheme="minorHAnsi"/>
                <w:bCs/>
              </w:rPr>
            </w:pPr>
            <w:r w:rsidRPr="00EB502E">
              <w:rPr>
                <w:rFonts w:cstheme="minorHAnsi"/>
                <w:color w:val="000000"/>
              </w:rPr>
              <w:t>≤ 250</w:t>
            </w:r>
          </w:p>
        </w:tc>
      </w:tr>
      <w:tr w:rsidR="00CC1A36" w14:paraId="7A917F6F" w14:textId="77777777" w:rsidTr="00467FD5">
        <w:tc>
          <w:tcPr>
            <w:tcW w:w="2070" w:type="dxa"/>
          </w:tcPr>
          <w:p w14:paraId="1FEBDE8B" w14:textId="77777777" w:rsidR="00CC1A36" w:rsidRPr="00EB502E" w:rsidRDefault="00CC1A36" w:rsidP="00467FD5">
            <w:pPr>
              <w:spacing w:line="360" w:lineRule="auto"/>
              <w:jc w:val="both"/>
              <w:rPr>
                <w:bCs/>
                <w:i/>
              </w:rPr>
            </w:pPr>
            <w:r w:rsidRPr="00EB502E">
              <w:rPr>
                <w:bCs/>
                <w:i/>
              </w:rPr>
              <w:t>Small Companies</w:t>
            </w:r>
          </w:p>
        </w:tc>
        <w:tc>
          <w:tcPr>
            <w:tcW w:w="2610" w:type="dxa"/>
          </w:tcPr>
          <w:p w14:paraId="36C54DBE" w14:textId="77777777" w:rsidR="00CC1A36" w:rsidRDefault="00CC1A36" w:rsidP="00467FD5">
            <w:pPr>
              <w:spacing w:line="360" w:lineRule="auto"/>
              <w:jc w:val="both"/>
              <w:rPr>
                <w:bCs/>
              </w:rPr>
            </w:pPr>
            <w:r>
              <w:rPr>
                <w:bCs/>
              </w:rPr>
              <w:t>&lt; 10 million EUR</w:t>
            </w:r>
          </w:p>
        </w:tc>
        <w:tc>
          <w:tcPr>
            <w:tcW w:w="2394" w:type="dxa"/>
          </w:tcPr>
          <w:p w14:paraId="4A44444B" w14:textId="77777777" w:rsidR="00CC1A36" w:rsidRDefault="00CC1A36" w:rsidP="00467FD5">
            <w:pPr>
              <w:spacing w:line="360" w:lineRule="auto"/>
              <w:jc w:val="both"/>
              <w:rPr>
                <w:bCs/>
              </w:rPr>
            </w:pPr>
            <w:r w:rsidRPr="00EB502E">
              <w:rPr>
                <w:rFonts w:cstheme="minorHAnsi"/>
                <w:color w:val="000000"/>
              </w:rPr>
              <w:t>≤</w:t>
            </w:r>
            <w:r>
              <w:rPr>
                <w:rFonts w:ascii="Cambria" w:hAnsi="Cambria" w:cs="Cambria"/>
                <w:color w:val="000000"/>
                <w:sz w:val="20"/>
                <w:szCs w:val="20"/>
              </w:rPr>
              <w:t xml:space="preserve"> </w:t>
            </w:r>
            <w:r w:rsidRPr="00EB502E">
              <w:rPr>
                <w:rFonts w:cstheme="minorHAnsi"/>
                <w:color w:val="000000"/>
              </w:rPr>
              <w:t>10 million EUR</w:t>
            </w:r>
          </w:p>
        </w:tc>
        <w:tc>
          <w:tcPr>
            <w:tcW w:w="2394" w:type="dxa"/>
          </w:tcPr>
          <w:p w14:paraId="37FCDC05" w14:textId="77777777" w:rsidR="00CC1A36" w:rsidRPr="00EB502E" w:rsidRDefault="00CC1A36" w:rsidP="00467FD5">
            <w:pPr>
              <w:spacing w:line="360" w:lineRule="auto"/>
              <w:jc w:val="both"/>
              <w:rPr>
                <w:rFonts w:cstheme="minorHAnsi"/>
                <w:bCs/>
              </w:rPr>
            </w:pPr>
            <w:r w:rsidRPr="00EB502E">
              <w:rPr>
                <w:rFonts w:cstheme="minorHAnsi"/>
                <w:color w:val="000000"/>
              </w:rPr>
              <w:t>≤ 50</w:t>
            </w:r>
          </w:p>
        </w:tc>
      </w:tr>
      <w:tr w:rsidR="00CC1A36" w14:paraId="3E90B081" w14:textId="77777777" w:rsidTr="00467FD5">
        <w:trPr>
          <w:trHeight w:val="377"/>
        </w:trPr>
        <w:tc>
          <w:tcPr>
            <w:tcW w:w="2070" w:type="dxa"/>
          </w:tcPr>
          <w:p w14:paraId="3AD2BA70" w14:textId="77777777" w:rsidR="00CC1A36" w:rsidRPr="00EB502E" w:rsidRDefault="00CC1A36" w:rsidP="00467FD5">
            <w:pPr>
              <w:spacing w:line="360" w:lineRule="auto"/>
              <w:jc w:val="both"/>
              <w:rPr>
                <w:bCs/>
                <w:i/>
              </w:rPr>
            </w:pPr>
            <w:r w:rsidRPr="00EB502E">
              <w:rPr>
                <w:bCs/>
                <w:i/>
              </w:rPr>
              <w:t>Micro companies</w:t>
            </w:r>
          </w:p>
        </w:tc>
        <w:tc>
          <w:tcPr>
            <w:tcW w:w="2610" w:type="dxa"/>
          </w:tcPr>
          <w:p w14:paraId="414730EE" w14:textId="77777777" w:rsidR="00CC1A36" w:rsidRDefault="00CC1A36" w:rsidP="00467FD5">
            <w:pPr>
              <w:spacing w:line="360" w:lineRule="auto"/>
              <w:jc w:val="both"/>
              <w:rPr>
                <w:bCs/>
              </w:rPr>
            </w:pPr>
            <w:r>
              <w:rPr>
                <w:bCs/>
              </w:rPr>
              <w:t>&lt; 2 million EUR</w:t>
            </w:r>
          </w:p>
        </w:tc>
        <w:tc>
          <w:tcPr>
            <w:tcW w:w="2394" w:type="dxa"/>
          </w:tcPr>
          <w:p w14:paraId="632CF6EC" w14:textId="77777777" w:rsidR="00CC1A36" w:rsidRPr="00EB502E" w:rsidRDefault="00CC1A36" w:rsidP="00467FD5">
            <w:pPr>
              <w:spacing w:line="360" w:lineRule="auto"/>
              <w:jc w:val="both"/>
              <w:rPr>
                <w:rFonts w:cstheme="minorHAnsi"/>
                <w:bCs/>
              </w:rPr>
            </w:pPr>
            <w:r w:rsidRPr="00EB502E">
              <w:rPr>
                <w:rFonts w:cstheme="minorHAnsi"/>
                <w:color w:val="000000"/>
              </w:rPr>
              <w:t>≤ 2 million EUR</w:t>
            </w:r>
          </w:p>
        </w:tc>
        <w:tc>
          <w:tcPr>
            <w:tcW w:w="2394" w:type="dxa"/>
          </w:tcPr>
          <w:p w14:paraId="4F099B1E" w14:textId="77777777" w:rsidR="00CC1A36" w:rsidRPr="00EB502E" w:rsidRDefault="00CC1A36" w:rsidP="00467FD5">
            <w:pPr>
              <w:spacing w:line="360" w:lineRule="auto"/>
              <w:jc w:val="both"/>
              <w:rPr>
                <w:rFonts w:cstheme="minorHAnsi"/>
                <w:bCs/>
              </w:rPr>
            </w:pPr>
            <w:r w:rsidRPr="00EB502E">
              <w:rPr>
                <w:rFonts w:cstheme="minorHAnsi"/>
                <w:color w:val="000000"/>
              </w:rPr>
              <w:t>≤ 10</w:t>
            </w:r>
          </w:p>
        </w:tc>
      </w:tr>
    </w:tbl>
    <w:p w14:paraId="4FD02033" w14:textId="3500FD0B" w:rsidR="00CC1A36" w:rsidRPr="00232B91" w:rsidRDefault="003432ED" w:rsidP="00CC1A36">
      <w:pPr>
        <w:spacing w:line="360" w:lineRule="auto"/>
        <w:jc w:val="both"/>
        <w:rPr>
          <w:rFonts w:cstheme="minorHAnsi"/>
          <w:bCs/>
        </w:rPr>
      </w:pPr>
      <w:r>
        <w:rPr>
          <w:rFonts w:eastAsia="TTE17F94D8t00" w:cstheme="minorHAnsi"/>
          <w:sz w:val="18"/>
          <w:szCs w:val="18"/>
        </w:rPr>
        <w:t xml:space="preserve">   Table 3. </w:t>
      </w:r>
      <w:r w:rsidR="00CC1A36" w:rsidRPr="00232B91">
        <w:rPr>
          <w:rFonts w:eastAsia="TTE17F94D8t00" w:cstheme="minorHAnsi"/>
          <w:sz w:val="18"/>
          <w:szCs w:val="18"/>
        </w:rPr>
        <w:t>Source:http://ec.europa.eu/enterprise/enterprise_policy/sme_definition/index_en.htm</w:t>
      </w:r>
    </w:p>
    <w:p w14:paraId="7E702E79" w14:textId="06EEE905" w:rsidR="00CC1A36" w:rsidRDefault="00CC1A36" w:rsidP="00CC1A36">
      <w:pPr>
        <w:spacing w:line="360" w:lineRule="auto"/>
        <w:jc w:val="both"/>
        <w:rPr>
          <w:rFonts w:cstheme="minorHAnsi"/>
        </w:rPr>
      </w:pPr>
      <w:r>
        <w:rPr>
          <w:rFonts w:cstheme="minorHAnsi"/>
        </w:rPr>
        <w:t xml:space="preserve">Firms can be divided in different size classes. They are defined as small and medium if they meet the criteria stated in table </w:t>
      </w:r>
      <w:r w:rsidR="00290755">
        <w:rPr>
          <w:rFonts w:cstheme="minorHAnsi"/>
        </w:rPr>
        <w:t>3</w:t>
      </w:r>
      <w:r>
        <w:rPr>
          <w:rFonts w:cstheme="minorHAnsi"/>
        </w:rPr>
        <w:t>. The data provided by SAFE was collected to construct a comparable precision for micro, small and medium-sized firms, taking into account total employment in these size classes. In this study we will target the small and medium size companies and not the micro companies. The reason for this is that not much data is available for micro firms due to the fact that this group is not required to make annual reports public.</w:t>
      </w:r>
    </w:p>
    <w:p w14:paraId="30B3D204" w14:textId="77777777" w:rsidR="00CC1A36" w:rsidRDefault="00CC1A36" w:rsidP="00CC1A36">
      <w:pPr>
        <w:autoSpaceDE w:val="0"/>
        <w:autoSpaceDN w:val="0"/>
        <w:adjustRightInd w:val="0"/>
        <w:spacing w:after="0" w:line="360" w:lineRule="auto"/>
        <w:jc w:val="both"/>
        <w:rPr>
          <w:rFonts w:cstheme="minorHAnsi"/>
        </w:rPr>
      </w:pPr>
      <w:r>
        <w:rPr>
          <w:rFonts w:cstheme="minorHAnsi"/>
        </w:rPr>
        <w:t xml:space="preserve">This research is based on firms from 11 European countries. Here the capital structure of SMEs for all countries is gathered with the exception of Slovakia. This country is excluded from the paper because there is not enough data to study. Our sample period covers the years 2009 to 2014. A reason for this particular period is that the data is gathered after the financial crisis of 2007-2008. Looking at the data there seems to be no irregularities. </w:t>
      </w:r>
    </w:p>
    <w:p w14:paraId="7D8CB93E" w14:textId="77777777" w:rsidR="00CC1A36" w:rsidRDefault="00CC1A36" w:rsidP="00CC1A36">
      <w:pPr>
        <w:autoSpaceDE w:val="0"/>
        <w:autoSpaceDN w:val="0"/>
        <w:adjustRightInd w:val="0"/>
        <w:spacing w:after="0" w:line="360" w:lineRule="auto"/>
        <w:rPr>
          <w:rFonts w:cstheme="minorHAnsi"/>
        </w:rPr>
      </w:pPr>
    </w:p>
    <w:p w14:paraId="1AAB7EE7" w14:textId="166E1E84" w:rsidR="00CC1A36" w:rsidRDefault="00CC1A36" w:rsidP="00CC1A36">
      <w:pPr>
        <w:autoSpaceDE w:val="0"/>
        <w:autoSpaceDN w:val="0"/>
        <w:adjustRightInd w:val="0"/>
        <w:spacing w:after="0" w:line="360" w:lineRule="auto"/>
        <w:jc w:val="both"/>
        <w:rPr>
          <w:rFonts w:cstheme="minorHAnsi"/>
        </w:rPr>
      </w:pPr>
      <w:r>
        <w:rPr>
          <w:rFonts w:cstheme="minorHAnsi"/>
        </w:rPr>
        <w:t xml:space="preserve">Using the Safe database, the dependent variable is obtained, namely the debt-to-assets ratio. A country level variable is obtained from this database as well, namely the change in interest rate. After gathering the data from the SAFE survey, three other macroeconomic variables are then gathered. These are obtained from the </w:t>
      </w:r>
      <w:r w:rsidRPr="009A299D">
        <w:rPr>
          <w:rFonts w:cstheme="minorHAnsi"/>
        </w:rPr>
        <w:t xml:space="preserve">World Bank </w:t>
      </w:r>
      <w:r>
        <w:rPr>
          <w:rFonts w:cstheme="minorHAnsi"/>
        </w:rPr>
        <w:t xml:space="preserve">database. The three country specific variables gathered here are the Gross Domestic Product per capita, Gross Domestic Product growth rate and the inflation rate. However, because the data obtained from the World Bank are annual percentage, the data obtained from the SAFE survey also need to be generated into annual percentage data. Following mathematics ruling semi- annual data was converted to annual data. The chosen independent variables were chosen, </w:t>
      </w:r>
      <w:r w:rsidRPr="005A07C9">
        <w:rPr>
          <w:rFonts w:cstheme="minorHAnsi"/>
        </w:rPr>
        <w:t>because</w:t>
      </w:r>
      <w:r w:rsidRPr="00480286">
        <w:rPr>
          <w:rFonts w:cstheme="minorHAnsi"/>
        </w:rPr>
        <w:t xml:space="preserve"> it’s well accepted that these are macroeconomic variables which may influence a firm’s capital structure. This is also consistent with earlier research on country level basis for capital structure (Bas, </w:t>
      </w:r>
      <w:proofErr w:type="spellStart"/>
      <w:r w:rsidRPr="00480286">
        <w:rPr>
          <w:rFonts w:cstheme="minorHAnsi"/>
        </w:rPr>
        <w:t>Muradoglu</w:t>
      </w:r>
      <w:proofErr w:type="spellEnd"/>
      <w:r w:rsidRPr="00480286">
        <w:rPr>
          <w:rFonts w:cstheme="minorHAnsi"/>
        </w:rPr>
        <w:t xml:space="preserve"> and </w:t>
      </w:r>
      <w:proofErr w:type="spellStart"/>
      <w:r w:rsidRPr="00480286">
        <w:rPr>
          <w:rFonts w:cstheme="minorHAnsi"/>
        </w:rPr>
        <w:t>Phylaktis</w:t>
      </w:r>
      <w:proofErr w:type="spellEnd"/>
      <w:r w:rsidRPr="00480286">
        <w:rPr>
          <w:rFonts w:cstheme="minorHAnsi"/>
        </w:rPr>
        <w:t>, 2009).</w:t>
      </w:r>
    </w:p>
    <w:p w14:paraId="403035AA" w14:textId="77777777" w:rsidR="00CC1A36" w:rsidRDefault="00CC1A36" w:rsidP="00CC1A36">
      <w:pPr>
        <w:autoSpaceDE w:val="0"/>
        <w:autoSpaceDN w:val="0"/>
        <w:adjustRightInd w:val="0"/>
        <w:spacing w:after="0" w:line="240" w:lineRule="auto"/>
        <w:jc w:val="both"/>
        <w:rPr>
          <w:rFonts w:cstheme="minorHAnsi"/>
        </w:rPr>
      </w:pPr>
    </w:p>
    <w:p w14:paraId="14879B1E" w14:textId="5AF8EBD0" w:rsidR="00CC1A36" w:rsidRPr="00EC453D" w:rsidRDefault="00CC1A36" w:rsidP="00CC1A36">
      <w:pPr>
        <w:autoSpaceDE w:val="0"/>
        <w:autoSpaceDN w:val="0"/>
        <w:adjustRightInd w:val="0"/>
        <w:spacing w:after="0" w:line="360" w:lineRule="auto"/>
        <w:jc w:val="both"/>
        <w:rPr>
          <w:rFonts w:cstheme="minorHAnsi"/>
        </w:rPr>
      </w:pPr>
      <w:r>
        <w:rPr>
          <w:rFonts w:cstheme="minorHAnsi"/>
        </w:rPr>
        <w:t xml:space="preserve">After gathering macroeconomic variables, </w:t>
      </w:r>
      <w:r w:rsidR="00B763B7">
        <w:rPr>
          <w:rFonts w:cstheme="minorHAnsi"/>
        </w:rPr>
        <w:t xml:space="preserve">aggregated </w:t>
      </w:r>
      <w:r>
        <w:rPr>
          <w:rFonts w:cstheme="minorHAnsi"/>
        </w:rPr>
        <w:t xml:space="preserve">firm specific variables were then gathered. </w:t>
      </w:r>
      <w:r w:rsidR="00B763B7">
        <w:rPr>
          <w:rFonts w:cstheme="minorHAnsi"/>
        </w:rPr>
        <w:t xml:space="preserve">The aggregated </w:t>
      </w:r>
      <w:r>
        <w:rPr>
          <w:rFonts w:cstheme="minorHAnsi"/>
        </w:rPr>
        <w:t>firm specific variables gathered were Turnover, General Economic View</w:t>
      </w:r>
      <w:r w:rsidR="00144852">
        <w:rPr>
          <w:rFonts w:cstheme="minorHAnsi"/>
        </w:rPr>
        <w:t xml:space="preserve"> and </w:t>
      </w:r>
      <w:r>
        <w:rPr>
          <w:rFonts w:cstheme="minorHAnsi"/>
        </w:rPr>
        <w:t>Profitability</w:t>
      </w:r>
      <w:r w:rsidR="00144852">
        <w:rPr>
          <w:rFonts w:cstheme="minorHAnsi"/>
        </w:rPr>
        <w:t xml:space="preserve">. </w:t>
      </w:r>
      <w:r>
        <w:rPr>
          <w:rFonts w:cstheme="minorHAnsi"/>
        </w:rPr>
        <w:t xml:space="preserve">All </w:t>
      </w:r>
      <w:r>
        <w:rPr>
          <w:rFonts w:cstheme="minorHAnsi"/>
        </w:rPr>
        <w:lastRenderedPageBreak/>
        <w:t xml:space="preserve">these variables were gathered from the SAFE survey. </w:t>
      </w:r>
      <w:r w:rsidR="003B467C" w:rsidRPr="00EC453D">
        <w:rPr>
          <w:rFonts w:cstheme="minorHAnsi"/>
        </w:rPr>
        <w:t>The data gathered here are changes in percentage on a semi- annual basis, which were converted to annual data</w:t>
      </w:r>
      <w:r w:rsidR="00C007A0">
        <w:rPr>
          <w:rFonts w:cstheme="minorHAnsi"/>
        </w:rPr>
        <w:t>.</w:t>
      </w:r>
    </w:p>
    <w:p w14:paraId="15186B84" w14:textId="77777777" w:rsidR="008F21BB" w:rsidRDefault="008F21BB" w:rsidP="00CC1A36">
      <w:pPr>
        <w:spacing w:line="360" w:lineRule="auto"/>
        <w:jc w:val="both"/>
        <w:rPr>
          <w:b/>
          <w:bCs/>
        </w:rPr>
      </w:pPr>
    </w:p>
    <w:p w14:paraId="62122A7D" w14:textId="2C0D4B8F" w:rsidR="00CC1A36" w:rsidRPr="000251DA" w:rsidRDefault="00CC1A36" w:rsidP="00CC1A36">
      <w:pPr>
        <w:spacing w:line="360" w:lineRule="auto"/>
        <w:jc w:val="both"/>
        <w:rPr>
          <w:color w:val="FF0000"/>
        </w:rPr>
      </w:pPr>
      <w:r>
        <w:t xml:space="preserve">After the data is gathered and structured; the regression model is built and tested. </w:t>
      </w:r>
      <w:r w:rsidRPr="003C505E">
        <w:t>One of the most commonly used ways of assessing the relationship between debt and its determinants is the OLS regression.</w:t>
      </w:r>
      <w:r w:rsidRPr="000251DA">
        <w:rPr>
          <w:color w:val="FF0000"/>
        </w:rPr>
        <w:t xml:space="preserve"> </w:t>
      </w:r>
      <w:r w:rsidRPr="003C505E">
        <w:t>Considering the previously defined determinants of debt used in this study, the evaluation of an OLS regression can be presented in the following way:</w:t>
      </w:r>
    </w:p>
    <w:p w14:paraId="6DF4EC3A" w14:textId="77777777" w:rsidR="00CC1A36" w:rsidRPr="000251DA" w:rsidRDefault="00CC1A36" w:rsidP="00CC1A36">
      <w:pPr>
        <w:jc w:val="both"/>
        <w:rPr>
          <w:color w:val="FF0000"/>
        </w:rPr>
      </w:pPr>
      <w:r>
        <w:rPr>
          <w:noProof/>
          <w:color w:val="FF0000"/>
          <w:lang w:val="en-GB" w:eastAsia="en-GB"/>
        </w:rPr>
        <w:drawing>
          <wp:inline distT="0" distB="0" distL="0" distR="0" wp14:anchorId="215C873C" wp14:editId="75BCD5E5">
            <wp:extent cx="2190750" cy="453765"/>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10179" cy="457789"/>
                    </a:xfrm>
                    <a:prstGeom prst="rect">
                      <a:avLst/>
                    </a:prstGeom>
                    <a:noFill/>
                    <a:ln>
                      <a:noFill/>
                    </a:ln>
                  </pic:spPr>
                </pic:pic>
              </a:graphicData>
            </a:graphic>
          </wp:inline>
        </w:drawing>
      </w:r>
    </w:p>
    <w:p w14:paraId="68175FB5" w14:textId="77777777" w:rsidR="00CC1A36" w:rsidRPr="00161BE0" w:rsidRDefault="00CC1A36" w:rsidP="00CC1A36">
      <w:pPr>
        <w:autoSpaceDE w:val="0"/>
        <w:autoSpaceDN w:val="0"/>
        <w:adjustRightInd w:val="0"/>
        <w:spacing w:after="0" w:line="360" w:lineRule="auto"/>
        <w:jc w:val="both"/>
        <w:rPr>
          <w:rFonts w:cstheme="minorHAnsi"/>
        </w:rPr>
      </w:pPr>
      <w:r>
        <w:rPr>
          <w:rFonts w:cstheme="minorHAnsi"/>
        </w:rPr>
        <w:t xml:space="preserve">The relationship between a continuous response variable (Y) and a continuous explanatory variable (X) is presented. Here α indicates the value of Y when all values of the explanatory variables are zero. The </w:t>
      </w:r>
      <w:r w:rsidRPr="00161BE0">
        <w:rPr>
          <w:rFonts w:cstheme="minorHAnsi"/>
        </w:rPr>
        <w:t>β</w:t>
      </w:r>
      <w:r>
        <w:rPr>
          <w:rFonts w:cstheme="minorHAnsi"/>
        </w:rPr>
        <w:t xml:space="preserve"> parameter indicates the average change in Y that is correlated with a unit change in X, while taking the other explanatory variables into account. OLS regression is </w:t>
      </w:r>
      <w:r w:rsidRPr="00161BE0">
        <w:rPr>
          <w:rFonts w:cstheme="minorHAnsi"/>
        </w:rPr>
        <w:t>particularly powerful as it relatively easy to also check the model as</w:t>
      </w:r>
      <w:r>
        <w:rPr>
          <w:rFonts w:cstheme="minorHAnsi"/>
        </w:rPr>
        <w:t>s</w:t>
      </w:r>
      <w:r w:rsidRPr="00161BE0">
        <w:rPr>
          <w:rFonts w:cstheme="minorHAnsi"/>
        </w:rPr>
        <w:t>umpt</w:t>
      </w:r>
      <w:r>
        <w:rPr>
          <w:rFonts w:cstheme="minorHAnsi"/>
        </w:rPr>
        <w:t>ion such as</w:t>
      </w:r>
      <w:r w:rsidRPr="00112B6D">
        <w:rPr>
          <w:rFonts w:cstheme="minorHAnsi"/>
        </w:rPr>
        <w:t xml:space="preserve"> </w:t>
      </w:r>
      <w:r>
        <w:rPr>
          <w:rFonts w:cstheme="minorHAnsi"/>
        </w:rPr>
        <w:t xml:space="preserve">constant </w:t>
      </w:r>
      <w:r w:rsidRPr="00161BE0">
        <w:rPr>
          <w:rFonts w:cstheme="minorHAnsi"/>
        </w:rPr>
        <w:t>variance</w:t>
      </w:r>
      <w:r>
        <w:rPr>
          <w:rFonts w:cstheme="minorHAnsi"/>
        </w:rPr>
        <w:t>, linearity</w:t>
      </w:r>
      <w:r w:rsidRPr="00161BE0">
        <w:rPr>
          <w:rFonts w:cstheme="minorHAnsi"/>
        </w:rPr>
        <w:t xml:space="preserve"> and the effect of outliers usin</w:t>
      </w:r>
      <w:r>
        <w:rPr>
          <w:rFonts w:cstheme="minorHAnsi"/>
        </w:rPr>
        <w:t>g simple graphical methods (</w:t>
      </w:r>
      <w:r w:rsidRPr="00161BE0">
        <w:rPr>
          <w:rFonts w:cstheme="minorHAnsi"/>
        </w:rPr>
        <w:t xml:space="preserve">Hutcheson and </w:t>
      </w:r>
      <w:proofErr w:type="spellStart"/>
      <w:r w:rsidRPr="00161BE0">
        <w:rPr>
          <w:rFonts w:cstheme="minorHAnsi"/>
        </w:rPr>
        <w:t>Sofroniou</w:t>
      </w:r>
      <w:proofErr w:type="spellEnd"/>
      <w:r w:rsidRPr="00161BE0">
        <w:rPr>
          <w:rFonts w:cstheme="minorHAnsi"/>
        </w:rPr>
        <w:t>, 1999).</w:t>
      </w:r>
    </w:p>
    <w:p w14:paraId="63BF9FA8" w14:textId="77777777" w:rsidR="00CC1A36" w:rsidRDefault="00CC1A36" w:rsidP="00CC1A36">
      <w:pPr>
        <w:spacing w:line="360" w:lineRule="auto"/>
        <w:jc w:val="both"/>
        <w:rPr>
          <w:color w:val="FF0000"/>
        </w:rPr>
      </w:pPr>
    </w:p>
    <w:p w14:paraId="495CE85E" w14:textId="5E2D82C6" w:rsidR="00CC1A36" w:rsidRPr="00287C0B" w:rsidRDefault="00CC1A36" w:rsidP="00CC1A36">
      <w:pPr>
        <w:spacing w:line="360" w:lineRule="auto"/>
        <w:jc w:val="both"/>
        <w:rPr>
          <w:lang w:val="en-GB"/>
        </w:rPr>
      </w:pPr>
      <w:r w:rsidRPr="00287C0B">
        <w:rPr>
          <w:lang w:val="en-GB"/>
        </w:rPr>
        <w:t>The variable that we intend to explain is SMEs capital structure</w:t>
      </w:r>
      <w:r w:rsidR="00A6179A">
        <w:rPr>
          <w:lang w:val="en-GB"/>
        </w:rPr>
        <w:t xml:space="preserve">. </w:t>
      </w:r>
      <w:r w:rsidR="00A6179A">
        <w:t xml:space="preserve">Capital structure is defined as the way a corporation finances its assets through some combination of equity, debt, or a combination of both. The composition, the ‘structure’ of how a firm is being financed is then called capital structure (Jensen &amp; </w:t>
      </w:r>
      <w:proofErr w:type="spellStart"/>
      <w:r w:rsidR="00A6179A">
        <w:t>Uhl</w:t>
      </w:r>
      <w:proofErr w:type="spellEnd"/>
      <w:r w:rsidR="00A6179A">
        <w:t>, 2008). Here, capital structure is defined as the total debt ratio.</w:t>
      </w:r>
      <w:r w:rsidR="00A6179A">
        <w:rPr>
          <w:lang w:val="en-GB"/>
        </w:rPr>
        <w:t xml:space="preserve"> </w:t>
      </w:r>
      <w:r w:rsidRPr="00287C0B">
        <w:rPr>
          <w:lang w:val="en-GB"/>
        </w:rPr>
        <w:t>This is obtained by dividing total debt with total assets;</w:t>
      </w:r>
    </w:p>
    <w:p w14:paraId="0C4B2D0D" w14:textId="77777777" w:rsidR="00CC1A36" w:rsidRDefault="00CC1A36" w:rsidP="00CC1A36">
      <w:pPr>
        <w:rPr>
          <w:lang w:val="nl-NL"/>
        </w:rPr>
      </w:pPr>
      <w:r>
        <w:rPr>
          <w:noProof/>
          <w:lang w:val="en-GB" w:eastAsia="en-GB"/>
        </w:rPr>
        <w:drawing>
          <wp:inline distT="0" distB="0" distL="0" distR="0" wp14:anchorId="6866AEDF" wp14:editId="464F8471">
            <wp:extent cx="863991" cy="4000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73164" cy="404297"/>
                    </a:xfrm>
                    <a:prstGeom prst="rect">
                      <a:avLst/>
                    </a:prstGeom>
                    <a:noFill/>
                    <a:ln>
                      <a:noFill/>
                    </a:ln>
                  </pic:spPr>
                </pic:pic>
              </a:graphicData>
            </a:graphic>
          </wp:inline>
        </w:drawing>
      </w:r>
    </w:p>
    <w:p w14:paraId="3B0C0977" w14:textId="77777777" w:rsidR="00CC1A36" w:rsidRDefault="00CC1A36" w:rsidP="00CC1A36">
      <w:pPr>
        <w:spacing w:line="360" w:lineRule="auto"/>
        <w:jc w:val="both"/>
      </w:pPr>
      <w:r>
        <w:t>There are a lot of papers where total debt is separated in long-term debt and short- term debt. However, other studies show that using the total debt ratio show similar results to the long-term (Wald, 1999). Therefore, using the total debt ratio is sufficient and reliable and is in accordance with similar papers (</w:t>
      </w:r>
      <w:proofErr w:type="spellStart"/>
      <w:r>
        <w:t>Rajan</w:t>
      </w:r>
      <w:proofErr w:type="spellEnd"/>
      <w:r>
        <w:t xml:space="preserve"> &amp; </w:t>
      </w:r>
      <w:proofErr w:type="spellStart"/>
      <w:r>
        <w:t>Zingales</w:t>
      </w:r>
      <w:proofErr w:type="spellEnd"/>
      <w:r>
        <w:t xml:space="preserve">, 1995; </w:t>
      </w:r>
      <w:proofErr w:type="spellStart"/>
      <w:r>
        <w:t>Deesomsak</w:t>
      </w:r>
      <w:proofErr w:type="spellEnd"/>
      <w:r>
        <w:t xml:space="preserve"> et al, 2004).</w:t>
      </w:r>
    </w:p>
    <w:p w14:paraId="57D3E77B" w14:textId="77777777" w:rsidR="00CC1A36" w:rsidRDefault="00CC1A36" w:rsidP="00CC1A36">
      <w:pPr>
        <w:spacing w:line="360" w:lineRule="auto"/>
        <w:rPr>
          <w:bCs/>
        </w:rPr>
      </w:pPr>
      <w:r>
        <w:rPr>
          <w:bCs/>
        </w:rPr>
        <w:t>The relationship of the independent variables with the dependent variable will be studied with the following regression:</w:t>
      </w:r>
    </w:p>
    <w:p w14:paraId="169981A4" w14:textId="465DDDAD" w:rsidR="004F625B" w:rsidRDefault="00CC1A36" w:rsidP="00CD2B0D">
      <w:pPr>
        <w:spacing w:line="360" w:lineRule="auto"/>
        <w:rPr>
          <w:rFonts w:cstheme="minorHAnsi"/>
          <w:b/>
          <w:bCs/>
        </w:rPr>
      </w:pPr>
      <w:r w:rsidRPr="0091474E">
        <w:rPr>
          <w:rFonts w:cstheme="minorHAnsi"/>
          <w:b/>
          <w:bCs/>
        </w:rPr>
        <w:lastRenderedPageBreak/>
        <w:t xml:space="preserve">TDR= </w:t>
      </w:r>
      <w:r w:rsidRPr="0091474E">
        <w:rPr>
          <w:rFonts w:cstheme="minorHAnsi"/>
          <w:b/>
          <w:bCs/>
          <w:shd w:val="clear" w:color="auto" w:fill="FFFFFF"/>
        </w:rPr>
        <w:t>β0+ β1</w:t>
      </w:r>
      <w:r>
        <w:rPr>
          <w:rFonts w:cstheme="minorHAnsi"/>
          <w:b/>
          <w:bCs/>
          <w:shd w:val="clear" w:color="auto" w:fill="FFFFFF"/>
        </w:rPr>
        <w:t>*</w:t>
      </w:r>
      <w:r w:rsidRPr="0091474E">
        <w:rPr>
          <w:rFonts w:cstheme="minorHAnsi"/>
          <w:b/>
          <w:bCs/>
        </w:rPr>
        <w:t>GDP</w:t>
      </w:r>
      <w:r>
        <w:rPr>
          <w:rFonts w:cstheme="minorHAnsi"/>
          <w:b/>
          <w:bCs/>
        </w:rPr>
        <w:t>CAPITA</w:t>
      </w:r>
      <w:r w:rsidRPr="0091474E">
        <w:rPr>
          <w:rFonts w:cstheme="minorHAnsi"/>
          <w:b/>
          <w:bCs/>
        </w:rPr>
        <w:t xml:space="preserve">+ </w:t>
      </w:r>
      <w:r w:rsidRPr="0091474E">
        <w:rPr>
          <w:rFonts w:cstheme="minorHAnsi"/>
          <w:b/>
          <w:bCs/>
          <w:shd w:val="clear" w:color="auto" w:fill="FFFFFF"/>
        </w:rPr>
        <w:t>β</w:t>
      </w:r>
      <w:r w:rsidRPr="0091474E">
        <w:rPr>
          <w:rFonts w:cstheme="minorHAnsi"/>
          <w:b/>
          <w:bCs/>
        </w:rPr>
        <w:t>2</w:t>
      </w:r>
      <w:r>
        <w:rPr>
          <w:rFonts w:cstheme="minorHAnsi"/>
          <w:b/>
          <w:bCs/>
        </w:rPr>
        <w:t>*</w:t>
      </w:r>
      <w:r w:rsidRPr="0091474E">
        <w:rPr>
          <w:rFonts w:cstheme="minorHAnsi"/>
          <w:b/>
          <w:bCs/>
        </w:rPr>
        <w:t>GDPGROWTH+</w:t>
      </w:r>
      <w:r w:rsidRPr="0091474E">
        <w:rPr>
          <w:rFonts w:cstheme="minorHAnsi"/>
          <w:b/>
          <w:bCs/>
          <w:shd w:val="clear" w:color="auto" w:fill="FFFFFF"/>
        </w:rPr>
        <w:t xml:space="preserve"> β3</w:t>
      </w:r>
      <w:r>
        <w:rPr>
          <w:rFonts w:cstheme="minorHAnsi"/>
          <w:b/>
          <w:bCs/>
          <w:shd w:val="clear" w:color="auto" w:fill="FFFFFF"/>
        </w:rPr>
        <w:t>*</w:t>
      </w:r>
      <w:r w:rsidRPr="0091474E">
        <w:rPr>
          <w:rFonts w:cstheme="minorHAnsi"/>
          <w:b/>
          <w:bCs/>
          <w:shd w:val="clear" w:color="auto" w:fill="FFFFFF"/>
        </w:rPr>
        <w:t xml:space="preserve">INFLATION+ </w:t>
      </w:r>
      <w:r w:rsidRPr="0091474E">
        <w:rPr>
          <w:rFonts w:cstheme="minorHAnsi"/>
          <w:b/>
          <w:bCs/>
          <w:color w:val="252525"/>
          <w:shd w:val="clear" w:color="auto" w:fill="FFFFFF"/>
        </w:rPr>
        <w:t>β4</w:t>
      </w:r>
      <w:r>
        <w:rPr>
          <w:rFonts w:cstheme="minorHAnsi"/>
          <w:b/>
          <w:bCs/>
          <w:color w:val="252525"/>
          <w:shd w:val="clear" w:color="auto" w:fill="FFFFFF"/>
        </w:rPr>
        <w:t>*</w:t>
      </w:r>
      <w:r w:rsidRPr="0091474E">
        <w:rPr>
          <w:rFonts w:cstheme="minorHAnsi"/>
          <w:b/>
          <w:bCs/>
          <w:color w:val="252525"/>
          <w:shd w:val="clear" w:color="auto" w:fill="FFFFFF"/>
        </w:rPr>
        <w:t>INTEREST</w:t>
      </w:r>
      <w:r w:rsidR="00402038">
        <w:rPr>
          <w:rFonts w:cstheme="minorHAnsi"/>
          <w:b/>
          <w:bCs/>
          <w:color w:val="252525"/>
          <w:shd w:val="clear" w:color="auto" w:fill="FFFFFF"/>
        </w:rPr>
        <w:t>+ β5*</w:t>
      </w:r>
      <w:r w:rsidR="00402038">
        <w:rPr>
          <w:rFonts w:cstheme="minorHAnsi"/>
          <w:b/>
          <w:bCs/>
        </w:rPr>
        <w:t>TURNOVER</w:t>
      </w:r>
      <w:r w:rsidR="00402038" w:rsidRPr="0091474E">
        <w:rPr>
          <w:rFonts w:cstheme="minorHAnsi"/>
          <w:b/>
          <w:bCs/>
        </w:rPr>
        <w:t xml:space="preserve">+ </w:t>
      </w:r>
      <w:r w:rsidR="00402038" w:rsidRPr="0091474E">
        <w:rPr>
          <w:rFonts w:cstheme="minorHAnsi"/>
          <w:b/>
          <w:bCs/>
          <w:color w:val="252525"/>
          <w:shd w:val="clear" w:color="auto" w:fill="FFFFFF"/>
        </w:rPr>
        <w:t>β</w:t>
      </w:r>
      <w:r w:rsidR="00402038">
        <w:rPr>
          <w:rFonts w:cstheme="minorHAnsi"/>
          <w:b/>
          <w:bCs/>
        </w:rPr>
        <w:t>6*</w:t>
      </w:r>
      <w:r w:rsidR="00402038" w:rsidRPr="0091474E">
        <w:rPr>
          <w:rFonts w:cstheme="minorHAnsi"/>
          <w:b/>
          <w:bCs/>
        </w:rPr>
        <w:t>G</w:t>
      </w:r>
      <w:r w:rsidR="00087BB1">
        <w:rPr>
          <w:rFonts w:cstheme="minorHAnsi"/>
          <w:b/>
          <w:bCs/>
        </w:rPr>
        <w:t>VIEW</w:t>
      </w:r>
      <w:r w:rsidR="00402038" w:rsidRPr="0091474E">
        <w:rPr>
          <w:rFonts w:cstheme="minorHAnsi"/>
          <w:b/>
          <w:bCs/>
        </w:rPr>
        <w:t xml:space="preserve">+ </w:t>
      </w:r>
      <w:r w:rsidR="00402038" w:rsidRPr="0091474E">
        <w:rPr>
          <w:rFonts w:cstheme="minorHAnsi"/>
          <w:b/>
          <w:bCs/>
          <w:color w:val="252525"/>
          <w:shd w:val="clear" w:color="auto" w:fill="FFFFFF"/>
        </w:rPr>
        <w:t>β</w:t>
      </w:r>
      <w:r w:rsidR="00402038">
        <w:rPr>
          <w:rFonts w:cstheme="minorHAnsi"/>
          <w:b/>
          <w:bCs/>
        </w:rPr>
        <w:t>7*</w:t>
      </w:r>
      <w:r w:rsidR="00402038" w:rsidRPr="0091474E">
        <w:rPr>
          <w:rFonts w:cstheme="minorHAnsi"/>
          <w:b/>
          <w:bCs/>
        </w:rPr>
        <w:t>PROFITABILITY</w:t>
      </w:r>
    </w:p>
    <w:p w14:paraId="6BE5006A" w14:textId="77777777" w:rsidR="00087BB1" w:rsidRPr="00E1337F" w:rsidRDefault="00087BB1" w:rsidP="00087BB1">
      <w:pPr>
        <w:spacing w:line="360" w:lineRule="auto"/>
        <w:jc w:val="both"/>
        <w:rPr>
          <w:bCs/>
        </w:rPr>
      </w:pPr>
      <w:r>
        <w:rPr>
          <w:bCs/>
        </w:rPr>
        <w:t>The countries</w:t>
      </w:r>
      <w:r w:rsidRPr="00CB62BC">
        <w:rPr>
          <w:bCs/>
        </w:rPr>
        <w:t xml:space="preserve"> included in this paper </w:t>
      </w:r>
      <w:r>
        <w:rPr>
          <w:bCs/>
        </w:rPr>
        <w:t>will be tested with these regression models. The independent variables will be accepted if they have a significant effect on the dependent variable or rejected if this is not the case. For this research a 5% significance level and 10% significance level will be maintained. When using a 5% significance level, it is accepted that there is a 5% probability that the null hypothesis is wrongly rejected (and 10% when using a 10% significance level); this is called the type 1 error. The type 2 error is the probability that the null hypothesis is not rejected when it should have been. Choosing a higher significance level gives a greater chance of accepting the null hypothesis, however this also increases the chance of a type 1 error.  A higher level of significance lowers the security of the test result. Rejecting the null hypothesis can only be done with a certain amount of certainty, a relationship between two variables can never be completely ruled out.</w:t>
      </w:r>
    </w:p>
    <w:p w14:paraId="3B51ADE6" w14:textId="77777777" w:rsidR="00AB3AB1" w:rsidRDefault="00AB3AB1" w:rsidP="00AB3AB1">
      <w:pPr>
        <w:spacing w:line="360" w:lineRule="auto"/>
        <w:rPr>
          <w:rFonts w:cstheme="minorHAnsi"/>
          <w:b/>
          <w:bCs/>
        </w:rPr>
      </w:pPr>
    </w:p>
    <w:p w14:paraId="72BB7A15" w14:textId="59DAD607" w:rsidR="00AB3AB1" w:rsidRDefault="00087BB1" w:rsidP="00CD2B0D">
      <w:pPr>
        <w:spacing w:line="360" w:lineRule="auto"/>
        <w:rPr>
          <w:rFonts w:cstheme="minorHAnsi"/>
          <w:b/>
          <w:bCs/>
        </w:rPr>
      </w:pPr>
      <w:r>
        <w:rPr>
          <w:rFonts w:cstheme="minorHAnsi"/>
          <w:b/>
          <w:bCs/>
        </w:rPr>
        <w:t>4.2 Descriptive Statistics</w:t>
      </w:r>
    </w:p>
    <w:p w14:paraId="19E4658B" w14:textId="49EF1AB2" w:rsidR="008449AA" w:rsidRPr="00E25021" w:rsidRDefault="00087BB1" w:rsidP="00143340">
      <w:pPr>
        <w:spacing w:line="360" w:lineRule="auto"/>
        <w:jc w:val="both"/>
        <w:rPr>
          <w:rFonts w:cstheme="minorHAnsi"/>
          <w:bCs/>
        </w:rPr>
      </w:pPr>
      <w:r>
        <w:rPr>
          <w:rFonts w:cstheme="minorHAnsi"/>
          <w:bCs/>
        </w:rPr>
        <w:t xml:space="preserve">In this part the descriptive statistics of this study will be briefly mentioned and are represented in table 4. </w:t>
      </w:r>
      <w:r w:rsidR="0064248A">
        <w:rPr>
          <w:rFonts w:cstheme="minorHAnsi"/>
          <w:bCs/>
        </w:rPr>
        <w:t>T</w:t>
      </w:r>
      <w:r>
        <w:rPr>
          <w:rFonts w:cstheme="minorHAnsi"/>
          <w:bCs/>
        </w:rPr>
        <w:t xml:space="preserve">his table </w:t>
      </w:r>
      <w:r w:rsidR="0064248A">
        <w:rPr>
          <w:rFonts w:cstheme="minorHAnsi"/>
          <w:bCs/>
        </w:rPr>
        <w:t>shows the descriptive statistics of 11 European countries during the period 2009 until 2014.</w:t>
      </w:r>
      <w:r w:rsidR="0005653A">
        <w:rPr>
          <w:rFonts w:cstheme="minorHAnsi"/>
          <w:b/>
          <w:bCs/>
        </w:rPr>
        <w:t xml:space="preserve"> </w:t>
      </w:r>
      <w:r w:rsidR="008B7593">
        <w:rPr>
          <w:rFonts w:cstheme="minorHAnsi"/>
          <w:bCs/>
        </w:rPr>
        <w:t>These observations are</w:t>
      </w:r>
      <w:r w:rsidR="00900608">
        <w:rPr>
          <w:rFonts w:cstheme="minorHAnsi"/>
          <w:bCs/>
        </w:rPr>
        <w:t xml:space="preserve"> measured in</w:t>
      </w:r>
      <w:r w:rsidR="008B7593">
        <w:rPr>
          <w:rFonts w:cstheme="minorHAnsi"/>
          <w:bCs/>
        </w:rPr>
        <w:t xml:space="preserve"> </w:t>
      </w:r>
      <w:r w:rsidR="00FB2D68">
        <w:rPr>
          <w:rFonts w:cstheme="minorHAnsi"/>
          <w:bCs/>
        </w:rPr>
        <w:t>percentage change (</w:t>
      </w:r>
      <w:r w:rsidR="00FB2D68">
        <w:rPr>
          <w:rFonts w:cstheme="minorHAnsi"/>
          <w:color w:val="000000"/>
        </w:rPr>
        <w:t>∆%)</w:t>
      </w:r>
      <w:r w:rsidR="008B7593">
        <w:rPr>
          <w:rFonts w:cstheme="minorHAnsi"/>
          <w:color w:val="000000"/>
        </w:rPr>
        <w:t>.</w:t>
      </w:r>
      <w:r w:rsidR="00FB2D68">
        <w:rPr>
          <w:rFonts w:cstheme="minorHAnsi"/>
          <w:bCs/>
        </w:rPr>
        <w:t xml:space="preserve"> </w:t>
      </w:r>
      <w:r w:rsidR="0005653A">
        <w:rPr>
          <w:rFonts w:cstheme="minorHAnsi"/>
          <w:bCs/>
        </w:rPr>
        <w:t>An</w:t>
      </w:r>
      <w:r w:rsidR="00AB3AB1">
        <w:rPr>
          <w:rFonts w:cstheme="minorHAnsi"/>
          <w:bCs/>
        </w:rPr>
        <w:t xml:space="preserve"> important descriptive statistic is the standard deviation, which is in some cases higher than the mean of the sample. This signifies that there are high deviations within the 11 countries tested.</w:t>
      </w:r>
      <w:r w:rsidR="00E25021">
        <w:rPr>
          <w:rFonts w:cstheme="minorHAnsi"/>
          <w:bCs/>
        </w:rPr>
        <w:t xml:space="preserve"> There</w:t>
      </w:r>
      <w:r w:rsidR="0005653A">
        <w:rPr>
          <w:rFonts w:cstheme="minorHAnsi"/>
          <w:bCs/>
        </w:rPr>
        <w:t xml:space="preserve"> seems to be no irregularities. </w:t>
      </w:r>
    </w:p>
    <w:tbl>
      <w:tblPr>
        <w:tblW w:w="74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84"/>
        <w:gridCol w:w="1009"/>
        <w:gridCol w:w="1055"/>
        <w:gridCol w:w="1086"/>
        <w:gridCol w:w="1238"/>
        <w:gridCol w:w="1423"/>
      </w:tblGrid>
      <w:tr w:rsidR="00095A58" w:rsidRPr="00095A58" w14:paraId="73816957" w14:textId="77777777">
        <w:trPr>
          <w:cantSplit/>
        </w:trPr>
        <w:tc>
          <w:tcPr>
            <w:tcW w:w="7492" w:type="dxa"/>
            <w:gridSpan w:val="6"/>
            <w:tcBorders>
              <w:top w:val="nil"/>
              <w:left w:val="nil"/>
              <w:bottom w:val="nil"/>
              <w:right w:val="nil"/>
            </w:tcBorders>
            <w:shd w:val="clear" w:color="auto" w:fill="FFFFFF"/>
          </w:tcPr>
          <w:p w14:paraId="7A5D9747" w14:textId="43AD117C" w:rsidR="00095A58" w:rsidRPr="00CD2B0D" w:rsidRDefault="00C9757E" w:rsidP="00095A58">
            <w:pPr>
              <w:autoSpaceDE w:val="0"/>
              <w:autoSpaceDN w:val="0"/>
              <w:adjustRightInd w:val="0"/>
              <w:spacing w:after="0" w:line="320" w:lineRule="atLeast"/>
              <w:ind w:left="60" w:right="60"/>
              <w:jc w:val="center"/>
              <w:rPr>
                <w:rFonts w:cstheme="minorHAnsi"/>
                <w:color w:val="000000"/>
              </w:rPr>
            </w:pPr>
            <w:r>
              <w:rPr>
                <w:rFonts w:cstheme="minorHAnsi"/>
                <w:b/>
                <w:bCs/>
                <w:color w:val="000000"/>
              </w:rPr>
              <w:t xml:space="preserve">Table 4. </w:t>
            </w:r>
            <w:r w:rsidR="00095A58" w:rsidRPr="00CD2B0D">
              <w:rPr>
                <w:rFonts w:cstheme="minorHAnsi"/>
                <w:b/>
                <w:bCs/>
                <w:color w:val="000000"/>
              </w:rPr>
              <w:t>Descriptive Statistics</w:t>
            </w:r>
          </w:p>
        </w:tc>
      </w:tr>
      <w:tr w:rsidR="00095A58" w:rsidRPr="00095A58" w14:paraId="221DD5C4" w14:textId="77777777">
        <w:trPr>
          <w:cantSplit/>
        </w:trPr>
        <w:tc>
          <w:tcPr>
            <w:tcW w:w="1682" w:type="dxa"/>
            <w:tcBorders>
              <w:top w:val="single" w:sz="16" w:space="0" w:color="000000"/>
              <w:left w:val="single" w:sz="16" w:space="0" w:color="000000"/>
              <w:bottom w:val="single" w:sz="16" w:space="0" w:color="000000"/>
              <w:right w:val="single" w:sz="16" w:space="0" w:color="000000"/>
            </w:tcBorders>
            <w:shd w:val="clear" w:color="auto" w:fill="FFFFFF"/>
          </w:tcPr>
          <w:p w14:paraId="46B313D5" w14:textId="042B671E" w:rsidR="00095A58" w:rsidRPr="00CD2B0D" w:rsidRDefault="00FB2D68" w:rsidP="00095A58">
            <w:pPr>
              <w:autoSpaceDE w:val="0"/>
              <w:autoSpaceDN w:val="0"/>
              <w:adjustRightInd w:val="0"/>
              <w:spacing w:after="0" w:line="320" w:lineRule="atLeast"/>
              <w:ind w:left="60" w:right="60"/>
              <w:rPr>
                <w:rFonts w:cstheme="minorHAnsi"/>
                <w:color w:val="000000"/>
              </w:rPr>
            </w:pPr>
            <w:r>
              <w:rPr>
                <w:rFonts w:cstheme="minorHAnsi"/>
                <w:color w:val="000000"/>
              </w:rPr>
              <w:t>∆%</w:t>
            </w:r>
          </w:p>
        </w:tc>
        <w:tc>
          <w:tcPr>
            <w:tcW w:w="1009" w:type="dxa"/>
            <w:tcBorders>
              <w:top w:val="single" w:sz="16" w:space="0" w:color="000000"/>
              <w:left w:val="single" w:sz="16" w:space="0" w:color="000000"/>
              <w:bottom w:val="single" w:sz="16" w:space="0" w:color="000000"/>
            </w:tcBorders>
            <w:shd w:val="clear" w:color="auto" w:fill="FFFFFF"/>
          </w:tcPr>
          <w:p w14:paraId="5F0CBB80" w14:textId="77777777" w:rsidR="00095A58" w:rsidRPr="00CD2B0D" w:rsidRDefault="00095A58" w:rsidP="00095A58">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N</w:t>
            </w:r>
          </w:p>
        </w:tc>
        <w:tc>
          <w:tcPr>
            <w:tcW w:w="1055" w:type="dxa"/>
            <w:tcBorders>
              <w:top w:val="single" w:sz="16" w:space="0" w:color="000000"/>
              <w:bottom w:val="single" w:sz="16" w:space="0" w:color="000000"/>
            </w:tcBorders>
            <w:shd w:val="clear" w:color="auto" w:fill="FFFFFF"/>
          </w:tcPr>
          <w:p w14:paraId="068217A3" w14:textId="77777777" w:rsidR="00095A58" w:rsidRPr="00CD2B0D" w:rsidRDefault="00095A58" w:rsidP="00095A58">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Minimum</w:t>
            </w:r>
          </w:p>
        </w:tc>
        <w:tc>
          <w:tcPr>
            <w:tcW w:w="1086" w:type="dxa"/>
            <w:tcBorders>
              <w:top w:val="single" w:sz="16" w:space="0" w:color="000000"/>
              <w:bottom w:val="single" w:sz="16" w:space="0" w:color="000000"/>
            </w:tcBorders>
            <w:shd w:val="clear" w:color="auto" w:fill="FFFFFF"/>
          </w:tcPr>
          <w:p w14:paraId="47D17E8A" w14:textId="77777777" w:rsidR="00095A58" w:rsidRPr="00CD2B0D" w:rsidRDefault="00095A58" w:rsidP="00095A58">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Maximum</w:t>
            </w:r>
          </w:p>
        </w:tc>
        <w:tc>
          <w:tcPr>
            <w:tcW w:w="1238" w:type="dxa"/>
            <w:tcBorders>
              <w:top w:val="single" w:sz="16" w:space="0" w:color="000000"/>
              <w:bottom w:val="single" w:sz="16" w:space="0" w:color="000000"/>
            </w:tcBorders>
            <w:shd w:val="clear" w:color="auto" w:fill="FFFFFF"/>
          </w:tcPr>
          <w:p w14:paraId="4AF0420F" w14:textId="77777777" w:rsidR="00095A58" w:rsidRPr="00CD2B0D" w:rsidRDefault="00095A58" w:rsidP="00095A58">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Mean</w:t>
            </w:r>
          </w:p>
        </w:tc>
        <w:tc>
          <w:tcPr>
            <w:tcW w:w="1422" w:type="dxa"/>
            <w:tcBorders>
              <w:top w:val="single" w:sz="16" w:space="0" w:color="000000"/>
              <w:bottom w:val="single" w:sz="16" w:space="0" w:color="000000"/>
              <w:right w:val="single" w:sz="16" w:space="0" w:color="000000"/>
            </w:tcBorders>
            <w:shd w:val="clear" w:color="auto" w:fill="FFFFFF"/>
          </w:tcPr>
          <w:p w14:paraId="7E230FB0" w14:textId="77777777" w:rsidR="00095A58" w:rsidRPr="00CD2B0D" w:rsidRDefault="00095A58" w:rsidP="00095A58">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Std. Deviation</w:t>
            </w:r>
          </w:p>
        </w:tc>
      </w:tr>
      <w:tr w:rsidR="00095A58" w:rsidRPr="00095A58" w14:paraId="7A66BEEA" w14:textId="77777777">
        <w:trPr>
          <w:cantSplit/>
        </w:trPr>
        <w:tc>
          <w:tcPr>
            <w:tcW w:w="1682" w:type="dxa"/>
            <w:tcBorders>
              <w:top w:val="single" w:sz="16" w:space="0" w:color="000000"/>
              <w:left w:val="single" w:sz="16" w:space="0" w:color="000000"/>
              <w:bottom w:val="nil"/>
              <w:right w:val="single" w:sz="16" w:space="0" w:color="000000"/>
            </w:tcBorders>
            <w:shd w:val="clear" w:color="auto" w:fill="FFFFFF"/>
            <w:vAlign w:val="center"/>
          </w:tcPr>
          <w:p w14:paraId="6D9E795F" w14:textId="77777777" w:rsidR="00095A58" w:rsidRPr="00CD2B0D" w:rsidRDefault="00095A58" w:rsidP="00095A58">
            <w:pPr>
              <w:autoSpaceDE w:val="0"/>
              <w:autoSpaceDN w:val="0"/>
              <w:adjustRightInd w:val="0"/>
              <w:spacing w:after="0" w:line="320" w:lineRule="atLeast"/>
              <w:ind w:left="60" w:right="60"/>
              <w:rPr>
                <w:rFonts w:cstheme="minorHAnsi"/>
                <w:color w:val="000000"/>
              </w:rPr>
            </w:pPr>
            <w:r w:rsidRPr="00CD2B0D">
              <w:rPr>
                <w:rFonts w:cstheme="minorHAnsi"/>
                <w:color w:val="000000"/>
              </w:rPr>
              <w:t>TDR</w:t>
            </w:r>
          </w:p>
        </w:tc>
        <w:tc>
          <w:tcPr>
            <w:tcW w:w="1009" w:type="dxa"/>
            <w:tcBorders>
              <w:top w:val="single" w:sz="16" w:space="0" w:color="000000"/>
              <w:left w:val="single" w:sz="16" w:space="0" w:color="000000"/>
              <w:bottom w:val="nil"/>
            </w:tcBorders>
            <w:shd w:val="clear" w:color="auto" w:fill="FFFFFF"/>
            <w:vAlign w:val="center"/>
          </w:tcPr>
          <w:p w14:paraId="73A3220D"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single" w:sz="16" w:space="0" w:color="000000"/>
              <w:bottom w:val="nil"/>
            </w:tcBorders>
            <w:shd w:val="clear" w:color="auto" w:fill="FFFFFF"/>
            <w:vAlign w:val="center"/>
          </w:tcPr>
          <w:p w14:paraId="545E4655"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-63</w:t>
            </w:r>
          </w:p>
        </w:tc>
        <w:tc>
          <w:tcPr>
            <w:tcW w:w="1086" w:type="dxa"/>
            <w:tcBorders>
              <w:top w:val="single" w:sz="16" w:space="0" w:color="000000"/>
              <w:bottom w:val="nil"/>
            </w:tcBorders>
            <w:shd w:val="clear" w:color="auto" w:fill="FFFFFF"/>
            <w:vAlign w:val="center"/>
          </w:tcPr>
          <w:p w14:paraId="3FBCFD3A"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45</w:t>
            </w:r>
          </w:p>
        </w:tc>
        <w:tc>
          <w:tcPr>
            <w:tcW w:w="1238" w:type="dxa"/>
            <w:tcBorders>
              <w:top w:val="single" w:sz="16" w:space="0" w:color="000000"/>
              <w:bottom w:val="nil"/>
            </w:tcBorders>
            <w:shd w:val="clear" w:color="auto" w:fill="FFFFFF"/>
            <w:vAlign w:val="center"/>
          </w:tcPr>
          <w:p w14:paraId="504B6573"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-13.24</w:t>
            </w:r>
          </w:p>
        </w:tc>
        <w:tc>
          <w:tcPr>
            <w:tcW w:w="1422" w:type="dxa"/>
            <w:tcBorders>
              <w:top w:val="single" w:sz="16" w:space="0" w:color="000000"/>
              <w:bottom w:val="nil"/>
              <w:right w:val="single" w:sz="16" w:space="0" w:color="000000"/>
            </w:tcBorders>
            <w:shd w:val="clear" w:color="auto" w:fill="FFFFFF"/>
            <w:vAlign w:val="center"/>
          </w:tcPr>
          <w:p w14:paraId="777FBC46"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19.987</w:t>
            </w:r>
          </w:p>
        </w:tc>
      </w:tr>
      <w:tr w:rsidR="00095A58" w:rsidRPr="00095A58" w14:paraId="2882CA7D" w14:textId="77777777">
        <w:trPr>
          <w:cantSplit/>
        </w:trPr>
        <w:tc>
          <w:tcPr>
            <w:tcW w:w="1682" w:type="dxa"/>
            <w:tcBorders>
              <w:top w:val="nil"/>
              <w:left w:val="single" w:sz="16" w:space="0" w:color="000000"/>
              <w:bottom w:val="nil"/>
              <w:right w:val="single" w:sz="16" w:space="0" w:color="000000"/>
            </w:tcBorders>
            <w:shd w:val="clear" w:color="auto" w:fill="FFFFFF"/>
            <w:vAlign w:val="center"/>
          </w:tcPr>
          <w:p w14:paraId="52B71004" w14:textId="77777777" w:rsidR="00095A58" w:rsidRPr="00CD2B0D" w:rsidRDefault="00095A58" w:rsidP="00095A58">
            <w:pPr>
              <w:autoSpaceDE w:val="0"/>
              <w:autoSpaceDN w:val="0"/>
              <w:adjustRightInd w:val="0"/>
              <w:spacing w:after="0" w:line="320" w:lineRule="atLeast"/>
              <w:ind w:left="60" w:right="60"/>
              <w:rPr>
                <w:rFonts w:cstheme="minorHAnsi"/>
                <w:color w:val="000000"/>
              </w:rPr>
            </w:pPr>
            <w:r w:rsidRPr="00CD2B0D">
              <w:rPr>
                <w:rFonts w:cstheme="minorHAnsi"/>
                <w:color w:val="000000"/>
              </w:rPr>
              <w:t>GDP</w:t>
            </w:r>
          </w:p>
        </w:tc>
        <w:tc>
          <w:tcPr>
            <w:tcW w:w="1009" w:type="dxa"/>
            <w:tcBorders>
              <w:top w:val="nil"/>
              <w:left w:val="single" w:sz="16" w:space="0" w:color="000000"/>
              <w:bottom w:val="nil"/>
            </w:tcBorders>
            <w:shd w:val="clear" w:color="auto" w:fill="FFFFFF"/>
            <w:vAlign w:val="center"/>
          </w:tcPr>
          <w:p w14:paraId="53EE50C7"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nil"/>
              <w:bottom w:val="nil"/>
            </w:tcBorders>
            <w:shd w:val="clear" w:color="auto" w:fill="FFFFFF"/>
            <w:vAlign w:val="center"/>
          </w:tcPr>
          <w:p w14:paraId="789DCEA3"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-8.885</w:t>
            </w:r>
          </w:p>
        </w:tc>
        <w:tc>
          <w:tcPr>
            <w:tcW w:w="1086" w:type="dxa"/>
            <w:tcBorders>
              <w:top w:val="nil"/>
              <w:bottom w:val="nil"/>
            </w:tcBorders>
            <w:shd w:val="clear" w:color="auto" w:fill="FFFFFF"/>
            <w:vAlign w:val="center"/>
          </w:tcPr>
          <w:p w14:paraId="590D3614"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4.870</w:t>
            </w:r>
          </w:p>
        </w:tc>
        <w:tc>
          <w:tcPr>
            <w:tcW w:w="1238" w:type="dxa"/>
            <w:tcBorders>
              <w:top w:val="nil"/>
              <w:bottom w:val="nil"/>
            </w:tcBorders>
            <w:shd w:val="clear" w:color="auto" w:fill="FFFFFF"/>
            <w:vAlign w:val="center"/>
          </w:tcPr>
          <w:p w14:paraId="6AE088A3" w14:textId="600DC5C8"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-.904</w:t>
            </w:r>
          </w:p>
        </w:tc>
        <w:tc>
          <w:tcPr>
            <w:tcW w:w="1422" w:type="dxa"/>
            <w:tcBorders>
              <w:top w:val="nil"/>
              <w:bottom w:val="nil"/>
              <w:right w:val="single" w:sz="16" w:space="0" w:color="000000"/>
            </w:tcBorders>
            <w:shd w:val="clear" w:color="auto" w:fill="FFFFFF"/>
            <w:vAlign w:val="center"/>
          </w:tcPr>
          <w:p w14:paraId="42E6BA38" w14:textId="426B5A5C"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2.952</w:t>
            </w:r>
          </w:p>
        </w:tc>
      </w:tr>
      <w:tr w:rsidR="00095A58" w:rsidRPr="00095A58" w14:paraId="60C26C1B" w14:textId="77777777">
        <w:trPr>
          <w:cantSplit/>
        </w:trPr>
        <w:tc>
          <w:tcPr>
            <w:tcW w:w="1682" w:type="dxa"/>
            <w:tcBorders>
              <w:top w:val="nil"/>
              <w:left w:val="single" w:sz="16" w:space="0" w:color="000000"/>
              <w:bottom w:val="nil"/>
              <w:right w:val="single" w:sz="16" w:space="0" w:color="000000"/>
            </w:tcBorders>
            <w:shd w:val="clear" w:color="auto" w:fill="FFFFFF"/>
            <w:vAlign w:val="center"/>
          </w:tcPr>
          <w:p w14:paraId="3C9EF693" w14:textId="77777777" w:rsidR="00095A58" w:rsidRPr="00CD2B0D" w:rsidRDefault="00095A58" w:rsidP="00095A58">
            <w:pPr>
              <w:autoSpaceDE w:val="0"/>
              <w:autoSpaceDN w:val="0"/>
              <w:adjustRightInd w:val="0"/>
              <w:spacing w:after="0" w:line="320" w:lineRule="atLeast"/>
              <w:ind w:left="60" w:right="60"/>
              <w:rPr>
                <w:rFonts w:cstheme="minorHAnsi"/>
                <w:color w:val="000000"/>
              </w:rPr>
            </w:pPr>
            <w:r w:rsidRPr="00CD2B0D">
              <w:rPr>
                <w:rFonts w:cstheme="minorHAnsi"/>
                <w:color w:val="000000"/>
              </w:rPr>
              <w:t>GDPGROWTH</w:t>
            </w:r>
          </w:p>
        </w:tc>
        <w:tc>
          <w:tcPr>
            <w:tcW w:w="1009" w:type="dxa"/>
            <w:tcBorders>
              <w:top w:val="nil"/>
              <w:left w:val="single" w:sz="16" w:space="0" w:color="000000"/>
              <w:bottom w:val="nil"/>
            </w:tcBorders>
            <w:shd w:val="clear" w:color="auto" w:fill="FFFFFF"/>
            <w:vAlign w:val="center"/>
          </w:tcPr>
          <w:p w14:paraId="39664516"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nil"/>
              <w:bottom w:val="nil"/>
            </w:tcBorders>
            <w:shd w:val="clear" w:color="auto" w:fill="FFFFFF"/>
            <w:vAlign w:val="center"/>
          </w:tcPr>
          <w:p w14:paraId="2375351C"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-9.132</w:t>
            </w:r>
          </w:p>
        </w:tc>
        <w:tc>
          <w:tcPr>
            <w:tcW w:w="1086" w:type="dxa"/>
            <w:tcBorders>
              <w:top w:val="nil"/>
              <w:bottom w:val="nil"/>
            </w:tcBorders>
            <w:shd w:val="clear" w:color="auto" w:fill="FFFFFF"/>
            <w:vAlign w:val="center"/>
          </w:tcPr>
          <w:p w14:paraId="62833E06"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5.199</w:t>
            </w:r>
          </w:p>
        </w:tc>
        <w:tc>
          <w:tcPr>
            <w:tcW w:w="1238" w:type="dxa"/>
            <w:tcBorders>
              <w:top w:val="nil"/>
              <w:bottom w:val="nil"/>
            </w:tcBorders>
            <w:shd w:val="clear" w:color="auto" w:fill="FFFFFF"/>
            <w:vAlign w:val="center"/>
          </w:tcPr>
          <w:p w14:paraId="5FEF57A0" w14:textId="3F33945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-.632</w:t>
            </w:r>
          </w:p>
        </w:tc>
        <w:tc>
          <w:tcPr>
            <w:tcW w:w="1422" w:type="dxa"/>
            <w:tcBorders>
              <w:top w:val="nil"/>
              <w:bottom w:val="nil"/>
              <w:right w:val="single" w:sz="16" w:space="0" w:color="000000"/>
            </w:tcBorders>
            <w:shd w:val="clear" w:color="auto" w:fill="FFFFFF"/>
            <w:vAlign w:val="center"/>
          </w:tcPr>
          <w:p w14:paraId="7C018118" w14:textId="4861B146"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2.976</w:t>
            </w:r>
          </w:p>
        </w:tc>
      </w:tr>
      <w:tr w:rsidR="00095A58" w:rsidRPr="00095A58" w14:paraId="254230D7" w14:textId="77777777">
        <w:trPr>
          <w:cantSplit/>
        </w:trPr>
        <w:tc>
          <w:tcPr>
            <w:tcW w:w="1682" w:type="dxa"/>
            <w:tcBorders>
              <w:top w:val="nil"/>
              <w:left w:val="single" w:sz="16" w:space="0" w:color="000000"/>
              <w:bottom w:val="nil"/>
              <w:right w:val="single" w:sz="16" w:space="0" w:color="000000"/>
            </w:tcBorders>
            <w:shd w:val="clear" w:color="auto" w:fill="FFFFFF"/>
            <w:vAlign w:val="center"/>
          </w:tcPr>
          <w:p w14:paraId="1DBA215A" w14:textId="0581496E" w:rsidR="00095A58" w:rsidRPr="00CD2B0D" w:rsidRDefault="00095A58" w:rsidP="00095A58">
            <w:pPr>
              <w:autoSpaceDE w:val="0"/>
              <w:autoSpaceDN w:val="0"/>
              <w:adjustRightInd w:val="0"/>
              <w:spacing w:after="0" w:line="320" w:lineRule="atLeast"/>
              <w:ind w:left="60" w:right="60"/>
              <w:rPr>
                <w:rFonts w:cstheme="minorHAnsi"/>
                <w:color w:val="000000"/>
              </w:rPr>
            </w:pPr>
            <w:r w:rsidRPr="00CD2B0D">
              <w:rPr>
                <w:rFonts w:cstheme="minorHAnsi"/>
                <w:color w:val="000000"/>
              </w:rPr>
              <w:t>INFLATION</w:t>
            </w:r>
          </w:p>
        </w:tc>
        <w:tc>
          <w:tcPr>
            <w:tcW w:w="1009" w:type="dxa"/>
            <w:tcBorders>
              <w:top w:val="nil"/>
              <w:left w:val="single" w:sz="16" w:space="0" w:color="000000"/>
              <w:bottom w:val="nil"/>
            </w:tcBorders>
            <w:shd w:val="clear" w:color="auto" w:fill="FFFFFF"/>
            <w:vAlign w:val="center"/>
          </w:tcPr>
          <w:p w14:paraId="089E2F7F"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nil"/>
              <w:bottom w:val="nil"/>
            </w:tcBorders>
            <w:shd w:val="clear" w:color="auto" w:fill="FFFFFF"/>
            <w:vAlign w:val="center"/>
          </w:tcPr>
          <w:p w14:paraId="3790DEA6" w14:textId="3D4F9C1A"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-67.200</w:t>
            </w:r>
          </w:p>
        </w:tc>
        <w:tc>
          <w:tcPr>
            <w:tcW w:w="1086" w:type="dxa"/>
            <w:tcBorders>
              <w:top w:val="nil"/>
              <w:bottom w:val="nil"/>
            </w:tcBorders>
            <w:shd w:val="clear" w:color="auto" w:fill="FFFFFF"/>
            <w:vAlign w:val="center"/>
          </w:tcPr>
          <w:p w14:paraId="4BBA5308" w14:textId="788556E5"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107.00</w:t>
            </w:r>
            <w:r w:rsidR="0005653A">
              <w:rPr>
                <w:rFonts w:cstheme="minorHAnsi"/>
                <w:color w:val="000000"/>
              </w:rPr>
              <w:t>0</w:t>
            </w:r>
          </w:p>
        </w:tc>
        <w:tc>
          <w:tcPr>
            <w:tcW w:w="1238" w:type="dxa"/>
            <w:tcBorders>
              <w:top w:val="nil"/>
              <w:bottom w:val="nil"/>
            </w:tcBorders>
            <w:shd w:val="clear" w:color="auto" w:fill="FFFFFF"/>
            <w:vAlign w:val="center"/>
          </w:tcPr>
          <w:p w14:paraId="461033BF" w14:textId="7D800A65"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42.758</w:t>
            </w:r>
          </w:p>
        </w:tc>
        <w:tc>
          <w:tcPr>
            <w:tcW w:w="1422" w:type="dxa"/>
            <w:tcBorders>
              <w:top w:val="nil"/>
              <w:bottom w:val="nil"/>
              <w:right w:val="single" w:sz="16" w:space="0" w:color="000000"/>
            </w:tcBorders>
            <w:shd w:val="clear" w:color="auto" w:fill="FFFFFF"/>
            <w:vAlign w:val="center"/>
          </w:tcPr>
          <w:p w14:paraId="769DF80E" w14:textId="56D1AFA9"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27.281</w:t>
            </w:r>
          </w:p>
        </w:tc>
      </w:tr>
      <w:tr w:rsidR="00095A58" w:rsidRPr="00095A58" w14:paraId="0D4AC118" w14:textId="77777777">
        <w:trPr>
          <w:cantSplit/>
        </w:trPr>
        <w:tc>
          <w:tcPr>
            <w:tcW w:w="1682" w:type="dxa"/>
            <w:tcBorders>
              <w:top w:val="nil"/>
              <w:left w:val="single" w:sz="16" w:space="0" w:color="000000"/>
              <w:bottom w:val="nil"/>
              <w:right w:val="single" w:sz="16" w:space="0" w:color="000000"/>
            </w:tcBorders>
            <w:shd w:val="clear" w:color="auto" w:fill="FFFFFF"/>
            <w:vAlign w:val="center"/>
          </w:tcPr>
          <w:p w14:paraId="77587667" w14:textId="77777777" w:rsidR="00095A58" w:rsidRPr="00CD2B0D" w:rsidRDefault="00095A58" w:rsidP="00095A58">
            <w:pPr>
              <w:autoSpaceDE w:val="0"/>
              <w:autoSpaceDN w:val="0"/>
              <w:adjustRightInd w:val="0"/>
              <w:spacing w:after="0" w:line="320" w:lineRule="atLeast"/>
              <w:ind w:left="60" w:right="60"/>
              <w:rPr>
                <w:rFonts w:cstheme="minorHAnsi"/>
                <w:color w:val="000000"/>
              </w:rPr>
            </w:pPr>
            <w:r w:rsidRPr="00CD2B0D">
              <w:rPr>
                <w:rFonts w:cstheme="minorHAnsi"/>
                <w:color w:val="000000"/>
              </w:rPr>
              <w:t>INTEREST</w:t>
            </w:r>
          </w:p>
        </w:tc>
        <w:tc>
          <w:tcPr>
            <w:tcW w:w="1009" w:type="dxa"/>
            <w:tcBorders>
              <w:top w:val="nil"/>
              <w:left w:val="single" w:sz="16" w:space="0" w:color="000000"/>
              <w:bottom w:val="nil"/>
            </w:tcBorders>
            <w:shd w:val="clear" w:color="auto" w:fill="FFFFFF"/>
            <w:vAlign w:val="center"/>
          </w:tcPr>
          <w:p w14:paraId="17C34681"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nil"/>
              <w:bottom w:val="nil"/>
            </w:tcBorders>
            <w:shd w:val="clear" w:color="auto" w:fill="FFFFFF"/>
            <w:vAlign w:val="center"/>
          </w:tcPr>
          <w:p w14:paraId="39748AB8"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-68</w:t>
            </w:r>
          </w:p>
        </w:tc>
        <w:tc>
          <w:tcPr>
            <w:tcW w:w="1086" w:type="dxa"/>
            <w:tcBorders>
              <w:top w:val="nil"/>
              <w:bottom w:val="nil"/>
            </w:tcBorders>
            <w:shd w:val="clear" w:color="auto" w:fill="FFFFFF"/>
            <w:vAlign w:val="center"/>
          </w:tcPr>
          <w:p w14:paraId="46FA961A"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222</w:t>
            </w:r>
          </w:p>
        </w:tc>
        <w:tc>
          <w:tcPr>
            <w:tcW w:w="1238" w:type="dxa"/>
            <w:tcBorders>
              <w:top w:val="nil"/>
              <w:bottom w:val="nil"/>
            </w:tcBorders>
            <w:shd w:val="clear" w:color="auto" w:fill="FFFFFF"/>
            <w:vAlign w:val="center"/>
          </w:tcPr>
          <w:p w14:paraId="165D3472"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49.92</w:t>
            </w:r>
          </w:p>
        </w:tc>
        <w:tc>
          <w:tcPr>
            <w:tcW w:w="1422" w:type="dxa"/>
            <w:tcBorders>
              <w:top w:val="nil"/>
              <w:bottom w:val="nil"/>
              <w:right w:val="single" w:sz="16" w:space="0" w:color="000000"/>
            </w:tcBorders>
            <w:shd w:val="clear" w:color="auto" w:fill="FFFFFF"/>
            <w:vAlign w:val="center"/>
          </w:tcPr>
          <w:p w14:paraId="10B1BA74"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78.583</w:t>
            </w:r>
          </w:p>
        </w:tc>
      </w:tr>
      <w:tr w:rsidR="00095A58" w:rsidRPr="00095A58" w14:paraId="489B5939" w14:textId="77777777">
        <w:trPr>
          <w:cantSplit/>
        </w:trPr>
        <w:tc>
          <w:tcPr>
            <w:tcW w:w="1682" w:type="dxa"/>
            <w:tcBorders>
              <w:top w:val="nil"/>
              <w:left w:val="single" w:sz="16" w:space="0" w:color="000000"/>
              <w:bottom w:val="nil"/>
              <w:right w:val="single" w:sz="16" w:space="0" w:color="000000"/>
            </w:tcBorders>
            <w:shd w:val="clear" w:color="auto" w:fill="FFFFFF"/>
            <w:vAlign w:val="center"/>
          </w:tcPr>
          <w:p w14:paraId="07DE7E1A" w14:textId="0BA293AE" w:rsidR="00095A58" w:rsidRPr="00CD2B0D" w:rsidRDefault="00A32DE3" w:rsidP="00095A58">
            <w:pPr>
              <w:autoSpaceDE w:val="0"/>
              <w:autoSpaceDN w:val="0"/>
              <w:adjustRightInd w:val="0"/>
              <w:spacing w:after="0" w:line="320" w:lineRule="atLeast"/>
              <w:ind w:left="60" w:right="60"/>
              <w:rPr>
                <w:rFonts w:cstheme="minorHAnsi"/>
                <w:color w:val="000000"/>
              </w:rPr>
            </w:pPr>
            <w:r w:rsidRPr="005F1C29">
              <w:rPr>
                <w:rFonts w:cstheme="minorHAnsi"/>
                <w:color w:val="000000"/>
              </w:rPr>
              <w:t>GVIEW</w:t>
            </w:r>
          </w:p>
        </w:tc>
        <w:tc>
          <w:tcPr>
            <w:tcW w:w="1009" w:type="dxa"/>
            <w:tcBorders>
              <w:top w:val="nil"/>
              <w:left w:val="single" w:sz="16" w:space="0" w:color="000000"/>
              <w:bottom w:val="nil"/>
            </w:tcBorders>
            <w:shd w:val="clear" w:color="auto" w:fill="FFFFFF"/>
            <w:vAlign w:val="center"/>
          </w:tcPr>
          <w:p w14:paraId="7D9870C0"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nil"/>
              <w:bottom w:val="nil"/>
            </w:tcBorders>
            <w:shd w:val="clear" w:color="auto" w:fill="FFFFFF"/>
            <w:vAlign w:val="center"/>
          </w:tcPr>
          <w:p w14:paraId="5C2A76A0" w14:textId="02FAF25F"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-92.646</w:t>
            </w:r>
          </w:p>
        </w:tc>
        <w:tc>
          <w:tcPr>
            <w:tcW w:w="1086" w:type="dxa"/>
            <w:tcBorders>
              <w:top w:val="nil"/>
              <w:bottom w:val="nil"/>
            </w:tcBorders>
            <w:shd w:val="clear" w:color="auto" w:fill="FFFFFF"/>
            <w:vAlign w:val="center"/>
          </w:tcPr>
          <w:p w14:paraId="6415C226" w14:textId="37659F3A"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108.107</w:t>
            </w:r>
          </w:p>
        </w:tc>
        <w:tc>
          <w:tcPr>
            <w:tcW w:w="1238" w:type="dxa"/>
            <w:tcBorders>
              <w:top w:val="nil"/>
              <w:bottom w:val="nil"/>
            </w:tcBorders>
            <w:shd w:val="clear" w:color="auto" w:fill="FFFFFF"/>
            <w:vAlign w:val="center"/>
          </w:tcPr>
          <w:p w14:paraId="31C60678" w14:textId="184B9C5E"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-44.211</w:t>
            </w:r>
          </w:p>
        </w:tc>
        <w:tc>
          <w:tcPr>
            <w:tcW w:w="1422" w:type="dxa"/>
            <w:tcBorders>
              <w:top w:val="nil"/>
              <w:bottom w:val="nil"/>
              <w:right w:val="single" w:sz="16" w:space="0" w:color="000000"/>
            </w:tcBorders>
            <w:shd w:val="clear" w:color="auto" w:fill="FFFFFF"/>
            <w:vAlign w:val="center"/>
          </w:tcPr>
          <w:p w14:paraId="14F2FB32" w14:textId="5BB197B2"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40.538</w:t>
            </w:r>
          </w:p>
        </w:tc>
      </w:tr>
      <w:tr w:rsidR="00095A58" w:rsidRPr="00095A58" w14:paraId="5071D779" w14:textId="77777777">
        <w:trPr>
          <w:cantSplit/>
        </w:trPr>
        <w:tc>
          <w:tcPr>
            <w:tcW w:w="1682" w:type="dxa"/>
            <w:tcBorders>
              <w:top w:val="nil"/>
              <w:left w:val="single" w:sz="16" w:space="0" w:color="000000"/>
              <w:bottom w:val="nil"/>
              <w:right w:val="single" w:sz="16" w:space="0" w:color="000000"/>
            </w:tcBorders>
            <w:shd w:val="clear" w:color="auto" w:fill="FFFFFF"/>
            <w:vAlign w:val="center"/>
          </w:tcPr>
          <w:p w14:paraId="0ABAB20F" w14:textId="77777777" w:rsidR="00095A58" w:rsidRPr="00CD2B0D" w:rsidRDefault="00095A58" w:rsidP="00095A58">
            <w:pPr>
              <w:autoSpaceDE w:val="0"/>
              <w:autoSpaceDN w:val="0"/>
              <w:adjustRightInd w:val="0"/>
              <w:spacing w:after="0" w:line="320" w:lineRule="atLeast"/>
              <w:ind w:left="60" w:right="60"/>
              <w:rPr>
                <w:rFonts w:cstheme="minorHAnsi"/>
                <w:color w:val="000000"/>
              </w:rPr>
            </w:pPr>
            <w:r w:rsidRPr="00CD2B0D">
              <w:rPr>
                <w:rFonts w:cstheme="minorHAnsi"/>
                <w:color w:val="000000"/>
              </w:rPr>
              <w:t>TURNOVER</w:t>
            </w:r>
          </w:p>
        </w:tc>
        <w:tc>
          <w:tcPr>
            <w:tcW w:w="1009" w:type="dxa"/>
            <w:tcBorders>
              <w:top w:val="nil"/>
              <w:left w:val="single" w:sz="16" w:space="0" w:color="000000"/>
              <w:bottom w:val="nil"/>
            </w:tcBorders>
            <w:shd w:val="clear" w:color="auto" w:fill="FFFFFF"/>
            <w:vAlign w:val="center"/>
          </w:tcPr>
          <w:p w14:paraId="374D8E77"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nil"/>
              <w:bottom w:val="nil"/>
            </w:tcBorders>
            <w:shd w:val="clear" w:color="auto" w:fill="FFFFFF"/>
            <w:vAlign w:val="center"/>
          </w:tcPr>
          <w:p w14:paraId="355F3ABB"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-87.777</w:t>
            </w:r>
          </w:p>
        </w:tc>
        <w:tc>
          <w:tcPr>
            <w:tcW w:w="1086" w:type="dxa"/>
            <w:tcBorders>
              <w:top w:val="nil"/>
              <w:bottom w:val="nil"/>
            </w:tcBorders>
            <w:shd w:val="clear" w:color="auto" w:fill="FFFFFF"/>
            <w:vAlign w:val="center"/>
          </w:tcPr>
          <w:p w14:paraId="215CE70F"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107.012</w:t>
            </w:r>
          </w:p>
        </w:tc>
        <w:tc>
          <w:tcPr>
            <w:tcW w:w="1238" w:type="dxa"/>
            <w:tcBorders>
              <w:top w:val="nil"/>
              <w:bottom w:val="nil"/>
            </w:tcBorders>
            <w:shd w:val="clear" w:color="auto" w:fill="FFFFFF"/>
            <w:vAlign w:val="center"/>
          </w:tcPr>
          <w:p w14:paraId="0418FD19" w14:textId="254C4E10"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.804</w:t>
            </w:r>
          </w:p>
        </w:tc>
        <w:tc>
          <w:tcPr>
            <w:tcW w:w="1422" w:type="dxa"/>
            <w:tcBorders>
              <w:top w:val="nil"/>
              <w:bottom w:val="nil"/>
              <w:right w:val="single" w:sz="16" w:space="0" w:color="000000"/>
            </w:tcBorders>
            <w:shd w:val="clear" w:color="auto" w:fill="FFFFFF"/>
            <w:vAlign w:val="center"/>
          </w:tcPr>
          <w:p w14:paraId="4DB268F8" w14:textId="6592FFD2"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50.464</w:t>
            </w:r>
          </w:p>
        </w:tc>
      </w:tr>
      <w:tr w:rsidR="00095A58" w:rsidRPr="00095A58" w14:paraId="7722AF2B" w14:textId="77777777">
        <w:trPr>
          <w:cantSplit/>
        </w:trPr>
        <w:tc>
          <w:tcPr>
            <w:tcW w:w="1682" w:type="dxa"/>
            <w:tcBorders>
              <w:top w:val="nil"/>
              <w:left w:val="single" w:sz="16" w:space="0" w:color="000000"/>
              <w:bottom w:val="nil"/>
              <w:right w:val="single" w:sz="16" w:space="0" w:color="000000"/>
            </w:tcBorders>
            <w:shd w:val="clear" w:color="auto" w:fill="FFFFFF"/>
            <w:vAlign w:val="center"/>
          </w:tcPr>
          <w:p w14:paraId="3A640D95" w14:textId="77777777" w:rsidR="00095A58" w:rsidRPr="00CD2B0D" w:rsidRDefault="00095A58" w:rsidP="00095A58">
            <w:pPr>
              <w:autoSpaceDE w:val="0"/>
              <w:autoSpaceDN w:val="0"/>
              <w:adjustRightInd w:val="0"/>
              <w:spacing w:after="0" w:line="320" w:lineRule="atLeast"/>
              <w:ind w:left="60" w:right="60"/>
              <w:rPr>
                <w:rFonts w:cstheme="minorHAnsi"/>
                <w:color w:val="000000"/>
              </w:rPr>
            </w:pPr>
            <w:r w:rsidRPr="00CD2B0D">
              <w:rPr>
                <w:rFonts w:cstheme="minorHAnsi"/>
                <w:color w:val="000000"/>
              </w:rPr>
              <w:t>PROFIT</w:t>
            </w:r>
          </w:p>
        </w:tc>
        <w:tc>
          <w:tcPr>
            <w:tcW w:w="1009" w:type="dxa"/>
            <w:tcBorders>
              <w:top w:val="nil"/>
              <w:left w:val="single" w:sz="16" w:space="0" w:color="000000"/>
              <w:bottom w:val="nil"/>
            </w:tcBorders>
            <w:shd w:val="clear" w:color="auto" w:fill="FFFFFF"/>
            <w:vAlign w:val="center"/>
          </w:tcPr>
          <w:p w14:paraId="2B69D1B1"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nil"/>
              <w:bottom w:val="nil"/>
            </w:tcBorders>
            <w:shd w:val="clear" w:color="auto" w:fill="FFFFFF"/>
            <w:vAlign w:val="center"/>
          </w:tcPr>
          <w:p w14:paraId="159E2E7F"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-94.676</w:t>
            </w:r>
          </w:p>
        </w:tc>
        <w:tc>
          <w:tcPr>
            <w:tcW w:w="1086" w:type="dxa"/>
            <w:tcBorders>
              <w:top w:val="nil"/>
              <w:bottom w:val="nil"/>
            </w:tcBorders>
            <w:shd w:val="clear" w:color="auto" w:fill="FFFFFF"/>
            <w:vAlign w:val="center"/>
          </w:tcPr>
          <w:p w14:paraId="706A84A4"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52.265</w:t>
            </w:r>
          </w:p>
        </w:tc>
        <w:tc>
          <w:tcPr>
            <w:tcW w:w="1238" w:type="dxa"/>
            <w:tcBorders>
              <w:top w:val="nil"/>
              <w:bottom w:val="nil"/>
            </w:tcBorders>
            <w:shd w:val="clear" w:color="auto" w:fill="FFFFFF"/>
            <w:vAlign w:val="center"/>
          </w:tcPr>
          <w:p w14:paraId="416F84DC" w14:textId="3FCF5FCB"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-33.431</w:t>
            </w:r>
          </w:p>
        </w:tc>
        <w:tc>
          <w:tcPr>
            <w:tcW w:w="1422" w:type="dxa"/>
            <w:tcBorders>
              <w:top w:val="nil"/>
              <w:bottom w:val="nil"/>
              <w:right w:val="single" w:sz="16" w:space="0" w:color="000000"/>
            </w:tcBorders>
            <w:shd w:val="clear" w:color="auto" w:fill="FFFFFF"/>
            <w:vAlign w:val="center"/>
          </w:tcPr>
          <w:p w14:paraId="6E48BA5F" w14:textId="1D5532B8"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5F1C29">
              <w:rPr>
                <w:rFonts w:cstheme="minorHAnsi"/>
                <w:color w:val="000000"/>
              </w:rPr>
              <w:t>38.572</w:t>
            </w:r>
          </w:p>
        </w:tc>
      </w:tr>
      <w:tr w:rsidR="00095A58" w:rsidRPr="00095A58" w14:paraId="55DDFE01" w14:textId="77777777">
        <w:trPr>
          <w:cantSplit/>
        </w:trPr>
        <w:tc>
          <w:tcPr>
            <w:tcW w:w="1682" w:type="dxa"/>
            <w:tcBorders>
              <w:top w:val="nil"/>
              <w:left w:val="single" w:sz="16" w:space="0" w:color="000000"/>
              <w:bottom w:val="single" w:sz="16" w:space="0" w:color="000000"/>
              <w:right w:val="single" w:sz="16" w:space="0" w:color="000000"/>
            </w:tcBorders>
            <w:shd w:val="clear" w:color="auto" w:fill="FFFFFF"/>
            <w:vAlign w:val="center"/>
          </w:tcPr>
          <w:p w14:paraId="08A6EAC1" w14:textId="77777777" w:rsidR="00095A58" w:rsidRPr="00CD2B0D" w:rsidRDefault="00095A58" w:rsidP="00095A58">
            <w:pPr>
              <w:autoSpaceDE w:val="0"/>
              <w:autoSpaceDN w:val="0"/>
              <w:adjustRightInd w:val="0"/>
              <w:spacing w:after="0" w:line="320" w:lineRule="atLeast"/>
              <w:ind w:left="60" w:right="60"/>
              <w:rPr>
                <w:rFonts w:cstheme="minorHAnsi"/>
                <w:color w:val="000000"/>
              </w:rPr>
            </w:pPr>
            <w:r w:rsidRPr="00CD2B0D">
              <w:rPr>
                <w:rFonts w:cstheme="minorHAnsi"/>
                <w:color w:val="000000"/>
              </w:rPr>
              <w:t>Valid N (</w:t>
            </w:r>
            <w:proofErr w:type="spellStart"/>
            <w:r w:rsidRPr="00CD2B0D">
              <w:rPr>
                <w:rFonts w:cstheme="minorHAnsi"/>
                <w:color w:val="000000"/>
              </w:rPr>
              <w:t>listwise</w:t>
            </w:r>
            <w:proofErr w:type="spellEnd"/>
            <w:r w:rsidRPr="00CD2B0D">
              <w:rPr>
                <w:rFonts w:cstheme="minorHAnsi"/>
                <w:color w:val="000000"/>
              </w:rPr>
              <w:t>)</w:t>
            </w:r>
          </w:p>
        </w:tc>
        <w:tc>
          <w:tcPr>
            <w:tcW w:w="1009" w:type="dxa"/>
            <w:tcBorders>
              <w:top w:val="nil"/>
              <w:left w:val="single" w:sz="16" w:space="0" w:color="000000"/>
              <w:bottom w:val="single" w:sz="16" w:space="0" w:color="000000"/>
            </w:tcBorders>
            <w:shd w:val="clear" w:color="auto" w:fill="FFFFFF"/>
            <w:vAlign w:val="center"/>
          </w:tcPr>
          <w:p w14:paraId="06889169" w14:textId="77777777" w:rsidR="00095A58" w:rsidRPr="00CD2B0D" w:rsidRDefault="00095A58" w:rsidP="00095A58">
            <w:pPr>
              <w:autoSpaceDE w:val="0"/>
              <w:autoSpaceDN w:val="0"/>
              <w:adjustRightInd w:val="0"/>
              <w:spacing w:after="0" w:line="320" w:lineRule="atLeast"/>
              <w:ind w:left="60" w:right="60"/>
              <w:jc w:val="right"/>
              <w:rPr>
                <w:rFonts w:cstheme="minorHAnsi"/>
                <w:color w:val="000000"/>
              </w:rPr>
            </w:pPr>
            <w:r w:rsidRPr="00CD2B0D">
              <w:rPr>
                <w:rFonts w:cstheme="minorHAnsi"/>
                <w:color w:val="000000"/>
              </w:rPr>
              <w:t>66</w:t>
            </w:r>
          </w:p>
        </w:tc>
        <w:tc>
          <w:tcPr>
            <w:tcW w:w="1055" w:type="dxa"/>
            <w:tcBorders>
              <w:top w:val="nil"/>
              <w:bottom w:val="single" w:sz="16" w:space="0" w:color="000000"/>
            </w:tcBorders>
            <w:shd w:val="clear" w:color="auto" w:fill="FFFFFF"/>
          </w:tcPr>
          <w:p w14:paraId="403F0B76" w14:textId="77777777" w:rsidR="00095A58" w:rsidRPr="00CD2B0D" w:rsidRDefault="00095A58" w:rsidP="00095A58">
            <w:pPr>
              <w:autoSpaceDE w:val="0"/>
              <w:autoSpaceDN w:val="0"/>
              <w:adjustRightInd w:val="0"/>
              <w:spacing w:after="0" w:line="240" w:lineRule="auto"/>
              <w:rPr>
                <w:rFonts w:cstheme="minorHAnsi"/>
              </w:rPr>
            </w:pPr>
          </w:p>
        </w:tc>
        <w:tc>
          <w:tcPr>
            <w:tcW w:w="1086" w:type="dxa"/>
            <w:tcBorders>
              <w:top w:val="nil"/>
              <w:bottom w:val="single" w:sz="16" w:space="0" w:color="000000"/>
            </w:tcBorders>
            <w:shd w:val="clear" w:color="auto" w:fill="FFFFFF"/>
          </w:tcPr>
          <w:p w14:paraId="4DA78F0C" w14:textId="77777777" w:rsidR="00095A58" w:rsidRPr="00CD2B0D" w:rsidRDefault="00095A58" w:rsidP="00095A58">
            <w:pPr>
              <w:autoSpaceDE w:val="0"/>
              <w:autoSpaceDN w:val="0"/>
              <w:adjustRightInd w:val="0"/>
              <w:spacing w:after="0" w:line="240" w:lineRule="auto"/>
              <w:rPr>
                <w:rFonts w:cstheme="minorHAnsi"/>
              </w:rPr>
            </w:pPr>
          </w:p>
        </w:tc>
        <w:tc>
          <w:tcPr>
            <w:tcW w:w="1238" w:type="dxa"/>
            <w:tcBorders>
              <w:top w:val="nil"/>
              <w:bottom w:val="single" w:sz="16" w:space="0" w:color="000000"/>
            </w:tcBorders>
            <w:shd w:val="clear" w:color="auto" w:fill="FFFFFF"/>
          </w:tcPr>
          <w:p w14:paraId="3027AFC1" w14:textId="77777777" w:rsidR="00095A58" w:rsidRPr="00CD2B0D" w:rsidRDefault="00095A58" w:rsidP="00095A58">
            <w:pPr>
              <w:autoSpaceDE w:val="0"/>
              <w:autoSpaceDN w:val="0"/>
              <w:adjustRightInd w:val="0"/>
              <w:spacing w:after="0" w:line="240" w:lineRule="auto"/>
              <w:rPr>
                <w:rFonts w:cstheme="minorHAnsi"/>
              </w:rPr>
            </w:pPr>
          </w:p>
        </w:tc>
        <w:tc>
          <w:tcPr>
            <w:tcW w:w="1422" w:type="dxa"/>
            <w:tcBorders>
              <w:top w:val="nil"/>
              <w:bottom w:val="single" w:sz="16" w:space="0" w:color="000000"/>
              <w:right w:val="single" w:sz="16" w:space="0" w:color="000000"/>
            </w:tcBorders>
            <w:shd w:val="clear" w:color="auto" w:fill="FFFFFF"/>
          </w:tcPr>
          <w:p w14:paraId="7D8E4445" w14:textId="77777777" w:rsidR="00095A58" w:rsidRPr="00CD2B0D" w:rsidRDefault="00095A58" w:rsidP="00095A58">
            <w:pPr>
              <w:autoSpaceDE w:val="0"/>
              <w:autoSpaceDN w:val="0"/>
              <w:adjustRightInd w:val="0"/>
              <w:spacing w:after="0" w:line="240" w:lineRule="auto"/>
              <w:rPr>
                <w:rFonts w:cstheme="minorHAnsi"/>
              </w:rPr>
            </w:pPr>
          </w:p>
        </w:tc>
      </w:tr>
    </w:tbl>
    <w:p w14:paraId="740B9CEA" w14:textId="685375C9" w:rsidR="004F625B" w:rsidRPr="00CD2B0D" w:rsidRDefault="004F625B" w:rsidP="004F625B">
      <w:pPr>
        <w:autoSpaceDE w:val="0"/>
        <w:autoSpaceDN w:val="0"/>
        <w:adjustRightInd w:val="0"/>
        <w:spacing w:after="0" w:line="400" w:lineRule="atLeast"/>
        <w:rPr>
          <w:rFonts w:cstheme="minorHAnsi"/>
          <w:sz w:val="18"/>
          <w:szCs w:val="18"/>
        </w:rPr>
      </w:pPr>
    </w:p>
    <w:p w14:paraId="2CC52E5C" w14:textId="26C264D3" w:rsidR="008449AA" w:rsidRPr="00D912B6" w:rsidRDefault="0005653A" w:rsidP="00D912B6">
      <w:pPr>
        <w:spacing w:line="360" w:lineRule="auto"/>
        <w:jc w:val="both"/>
        <w:rPr>
          <w:rFonts w:cstheme="minorHAnsi"/>
          <w:bCs/>
        </w:rPr>
      </w:pPr>
      <w:r>
        <w:rPr>
          <w:rFonts w:cstheme="minorHAnsi"/>
          <w:bCs/>
        </w:rPr>
        <w:lastRenderedPageBreak/>
        <w:t xml:space="preserve">Table 5 provides the Pearson correlation for the variables in the regression </w:t>
      </w:r>
      <w:r w:rsidR="001B75B7">
        <w:rPr>
          <w:rFonts w:cstheme="minorHAnsi"/>
          <w:bCs/>
        </w:rPr>
        <w:t xml:space="preserve">and is used to examine the possible degree of collinearity among these variables. </w:t>
      </w:r>
      <w:r w:rsidR="00D912B6">
        <w:rPr>
          <w:rFonts w:cstheme="minorHAnsi"/>
          <w:bCs/>
        </w:rPr>
        <w:t>As can be seen from the data in table 5, the correlation coefficients are not large enough to cause collinearity problems in the regression and are statistically significant. Most of the independent variables co-vary at a significance level of 1% with the exception of GVIEW &amp; INTEREST, which co-vary on a significance of 5</w:t>
      </w:r>
      <w:r w:rsidR="001631FC">
        <w:rPr>
          <w:rFonts w:cstheme="minorHAnsi"/>
          <w:bCs/>
        </w:rPr>
        <w:t>%.</w:t>
      </w:r>
      <w:r w:rsidR="001631FC" w:rsidRPr="001631FC">
        <w:rPr>
          <w:rFonts w:cstheme="minorHAnsi"/>
          <w:bCs/>
        </w:rPr>
        <w:t xml:space="preserve"> </w:t>
      </w:r>
      <w:r w:rsidR="001631FC">
        <w:rPr>
          <w:rFonts w:cstheme="minorHAnsi"/>
          <w:bCs/>
        </w:rPr>
        <w:t xml:space="preserve">Another interesting observation can be found by looking at the first column. It can be noticed that </w:t>
      </w:r>
      <w:r w:rsidR="007A0697">
        <w:rPr>
          <w:rFonts w:cstheme="minorHAnsi"/>
          <w:bCs/>
        </w:rPr>
        <w:t>most independent variables seem to be negatively correlated with TDR, with the exception of INTEREST.</w:t>
      </w:r>
      <w:r w:rsidR="001631FC">
        <w:rPr>
          <w:rFonts w:cstheme="minorHAnsi"/>
          <w:bCs/>
        </w:rPr>
        <w:t xml:space="preserve"> </w:t>
      </w:r>
    </w:p>
    <w:tbl>
      <w:tblPr>
        <w:tblW w:w="9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68"/>
        <w:gridCol w:w="62"/>
        <w:gridCol w:w="990"/>
        <w:gridCol w:w="990"/>
        <w:gridCol w:w="810"/>
        <w:gridCol w:w="1080"/>
        <w:gridCol w:w="1080"/>
        <w:gridCol w:w="1080"/>
        <w:gridCol w:w="1170"/>
        <w:gridCol w:w="990"/>
      </w:tblGrid>
      <w:tr w:rsidR="008E0BD1" w:rsidRPr="008E0BD1" w14:paraId="476947A7" w14:textId="77777777" w:rsidTr="00CD2B0D">
        <w:trPr>
          <w:cantSplit/>
          <w:trHeight w:val="95"/>
        </w:trPr>
        <w:tc>
          <w:tcPr>
            <w:tcW w:w="9720" w:type="dxa"/>
            <w:gridSpan w:val="10"/>
            <w:tcBorders>
              <w:top w:val="nil"/>
              <w:left w:val="nil"/>
              <w:bottom w:val="nil"/>
              <w:right w:val="nil"/>
            </w:tcBorders>
            <w:shd w:val="clear" w:color="auto" w:fill="FFFFFF"/>
          </w:tcPr>
          <w:p w14:paraId="08F202FD" w14:textId="241E5B02" w:rsidR="008E0BD1" w:rsidRPr="00CD2B0D" w:rsidRDefault="00846500" w:rsidP="008E0BD1">
            <w:pPr>
              <w:autoSpaceDE w:val="0"/>
              <w:autoSpaceDN w:val="0"/>
              <w:adjustRightInd w:val="0"/>
              <w:spacing w:after="0" w:line="320" w:lineRule="atLeast"/>
              <w:ind w:left="60" w:right="60"/>
              <w:jc w:val="center"/>
              <w:rPr>
                <w:rFonts w:cstheme="minorHAnsi"/>
                <w:color w:val="000000"/>
              </w:rPr>
            </w:pPr>
            <w:r>
              <w:rPr>
                <w:rFonts w:cstheme="minorHAnsi"/>
                <w:b/>
                <w:bCs/>
                <w:color w:val="000000"/>
              </w:rPr>
              <w:t xml:space="preserve">Table 5. </w:t>
            </w:r>
            <w:r w:rsidR="008E0BD1" w:rsidRPr="00CD2B0D">
              <w:rPr>
                <w:rFonts w:cstheme="minorHAnsi"/>
                <w:b/>
                <w:bCs/>
                <w:color w:val="000000"/>
              </w:rPr>
              <w:t>Correlations</w:t>
            </w:r>
          </w:p>
        </w:tc>
      </w:tr>
      <w:tr w:rsidR="00F34C29" w:rsidRPr="008722E1" w14:paraId="4D7F75FF" w14:textId="77777777" w:rsidTr="00F34C29">
        <w:trPr>
          <w:cantSplit/>
          <w:trHeight w:val="664"/>
        </w:trPr>
        <w:tc>
          <w:tcPr>
            <w:tcW w:w="1530" w:type="dxa"/>
            <w:gridSpan w:val="2"/>
            <w:tcBorders>
              <w:top w:val="single" w:sz="16" w:space="0" w:color="000000"/>
              <w:left w:val="single" w:sz="16" w:space="0" w:color="000000"/>
              <w:bottom w:val="single" w:sz="16" w:space="0" w:color="000000"/>
              <w:right w:val="nil"/>
            </w:tcBorders>
            <w:shd w:val="clear" w:color="auto" w:fill="FFFFFF"/>
          </w:tcPr>
          <w:p w14:paraId="2CEE9DCC" w14:textId="77777777"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single" w:sz="16" w:space="0" w:color="000000"/>
              <w:left w:val="single" w:sz="16" w:space="0" w:color="000000"/>
              <w:bottom w:val="single" w:sz="16" w:space="0" w:color="000000"/>
            </w:tcBorders>
            <w:shd w:val="clear" w:color="auto" w:fill="FFFFFF"/>
          </w:tcPr>
          <w:p w14:paraId="59286390" w14:textId="77777777" w:rsidR="008E0BD1" w:rsidRPr="00CD2B0D" w:rsidRDefault="008E0BD1" w:rsidP="008E0BD1">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TDR</w:t>
            </w:r>
          </w:p>
        </w:tc>
        <w:tc>
          <w:tcPr>
            <w:tcW w:w="990" w:type="dxa"/>
            <w:tcBorders>
              <w:top w:val="single" w:sz="16" w:space="0" w:color="000000"/>
              <w:bottom w:val="single" w:sz="16" w:space="0" w:color="000000"/>
            </w:tcBorders>
            <w:shd w:val="clear" w:color="auto" w:fill="FFFFFF"/>
          </w:tcPr>
          <w:p w14:paraId="7D807DF3" w14:textId="77777777" w:rsidR="008E0BD1" w:rsidRPr="00CD2B0D" w:rsidRDefault="008E0BD1" w:rsidP="008E0BD1">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GDP</w:t>
            </w:r>
          </w:p>
        </w:tc>
        <w:tc>
          <w:tcPr>
            <w:tcW w:w="810" w:type="dxa"/>
            <w:tcBorders>
              <w:top w:val="single" w:sz="16" w:space="0" w:color="000000"/>
              <w:bottom w:val="single" w:sz="16" w:space="0" w:color="000000"/>
            </w:tcBorders>
            <w:shd w:val="clear" w:color="auto" w:fill="FFFFFF"/>
          </w:tcPr>
          <w:p w14:paraId="456CD008" w14:textId="77777777" w:rsidR="008E0BD1" w:rsidRPr="00CD2B0D" w:rsidRDefault="008E0BD1" w:rsidP="008E0BD1">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GDPGROWTH</w:t>
            </w:r>
          </w:p>
        </w:tc>
        <w:tc>
          <w:tcPr>
            <w:tcW w:w="1080" w:type="dxa"/>
            <w:tcBorders>
              <w:top w:val="single" w:sz="16" w:space="0" w:color="000000"/>
              <w:bottom w:val="single" w:sz="16" w:space="0" w:color="000000"/>
            </w:tcBorders>
            <w:shd w:val="clear" w:color="auto" w:fill="FFFFFF"/>
          </w:tcPr>
          <w:p w14:paraId="7A75AD60" w14:textId="77777777" w:rsidR="008E0BD1" w:rsidRPr="00CD2B0D" w:rsidRDefault="008E0BD1" w:rsidP="008E0BD1">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INFLATION</w:t>
            </w:r>
          </w:p>
        </w:tc>
        <w:tc>
          <w:tcPr>
            <w:tcW w:w="1080" w:type="dxa"/>
            <w:tcBorders>
              <w:top w:val="single" w:sz="16" w:space="0" w:color="000000"/>
              <w:bottom w:val="single" w:sz="16" w:space="0" w:color="000000"/>
            </w:tcBorders>
            <w:shd w:val="clear" w:color="auto" w:fill="FFFFFF"/>
          </w:tcPr>
          <w:p w14:paraId="0F89405A" w14:textId="77777777" w:rsidR="008E0BD1" w:rsidRPr="00CD2B0D" w:rsidRDefault="008E0BD1" w:rsidP="008E0BD1">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INTEREST</w:t>
            </w:r>
          </w:p>
        </w:tc>
        <w:tc>
          <w:tcPr>
            <w:tcW w:w="1080" w:type="dxa"/>
            <w:tcBorders>
              <w:top w:val="single" w:sz="16" w:space="0" w:color="000000"/>
              <w:bottom w:val="single" w:sz="16" w:space="0" w:color="000000"/>
            </w:tcBorders>
            <w:shd w:val="clear" w:color="auto" w:fill="FFFFFF"/>
          </w:tcPr>
          <w:p w14:paraId="1F767591" w14:textId="77777777" w:rsidR="008E0BD1" w:rsidRPr="00CD2B0D" w:rsidRDefault="008E0BD1" w:rsidP="008E0BD1">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GEO</w:t>
            </w:r>
          </w:p>
        </w:tc>
        <w:tc>
          <w:tcPr>
            <w:tcW w:w="1170" w:type="dxa"/>
            <w:tcBorders>
              <w:top w:val="single" w:sz="16" w:space="0" w:color="000000"/>
              <w:bottom w:val="single" w:sz="16" w:space="0" w:color="000000"/>
            </w:tcBorders>
            <w:shd w:val="clear" w:color="auto" w:fill="FFFFFF"/>
          </w:tcPr>
          <w:p w14:paraId="1E891059" w14:textId="77777777" w:rsidR="008E0BD1" w:rsidRPr="00CD2B0D" w:rsidRDefault="008E0BD1" w:rsidP="008E0BD1">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TURNOVER</w:t>
            </w:r>
          </w:p>
        </w:tc>
        <w:tc>
          <w:tcPr>
            <w:tcW w:w="990" w:type="dxa"/>
            <w:tcBorders>
              <w:top w:val="single" w:sz="16" w:space="0" w:color="000000"/>
              <w:bottom w:val="single" w:sz="16" w:space="0" w:color="000000"/>
              <w:right w:val="single" w:sz="16" w:space="0" w:color="000000"/>
            </w:tcBorders>
            <w:shd w:val="clear" w:color="auto" w:fill="FFFFFF"/>
          </w:tcPr>
          <w:p w14:paraId="0B44E38D" w14:textId="77777777" w:rsidR="008E0BD1" w:rsidRPr="00CD2B0D" w:rsidRDefault="008E0BD1" w:rsidP="008E0BD1">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PROFIT</w:t>
            </w:r>
          </w:p>
        </w:tc>
      </w:tr>
      <w:tr w:rsidR="00F34C29" w:rsidRPr="008722E1" w14:paraId="7131E925" w14:textId="77777777" w:rsidTr="00F34C29">
        <w:trPr>
          <w:cantSplit/>
          <w:trHeight w:val="351"/>
        </w:trPr>
        <w:tc>
          <w:tcPr>
            <w:tcW w:w="1468" w:type="dxa"/>
            <w:vMerge w:val="restart"/>
            <w:tcBorders>
              <w:top w:val="single" w:sz="16" w:space="0" w:color="000000"/>
              <w:left w:val="single" w:sz="16" w:space="0" w:color="000000"/>
              <w:bottom w:val="nil"/>
              <w:right w:val="nil"/>
            </w:tcBorders>
            <w:shd w:val="clear" w:color="auto" w:fill="FFFFFF"/>
            <w:vAlign w:val="center"/>
          </w:tcPr>
          <w:p w14:paraId="0FE42931" w14:textId="7BA80C96" w:rsidR="008E0BD1" w:rsidRPr="00CD2B0D" w:rsidRDefault="00F34C29" w:rsidP="00F34C29">
            <w:pPr>
              <w:autoSpaceDE w:val="0"/>
              <w:autoSpaceDN w:val="0"/>
              <w:adjustRightInd w:val="0"/>
              <w:spacing w:after="0" w:line="320" w:lineRule="atLeast"/>
              <w:ind w:right="60"/>
              <w:rPr>
                <w:rFonts w:cstheme="minorHAnsi"/>
                <w:color w:val="000000"/>
              </w:rPr>
            </w:pPr>
            <w:r>
              <w:rPr>
                <w:rFonts w:cstheme="minorHAnsi"/>
                <w:color w:val="000000"/>
              </w:rPr>
              <w:t xml:space="preserve"> T</w:t>
            </w:r>
            <w:r w:rsidR="008E0BD1" w:rsidRPr="00CD2B0D">
              <w:rPr>
                <w:rFonts w:cstheme="minorHAnsi"/>
                <w:color w:val="000000"/>
              </w:rPr>
              <w:t>DR</w:t>
            </w:r>
          </w:p>
        </w:tc>
        <w:tc>
          <w:tcPr>
            <w:tcW w:w="62" w:type="dxa"/>
            <w:tcBorders>
              <w:top w:val="single" w:sz="16" w:space="0" w:color="000000"/>
              <w:left w:val="nil"/>
              <w:bottom w:val="nil"/>
              <w:right w:val="single" w:sz="16" w:space="0" w:color="000000"/>
            </w:tcBorders>
            <w:shd w:val="clear" w:color="auto" w:fill="FFFFFF"/>
            <w:vAlign w:val="center"/>
          </w:tcPr>
          <w:p w14:paraId="3F0CEF14" w14:textId="02191665"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single" w:sz="16" w:space="0" w:color="000000"/>
              <w:left w:val="single" w:sz="16" w:space="0" w:color="000000"/>
              <w:bottom w:val="nil"/>
            </w:tcBorders>
            <w:shd w:val="clear" w:color="auto" w:fill="FFFFFF"/>
            <w:vAlign w:val="center"/>
          </w:tcPr>
          <w:p w14:paraId="6E3CA788" w14:textId="4FDEFA01"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990" w:type="dxa"/>
            <w:tcBorders>
              <w:top w:val="single" w:sz="16" w:space="0" w:color="000000"/>
              <w:bottom w:val="nil"/>
            </w:tcBorders>
            <w:shd w:val="clear" w:color="auto" w:fill="FFFFFF"/>
            <w:vAlign w:val="center"/>
          </w:tcPr>
          <w:p w14:paraId="27F4015F" w14:textId="2EF16255"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810" w:type="dxa"/>
            <w:tcBorders>
              <w:top w:val="single" w:sz="16" w:space="0" w:color="000000"/>
              <w:bottom w:val="nil"/>
            </w:tcBorders>
            <w:shd w:val="clear" w:color="auto" w:fill="FFFFFF"/>
            <w:vAlign w:val="center"/>
          </w:tcPr>
          <w:p w14:paraId="56E561D1" w14:textId="7F401517"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1080" w:type="dxa"/>
            <w:tcBorders>
              <w:top w:val="single" w:sz="16" w:space="0" w:color="000000"/>
              <w:bottom w:val="nil"/>
            </w:tcBorders>
            <w:shd w:val="clear" w:color="auto" w:fill="FFFFFF"/>
            <w:vAlign w:val="center"/>
          </w:tcPr>
          <w:p w14:paraId="38E673A1" w14:textId="18FB67AF"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1080" w:type="dxa"/>
            <w:tcBorders>
              <w:top w:val="single" w:sz="16" w:space="0" w:color="000000"/>
              <w:bottom w:val="nil"/>
            </w:tcBorders>
            <w:shd w:val="clear" w:color="auto" w:fill="FFFFFF"/>
            <w:vAlign w:val="center"/>
          </w:tcPr>
          <w:p w14:paraId="7BEEC61F" w14:textId="6A0CC5EA"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1080" w:type="dxa"/>
            <w:tcBorders>
              <w:top w:val="single" w:sz="16" w:space="0" w:color="000000"/>
              <w:bottom w:val="nil"/>
            </w:tcBorders>
            <w:shd w:val="clear" w:color="auto" w:fill="FFFFFF"/>
            <w:vAlign w:val="center"/>
          </w:tcPr>
          <w:p w14:paraId="12337CEA" w14:textId="5007A576"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1170" w:type="dxa"/>
            <w:tcBorders>
              <w:top w:val="single" w:sz="16" w:space="0" w:color="000000"/>
              <w:bottom w:val="nil"/>
            </w:tcBorders>
            <w:shd w:val="clear" w:color="auto" w:fill="FFFFFF"/>
            <w:vAlign w:val="center"/>
          </w:tcPr>
          <w:p w14:paraId="5C4BD4FA" w14:textId="78FE1507"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990" w:type="dxa"/>
            <w:tcBorders>
              <w:top w:val="single" w:sz="16" w:space="0" w:color="000000"/>
              <w:bottom w:val="nil"/>
              <w:right w:val="single" w:sz="16" w:space="0" w:color="000000"/>
            </w:tcBorders>
            <w:shd w:val="clear" w:color="auto" w:fill="FFFFFF"/>
            <w:vAlign w:val="center"/>
          </w:tcPr>
          <w:p w14:paraId="64366EF5" w14:textId="64D2005E"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r>
      <w:tr w:rsidR="00F34C29" w:rsidRPr="008722E1" w14:paraId="599B32D5" w14:textId="77777777" w:rsidTr="00F34C29">
        <w:trPr>
          <w:cantSplit/>
          <w:trHeight w:val="370"/>
        </w:trPr>
        <w:tc>
          <w:tcPr>
            <w:tcW w:w="1468" w:type="dxa"/>
            <w:vMerge/>
            <w:tcBorders>
              <w:top w:val="single" w:sz="16" w:space="0" w:color="000000"/>
              <w:left w:val="single" w:sz="16" w:space="0" w:color="000000"/>
              <w:bottom w:val="nil"/>
              <w:right w:val="nil"/>
            </w:tcBorders>
            <w:shd w:val="clear" w:color="auto" w:fill="FFFFFF"/>
            <w:vAlign w:val="center"/>
          </w:tcPr>
          <w:p w14:paraId="4A9FFA30"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764DE212" w14:textId="2CEE7910"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tcPr>
          <w:p w14:paraId="24E6B631" w14:textId="3F1A49F6" w:rsidR="008E0BD1" w:rsidRPr="00CD2B0D" w:rsidRDefault="00F34C29" w:rsidP="00F34C29">
            <w:pPr>
              <w:autoSpaceDE w:val="0"/>
              <w:autoSpaceDN w:val="0"/>
              <w:adjustRightInd w:val="0"/>
              <w:spacing w:after="0" w:line="240" w:lineRule="auto"/>
              <w:jc w:val="center"/>
              <w:rPr>
                <w:rFonts w:cstheme="minorHAnsi"/>
              </w:rPr>
            </w:pPr>
            <w:r>
              <w:rPr>
                <w:rFonts w:cstheme="minorHAnsi"/>
              </w:rPr>
              <w:t>1</w:t>
            </w:r>
          </w:p>
        </w:tc>
        <w:tc>
          <w:tcPr>
            <w:tcW w:w="990" w:type="dxa"/>
            <w:tcBorders>
              <w:top w:val="nil"/>
              <w:bottom w:val="nil"/>
            </w:tcBorders>
            <w:shd w:val="clear" w:color="auto" w:fill="FFFFFF"/>
            <w:vAlign w:val="center"/>
          </w:tcPr>
          <w:p w14:paraId="41E82DC6" w14:textId="23AB217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0330D2B6" w14:textId="2130512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03103210" w14:textId="0D70712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1F5D4E28" w14:textId="75F2E94A"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598C23CD" w14:textId="6C06BF0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70464869" w14:textId="163EF961"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5354D549" w14:textId="7DDD4F7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79C9F0EB" w14:textId="77777777" w:rsidTr="00F34C29">
        <w:trPr>
          <w:cantSplit/>
          <w:trHeight w:val="370"/>
        </w:trPr>
        <w:tc>
          <w:tcPr>
            <w:tcW w:w="1468" w:type="dxa"/>
            <w:vMerge/>
            <w:tcBorders>
              <w:top w:val="single" w:sz="16" w:space="0" w:color="000000"/>
              <w:left w:val="single" w:sz="16" w:space="0" w:color="000000"/>
              <w:bottom w:val="nil"/>
              <w:right w:val="nil"/>
            </w:tcBorders>
            <w:shd w:val="clear" w:color="auto" w:fill="FFFFFF"/>
            <w:vAlign w:val="center"/>
          </w:tcPr>
          <w:p w14:paraId="76352778"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70381483" w14:textId="46583EF5"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3277D16A" w14:textId="73A663C1"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39A991AC" w14:textId="3874CB4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394635DF" w14:textId="663319D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558D834D" w14:textId="234E619F"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30F31244" w14:textId="0C06714A"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781086C1" w14:textId="651D47C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2D0E81F7" w14:textId="758CF21C"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209CB148" w14:textId="7FD4519D"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6832076A" w14:textId="77777777" w:rsidTr="00F34C29">
        <w:trPr>
          <w:cantSplit/>
          <w:trHeight w:val="331"/>
        </w:trPr>
        <w:tc>
          <w:tcPr>
            <w:tcW w:w="1468" w:type="dxa"/>
            <w:vMerge w:val="restart"/>
            <w:tcBorders>
              <w:top w:val="nil"/>
              <w:left w:val="single" w:sz="16" w:space="0" w:color="000000"/>
              <w:bottom w:val="nil"/>
              <w:right w:val="nil"/>
            </w:tcBorders>
            <w:shd w:val="clear" w:color="auto" w:fill="FFFFFF"/>
            <w:vAlign w:val="center"/>
          </w:tcPr>
          <w:p w14:paraId="49738910" w14:textId="7EA6AAD2" w:rsidR="008E0BD1" w:rsidRPr="00CD2B0D" w:rsidRDefault="00685847" w:rsidP="00685847">
            <w:pPr>
              <w:autoSpaceDE w:val="0"/>
              <w:autoSpaceDN w:val="0"/>
              <w:adjustRightInd w:val="0"/>
              <w:spacing w:after="0" w:line="320" w:lineRule="atLeast"/>
              <w:ind w:right="60"/>
              <w:rPr>
                <w:rFonts w:cstheme="minorHAnsi"/>
                <w:color w:val="000000"/>
              </w:rPr>
            </w:pPr>
            <w:r>
              <w:rPr>
                <w:rFonts w:cstheme="minorHAnsi"/>
                <w:color w:val="000000"/>
              </w:rPr>
              <w:t xml:space="preserve"> </w:t>
            </w:r>
            <w:r w:rsidR="008E0BD1" w:rsidRPr="00CD2B0D">
              <w:rPr>
                <w:rFonts w:cstheme="minorHAnsi"/>
                <w:color w:val="000000"/>
              </w:rPr>
              <w:t>GDP</w:t>
            </w:r>
          </w:p>
        </w:tc>
        <w:tc>
          <w:tcPr>
            <w:tcW w:w="62" w:type="dxa"/>
            <w:tcBorders>
              <w:top w:val="nil"/>
              <w:left w:val="nil"/>
              <w:bottom w:val="nil"/>
              <w:right w:val="single" w:sz="16" w:space="0" w:color="000000"/>
            </w:tcBorders>
            <w:shd w:val="clear" w:color="auto" w:fill="FFFFFF"/>
            <w:vAlign w:val="center"/>
          </w:tcPr>
          <w:p w14:paraId="705E174E" w14:textId="5B7B8F27"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64B10C23" w14:textId="73EDDB6C"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772B7DD8" w14:textId="77EFD12C"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5A87AD38" w14:textId="2CB023BC"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20D30F6" w14:textId="60515EC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6F1C0B41" w14:textId="0A0E00DD"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1E8BE2B" w14:textId="15BDF02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78D42D57" w14:textId="67F618AA"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7EDC6BDF" w14:textId="1D7C06E2"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61AE2E77"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088A0140"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315EAA0D" w14:textId="68F6EFCB"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17AE783C" w14:textId="53F51EC3"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Pr>
                <w:rFonts w:cstheme="minorHAnsi"/>
                <w:color w:val="000000"/>
              </w:rPr>
              <w:t>-.425**</w:t>
            </w:r>
          </w:p>
        </w:tc>
        <w:tc>
          <w:tcPr>
            <w:tcW w:w="990" w:type="dxa"/>
            <w:tcBorders>
              <w:top w:val="nil"/>
              <w:bottom w:val="nil"/>
            </w:tcBorders>
            <w:shd w:val="clear" w:color="auto" w:fill="FFFFFF"/>
          </w:tcPr>
          <w:p w14:paraId="1B476287" w14:textId="1B9CB8DD" w:rsidR="008E0BD1" w:rsidRPr="00CD2B0D" w:rsidRDefault="00F34C29" w:rsidP="00F34C29">
            <w:pPr>
              <w:autoSpaceDE w:val="0"/>
              <w:autoSpaceDN w:val="0"/>
              <w:adjustRightInd w:val="0"/>
              <w:spacing w:after="0" w:line="240" w:lineRule="auto"/>
              <w:jc w:val="center"/>
              <w:rPr>
                <w:rFonts w:cstheme="minorHAnsi"/>
              </w:rPr>
            </w:pPr>
            <w:r>
              <w:rPr>
                <w:rFonts w:cstheme="minorHAnsi"/>
              </w:rPr>
              <w:t>1</w:t>
            </w:r>
          </w:p>
        </w:tc>
        <w:tc>
          <w:tcPr>
            <w:tcW w:w="810" w:type="dxa"/>
            <w:tcBorders>
              <w:top w:val="nil"/>
              <w:bottom w:val="nil"/>
            </w:tcBorders>
            <w:shd w:val="clear" w:color="auto" w:fill="FFFFFF"/>
            <w:vAlign w:val="center"/>
          </w:tcPr>
          <w:p w14:paraId="1C9B8885" w14:textId="045F269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15D127FE" w14:textId="51B65CD1"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13F7EE4D" w14:textId="604E3C3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97DCE33" w14:textId="7A69E87D"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5A5C4647" w14:textId="428487D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21010423" w14:textId="0073033E"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2BFE5235" w14:textId="77777777" w:rsidTr="00F34C29">
        <w:trPr>
          <w:cantSplit/>
          <w:trHeight w:val="351"/>
        </w:trPr>
        <w:tc>
          <w:tcPr>
            <w:tcW w:w="1468" w:type="dxa"/>
            <w:vMerge/>
            <w:tcBorders>
              <w:top w:val="nil"/>
              <w:left w:val="single" w:sz="16" w:space="0" w:color="000000"/>
              <w:bottom w:val="nil"/>
              <w:right w:val="nil"/>
            </w:tcBorders>
            <w:shd w:val="clear" w:color="auto" w:fill="FFFFFF"/>
            <w:vAlign w:val="center"/>
          </w:tcPr>
          <w:p w14:paraId="41536B51"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3848D812" w14:textId="2BD60D5C"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5D95F59E" w14:textId="3BCC1D9E"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5CFC8863" w14:textId="0553801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5F091D92" w14:textId="43889A8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7BC0618C" w14:textId="71F9A773"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1E6B2D33" w14:textId="43B0397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10B1C264" w14:textId="1931907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0E7B2709" w14:textId="476FF103"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25953A4B" w14:textId="2D0BFBF4"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534806F5" w14:textId="77777777" w:rsidTr="00F34C29">
        <w:trPr>
          <w:cantSplit/>
          <w:trHeight w:val="331"/>
        </w:trPr>
        <w:tc>
          <w:tcPr>
            <w:tcW w:w="1468" w:type="dxa"/>
            <w:vMerge w:val="restart"/>
            <w:tcBorders>
              <w:top w:val="nil"/>
              <w:left w:val="single" w:sz="16" w:space="0" w:color="000000"/>
              <w:bottom w:val="nil"/>
              <w:right w:val="nil"/>
            </w:tcBorders>
            <w:shd w:val="clear" w:color="auto" w:fill="FFFFFF"/>
            <w:vAlign w:val="center"/>
          </w:tcPr>
          <w:p w14:paraId="7A00651E" w14:textId="77777777" w:rsidR="008E0BD1" w:rsidRPr="00CD2B0D" w:rsidRDefault="008E0BD1" w:rsidP="008E0BD1">
            <w:pPr>
              <w:autoSpaceDE w:val="0"/>
              <w:autoSpaceDN w:val="0"/>
              <w:adjustRightInd w:val="0"/>
              <w:spacing w:after="0" w:line="320" w:lineRule="atLeast"/>
              <w:ind w:left="60" w:right="60"/>
              <w:rPr>
                <w:rFonts w:cstheme="minorHAnsi"/>
                <w:color w:val="000000"/>
              </w:rPr>
            </w:pPr>
            <w:r w:rsidRPr="00CD2B0D">
              <w:rPr>
                <w:rFonts w:cstheme="minorHAnsi"/>
                <w:color w:val="000000"/>
              </w:rPr>
              <w:t>GDPGROWTH</w:t>
            </w:r>
          </w:p>
        </w:tc>
        <w:tc>
          <w:tcPr>
            <w:tcW w:w="62" w:type="dxa"/>
            <w:tcBorders>
              <w:top w:val="nil"/>
              <w:left w:val="nil"/>
              <w:bottom w:val="nil"/>
              <w:right w:val="single" w:sz="16" w:space="0" w:color="000000"/>
            </w:tcBorders>
            <w:shd w:val="clear" w:color="auto" w:fill="FFFFFF"/>
            <w:vAlign w:val="center"/>
          </w:tcPr>
          <w:p w14:paraId="7C343139" w14:textId="4CAEF901"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79514553" w14:textId="0B8ADD7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3DDD7777" w14:textId="7E25758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743CE2E0" w14:textId="62A44A5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5ED892A0" w14:textId="4712B00D"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357DE9A7" w14:textId="46D64D6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3A798A3A" w14:textId="19F8317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63B8B5C0" w14:textId="06FA6AB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4021690E" w14:textId="6572953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2080E1A1"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05169C15"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4F6E7D76" w14:textId="73FB294E"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5CCFFBAC" w14:textId="4604AF06"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-.414</w:t>
            </w:r>
            <w:r>
              <w:rPr>
                <w:rFonts w:cstheme="minorHAnsi"/>
                <w:color w:val="000000"/>
              </w:rPr>
              <w:t>**</w:t>
            </w:r>
          </w:p>
        </w:tc>
        <w:tc>
          <w:tcPr>
            <w:tcW w:w="990" w:type="dxa"/>
            <w:tcBorders>
              <w:top w:val="nil"/>
              <w:bottom w:val="nil"/>
            </w:tcBorders>
            <w:shd w:val="clear" w:color="auto" w:fill="FFFFFF"/>
            <w:vAlign w:val="center"/>
          </w:tcPr>
          <w:p w14:paraId="31F6CD3A" w14:textId="3165B552"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Pr>
                <w:rFonts w:cstheme="minorHAnsi"/>
                <w:color w:val="000000"/>
              </w:rPr>
              <w:t>.</w:t>
            </w:r>
            <w:r w:rsidRPr="00CD2B0D">
              <w:rPr>
                <w:rFonts w:cstheme="minorHAnsi"/>
                <w:color w:val="000000"/>
              </w:rPr>
              <w:t>985</w:t>
            </w:r>
            <w:r>
              <w:rPr>
                <w:rFonts w:cstheme="minorHAnsi"/>
                <w:color w:val="000000"/>
              </w:rPr>
              <w:t>**</w:t>
            </w:r>
          </w:p>
        </w:tc>
        <w:tc>
          <w:tcPr>
            <w:tcW w:w="810" w:type="dxa"/>
            <w:tcBorders>
              <w:top w:val="nil"/>
              <w:bottom w:val="nil"/>
            </w:tcBorders>
            <w:shd w:val="clear" w:color="auto" w:fill="FFFFFF"/>
          </w:tcPr>
          <w:p w14:paraId="642BF872" w14:textId="7F5E496C" w:rsidR="008E0BD1" w:rsidRPr="00CD2B0D" w:rsidRDefault="00F34C29" w:rsidP="00F34C29">
            <w:pPr>
              <w:autoSpaceDE w:val="0"/>
              <w:autoSpaceDN w:val="0"/>
              <w:adjustRightInd w:val="0"/>
              <w:spacing w:after="0" w:line="240" w:lineRule="auto"/>
              <w:jc w:val="center"/>
              <w:rPr>
                <w:rFonts w:cstheme="minorHAnsi"/>
              </w:rPr>
            </w:pPr>
            <w:r>
              <w:rPr>
                <w:rFonts w:cstheme="minorHAnsi"/>
              </w:rPr>
              <w:t>1</w:t>
            </w:r>
          </w:p>
        </w:tc>
        <w:tc>
          <w:tcPr>
            <w:tcW w:w="1080" w:type="dxa"/>
            <w:tcBorders>
              <w:top w:val="nil"/>
              <w:bottom w:val="nil"/>
            </w:tcBorders>
            <w:shd w:val="clear" w:color="auto" w:fill="FFFFFF"/>
            <w:vAlign w:val="center"/>
          </w:tcPr>
          <w:p w14:paraId="05E7071B" w14:textId="2956CB4A"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0B085A8C" w14:textId="5090DFF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5A866820" w14:textId="6E3892B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71558776" w14:textId="52A4BCE2"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793AB306" w14:textId="0D2B47E3" w:rsidR="008E0BD1" w:rsidRPr="00CD2B0D" w:rsidRDefault="008E0BD1" w:rsidP="00CD2B0D">
            <w:pPr>
              <w:autoSpaceDE w:val="0"/>
              <w:autoSpaceDN w:val="0"/>
              <w:adjustRightInd w:val="0"/>
              <w:spacing w:after="0" w:line="320" w:lineRule="atLeast"/>
              <w:ind w:right="60"/>
              <w:jc w:val="center"/>
              <w:rPr>
                <w:rFonts w:cstheme="minorHAnsi"/>
                <w:color w:val="000000"/>
              </w:rPr>
            </w:pPr>
          </w:p>
        </w:tc>
      </w:tr>
      <w:tr w:rsidR="00F34C29" w:rsidRPr="008722E1" w14:paraId="029BCC1E"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0FE5ED3C"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02CAC4A8" w14:textId="40A95A6A"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37E71ACD" w14:textId="3F67923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37FC060A" w14:textId="566736ED"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5A8076C3" w14:textId="3AD6477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0D58FB79" w14:textId="1886251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9B40243" w14:textId="328A7821"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79C78BBE" w14:textId="42D8B0FC"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7748FC32" w14:textId="551A14D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45FFF3E3" w14:textId="705163A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58E39D3B" w14:textId="77777777" w:rsidTr="00F34C29">
        <w:trPr>
          <w:cantSplit/>
          <w:trHeight w:val="331"/>
        </w:trPr>
        <w:tc>
          <w:tcPr>
            <w:tcW w:w="1468" w:type="dxa"/>
            <w:vMerge w:val="restart"/>
            <w:tcBorders>
              <w:top w:val="nil"/>
              <w:left w:val="single" w:sz="16" w:space="0" w:color="000000"/>
              <w:bottom w:val="nil"/>
              <w:right w:val="nil"/>
            </w:tcBorders>
            <w:shd w:val="clear" w:color="auto" w:fill="FFFFFF"/>
            <w:vAlign w:val="center"/>
          </w:tcPr>
          <w:p w14:paraId="2B24DF5A" w14:textId="77777777" w:rsidR="008E0BD1" w:rsidRPr="00CD2B0D" w:rsidRDefault="008E0BD1" w:rsidP="008E0BD1">
            <w:pPr>
              <w:autoSpaceDE w:val="0"/>
              <w:autoSpaceDN w:val="0"/>
              <w:adjustRightInd w:val="0"/>
              <w:spacing w:after="0" w:line="320" w:lineRule="atLeast"/>
              <w:ind w:left="60" w:right="60"/>
              <w:rPr>
                <w:rFonts w:cstheme="minorHAnsi"/>
                <w:color w:val="000000"/>
              </w:rPr>
            </w:pPr>
            <w:r w:rsidRPr="00CD2B0D">
              <w:rPr>
                <w:rFonts w:cstheme="minorHAnsi"/>
                <w:color w:val="000000"/>
              </w:rPr>
              <w:t>INFLATION</w:t>
            </w:r>
          </w:p>
        </w:tc>
        <w:tc>
          <w:tcPr>
            <w:tcW w:w="62" w:type="dxa"/>
            <w:tcBorders>
              <w:top w:val="nil"/>
              <w:left w:val="nil"/>
              <w:bottom w:val="nil"/>
              <w:right w:val="single" w:sz="16" w:space="0" w:color="000000"/>
            </w:tcBorders>
            <w:shd w:val="clear" w:color="auto" w:fill="FFFFFF"/>
            <w:vAlign w:val="center"/>
          </w:tcPr>
          <w:p w14:paraId="40994C7F" w14:textId="7E962EE6"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541884F1" w14:textId="3324843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4BB10577" w14:textId="2997247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612B7FFE" w14:textId="5A5DD4F3"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5CDA2457" w14:textId="30A5D1F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37B0FB1E" w14:textId="380A2AB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1B9E7BC0" w14:textId="40F9A89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29FE4407" w14:textId="38FDF452"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1A847AC4" w14:textId="46F8EC7E"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r>
      <w:tr w:rsidR="00F34C29" w:rsidRPr="008722E1" w14:paraId="77BE8B23"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5EF78FF5"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5A5A99F2" w14:textId="1B1D0F44"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60D0C0FD" w14:textId="7C016875"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-.069</w:t>
            </w:r>
          </w:p>
        </w:tc>
        <w:tc>
          <w:tcPr>
            <w:tcW w:w="990" w:type="dxa"/>
            <w:tcBorders>
              <w:top w:val="nil"/>
              <w:bottom w:val="nil"/>
            </w:tcBorders>
            <w:shd w:val="clear" w:color="auto" w:fill="FFFFFF"/>
            <w:vAlign w:val="center"/>
          </w:tcPr>
          <w:p w14:paraId="43888F37" w14:textId="56D97A2E"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.064</w:t>
            </w:r>
          </w:p>
        </w:tc>
        <w:tc>
          <w:tcPr>
            <w:tcW w:w="810" w:type="dxa"/>
            <w:tcBorders>
              <w:top w:val="nil"/>
              <w:bottom w:val="nil"/>
            </w:tcBorders>
            <w:shd w:val="clear" w:color="auto" w:fill="FFFFFF"/>
            <w:vAlign w:val="center"/>
          </w:tcPr>
          <w:p w14:paraId="68EAFAA2" w14:textId="589505EE"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.063</w:t>
            </w:r>
          </w:p>
        </w:tc>
        <w:tc>
          <w:tcPr>
            <w:tcW w:w="1080" w:type="dxa"/>
            <w:tcBorders>
              <w:top w:val="nil"/>
              <w:bottom w:val="nil"/>
            </w:tcBorders>
            <w:shd w:val="clear" w:color="auto" w:fill="FFFFFF"/>
          </w:tcPr>
          <w:p w14:paraId="199E07E6" w14:textId="35E50B2B" w:rsidR="008E0BD1" w:rsidRPr="00CD2B0D" w:rsidRDefault="00F34C29" w:rsidP="00F34C29">
            <w:pPr>
              <w:autoSpaceDE w:val="0"/>
              <w:autoSpaceDN w:val="0"/>
              <w:adjustRightInd w:val="0"/>
              <w:spacing w:after="0" w:line="240" w:lineRule="auto"/>
              <w:jc w:val="center"/>
              <w:rPr>
                <w:rFonts w:cstheme="minorHAnsi"/>
              </w:rPr>
            </w:pPr>
            <w:r>
              <w:rPr>
                <w:rFonts w:cstheme="minorHAnsi"/>
              </w:rPr>
              <w:t>1</w:t>
            </w:r>
          </w:p>
        </w:tc>
        <w:tc>
          <w:tcPr>
            <w:tcW w:w="1080" w:type="dxa"/>
            <w:tcBorders>
              <w:top w:val="nil"/>
              <w:bottom w:val="nil"/>
            </w:tcBorders>
            <w:shd w:val="clear" w:color="auto" w:fill="FFFFFF"/>
            <w:vAlign w:val="center"/>
          </w:tcPr>
          <w:p w14:paraId="5EA1BD5F" w14:textId="7F879143"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7DEAD5E7" w14:textId="317399E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351CEA71" w14:textId="11639FB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315ABDB4" w14:textId="4951A50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139EB2FA"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219B6123"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60EA2E5E" w14:textId="7704F60B"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1301A966" w14:textId="4512800E"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41CC76BC" w14:textId="4C85DA0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5BF3EB7A" w14:textId="37A81303"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379D97B7" w14:textId="0B553E21"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33D20CA4" w14:textId="197B31A1"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1C3BBC28" w14:textId="12914A5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3AAE166F" w14:textId="13F93CA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439F7A3D" w14:textId="0192724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0A5F9CE9" w14:textId="77777777" w:rsidTr="00F34C29">
        <w:trPr>
          <w:cantSplit/>
          <w:trHeight w:val="331"/>
        </w:trPr>
        <w:tc>
          <w:tcPr>
            <w:tcW w:w="1468" w:type="dxa"/>
            <w:vMerge w:val="restart"/>
            <w:tcBorders>
              <w:top w:val="nil"/>
              <w:left w:val="single" w:sz="16" w:space="0" w:color="000000"/>
              <w:bottom w:val="nil"/>
              <w:right w:val="nil"/>
            </w:tcBorders>
            <w:shd w:val="clear" w:color="auto" w:fill="FFFFFF"/>
            <w:vAlign w:val="center"/>
          </w:tcPr>
          <w:p w14:paraId="10D8E3BF" w14:textId="77777777" w:rsidR="008E0BD1" w:rsidRPr="00CD2B0D" w:rsidRDefault="008E0BD1" w:rsidP="008E0BD1">
            <w:pPr>
              <w:autoSpaceDE w:val="0"/>
              <w:autoSpaceDN w:val="0"/>
              <w:adjustRightInd w:val="0"/>
              <w:spacing w:after="0" w:line="320" w:lineRule="atLeast"/>
              <w:ind w:left="60" w:right="60"/>
              <w:rPr>
                <w:rFonts w:cstheme="minorHAnsi"/>
                <w:color w:val="000000"/>
              </w:rPr>
            </w:pPr>
            <w:r w:rsidRPr="00CD2B0D">
              <w:rPr>
                <w:rFonts w:cstheme="minorHAnsi"/>
                <w:color w:val="000000"/>
              </w:rPr>
              <w:t>INTEREST</w:t>
            </w:r>
          </w:p>
        </w:tc>
        <w:tc>
          <w:tcPr>
            <w:tcW w:w="62" w:type="dxa"/>
            <w:tcBorders>
              <w:top w:val="nil"/>
              <w:left w:val="nil"/>
              <w:bottom w:val="nil"/>
              <w:right w:val="single" w:sz="16" w:space="0" w:color="000000"/>
            </w:tcBorders>
            <w:shd w:val="clear" w:color="auto" w:fill="FFFFFF"/>
            <w:vAlign w:val="center"/>
          </w:tcPr>
          <w:p w14:paraId="6BA5BE9F" w14:textId="6E5B8740"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508EC85B" w14:textId="465CCFC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10A928CC" w14:textId="4170A094"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448ED680" w14:textId="5FB1410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36C7D5C6" w14:textId="267621F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B60EEA3" w14:textId="684D59C1"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40AFB7A9" w14:textId="0139525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30259D12" w14:textId="73A7CAB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2E078ABD" w14:textId="7950350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2FD6A3B5"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4061B68F"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7FA571C6" w14:textId="4D480DA3"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090AB35E" w14:textId="4C321EF5"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.424</w:t>
            </w:r>
            <w:r>
              <w:rPr>
                <w:rFonts w:cstheme="minorHAnsi"/>
                <w:color w:val="000000"/>
              </w:rPr>
              <w:t>**</w:t>
            </w:r>
          </w:p>
        </w:tc>
        <w:tc>
          <w:tcPr>
            <w:tcW w:w="990" w:type="dxa"/>
            <w:tcBorders>
              <w:top w:val="nil"/>
              <w:bottom w:val="nil"/>
            </w:tcBorders>
            <w:shd w:val="clear" w:color="auto" w:fill="FFFFFF"/>
            <w:vAlign w:val="center"/>
          </w:tcPr>
          <w:p w14:paraId="7A8FC921" w14:textId="1974A654"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-.158</w:t>
            </w:r>
          </w:p>
        </w:tc>
        <w:tc>
          <w:tcPr>
            <w:tcW w:w="810" w:type="dxa"/>
            <w:tcBorders>
              <w:top w:val="nil"/>
              <w:bottom w:val="nil"/>
            </w:tcBorders>
            <w:shd w:val="clear" w:color="auto" w:fill="FFFFFF"/>
            <w:vAlign w:val="center"/>
          </w:tcPr>
          <w:p w14:paraId="7923E8BA" w14:textId="2BBA76B7"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-.174</w:t>
            </w:r>
          </w:p>
        </w:tc>
        <w:tc>
          <w:tcPr>
            <w:tcW w:w="1080" w:type="dxa"/>
            <w:tcBorders>
              <w:top w:val="nil"/>
              <w:bottom w:val="nil"/>
            </w:tcBorders>
            <w:shd w:val="clear" w:color="auto" w:fill="FFFFFF"/>
            <w:vAlign w:val="center"/>
          </w:tcPr>
          <w:p w14:paraId="71A41D94" w14:textId="4D36A6F3"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.027</w:t>
            </w:r>
          </w:p>
        </w:tc>
        <w:tc>
          <w:tcPr>
            <w:tcW w:w="1080" w:type="dxa"/>
            <w:tcBorders>
              <w:top w:val="nil"/>
              <w:bottom w:val="nil"/>
            </w:tcBorders>
            <w:shd w:val="clear" w:color="auto" w:fill="FFFFFF"/>
          </w:tcPr>
          <w:p w14:paraId="400FBA44" w14:textId="10184CF0" w:rsidR="008E0BD1" w:rsidRPr="00CD2B0D" w:rsidRDefault="00F34C29" w:rsidP="00F34C29">
            <w:pPr>
              <w:autoSpaceDE w:val="0"/>
              <w:autoSpaceDN w:val="0"/>
              <w:adjustRightInd w:val="0"/>
              <w:spacing w:after="0" w:line="240" w:lineRule="auto"/>
              <w:jc w:val="center"/>
              <w:rPr>
                <w:rFonts w:cstheme="minorHAnsi"/>
              </w:rPr>
            </w:pPr>
            <w:r>
              <w:rPr>
                <w:rFonts w:cstheme="minorHAnsi"/>
              </w:rPr>
              <w:t>1</w:t>
            </w:r>
          </w:p>
        </w:tc>
        <w:tc>
          <w:tcPr>
            <w:tcW w:w="1080" w:type="dxa"/>
            <w:tcBorders>
              <w:top w:val="nil"/>
              <w:bottom w:val="nil"/>
            </w:tcBorders>
            <w:shd w:val="clear" w:color="auto" w:fill="FFFFFF"/>
            <w:vAlign w:val="center"/>
          </w:tcPr>
          <w:p w14:paraId="36699427" w14:textId="39FBD38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0B6560A8" w14:textId="25DD239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4B39C142" w14:textId="7C7DD2AE"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4CDE2C9E" w14:textId="77777777" w:rsidTr="00F34C29">
        <w:trPr>
          <w:cantSplit/>
          <w:trHeight w:val="351"/>
        </w:trPr>
        <w:tc>
          <w:tcPr>
            <w:tcW w:w="1468" w:type="dxa"/>
            <w:vMerge/>
            <w:tcBorders>
              <w:top w:val="nil"/>
              <w:left w:val="single" w:sz="16" w:space="0" w:color="000000"/>
              <w:bottom w:val="nil"/>
              <w:right w:val="nil"/>
            </w:tcBorders>
            <w:shd w:val="clear" w:color="auto" w:fill="FFFFFF"/>
            <w:vAlign w:val="center"/>
          </w:tcPr>
          <w:p w14:paraId="030ACFDB"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50D4B02B" w14:textId="7B5EB02C"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0A774786" w14:textId="2D13E34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1CFF8CB7" w14:textId="35E1A77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12C60254" w14:textId="575E20D2"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51540CAF" w14:textId="1D193E5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07769F2" w14:textId="5EB4BD61"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028309F" w14:textId="70007EC0"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40DE1715" w14:textId="65DDAEC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232859DF" w14:textId="16420F8C"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27159088" w14:textId="77777777" w:rsidTr="00F34C29">
        <w:trPr>
          <w:cantSplit/>
          <w:trHeight w:val="331"/>
        </w:trPr>
        <w:tc>
          <w:tcPr>
            <w:tcW w:w="1468" w:type="dxa"/>
            <w:vMerge w:val="restart"/>
            <w:tcBorders>
              <w:top w:val="nil"/>
              <w:left w:val="single" w:sz="16" w:space="0" w:color="000000"/>
              <w:bottom w:val="nil"/>
              <w:right w:val="nil"/>
            </w:tcBorders>
            <w:shd w:val="clear" w:color="auto" w:fill="FFFFFF"/>
            <w:vAlign w:val="center"/>
          </w:tcPr>
          <w:p w14:paraId="20A2DDF8" w14:textId="61222924" w:rsidR="008E0BD1" w:rsidRPr="00CD2B0D" w:rsidRDefault="00A32DE3" w:rsidP="008E0BD1">
            <w:pPr>
              <w:autoSpaceDE w:val="0"/>
              <w:autoSpaceDN w:val="0"/>
              <w:adjustRightInd w:val="0"/>
              <w:spacing w:after="0" w:line="320" w:lineRule="atLeast"/>
              <w:ind w:left="60" w:right="60"/>
              <w:rPr>
                <w:rFonts w:cstheme="minorHAnsi"/>
                <w:color w:val="000000"/>
              </w:rPr>
            </w:pPr>
            <w:r w:rsidRPr="008722E1">
              <w:rPr>
                <w:rFonts w:cstheme="minorHAnsi"/>
                <w:color w:val="000000"/>
              </w:rPr>
              <w:t>GVIEW</w:t>
            </w:r>
          </w:p>
        </w:tc>
        <w:tc>
          <w:tcPr>
            <w:tcW w:w="62" w:type="dxa"/>
            <w:tcBorders>
              <w:top w:val="nil"/>
              <w:left w:val="nil"/>
              <w:bottom w:val="nil"/>
              <w:right w:val="single" w:sz="16" w:space="0" w:color="000000"/>
            </w:tcBorders>
            <w:shd w:val="clear" w:color="auto" w:fill="FFFFFF"/>
            <w:vAlign w:val="center"/>
          </w:tcPr>
          <w:p w14:paraId="232A3E53" w14:textId="2F55B77B"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26A5B7B7" w14:textId="2041A2C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3E85BED9" w14:textId="430E50A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2BF75CBB" w14:textId="130EA7B2"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4BAD39DD" w14:textId="66EDDD1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4F91BB83" w14:textId="585580E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4D35D78" w14:textId="3680BA5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5BB58601" w14:textId="5A3ECFD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5DE2C428" w14:textId="5C55BC1E"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1ECFD6E2"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1ACEE9AB"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0EE70E08" w14:textId="58791E28"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5111F244" w14:textId="41C69FF0"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-.436</w:t>
            </w:r>
            <w:r w:rsidR="00694C7D">
              <w:rPr>
                <w:rFonts w:cstheme="minorHAnsi"/>
                <w:color w:val="000000"/>
              </w:rPr>
              <w:t>**</w:t>
            </w:r>
          </w:p>
        </w:tc>
        <w:tc>
          <w:tcPr>
            <w:tcW w:w="990" w:type="dxa"/>
            <w:tcBorders>
              <w:top w:val="nil"/>
              <w:bottom w:val="nil"/>
            </w:tcBorders>
            <w:shd w:val="clear" w:color="auto" w:fill="FFFFFF"/>
            <w:vAlign w:val="center"/>
          </w:tcPr>
          <w:p w14:paraId="3887FEBC" w14:textId="5258B5A0"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.596</w:t>
            </w:r>
            <w:r w:rsidR="00694C7D">
              <w:rPr>
                <w:rFonts w:cstheme="minorHAnsi"/>
                <w:color w:val="000000"/>
              </w:rPr>
              <w:t>**</w:t>
            </w:r>
          </w:p>
        </w:tc>
        <w:tc>
          <w:tcPr>
            <w:tcW w:w="810" w:type="dxa"/>
            <w:tcBorders>
              <w:top w:val="nil"/>
              <w:bottom w:val="nil"/>
            </w:tcBorders>
            <w:shd w:val="clear" w:color="auto" w:fill="FFFFFF"/>
            <w:vAlign w:val="center"/>
          </w:tcPr>
          <w:p w14:paraId="54443894" w14:textId="25233487"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.572</w:t>
            </w:r>
            <w:r w:rsidR="00694C7D">
              <w:rPr>
                <w:rFonts w:cstheme="minorHAnsi"/>
                <w:color w:val="000000"/>
              </w:rPr>
              <w:t>**</w:t>
            </w:r>
          </w:p>
        </w:tc>
        <w:tc>
          <w:tcPr>
            <w:tcW w:w="1080" w:type="dxa"/>
            <w:tcBorders>
              <w:top w:val="nil"/>
              <w:bottom w:val="nil"/>
            </w:tcBorders>
            <w:shd w:val="clear" w:color="auto" w:fill="FFFFFF"/>
            <w:vAlign w:val="center"/>
          </w:tcPr>
          <w:p w14:paraId="583B6E24" w14:textId="7C82506C"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-.013</w:t>
            </w:r>
          </w:p>
        </w:tc>
        <w:tc>
          <w:tcPr>
            <w:tcW w:w="1080" w:type="dxa"/>
            <w:tcBorders>
              <w:top w:val="nil"/>
              <w:bottom w:val="nil"/>
            </w:tcBorders>
            <w:shd w:val="clear" w:color="auto" w:fill="FFFFFF"/>
            <w:vAlign w:val="center"/>
          </w:tcPr>
          <w:p w14:paraId="7AFD35E3" w14:textId="788E7970"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-.306</w:t>
            </w:r>
            <w:r w:rsidR="00694C7D">
              <w:rPr>
                <w:rFonts w:cstheme="minorHAnsi"/>
                <w:color w:val="000000"/>
              </w:rPr>
              <w:t>*</w:t>
            </w:r>
          </w:p>
        </w:tc>
        <w:tc>
          <w:tcPr>
            <w:tcW w:w="1080" w:type="dxa"/>
            <w:tcBorders>
              <w:top w:val="nil"/>
              <w:bottom w:val="nil"/>
            </w:tcBorders>
            <w:shd w:val="clear" w:color="auto" w:fill="FFFFFF"/>
          </w:tcPr>
          <w:p w14:paraId="5F094B5C" w14:textId="768892F9" w:rsidR="008E0BD1" w:rsidRPr="00CD2B0D" w:rsidRDefault="00F34C29" w:rsidP="00F34C29">
            <w:pPr>
              <w:autoSpaceDE w:val="0"/>
              <w:autoSpaceDN w:val="0"/>
              <w:adjustRightInd w:val="0"/>
              <w:spacing w:after="0" w:line="240" w:lineRule="auto"/>
              <w:jc w:val="center"/>
              <w:rPr>
                <w:rFonts w:cstheme="minorHAnsi"/>
              </w:rPr>
            </w:pPr>
            <w:r>
              <w:rPr>
                <w:rFonts w:cstheme="minorHAnsi"/>
              </w:rPr>
              <w:t>1</w:t>
            </w:r>
          </w:p>
        </w:tc>
        <w:tc>
          <w:tcPr>
            <w:tcW w:w="1170" w:type="dxa"/>
            <w:tcBorders>
              <w:top w:val="nil"/>
              <w:bottom w:val="nil"/>
            </w:tcBorders>
            <w:shd w:val="clear" w:color="auto" w:fill="FFFFFF"/>
            <w:vAlign w:val="center"/>
          </w:tcPr>
          <w:p w14:paraId="029CF90B" w14:textId="177D7AD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5B0ACEB2" w14:textId="682963E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3F840D46"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7FDA538D"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75C434DE" w14:textId="3A8F25A3"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032D112D" w14:textId="4CFFCC0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72F8ADCE" w14:textId="06DD69D7"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4930BC76" w14:textId="080172A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6DBAD8C0" w14:textId="5FCD5E4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341A2E71" w14:textId="192A25B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6B748615" w14:textId="705407B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7048B615" w14:textId="68471A0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307E378B" w14:textId="55E7765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4ACEBB89" w14:textId="77777777" w:rsidTr="00F34C29">
        <w:trPr>
          <w:cantSplit/>
          <w:trHeight w:val="331"/>
        </w:trPr>
        <w:tc>
          <w:tcPr>
            <w:tcW w:w="1468" w:type="dxa"/>
            <w:vMerge w:val="restart"/>
            <w:tcBorders>
              <w:top w:val="nil"/>
              <w:left w:val="single" w:sz="16" w:space="0" w:color="000000"/>
              <w:bottom w:val="nil"/>
              <w:right w:val="nil"/>
            </w:tcBorders>
            <w:shd w:val="clear" w:color="auto" w:fill="FFFFFF"/>
            <w:vAlign w:val="center"/>
          </w:tcPr>
          <w:p w14:paraId="40DE19EA" w14:textId="77777777" w:rsidR="008E0BD1" w:rsidRPr="00CD2B0D" w:rsidRDefault="008E0BD1" w:rsidP="008E0BD1">
            <w:pPr>
              <w:autoSpaceDE w:val="0"/>
              <w:autoSpaceDN w:val="0"/>
              <w:adjustRightInd w:val="0"/>
              <w:spacing w:after="0" w:line="320" w:lineRule="atLeast"/>
              <w:ind w:left="60" w:right="60"/>
              <w:rPr>
                <w:rFonts w:cstheme="minorHAnsi"/>
                <w:color w:val="000000"/>
              </w:rPr>
            </w:pPr>
            <w:r w:rsidRPr="00CD2B0D">
              <w:rPr>
                <w:rFonts w:cstheme="minorHAnsi"/>
                <w:color w:val="000000"/>
              </w:rPr>
              <w:t>TURNOVER</w:t>
            </w:r>
          </w:p>
        </w:tc>
        <w:tc>
          <w:tcPr>
            <w:tcW w:w="62" w:type="dxa"/>
            <w:tcBorders>
              <w:top w:val="nil"/>
              <w:left w:val="nil"/>
              <w:bottom w:val="nil"/>
              <w:right w:val="single" w:sz="16" w:space="0" w:color="000000"/>
            </w:tcBorders>
            <w:shd w:val="clear" w:color="auto" w:fill="FFFFFF"/>
            <w:vAlign w:val="center"/>
          </w:tcPr>
          <w:p w14:paraId="2394FF8D" w14:textId="7D91BF65"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261C7A06" w14:textId="4003859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2D81FBB1" w14:textId="781BD989"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6EA18206" w14:textId="17CB2E44"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45062062" w14:textId="30692E5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1715215A" w14:textId="59790BAD"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0AD33B1" w14:textId="59979D74"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2FA4D768" w14:textId="18056F5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61E87CE8" w14:textId="200B5A1E"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402C476F"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170C14BA"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4583D399" w14:textId="6ECDAEFA"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6D597EFA" w14:textId="1EEE14B8"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-.691</w:t>
            </w:r>
            <w:r w:rsidR="00694C7D">
              <w:rPr>
                <w:rFonts w:cstheme="minorHAnsi"/>
                <w:color w:val="000000"/>
              </w:rPr>
              <w:t>**</w:t>
            </w:r>
          </w:p>
        </w:tc>
        <w:tc>
          <w:tcPr>
            <w:tcW w:w="990" w:type="dxa"/>
            <w:tcBorders>
              <w:top w:val="nil"/>
              <w:bottom w:val="nil"/>
            </w:tcBorders>
            <w:shd w:val="clear" w:color="auto" w:fill="FFFFFF"/>
            <w:vAlign w:val="center"/>
          </w:tcPr>
          <w:p w14:paraId="1D693A54" w14:textId="67A3F1A0"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.742</w:t>
            </w:r>
            <w:r w:rsidR="00694C7D">
              <w:rPr>
                <w:rFonts w:cstheme="minorHAnsi"/>
                <w:color w:val="000000"/>
              </w:rPr>
              <w:t>**</w:t>
            </w:r>
          </w:p>
        </w:tc>
        <w:tc>
          <w:tcPr>
            <w:tcW w:w="810" w:type="dxa"/>
            <w:tcBorders>
              <w:top w:val="nil"/>
              <w:bottom w:val="nil"/>
            </w:tcBorders>
            <w:shd w:val="clear" w:color="auto" w:fill="FFFFFF"/>
            <w:vAlign w:val="center"/>
          </w:tcPr>
          <w:p w14:paraId="68EF6594" w14:textId="0CFAC7B1"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.746</w:t>
            </w:r>
            <w:r w:rsidR="00694C7D">
              <w:rPr>
                <w:rFonts w:cstheme="minorHAnsi"/>
                <w:color w:val="000000"/>
              </w:rPr>
              <w:t>**</w:t>
            </w:r>
          </w:p>
        </w:tc>
        <w:tc>
          <w:tcPr>
            <w:tcW w:w="1080" w:type="dxa"/>
            <w:tcBorders>
              <w:top w:val="nil"/>
              <w:bottom w:val="nil"/>
            </w:tcBorders>
            <w:shd w:val="clear" w:color="auto" w:fill="FFFFFF"/>
            <w:vAlign w:val="center"/>
          </w:tcPr>
          <w:p w14:paraId="4318E064" w14:textId="2BBF376A"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.105</w:t>
            </w:r>
          </w:p>
        </w:tc>
        <w:tc>
          <w:tcPr>
            <w:tcW w:w="1080" w:type="dxa"/>
            <w:tcBorders>
              <w:top w:val="nil"/>
              <w:bottom w:val="nil"/>
            </w:tcBorders>
            <w:shd w:val="clear" w:color="auto" w:fill="FFFFFF"/>
            <w:vAlign w:val="center"/>
          </w:tcPr>
          <w:p w14:paraId="2C653F4F" w14:textId="1A6584FF"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-.477</w:t>
            </w:r>
            <w:r w:rsidR="00694C7D">
              <w:rPr>
                <w:rFonts w:cstheme="minorHAnsi"/>
                <w:color w:val="000000"/>
              </w:rPr>
              <w:t>**</w:t>
            </w:r>
          </w:p>
        </w:tc>
        <w:tc>
          <w:tcPr>
            <w:tcW w:w="1080" w:type="dxa"/>
            <w:tcBorders>
              <w:top w:val="nil"/>
              <w:bottom w:val="nil"/>
            </w:tcBorders>
            <w:shd w:val="clear" w:color="auto" w:fill="FFFFFF"/>
            <w:vAlign w:val="center"/>
          </w:tcPr>
          <w:p w14:paraId="433A9184" w14:textId="4FC5330E"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.711</w:t>
            </w:r>
            <w:r w:rsidR="00694C7D">
              <w:rPr>
                <w:rFonts w:cstheme="minorHAnsi"/>
                <w:color w:val="000000"/>
              </w:rPr>
              <w:t>**</w:t>
            </w:r>
          </w:p>
        </w:tc>
        <w:tc>
          <w:tcPr>
            <w:tcW w:w="1170" w:type="dxa"/>
            <w:tcBorders>
              <w:top w:val="nil"/>
              <w:bottom w:val="nil"/>
            </w:tcBorders>
            <w:shd w:val="clear" w:color="auto" w:fill="FFFFFF"/>
          </w:tcPr>
          <w:p w14:paraId="38ED4A4C" w14:textId="2BCBA80A" w:rsidR="008E0BD1" w:rsidRPr="00CD2B0D" w:rsidRDefault="00F34C29" w:rsidP="00F34C29">
            <w:pPr>
              <w:autoSpaceDE w:val="0"/>
              <w:autoSpaceDN w:val="0"/>
              <w:adjustRightInd w:val="0"/>
              <w:spacing w:after="0" w:line="240" w:lineRule="auto"/>
              <w:jc w:val="center"/>
              <w:rPr>
                <w:rFonts w:cstheme="minorHAnsi"/>
              </w:rPr>
            </w:pPr>
            <w:r>
              <w:rPr>
                <w:rFonts w:cstheme="minorHAnsi"/>
              </w:rPr>
              <w:t>1</w:t>
            </w:r>
          </w:p>
        </w:tc>
        <w:tc>
          <w:tcPr>
            <w:tcW w:w="990" w:type="dxa"/>
            <w:tcBorders>
              <w:top w:val="nil"/>
              <w:bottom w:val="nil"/>
              <w:right w:val="single" w:sz="16" w:space="0" w:color="000000"/>
            </w:tcBorders>
            <w:shd w:val="clear" w:color="auto" w:fill="FFFFFF"/>
            <w:vAlign w:val="center"/>
          </w:tcPr>
          <w:p w14:paraId="02481B2E" w14:textId="4D5B7CC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0017EFE0" w14:textId="77777777" w:rsidTr="00F34C29">
        <w:trPr>
          <w:cantSplit/>
          <w:trHeight w:val="331"/>
        </w:trPr>
        <w:tc>
          <w:tcPr>
            <w:tcW w:w="1468" w:type="dxa"/>
            <w:vMerge/>
            <w:tcBorders>
              <w:top w:val="nil"/>
              <w:left w:val="single" w:sz="16" w:space="0" w:color="000000"/>
              <w:bottom w:val="nil"/>
              <w:right w:val="nil"/>
            </w:tcBorders>
            <w:shd w:val="clear" w:color="auto" w:fill="FFFFFF"/>
            <w:vAlign w:val="center"/>
          </w:tcPr>
          <w:p w14:paraId="07CC9168"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4DF2EC4A" w14:textId="3927543C"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7B5FC4D8" w14:textId="42A021C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240F9D3D" w14:textId="2689A0D9"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060FEFED" w14:textId="4C5A724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2C740481" w14:textId="4326A69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79DDA58C" w14:textId="7C90E040"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4724E026" w14:textId="3A2D68A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6CB7E80B" w14:textId="3C03CEE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664DF0D2" w14:textId="62112D22"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2B512BBC" w14:textId="77777777" w:rsidTr="00F34C29">
        <w:trPr>
          <w:cantSplit/>
          <w:trHeight w:val="331"/>
        </w:trPr>
        <w:tc>
          <w:tcPr>
            <w:tcW w:w="1468" w:type="dxa"/>
            <w:vMerge w:val="restart"/>
            <w:tcBorders>
              <w:top w:val="nil"/>
              <w:left w:val="single" w:sz="16" w:space="0" w:color="000000"/>
              <w:bottom w:val="single" w:sz="16" w:space="0" w:color="000000"/>
              <w:right w:val="nil"/>
            </w:tcBorders>
            <w:shd w:val="clear" w:color="auto" w:fill="FFFFFF"/>
            <w:vAlign w:val="center"/>
          </w:tcPr>
          <w:p w14:paraId="7C9373D4" w14:textId="77777777" w:rsidR="008E0BD1" w:rsidRPr="00CD2B0D" w:rsidRDefault="008E0BD1" w:rsidP="008E0BD1">
            <w:pPr>
              <w:autoSpaceDE w:val="0"/>
              <w:autoSpaceDN w:val="0"/>
              <w:adjustRightInd w:val="0"/>
              <w:spacing w:after="0" w:line="320" w:lineRule="atLeast"/>
              <w:ind w:left="60" w:right="60"/>
              <w:rPr>
                <w:rFonts w:cstheme="minorHAnsi"/>
                <w:color w:val="000000"/>
              </w:rPr>
            </w:pPr>
            <w:r w:rsidRPr="00CD2B0D">
              <w:rPr>
                <w:rFonts w:cstheme="minorHAnsi"/>
                <w:color w:val="000000"/>
              </w:rPr>
              <w:t>PROFIT</w:t>
            </w:r>
          </w:p>
        </w:tc>
        <w:tc>
          <w:tcPr>
            <w:tcW w:w="62" w:type="dxa"/>
            <w:tcBorders>
              <w:top w:val="nil"/>
              <w:left w:val="nil"/>
              <w:bottom w:val="nil"/>
              <w:right w:val="single" w:sz="16" w:space="0" w:color="000000"/>
            </w:tcBorders>
            <w:shd w:val="clear" w:color="auto" w:fill="FFFFFF"/>
            <w:vAlign w:val="center"/>
          </w:tcPr>
          <w:p w14:paraId="3FCF857A" w14:textId="5D1EA6EC"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17405DBC" w14:textId="06E7191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tcBorders>
            <w:shd w:val="clear" w:color="auto" w:fill="FFFFFF"/>
            <w:vAlign w:val="center"/>
          </w:tcPr>
          <w:p w14:paraId="1B58A28E" w14:textId="51C2FE45"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810" w:type="dxa"/>
            <w:tcBorders>
              <w:top w:val="nil"/>
              <w:bottom w:val="nil"/>
            </w:tcBorders>
            <w:shd w:val="clear" w:color="auto" w:fill="FFFFFF"/>
            <w:vAlign w:val="center"/>
          </w:tcPr>
          <w:p w14:paraId="3260F056" w14:textId="2905A6AB"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4BF0E969" w14:textId="14C50EBF"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743736A3" w14:textId="1289A24A"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080" w:type="dxa"/>
            <w:tcBorders>
              <w:top w:val="nil"/>
              <w:bottom w:val="nil"/>
            </w:tcBorders>
            <w:shd w:val="clear" w:color="auto" w:fill="FFFFFF"/>
            <w:vAlign w:val="center"/>
          </w:tcPr>
          <w:p w14:paraId="0537EEB9" w14:textId="2891BFA3"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1170" w:type="dxa"/>
            <w:tcBorders>
              <w:top w:val="nil"/>
              <w:bottom w:val="nil"/>
            </w:tcBorders>
            <w:shd w:val="clear" w:color="auto" w:fill="FFFFFF"/>
            <w:vAlign w:val="center"/>
          </w:tcPr>
          <w:p w14:paraId="4DCDEB13" w14:textId="2D651B06"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c>
          <w:tcPr>
            <w:tcW w:w="990" w:type="dxa"/>
            <w:tcBorders>
              <w:top w:val="nil"/>
              <w:bottom w:val="nil"/>
              <w:right w:val="single" w:sz="16" w:space="0" w:color="000000"/>
            </w:tcBorders>
            <w:shd w:val="clear" w:color="auto" w:fill="FFFFFF"/>
            <w:vAlign w:val="center"/>
          </w:tcPr>
          <w:p w14:paraId="6FC016C2" w14:textId="6366CE18" w:rsidR="008E0BD1" w:rsidRPr="00CD2B0D" w:rsidRDefault="008E0BD1" w:rsidP="00F34C29">
            <w:pPr>
              <w:autoSpaceDE w:val="0"/>
              <w:autoSpaceDN w:val="0"/>
              <w:adjustRightInd w:val="0"/>
              <w:spacing w:after="0" w:line="320" w:lineRule="atLeast"/>
              <w:ind w:left="60" w:right="60"/>
              <w:jc w:val="center"/>
              <w:rPr>
                <w:rFonts w:cstheme="minorHAnsi"/>
                <w:color w:val="000000"/>
              </w:rPr>
            </w:pPr>
          </w:p>
        </w:tc>
      </w:tr>
      <w:tr w:rsidR="00F34C29" w:rsidRPr="008722E1" w14:paraId="5D9218FD" w14:textId="77777777" w:rsidTr="00F34C29">
        <w:trPr>
          <w:cantSplit/>
          <w:trHeight w:val="57"/>
        </w:trPr>
        <w:tc>
          <w:tcPr>
            <w:tcW w:w="1468" w:type="dxa"/>
            <w:vMerge/>
            <w:tcBorders>
              <w:top w:val="nil"/>
              <w:left w:val="single" w:sz="16" w:space="0" w:color="000000"/>
              <w:bottom w:val="single" w:sz="16" w:space="0" w:color="000000"/>
              <w:right w:val="nil"/>
            </w:tcBorders>
            <w:shd w:val="clear" w:color="auto" w:fill="FFFFFF"/>
            <w:vAlign w:val="center"/>
          </w:tcPr>
          <w:p w14:paraId="2FEB77CE" w14:textId="77777777" w:rsidR="008E0BD1" w:rsidRPr="00CD2B0D" w:rsidRDefault="008E0BD1" w:rsidP="008E0BD1">
            <w:pPr>
              <w:autoSpaceDE w:val="0"/>
              <w:autoSpaceDN w:val="0"/>
              <w:adjustRightInd w:val="0"/>
              <w:spacing w:after="0" w:line="240" w:lineRule="auto"/>
              <w:rPr>
                <w:rFonts w:cstheme="minorHAnsi"/>
                <w:color w:val="000000"/>
              </w:rPr>
            </w:pPr>
          </w:p>
        </w:tc>
        <w:tc>
          <w:tcPr>
            <w:tcW w:w="62" w:type="dxa"/>
            <w:tcBorders>
              <w:top w:val="nil"/>
              <w:left w:val="nil"/>
              <w:bottom w:val="nil"/>
              <w:right w:val="single" w:sz="16" w:space="0" w:color="000000"/>
            </w:tcBorders>
            <w:shd w:val="clear" w:color="auto" w:fill="FFFFFF"/>
            <w:vAlign w:val="center"/>
          </w:tcPr>
          <w:p w14:paraId="775FE1C4" w14:textId="178E8C73"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nil"/>
            </w:tcBorders>
            <w:shd w:val="clear" w:color="auto" w:fill="FFFFFF"/>
            <w:vAlign w:val="center"/>
          </w:tcPr>
          <w:p w14:paraId="3465046E" w14:textId="7383A56A"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-.763</w:t>
            </w:r>
            <w:r w:rsidR="00694C7D">
              <w:rPr>
                <w:rFonts w:cstheme="minorHAnsi"/>
                <w:color w:val="000000"/>
              </w:rPr>
              <w:t>**</w:t>
            </w:r>
          </w:p>
        </w:tc>
        <w:tc>
          <w:tcPr>
            <w:tcW w:w="990" w:type="dxa"/>
            <w:tcBorders>
              <w:top w:val="nil"/>
              <w:bottom w:val="nil"/>
            </w:tcBorders>
            <w:shd w:val="clear" w:color="auto" w:fill="FFFFFF"/>
            <w:vAlign w:val="center"/>
          </w:tcPr>
          <w:p w14:paraId="2267BCEA" w14:textId="42682C75"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Pr>
                <w:rFonts w:cstheme="minorHAnsi"/>
                <w:color w:val="000000"/>
              </w:rPr>
              <w:t>.</w:t>
            </w:r>
            <w:r w:rsidRPr="00CD2B0D">
              <w:rPr>
                <w:rFonts w:cstheme="minorHAnsi"/>
                <w:color w:val="000000"/>
              </w:rPr>
              <w:t>644</w:t>
            </w:r>
            <w:r w:rsidR="00694C7D">
              <w:rPr>
                <w:rFonts w:cstheme="minorHAnsi"/>
                <w:color w:val="000000"/>
              </w:rPr>
              <w:t>**</w:t>
            </w:r>
          </w:p>
        </w:tc>
        <w:tc>
          <w:tcPr>
            <w:tcW w:w="810" w:type="dxa"/>
            <w:tcBorders>
              <w:top w:val="nil"/>
              <w:bottom w:val="nil"/>
            </w:tcBorders>
            <w:shd w:val="clear" w:color="auto" w:fill="FFFFFF"/>
            <w:vAlign w:val="center"/>
          </w:tcPr>
          <w:p w14:paraId="00C72565" w14:textId="13B05ABB"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.656</w:t>
            </w:r>
            <w:r w:rsidR="00694C7D">
              <w:rPr>
                <w:rFonts w:cstheme="minorHAnsi"/>
                <w:color w:val="000000"/>
              </w:rPr>
              <w:t>**</w:t>
            </w:r>
          </w:p>
        </w:tc>
        <w:tc>
          <w:tcPr>
            <w:tcW w:w="1080" w:type="dxa"/>
            <w:tcBorders>
              <w:top w:val="nil"/>
              <w:bottom w:val="nil"/>
            </w:tcBorders>
            <w:shd w:val="clear" w:color="auto" w:fill="FFFFFF"/>
            <w:vAlign w:val="center"/>
          </w:tcPr>
          <w:p w14:paraId="72F232A2" w14:textId="7DE71205"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.055</w:t>
            </w:r>
          </w:p>
        </w:tc>
        <w:tc>
          <w:tcPr>
            <w:tcW w:w="1080" w:type="dxa"/>
            <w:tcBorders>
              <w:top w:val="nil"/>
              <w:bottom w:val="nil"/>
            </w:tcBorders>
            <w:shd w:val="clear" w:color="auto" w:fill="FFFFFF"/>
            <w:vAlign w:val="center"/>
          </w:tcPr>
          <w:p w14:paraId="508D71BB" w14:textId="29DA09E7"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-.511</w:t>
            </w:r>
            <w:r w:rsidR="00694C7D">
              <w:rPr>
                <w:rFonts w:cstheme="minorHAnsi"/>
                <w:color w:val="000000"/>
              </w:rPr>
              <w:t>**</w:t>
            </w:r>
          </w:p>
        </w:tc>
        <w:tc>
          <w:tcPr>
            <w:tcW w:w="1080" w:type="dxa"/>
            <w:tcBorders>
              <w:top w:val="nil"/>
              <w:bottom w:val="nil"/>
            </w:tcBorders>
            <w:shd w:val="clear" w:color="auto" w:fill="FFFFFF"/>
            <w:vAlign w:val="center"/>
          </w:tcPr>
          <w:p w14:paraId="5D50E222" w14:textId="05D4A755"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.728</w:t>
            </w:r>
            <w:r w:rsidR="00694C7D">
              <w:rPr>
                <w:rFonts w:cstheme="minorHAnsi"/>
                <w:color w:val="000000"/>
              </w:rPr>
              <w:t>**</w:t>
            </w:r>
          </w:p>
        </w:tc>
        <w:tc>
          <w:tcPr>
            <w:tcW w:w="1170" w:type="dxa"/>
            <w:tcBorders>
              <w:top w:val="nil"/>
              <w:bottom w:val="nil"/>
            </w:tcBorders>
            <w:shd w:val="clear" w:color="auto" w:fill="FFFFFF"/>
            <w:vAlign w:val="center"/>
          </w:tcPr>
          <w:p w14:paraId="03000BF8" w14:textId="280E1D42" w:rsidR="008E0BD1" w:rsidRPr="00CD2B0D" w:rsidRDefault="00F34C29" w:rsidP="00F34C29">
            <w:pPr>
              <w:autoSpaceDE w:val="0"/>
              <w:autoSpaceDN w:val="0"/>
              <w:adjustRightInd w:val="0"/>
              <w:spacing w:after="0" w:line="320" w:lineRule="atLeast"/>
              <w:ind w:left="60" w:right="60"/>
              <w:jc w:val="center"/>
              <w:rPr>
                <w:rFonts w:cstheme="minorHAnsi"/>
                <w:color w:val="000000"/>
              </w:rPr>
            </w:pPr>
            <w:r w:rsidRPr="00CD2B0D">
              <w:rPr>
                <w:rFonts w:cstheme="minorHAnsi"/>
                <w:color w:val="000000"/>
              </w:rPr>
              <w:t>.955</w:t>
            </w:r>
            <w:r w:rsidR="00694C7D">
              <w:rPr>
                <w:rFonts w:cstheme="minorHAnsi"/>
                <w:color w:val="000000"/>
              </w:rPr>
              <w:t>**</w:t>
            </w:r>
          </w:p>
        </w:tc>
        <w:tc>
          <w:tcPr>
            <w:tcW w:w="990" w:type="dxa"/>
            <w:tcBorders>
              <w:top w:val="nil"/>
              <w:bottom w:val="nil"/>
              <w:right w:val="single" w:sz="16" w:space="0" w:color="000000"/>
            </w:tcBorders>
            <w:shd w:val="clear" w:color="auto" w:fill="FFFFFF"/>
          </w:tcPr>
          <w:p w14:paraId="33D7E5DD" w14:textId="6C428B8A" w:rsidR="008E0BD1" w:rsidRPr="00CD2B0D" w:rsidRDefault="00F34C29" w:rsidP="00F34C29">
            <w:pPr>
              <w:autoSpaceDE w:val="0"/>
              <w:autoSpaceDN w:val="0"/>
              <w:adjustRightInd w:val="0"/>
              <w:spacing w:after="0" w:line="240" w:lineRule="auto"/>
              <w:jc w:val="center"/>
              <w:rPr>
                <w:rFonts w:cstheme="minorHAnsi"/>
              </w:rPr>
            </w:pPr>
            <w:r>
              <w:rPr>
                <w:rFonts w:cstheme="minorHAnsi"/>
              </w:rPr>
              <w:t>1</w:t>
            </w:r>
          </w:p>
        </w:tc>
      </w:tr>
      <w:tr w:rsidR="00F34C29" w:rsidRPr="008722E1" w14:paraId="2A34734D" w14:textId="77777777" w:rsidTr="00F34C29">
        <w:trPr>
          <w:cantSplit/>
          <w:trHeight w:val="55"/>
        </w:trPr>
        <w:tc>
          <w:tcPr>
            <w:tcW w:w="1468" w:type="dxa"/>
            <w:vMerge/>
            <w:tcBorders>
              <w:top w:val="nil"/>
              <w:left w:val="single" w:sz="16" w:space="0" w:color="000000"/>
              <w:bottom w:val="single" w:sz="16" w:space="0" w:color="000000"/>
              <w:right w:val="nil"/>
            </w:tcBorders>
            <w:shd w:val="clear" w:color="auto" w:fill="FFFFFF"/>
            <w:vAlign w:val="center"/>
          </w:tcPr>
          <w:p w14:paraId="3D31E6F4" w14:textId="77777777" w:rsidR="008E0BD1" w:rsidRPr="00CD2B0D" w:rsidRDefault="008E0BD1" w:rsidP="008E0BD1">
            <w:pPr>
              <w:autoSpaceDE w:val="0"/>
              <w:autoSpaceDN w:val="0"/>
              <w:adjustRightInd w:val="0"/>
              <w:spacing w:after="0" w:line="240" w:lineRule="auto"/>
              <w:rPr>
                <w:rFonts w:cstheme="minorHAnsi"/>
              </w:rPr>
            </w:pPr>
          </w:p>
        </w:tc>
        <w:tc>
          <w:tcPr>
            <w:tcW w:w="62" w:type="dxa"/>
            <w:tcBorders>
              <w:top w:val="nil"/>
              <w:left w:val="nil"/>
              <w:bottom w:val="single" w:sz="16" w:space="0" w:color="000000"/>
              <w:right w:val="single" w:sz="16" w:space="0" w:color="000000"/>
            </w:tcBorders>
            <w:shd w:val="clear" w:color="auto" w:fill="FFFFFF"/>
            <w:vAlign w:val="center"/>
          </w:tcPr>
          <w:p w14:paraId="3E75EBE4" w14:textId="41FDF280" w:rsidR="008E0BD1" w:rsidRPr="00CD2B0D" w:rsidRDefault="008E0BD1" w:rsidP="008E0BD1">
            <w:pPr>
              <w:autoSpaceDE w:val="0"/>
              <w:autoSpaceDN w:val="0"/>
              <w:adjustRightInd w:val="0"/>
              <w:spacing w:after="0" w:line="320" w:lineRule="atLeast"/>
              <w:ind w:left="60" w:right="60"/>
              <w:rPr>
                <w:rFonts w:cstheme="minorHAnsi"/>
                <w:color w:val="000000"/>
              </w:rPr>
            </w:pPr>
          </w:p>
        </w:tc>
        <w:tc>
          <w:tcPr>
            <w:tcW w:w="990" w:type="dxa"/>
            <w:tcBorders>
              <w:top w:val="nil"/>
              <w:left w:val="single" w:sz="16" w:space="0" w:color="000000"/>
              <w:bottom w:val="single" w:sz="16" w:space="0" w:color="000000"/>
            </w:tcBorders>
            <w:shd w:val="clear" w:color="auto" w:fill="FFFFFF"/>
            <w:vAlign w:val="center"/>
          </w:tcPr>
          <w:p w14:paraId="4CE76E15" w14:textId="0D8057C4"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990" w:type="dxa"/>
            <w:tcBorders>
              <w:top w:val="nil"/>
              <w:bottom w:val="single" w:sz="16" w:space="0" w:color="000000"/>
            </w:tcBorders>
            <w:shd w:val="clear" w:color="auto" w:fill="FFFFFF"/>
            <w:vAlign w:val="center"/>
          </w:tcPr>
          <w:p w14:paraId="6576F6D1" w14:textId="612A149D"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810" w:type="dxa"/>
            <w:tcBorders>
              <w:top w:val="nil"/>
              <w:bottom w:val="single" w:sz="16" w:space="0" w:color="000000"/>
            </w:tcBorders>
            <w:shd w:val="clear" w:color="auto" w:fill="FFFFFF"/>
            <w:vAlign w:val="center"/>
          </w:tcPr>
          <w:p w14:paraId="1FE78BF1" w14:textId="54CC50EF"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1080" w:type="dxa"/>
            <w:tcBorders>
              <w:top w:val="nil"/>
              <w:bottom w:val="single" w:sz="16" w:space="0" w:color="000000"/>
            </w:tcBorders>
            <w:shd w:val="clear" w:color="auto" w:fill="FFFFFF"/>
            <w:vAlign w:val="center"/>
          </w:tcPr>
          <w:p w14:paraId="10F05221" w14:textId="29DA57F6"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1080" w:type="dxa"/>
            <w:tcBorders>
              <w:top w:val="nil"/>
              <w:bottom w:val="single" w:sz="16" w:space="0" w:color="000000"/>
            </w:tcBorders>
            <w:shd w:val="clear" w:color="auto" w:fill="FFFFFF"/>
            <w:vAlign w:val="center"/>
          </w:tcPr>
          <w:p w14:paraId="6E8B6A97" w14:textId="3282CD39"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1080" w:type="dxa"/>
            <w:tcBorders>
              <w:top w:val="nil"/>
              <w:bottom w:val="single" w:sz="16" w:space="0" w:color="000000"/>
            </w:tcBorders>
            <w:shd w:val="clear" w:color="auto" w:fill="FFFFFF"/>
            <w:vAlign w:val="center"/>
          </w:tcPr>
          <w:p w14:paraId="7585224E" w14:textId="32A1C733"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1170" w:type="dxa"/>
            <w:tcBorders>
              <w:top w:val="nil"/>
              <w:bottom w:val="single" w:sz="16" w:space="0" w:color="000000"/>
            </w:tcBorders>
            <w:shd w:val="clear" w:color="auto" w:fill="FFFFFF"/>
            <w:vAlign w:val="center"/>
          </w:tcPr>
          <w:p w14:paraId="0F82097E" w14:textId="0DE05849" w:rsidR="008E0BD1" w:rsidRPr="00CD2B0D" w:rsidRDefault="008E0BD1" w:rsidP="008E0BD1">
            <w:pPr>
              <w:autoSpaceDE w:val="0"/>
              <w:autoSpaceDN w:val="0"/>
              <w:adjustRightInd w:val="0"/>
              <w:spacing w:after="0" w:line="320" w:lineRule="atLeast"/>
              <w:ind w:left="60" w:right="60"/>
              <w:jc w:val="right"/>
              <w:rPr>
                <w:rFonts w:cstheme="minorHAnsi"/>
                <w:color w:val="000000"/>
              </w:rPr>
            </w:pPr>
          </w:p>
        </w:tc>
        <w:tc>
          <w:tcPr>
            <w:tcW w:w="990" w:type="dxa"/>
            <w:tcBorders>
              <w:top w:val="nil"/>
              <w:bottom w:val="single" w:sz="16" w:space="0" w:color="000000"/>
              <w:right w:val="single" w:sz="16" w:space="0" w:color="000000"/>
            </w:tcBorders>
            <w:shd w:val="clear" w:color="auto" w:fill="FFFFFF"/>
            <w:vAlign w:val="center"/>
          </w:tcPr>
          <w:p w14:paraId="0AB2E3B2" w14:textId="07313B74" w:rsidR="008E0BD1" w:rsidRPr="00CD2B0D" w:rsidRDefault="008E0BD1" w:rsidP="00CD2B0D">
            <w:pPr>
              <w:autoSpaceDE w:val="0"/>
              <w:autoSpaceDN w:val="0"/>
              <w:adjustRightInd w:val="0"/>
              <w:spacing w:after="0" w:line="320" w:lineRule="atLeast"/>
              <w:ind w:left="60" w:right="60"/>
              <w:jc w:val="center"/>
              <w:rPr>
                <w:rFonts w:cstheme="minorHAnsi"/>
                <w:color w:val="000000"/>
              </w:rPr>
            </w:pPr>
          </w:p>
        </w:tc>
      </w:tr>
    </w:tbl>
    <w:p w14:paraId="2351C6FC" w14:textId="438BEF0D" w:rsidR="00F34C29" w:rsidRPr="00152361" w:rsidRDefault="00F34C29" w:rsidP="00CC1A36">
      <w:pPr>
        <w:spacing w:line="360" w:lineRule="auto"/>
        <w:jc w:val="both"/>
        <w:rPr>
          <w:rFonts w:cstheme="minorHAnsi"/>
          <w:bCs/>
        </w:rPr>
      </w:pPr>
      <w:r w:rsidRPr="004734AF">
        <w:rPr>
          <w:rFonts w:cstheme="minorHAnsi"/>
          <w:bCs/>
        </w:rPr>
        <w:t>*P&lt;0.05</w:t>
      </w:r>
      <w:r w:rsidR="00152361">
        <w:rPr>
          <w:rFonts w:cstheme="minorHAnsi"/>
          <w:bCs/>
        </w:rPr>
        <w:t>, **p&lt;0.01</w:t>
      </w:r>
    </w:p>
    <w:p w14:paraId="3538A347" w14:textId="77777777" w:rsidR="00CC1A36" w:rsidRDefault="00CC1A36" w:rsidP="00CC1A36">
      <w:pPr>
        <w:spacing w:line="360" w:lineRule="auto"/>
        <w:jc w:val="both"/>
        <w:rPr>
          <w:bCs/>
        </w:rPr>
      </w:pPr>
      <w:r>
        <w:rPr>
          <w:bCs/>
        </w:rPr>
        <w:lastRenderedPageBreak/>
        <w:t xml:space="preserve">In the next section named Results, the results obtained from these test will be described. It will be examined if these were the findings which were expected. Implication of different coefficients will also be deliberated on. </w:t>
      </w:r>
    </w:p>
    <w:p w14:paraId="3A356112" w14:textId="64D1F9A7" w:rsidR="00C9757E" w:rsidRDefault="00C9757E" w:rsidP="003E516B">
      <w:pPr>
        <w:rPr>
          <w:b/>
          <w:bCs/>
          <w:sz w:val="28"/>
          <w:szCs w:val="28"/>
        </w:rPr>
      </w:pPr>
    </w:p>
    <w:p w14:paraId="66636324" w14:textId="77777777" w:rsidR="008449AA" w:rsidRDefault="008449AA" w:rsidP="003E516B">
      <w:pPr>
        <w:rPr>
          <w:b/>
          <w:bCs/>
          <w:sz w:val="28"/>
          <w:szCs w:val="28"/>
        </w:rPr>
      </w:pPr>
    </w:p>
    <w:p w14:paraId="25FEFD0B" w14:textId="133C8462" w:rsidR="003E516B" w:rsidRPr="00E56332" w:rsidRDefault="00B60BA7" w:rsidP="003E516B">
      <w:pPr>
        <w:rPr>
          <w:rStyle w:val="SubtleEmphasis"/>
        </w:rPr>
      </w:pPr>
      <w:r>
        <w:rPr>
          <w:b/>
          <w:bCs/>
          <w:sz w:val="28"/>
          <w:szCs w:val="28"/>
        </w:rPr>
        <w:t>5</w:t>
      </w:r>
      <w:r w:rsidR="003E516B">
        <w:rPr>
          <w:b/>
          <w:bCs/>
          <w:sz w:val="28"/>
          <w:szCs w:val="28"/>
        </w:rPr>
        <w:t xml:space="preserve">   Results</w:t>
      </w:r>
    </w:p>
    <w:p w14:paraId="423E5282" w14:textId="13AF58A7" w:rsidR="003E516B" w:rsidRPr="001272FE" w:rsidRDefault="00B60BA7" w:rsidP="003E516B">
      <w:pPr>
        <w:pStyle w:val="Heading2"/>
        <w:rPr>
          <w:rFonts w:asciiTheme="minorHAnsi" w:hAnsiTheme="minorHAnsi" w:cstheme="minorHAnsi"/>
          <w:color w:val="auto"/>
          <w:sz w:val="22"/>
          <w:szCs w:val="22"/>
        </w:rPr>
      </w:pPr>
      <w:r>
        <w:rPr>
          <w:rFonts w:asciiTheme="minorHAnsi" w:hAnsiTheme="minorHAnsi" w:cstheme="minorHAnsi"/>
          <w:color w:val="auto"/>
          <w:sz w:val="22"/>
          <w:szCs w:val="22"/>
        </w:rPr>
        <w:t>5</w:t>
      </w:r>
      <w:r w:rsidR="003E516B" w:rsidRPr="001272FE">
        <w:rPr>
          <w:rFonts w:asciiTheme="minorHAnsi" w:hAnsiTheme="minorHAnsi" w:cstheme="minorHAnsi"/>
          <w:color w:val="auto"/>
          <w:sz w:val="22"/>
          <w:szCs w:val="22"/>
        </w:rPr>
        <w:t>.1 Country Specific Variables</w:t>
      </w:r>
    </w:p>
    <w:p w14:paraId="006F1334" w14:textId="495EB698" w:rsidR="00900608" w:rsidRDefault="003E516B" w:rsidP="003E516B">
      <w:pPr>
        <w:spacing w:line="360" w:lineRule="auto"/>
        <w:jc w:val="both"/>
      </w:pPr>
      <w:r>
        <w:t>The empirical results from the regression analysis on the country specific determinants are denoted in table (4). These findings are for the period 2009 to 2014. Yearly dummies have also been included in the regression to control for any differences across time, with 2009 as the basis. The relation between capital structure and the Gross Domestic Product per capita (GDP) was expected to be positive, but</w:t>
      </w:r>
      <w:r w:rsidR="00347ED6">
        <w:t xml:space="preserve"> shows a negative relationship at a </w:t>
      </w:r>
      <w:r>
        <w:t xml:space="preserve">5% significance level. Earlier studies done on the relationship between GDP per capita and capital structure show a positive significant relation (Jensen &amp; </w:t>
      </w:r>
      <w:proofErr w:type="spellStart"/>
      <w:r>
        <w:t>Uhl</w:t>
      </w:r>
      <w:proofErr w:type="spellEnd"/>
      <w:r>
        <w:t>, 2008)</w:t>
      </w:r>
      <w:r w:rsidR="00900608">
        <w:t>.</w:t>
      </w:r>
      <w:r w:rsidR="00DA01DE">
        <w:t xml:space="preserve"> </w:t>
      </w:r>
      <w:r w:rsidR="007C6B36">
        <w:rPr>
          <w:rFonts w:cstheme="minorHAnsi"/>
        </w:rPr>
        <w:t>Due to the negative coefficient results from GDP, the first hypothesis is rejected. GDP and capital structure are not positively associated with each other. Therefore, this variable does not follow the trade-off theory and the assumption that SME’s would borrow more in a country with increasing GDP finds no support.</w:t>
      </w:r>
      <w:r w:rsidR="00D95D9A">
        <w:rPr>
          <w:rFonts w:cstheme="minorHAnsi"/>
        </w:rPr>
        <w:t xml:space="preserve"> A wealthy country may indicate that these firms have more retained earnings and thus need less debt to finance themselves. Most of the countries used in this data belong to the top 30 wealthiest countries in the world (cia.gov, 2015). This may be an explanation why the GDP is consistent with the pecking order theory rather than the trade-off theory.  </w:t>
      </w:r>
    </w:p>
    <w:p w14:paraId="35109D11" w14:textId="77777777" w:rsidR="00040FDA" w:rsidRDefault="00040FDA" w:rsidP="00040FDA">
      <w:pPr>
        <w:spacing w:line="360" w:lineRule="auto"/>
        <w:jc w:val="both"/>
      </w:pPr>
      <w:r>
        <w:rPr>
          <w:rFonts w:cstheme="minorHAnsi"/>
        </w:rPr>
        <w:t xml:space="preserve">The relation between the growth rate of GDP (GDPGROWTH) and capital structure is found to be significant at a 5% significance level.  This finding is consistent with earlier studies done on the relationship of the GDP’s growth rate and capital structure (De Jong, </w:t>
      </w:r>
      <w:proofErr w:type="spellStart"/>
      <w:r>
        <w:rPr>
          <w:rFonts w:cstheme="minorHAnsi"/>
        </w:rPr>
        <w:t>Kabir</w:t>
      </w:r>
      <w:proofErr w:type="spellEnd"/>
      <w:r>
        <w:rPr>
          <w:rFonts w:cstheme="minorHAnsi"/>
        </w:rPr>
        <w:t xml:space="preserve"> &amp; Nguyen, 2008). The second hypothesis is not rejected. The results show a positive association between the growth rate of GPD and capital structure. This variable follows the pecking order theory as well as the trade-off theory. SMEs will use more internal funds as the GDP grows. However, as the firms grows they will start to use more debt if their internal finance is not enough to finance the increasing costs of investment </w:t>
      </w:r>
      <w:r>
        <w:t xml:space="preserve">(Bas, </w:t>
      </w:r>
      <w:proofErr w:type="spellStart"/>
      <w:r>
        <w:t>Muradoglu</w:t>
      </w:r>
      <w:proofErr w:type="spellEnd"/>
      <w:r>
        <w:t xml:space="preserve"> &amp; </w:t>
      </w:r>
      <w:proofErr w:type="spellStart"/>
      <w:r>
        <w:t>Phylaktis</w:t>
      </w:r>
      <w:proofErr w:type="spellEnd"/>
      <w:r>
        <w:t>, 2009).</w:t>
      </w:r>
    </w:p>
    <w:p w14:paraId="24C0B720" w14:textId="5785CA96" w:rsidR="00040FDA" w:rsidRPr="00143340" w:rsidRDefault="003E516B" w:rsidP="00143340">
      <w:pPr>
        <w:spacing w:line="360" w:lineRule="auto"/>
        <w:jc w:val="both"/>
      </w:pPr>
      <w:r>
        <w:lastRenderedPageBreak/>
        <w:t xml:space="preserve">The change in inflation was measured with the change in the GDP deflator and shown in the table as INFLATION. The results show an insignificant effect on capital structure of SME’s while maintaining a 5% significance level. </w:t>
      </w:r>
      <w:r w:rsidR="00143340">
        <w:t xml:space="preserve">This is consistent with earlier studies where </w:t>
      </w:r>
      <w:r w:rsidR="003130BA">
        <w:t xml:space="preserve">inflation also had an insignificant effect on capital structure </w:t>
      </w:r>
      <w:r w:rsidR="003130BA">
        <w:rPr>
          <w:rFonts w:cstheme="minorHAnsi"/>
        </w:rPr>
        <w:t>(</w:t>
      </w:r>
      <w:proofErr w:type="spellStart"/>
      <w:r w:rsidR="003130BA">
        <w:t>Noguera</w:t>
      </w:r>
      <w:proofErr w:type="spellEnd"/>
      <w:r w:rsidR="003130BA">
        <w:t xml:space="preserve">, 2001). </w:t>
      </w:r>
      <w:r w:rsidR="00040FDA">
        <w:t>Inflation was expected to be negatively associated with capital structures of SMEs, but the res</w:t>
      </w:r>
      <w:r w:rsidR="00143340">
        <w:t>ults show that they are positively associated with each other</w:t>
      </w:r>
      <w:r w:rsidR="00040FDA">
        <w:t xml:space="preserve">. </w:t>
      </w:r>
      <w:r w:rsidR="00143340">
        <w:t xml:space="preserve">This finding is consistent with earlier studies where it was shown that firms use more debt in inflationary periods </w:t>
      </w:r>
      <w:r w:rsidR="00143340">
        <w:rPr>
          <w:rFonts w:cstheme="minorHAnsi"/>
        </w:rPr>
        <w:t>(Modigliani, 1983)</w:t>
      </w:r>
      <w:r w:rsidR="003130BA">
        <w:rPr>
          <w:rFonts w:cstheme="minorHAnsi"/>
        </w:rPr>
        <w:t>. The deterioration of the real value may</w:t>
      </w:r>
      <w:r w:rsidR="00BD07CE">
        <w:rPr>
          <w:rFonts w:cstheme="minorHAnsi"/>
        </w:rPr>
        <w:t xml:space="preserve"> explain the</w:t>
      </w:r>
      <w:r w:rsidR="003130BA">
        <w:rPr>
          <w:rFonts w:cstheme="minorHAnsi"/>
        </w:rPr>
        <w:t xml:space="preserve"> positive association between the</w:t>
      </w:r>
      <w:r w:rsidR="00BD07CE">
        <w:rPr>
          <w:rFonts w:cstheme="minorHAnsi"/>
        </w:rPr>
        <w:t>se</w:t>
      </w:r>
      <w:r w:rsidR="003130BA">
        <w:rPr>
          <w:rFonts w:cstheme="minorHAnsi"/>
        </w:rPr>
        <w:t xml:space="preserve"> variables. Deterioration of the </w:t>
      </w:r>
      <w:r w:rsidR="00BD07CE">
        <w:rPr>
          <w:rFonts w:cstheme="minorHAnsi"/>
        </w:rPr>
        <w:t xml:space="preserve">real value leads to repayments being tax-deductible, which makes borrowing more attractive </w:t>
      </w:r>
      <w:r w:rsidR="00BD07CE">
        <w:t xml:space="preserve">(Jensen &amp; </w:t>
      </w:r>
      <w:proofErr w:type="spellStart"/>
      <w:r w:rsidR="00BD07CE">
        <w:t>Uhl</w:t>
      </w:r>
      <w:proofErr w:type="spellEnd"/>
      <w:r w:rsidR="00BD07CE">
        <w:t>, 2008).</w:t>
      </w:r>
      <w:r w:rsidR="00BD07CE">
        <w:rPr>
          <w:rFonts w:cstheme="minorHAnsi"/>
        </w:rPr>
        <w:t xml:space="preserve"> </w:t>
      </w:r>
      <w:r w:rsidR="00040FDA">
        <w:t xml:space="preserve">Therefore, we can reject the third hypothesis. The variable inflation </w:t>
      </w:r>
      <w:r w:rsidR="003130BA">
        <w:t>has a positive association with capital structure and is consistent with the trade-off theory.</w:t>
      </w:r>
    </w:p>
    <w:p w14:paraId="5DA8B245" w14:textId="24112667" w:rsidR="00BD07CE" w:rsidRPr="00F70BE0" w:rsidRDefault="003E516B" w:rsidP="003E516B">
      <w:pPr>
        <w:spacing w:line="360" w:lineRule="auto"/>
        <w:jc w:val="both"/>
      </w:pPr>
      <w:r>
        <w:t>The relationship between capital structure and the change in interest rate is shown to be significant at a 5% significance level.</w:t>
      </w:r>
      <w:r w:rsidR="00A9595A">
        <w:rPr>
          <w:rFonts w:cstheme="minorHAnsi"/>
        </w:rPr>
        <w:t xml:space="preserve"> </w:t>
      </w:r>
      <w:r w:rsidR="00F845EA">
        <w:rPr>
          <w:rFonts w:cstheme="minorHAnsi"/>
        </w:rPr>
        <w:t xml:space="preserve">The results show that the interest rate and capital structure are positively associated with each other. </w:t>
      </w:r>
      <w:r w:rsidR="00A9595A">
        <w:t>Therefore, this variable</w:t>
      </w:r>
      <w:r w:rsidR="00A9595A" w:rsidRPr="00A1284B">
        <w:t xml:space="preserve"> do</w:t>
      </w:r>
      <w:r w:rsidR="00A9595A">
        <w:t>es</w:t>
      </w:r>
      <w:r w:rsidR="00A9595A" w:rsidRPr="00A1284B">
        <w:t xml:space="preserve"> </w:t>
      </w:r>
      <w:r w:rsidR="00A9595A">
        <w:t xml:space="preserve">not follow the pecking order theory </w:t>
      </w:r>
      <w:r w:rsidR="00A9595A" w:rsidRPr="00A1284B">
        <w:t>but follow</w:t>
      </w:r>
      <w:r w:rsidR="00A9595A">
        <w:t>s</w:t>
      </w:r>
      <w:r w:rsidR="00A9595A" w:rsidRPr="00A1284B">
        <w:t xml:space="preserve"> the </w:t>
      </w:r>
      <w:r w:rsidR="00A9595A">
        <w:t>trade-off</w:t>
      </w:r>
      <w:r w:rsidR="00A9595A" w:rsidRPr="00A1284B">
        <w:t xml:space="preserve"> theory, which suggest that as the interest rate increases they will use more </w:t>
      </w:r>
      <w:r w:rsidR="00F845EA">
        <w:t xml:space="preserve">external funds. </w:t>
      </w:r>
      <w:r w:rsidR="00A9595A" w:rsidRPr="00A1284B">
        <w:t xml:space="preserve"> </w:t>
      </w:r>
      <w:r w:rsidR="00F70BE0">
        <w:t xml:space="preserve">Firms should aim towards more debt financing due to the tax deductions associated with the interest payments on debt (Modigliani &amp; Miller, 1963). This encourages the use of more external finance as more debt increases the after- tax earnings when the interest rate goes up. The fourth hypothesis is therefore rejected and is consistent with the trade-off theory and not the pecking order theory, which was originally believed. </w:t>
      </w:r>
    </w:p>
    <w:p w14:paraId="03B51115" w14:textId="48E8C939" w:rsidR="003E516B" w:rsidRPr="001272FE" w:rsidRDefault="00B60BA7" w:rsidP="003E516B">
      <w:pPr>
        <w:pStyle w:val="Heading2"/>
        <w:spacing w:line="360" w:lineRule="auto"/>
        <w:rPr>
          <w:rFonts w:asciiTheme="minorHAnsi" w:hAnsiTheme="minorHAnsi" w:cstheme="minorHAnsi"/>
          <w:color w:val="auto"/>
          <w:sz w:val="22"/>
          <w:szCs w:val="22"/>
        </w:rPr>
      </w:pPr>
      <w:r>
        <w:rPr>
          <w:rFonts w:asciiTheme="minorHAnsi" w:hAnsiTheme="minorHAnsi" w:cstheme="minorHAnsi"/>
          <w:color w:val="auto"/>
          <w:sz w:val="22"/>
          <w:szCs w:val="22"/>
        </w:rPr>
        <w:t>5</w:t>
      </w:r>
      <w:r w:rsidR="003E516B" w:rsidRPr="001272FE">
        <w:rPr>
          <w:rFonts w:asciiTheme="minorHAnsi" w:hAnsiTheme="minorHAnsi" w:cstheme="minorHAnsi"/>
          <w:color w:val="auto"/>
          <w:sz w:val="22"/>
          <w:szCs w:val="22"/>
        </w:rPr>
        <w:t xml:space="preserve">.2 </w:t>
      </w:r>
      <w:r w:rsidR="00B763B7">
        <w:rPr>
          <w:rFonts w:asciiTheme="minorHAnsi" w:hAnsiTheme="minorHAnsi" w:cstheme="minorHAnsi"/>
          <w:color w:val="auto"/>
          <w:sz w:val="22"/>
          <w:szCs w:val="22"/>
        </w:rPr>
        <w:t xml:space="preserve">Aggregated </w:t>
      </w:r>
      <w:r w:rsidR="003E516B" w:rsidRPr="001272FE">
        <w:rPr>
          <w:rFonts w:asciiTheme="minorHAnsi" w:hAnsiTheme="minorHAnsi" w:cstheme="minorHAnsi"/>
          <w:color w:val="auto"/>
          <w:sz w:val="22"/>
          <w:szCs w:val="22"/>
        </w:rPr>
        <w:t>Firm Specific Variables</w:t>
      </w:r>
    </w:p>
    <w:p w14:paraId="22BED0D8" w14:textId="09041057" w:rsidR="00E63DC5" w:rsidRPr="003A4F03" w:rsidRDefault="003E516B" w:rsidP="003E516B">
      <w:pPr>
        <w:spacing w:line="360" w:lineRule="auto"/>
        <w:jc w:val="both"/>
      </w:pPr>
      <w:r>
        <w:t>The empirical results from the regression analysis on the</w:t>
      </w:r>
      <w:r w:rsidR="00B763B7">
        <w:t xml:space="preserve"> </w:t>
      </w:r>
      <w:r w:rsidR="001B7CD7">
        <w:t>aggregated</w:t>
      </w:r>
      <w:r>
        <w:t xml:space="preserve"> firm specific determina</w:t>
      </w:r>
      <w:r w:rsidR="008449AA">
        <w:t>nts are also denoted in table (6</w:t>
      </w:r>
      <w:r>
        <w:t>). These findings are for the period 2009 to 2014, measured on an annual basis. The relation between capital structure and turnover (TURNOVER) reveals a positive coefficient, indicating that the two variables are positively associated with each other. This result is consistent with other empirical research done on the relationship between size and capital structure (</w:t>
      </w:r>
      <w:proofErr w:type="spellStart"/>
      <w:r>
        <w:t>J</w:t>
      </w:r>
      <w:r w:rsidRPr="00D541C3">
        <w:rPr>
          <w:rFonts w:cstheme="minorHAnsi"/>
        </w:rPr>
        <w:t>õ</w:t>
      </w:r>
      <w:r>
        <w:rPr>
          <w:rFonts w:cstheme="minorHAnsi"/>
        </w:rPr>
        <w:t>eveer</w:t>
      </w:r>
      <w:proofErr w:type="spellEnd"/>
      <w:r>
        <w:rPr>
          <w:rFonts w:cstheme="minorHAnsi"/>
        </w:rPr>
        <w:t xml:space="preserve">, 2006; </w:t>
      </w:r>
      <w:proofErr w:type="spellStart"/>
      <w:r>
        <w:rPr>
          <w:rFonts w:cstheme="minorHAnsi"/>
        </w:rPr>
        <w:t>Rajan</w:t>
      </w:r>
      <w:proofErr w:type="spellEnd"/>
      <w:r>
        <w:rPr>
          <w:rFonts w:cstheme="minorHAnsi"/>
        </w:rPr>
        <w:t xml:space="preserve"> &amp; </w:t>
      </w:r>
      <w:proofErr w:type="spellStart"/>
      <w:r>
        <w:rPr>
          <w:rFonts w:cstheme="minorHAnsi"/>
        </w:rPr>
        <w:t>Zingales</w:t>
      </w:r>
      <w:proofErr w:type="spellEnd"/>
      <w:r>
        <w:rPr>
          <w:rFonts w:cstheme="minorHAnsi"/>
        </w:rPr>
        <w:t>, 1995).</w:t>
      </w:r>
      <w:r w:rsidR="00AD3B8F">
        <w:rPr>
          <w:rFonts w:cstheme="minorHAnsi"/>
        </w:rPr>
        <w:t xml:space="preserve"> </w:t>
      </w:r>
      <w:r w:rsidR="00E63DC5" w:rsidRPr="00FF24A7">
        <w:rPr>
          <w:rFonts w:cstheme="minorHAnsi"/>
          <w:bCs/>
        </w:rPr>
        <w:t xml:space="preserve">The </w:t>
      </w:r>
      <w:r w:rsidR="00E63DC5">
        <w:rPr>
          <w:rFonts w:cstheme="minorHAnsi"/>
          <w:bCs/>
        </w:rPr>
        <w:t>trade-</w:t>
      </w:r>
      <w:r w:rsidR="00E63DC5" w:rsidRPr="00FF24A7">
        <w:rPr>
          <w:rFonts w:cstheme="minorHAnsi"/>
          <w:bCs/>
        </w:rPr>
        <w:t>off theory suggests that more debt financing is weighted against the potential cost of bankruptcy which is affected by de probability of default (</w:t>
      </w:r>
      <w:proofErr w:type="spellStart"/>
      <w:r w:rsidR="00E63DC5" w:rsidRPr="00FF24A7">
        <w:rPr>
          <w:rFonts w:cstheme="minorHAnsi"/>
          <w:bCs/>
        </w:rPr>
        <w:t>Rajan</w:t>
      </w:r>
      <w:proofErr w:type="spellEnd"/>
      <w:r w:rsidR="00E63DC5" w:rsidRPr="00FF24A7">
        <w:rPr>
          <w:rFonts w:cstheme="minorHAnsi"/>
          <w:bCs/>
        </w:rPr>
        <w:t xml:space="preserve"> &amp; </w:t>
      </w:r>
      <w:proofErr w:type="spellStart"/>
      <w:r w:rsidR="00E63DC5" w:rsidRPr="00FF24A7">
        <w:rPr>
          <w:rFonts w:cstheme="minorHAnsi"/>
          <w:bCs/>
        </w:rPr>
        <w:t>Zingales</w:t>
      </w:r>
      <w:proofErr w:type="spellEnd"/>
      <w:r w:rsidR="00E63DC5" w:rsidRPr="00FF24A7">
        <w:rPr>
          <w:rFonts w:cstheme="minorHAnsi"/>
          <w:bCs/>
        </w:rPr>
        <w:t>, 1</w:t>
      </w:r>
      <w:r w:rsidR="00E63DC5">
        <w:rPr>
          <w:rFonts w:cstheme="minorHAnsi"/>
          <w:bCs/>
        </w:rPr>
        <w:t>995). According to this</w:t>
      </w:r>
      <w:r w:rsidR="00E63DC5" w:rsidRPr="00FF24A7">
        <w:rPr>
          <w:rFonts w:cstheme="minorHAnsi"/>
          <w:bCs/>
        </w:rPr>
        <w:t xml:space="preserve"> theory</w:t>
      </w:r>
      <w:r w:rsidR="00E63DC5">
        <w:rPr>
          <w:rFonts w:cstheme="minorHAnsi"/>
          <w:bCs/>
        </w:rPr>
        <w:t>,</w:t>
      </w:r>
      <w:r w:rsidR="00E63DC5" w:rsidRPr="00FF24A7">
        <w:rPr>
          <w:rFonts w:cstheme="minorHAnsi"/>
          <w:bCs/>
        </w:rPr>
        <w:t xml:space="preserve"> size is positively related to the capital structure (</w:t>
      </w:r>
      <w:proofErr w:type="spellStart"/>
      <w:r w:rsidR="00E63DC5" w:rsidRPr="00FF24A7">
        <w:rPr>
          <w:rFonts w:cstheme="minorHAnsi"/>
          <w:bCs/>
        </w:rPr>
        <w:t>J</w:t>
      </w:r>
      <w:r w:rsidR="00E63DC5" w:rsidRPr="00FF24A7">
        <w:rPr>
          <w:rFonts w:cstheme="minorHAnsi"/>
        </w:rPr>
        <w:t>õeveer</w:t>
      </w:r>
      <w:proofErr w:type="spellEnd"/>
      <w:r w:rsidR="00E63DC5" w:rsidRPr="00FF24A7">
        <w:rPr>
          <w:rFonts w:cstheme="minorHAnsi"/>
        </w:rPr>
        <w:t>, 2006)</w:t>
      </w:r>
      <w:r w:rsidR="00E63DC5">
        <w:rPr>
          <w:rFonts w:cstheme="minorHAnsi"/>
        </w:rPr>
        <w:t xml:space="preserve">. </w:t>
      </w:r>
      <w:r w:rsidR="003A4F03">
        <w:rPr>
          <w:rFonts w:cstheme="minorHAnsi"/>
        </w:rPr>
        <w:t xml:space="preserve">Myers and </w:t>
      </w:r>
      <w:proofErr w:type="spellStart"/>
      <w:r w:rsidR="003A4F03">
        <w:rPr>
          <w:rFonts w:cstheme="minorHAnsi"/>
        </w:rPr>
        <w:t>Majluf</w:t>
      </w:r>
      <w:proofErr w:type="spellEnd"/>
      <w:r w:rsidR="003A4F03">
        <w:rPr>
          <w:rFonts w:cstheme="minorHAnsi"/>
        </w:rPr>
        <w:t xml:space="preserve"> (1984) state that </w:t>
      </w:r>
      <w:r w:rsidR="00282695">
        <w:rPr>
          <w:rFonts w:cstheme="minorHAnsi"/>
        </w:rPr>
        <w:t>the bigger the</w:t>
      </w:r>
      <w:r w:rsidR="003A4F03">
        <w:rPr>
          <w:rFonts w:cstheme="minorHAnsi"/>
        </w:rPr>
        <w:t xml:space="preserve"> firm, the lower the inf</w:t>
      </w:r>
      <w:r w:rsidR="00282695">
        <w:rPr>
          <w:rFonts w:cstheme="minorHAnsi"/>
        </w:rPr>
        <w:t>ormation asymmetry. B</w:t>
      </w:r>
      <w:r w:rsidR="003A4F03">
        <w:rPr>
          <w:rFonts w:cstheme="minorHAnsi"/>
        </w:rPr>
        <w:t xml:space="preserve">ecause information is an obstacle for </w:t>
      </w:r>
      <w:r w:rsidR="003A4F03">
        <w:rPr>
          <w:rFonts w:cstheme="minorHAnsi"/>
        </w:rPr>
        <w:lastRenderedPageBreak/>
        <w:t xml:space="preserve">firms to borrow money, larger firms can get loans easier than smaller firms. The fifth </w:t>
      </w:r>
      <w:r w:rsidR="00E63DC5">
        <w:rPr>
          <w:rFonts w:cstheme="minorHAnsi"/>
        </w:rPr>
        <w:t>hypothesis finds support and cannot be rejected.</w:t>
      </w:r>
    </w:p>
    <w:p w14:paraId="12552DBD" w14:textId="257C5F48" w:rsidR="003E516B" w:rsidRDefault="003E516B" w:rsidP="003E516B">
      <w:pPr>
        <w:spacing w:line="360" w:lineRule="auto"/>
        <w:jc w:val="both"/>
        <w:rPr>
          <w:rFonts w:cstheme="minorHAnsi"/>
        </w:rPr>
      </w:pPr>
      <w:r>
        <w:rPr>
          <w:rFonts w:cstheme="minorHAnsi"/>
        </w:rPr>
        <w:t>The relation between profitability (PROFIT) and capital structure is found to be negative as expected with a significant probability. Previous studies which analysis the relationship between profitability and capital structure also report a significant effect (</w:t>
      </w:r>
      <w:proofErr w:type="spellStart"/>
      <w:r>
        <w:rPr>
          <w:rFonts w:cstheme="minorHAnsi"/>
        </w:rPr>
        <w:t>Rajan</w:t>
      </w:r>
      <w:proofErr w:type="spellEnd"/>
      <w:r>
        <w:rPr>
          <w:rFonts w:cstheme="minorHAnsi"/>
        </w:rPr>
        <w:t xml:space="preserve"> &amp; </w:t>
      </w:r>
      <w:proofErr w:type="spellStart"/>
      <w:r>
        <w:rPr>
          <w:rFonts w:cstheme="minorHAnsi"/>
        </w:rPr>
        <w:t>Zingales</w:t>
      </w:r>
      <w:proofErr w:type="spellEnd"/>
      <w:r>
        <w:rPr>
          <w:rFonts w:cstheme="minorHAnsi"/>
        </w:rPr>
        <w:t xml:space="preserve">, 1995; </w:t>
      </w:r>
      <w:proofErr w:type="spellStart"/>
      <w:r>
        <w:rPr>
          <w:rFonts w:cstheme="minorHAnsi"/>
        </w:rPr>
        <w:t>Cassar</w:t>
      </w:r>
      <w:proofErr w:type="spellEnd"/>
      <w:r>
        <w:rPr>
          <w:rFonts w:cstheme="minorHAnsi"/>
        </w:rPr>
        <w:t xml:space="preserve"> &amp; Holmes, 2003). However, they only use a limited set of variables to test their hypothesis. In comparison to these earlier studies, this paper includes </w:t>
      </w:r>
      <w:r w:rsidR="00B763B7">
        <w:rPr>
          <w:rFonts w:cstheme="minorHAnsi"/>
        </w:rPr>
        <w:t xml:space="preserve">additional aggregated </w:t>
      </w:r>
      <w:r>
        <w:rPr>
          <w:rFonts w:cstheme="minorHAnsi"/>
        </w:rPr>
        <w:t xml:space="preserve">firm specific variables to overcome a possible </w:t>
      </w:r>
      <w:r w:rsidR="00467FD5">
        <w:rPr>
          <w:rFonts w:cstheme="minorHAnsi"/>
        </w:rPr>
        <w:t xml:space="preserve">omitted </w:t>
      </w:r>
      <w:r>
        <w:rPr>
          <w:rFonts w:cstheme="minorHAnsi"/>
        </w:rPr>
        <w:t xml:space="preserve">variable problem. The negative and significant result is consistent with the </w:t>
      </w:r>
      <w:r w:rsidRPr="00191432">
        <w:rPr>
          <w:rFonts w:cstheme="minorHAnsi"/>
        </w:rPr>
        <w:t>pecking order theory, demonstrating that firms prefer to use internal sources of financing over e</w:t>
      </w:r>
      <w:r w:rsidR="00AD5A7D">
        <w:rPr>
          <w:rFonts w:cstheme="minorHAnsi"/>
        </w:rPr>
        <w:t>xternal when profits are high. Profitable firms generate enough internal funds to finance new projects, and therefore do not depend as much on raising funds via an issue of debt.</w:t>
      </w:r>
      <w:r w:rsidR="00347ED6">
        <w:rPr>
          <w:rFonts w:cstheme="minorHAnsi"/>
        </w:rPr>
        <w:t xml:space="preserve"> The sixth hypothesis is not rejected.</w:t>
      </w:r>
    </w:p>
    <w:p w14:paraId="59AD4DB0" w14:textId="16DA4259" w:rsidR="00722790" w:rsidRPr="00722790" w:rsidRDefault="003E516B" w:rsidP="00722790">
      <w:pPr>
        <w:spacing w:line="360" w:lineRule="auto"/>
        <w:jc w:val="both"/>
        <w:rPr>
          <w:rFonts w:cstheme="minorHAnsi"/>
          <w:color w:val="000000"/>
        </w:rPr>
      </w:pPr>
      <w:r>
        <w:rPr>
          <w:rFonts w:cstheme="minorHAnsi"/>
        </w:rPr>
        <w:t>T</w:t>
      </w:r>
      <w:r>
        <w:rPr>
          <w:rFonts w:cstheme="minorHAnsi"/>
          <w:color w:val="000000"/>
        </w:rPr>
        <w:t>he genera</w:t>
      </w:r>
      <w:r w:rsidR="00846500">
        <w:rPr>
          <w:rFonts w:cstheme="minorHAnsi"/>
          <w:color w:val="000000"/>
        </w:rPr>
        <w:t>l economic outlook variable (GVIEW</w:t>
      </w:r>
      <w:r w:rsidR="008449AA">
        <w:rPr>
          <w:rFonts w:cstheme="minorHAnsi"/>
          <w:color w:val="000000"/>
        </w:rPr>
        <w:t>) is also shown in table (6</w:t>
      </w:r>
      <w:r>
        <w:rPr>
          <w:rFonts w:cstheme="minorHAnsi"/>
          <w:color w:val="000000"/>
        </w:rPr>
        <w:t xml:space="preserve">). </w:t>
      </w:r>
      <w:r w:rsidR="00722790">
        <w:t>According to the t</w:t>
      </w:r>
      <w:r w:rsidR="00721A31">
        <w:t>rade-off</w:t>
      </w:r>
      <w:r w:rsidR="00722790">
        <w:t xml:space="preserve"> theory, a negative relationship is to be expected. The results are significant, but show a positive coefficient. </w:t>
      </w:r>
      <w:r w:rsidR="00722790">
        <w:rPr>
          <w:rFonts w:cstheme="minorHAnsi"/>
          <w:color w:val="000000"/>
        </w:rPr>
        <w:t xml:space="preserve">The result is consistent with an earlier study carried out in Europe by Jensen and </w:t>
      </w:r>
      <w:proofErr w:type="spellStart"/>
      <w:r w:rsidR="00722790">
        <w:rPr>
          <w:rFonts w:cstheme="minorHAnsi"/>
          <w:color w:val="000000"/>
        </w:rPr>
        <w:t>Uhl</w:t>
      </w:r>
      <w:proofErr w:type="spellEnd"/>
      <w:r w:rsidR="00722790">
        <w:rPr>
          <w:rFonts w:cstheme="minorHAnsi"/>
          <w:color w:val="000000"/>
        </w:rPr>
        <w:t xml:space="preserve"> (2008), but in contrast with other empirical findings (</w:t>
      </w:r>
      <w:proofErr w:type="spellStart"/>
      <w:r w:rsidR="00722790">
        <w:rPr>
          <w:rFonts w:cstheme="minorHAnsi"/>
          <w:color w:val="000000"/>
        </w:rPr>
        <w:t>Devesa</w:t>
      </w:r>
      <w:proofErr w:type="spellEnd"/>
      <w:r w:rsidR="00722790">
        <w:rPr>
          <w:rFonts w:cstheme="minorHAnsi"/>
          <w:color w:val="000000"/>
        </w:rPr>
        <w:t xml:space="preserve"> &amp; Esteban, 2008). </w:t>
      </w:r>
      <w:r w:rsidR="00722790">
        <w:t>The sixth hypothesis is rejected and it can be concluded that future growth opportunities cannot be explained by the trade-off theory.</w:t>
      </w:r>
      <w:r w:rsidR="004734AF">
        <w:t xml:space="preserve"> Following the pecking order theory, firms who see growth opportunities will use retained earnings first to finance new projects. However, it can be expected that these internal funds are not enough to entirely finance these new projects. Therefore, SMEs will have to borrow additional capital.</w:t>
      </w:r>
    </w:p>
    <w:p w14:paraId="1ABB4CBB" w14:textId="77777777" w:rsidR="00152361" w:rsidRDefault="003E516B" w:rsidP="00282695">
      <w:pPr>
        <w:spacing w:line="360" w:lineRule="auto"/>
        <w:jc w:val="both"/>
        <w:rPr>
          <w:rFonts w:cstheme="minorHAnsi"/>
        </w:rPr>
      </w:pPr>
      <w:r>
        <w:rPr>
          <w:rFonts w:cstheme="minorHAnsi"/>
        </w:rPr>
        <w:t>The adjusted R-squared compares the explanatory power of regression models that contain different number of predictor</w:t>
      </w:r>
      <w:r w:rsidR="008449AA">
        <w:rPr>
          <w:rFonts w:cstheme="minorHAnsi"/>
        </w:rPr>
        <w:t>s. It can be observed in table 7</w:t>
      </w:r>
      <w:r>
        <w:rPr>
          <w:rFonts w:cstheme="minorHAnsi"/>
        </w:rPr>
        <w:t xml:space="preserve"> that the adjusted R-squared for this regression is above 50% (76%). This indicates that the model captures a good part of the variations in this regression. Country- and </w:t>
      </w:r>
      <w:r w:rsidR="00B763B7">
        <w:rPr>
          <w:rFonts w:cstheme="minorHAnsi"/>
        </w:rPr>
        <w:t xml:space="preserve">aggregated </w:t>
      </w:r>
      <w:r>
        <w:rPr>
          <w:rFonts w:cstheme="minorHAnsi"/>
        </w:rPr>
        <w:t>firm specific variables should therefore not be neglected in capital structure studies since they have a large explanatory power.</w:t>
      </w:r>
    </w:p>
    <w:p w14:paraId="14176723" w14:textId="77777777" w:rsidR="00152361" w:rsidRDefault="00152361" w:rsidP="00282695">
      <w:pPr>
        <w:spacing w:line="360" w:lineRule="auto"/>
        <w:jc w:val="both"/>
        <w:rPr>
          <w:rFonts w:cstheme="minorHAnsi"/>
        </w:rPr>
      </w:pPr>
    </w:p>
    <w:p w14:paraId="3AE479A1" w14:textId="77777777" w:rsidR="00152361" w:rsidRDefault="00152361" w:rsidP="00282695">
      <w:pPr>
        <w:spacing w:line="360" w:lineRule="auto"/>
        <w:jc w:val="both"/>
        <w:rPr>
          <w:rFonts w:cstheme="minorHAnsi"/>
        </w:rPr>
      </w:pPr>
    </w:p>
    <w:p w14:paraId="32BB323C" w14:textId="77777777" w:rsidR="00152361" w:rsidRDefault="00152361" w:rsidP="00282695">
      <w:pPr>
        <w:spacing w:line="360" w:lineRule="auto"/>
        <w:jc w:val="both"/>
        <w:rPr>
          <w:rFonts w:cstheme="minorHAnsi"/>
        </w:rPr>
      </w:pPr>
    </w:p>
    <w:p w14:paraId="394FC8D3" w14:textId="7EA17DAA" w:rsidR="006045FA" w:rsidRPr="00282695" w:rsidRDefault="006045FA" w:rsidP="00282695">
      <w:pPr>
        <w:spacing w:line="360" w:lineRule="auto"/>
        <w:jc w:val="both"/>
        <w:rPr>
          <w:rFonts w:cstheme="minorHAnsi"/>
        </w:rPr>
      </w:pPr>
      <w:r>
        <w:fldChar w:fldCharType="begin"/>
      </w:r>
      <w:r>
        <w:instrText xml:space="preserve"> LINK </w:instrText>
      </w:r>
      <w:r w:rsidR="00BA5B6D">
        <w:instrText xml:space="preserve">Excel.Sheet.12 Book1 Sheet1!R1C1:R13C4 </w:instrText>
      </w:r>
      <w:r>
        <w:instrText xml:space="preserve">\a \f 4 \h  \* MERGEFORMAT </w:instrText>
      </w:r>
      <w:r>
        <w:fldChar w:fldCharType="separate"/>
      </w:r>
    </w:p>
    <w:tbl>
      <w:tblPr>
        <w:tblW w:w="6780" w:type="dxa"/>
        <w:tblLook w:val="04A0" w:firstRow="1" w:lastRow="0" w:firstColumn="1" w:lastColumn="0" w:noHBand="0" w:noVBand="1"/>
      </w:tblPr>
      <w:tblGrid>
        <w:gridCol w:w="2340"/>
        <w:gridCol w:w="1500"/>
        <w:gridCol w:w="1380"/>
        <w:gridCol w:w="1560"/>
      </w:tblGrid>
      <w:tr w:rsidR="006045FA" w:rsidRPr="00D56157" w14:paraId="62DA46FF" w14:textId="77777777" w:rsidTr="00467FD5">
        <w:trPr>
          <w:trHeight w:val="300"/>
        </w:trPr>
        <w:tc>
          <w:tcPr>
            <w:tcW w:w="2340" w:type="dxa"/>
            <w:tcBorders>
              <w:top w:val="nil"/>
              <w:left w:val="nil"/>
              <w:bottom w:val="nil"/>
              <w:right w:val="nil"/>
            </w:tcBorders>
            <w:shd w:val="clear" w:color="auto" w:fill="auto"/>
            <w:noWrap/>
            <w:vAlign w:val="bottom"/>
            <w:hideMark/>
          </w:tcPr>
          <w:p w14:paraId="44D8291C"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lastRenderedPageBreak/>
              <w:t>N=66</w:t>
            </w:r>
          </w:p>
        </w:tc>
        <w:tc>
          <w:tcPr>
            <w:tcW w:w="1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ADE493"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Coefficient</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3126A73B" w14:textId="77777777" w:rsidR="006045FA" w:rsidRPr="00D56157" w:rsidRDefault="006045FA" w:rsidP="00467FD5">
            <w:pPr>
              <w:spacing w:after="0" w:line="240" w:lineRule="auto"/>
              <w:rPr>
                <w:rFonts w:ascii="Calibri" w:eastAsia="Times New Roman" w:hAnsi="Calibri" w:cs="Times New Roman"/>
                <w:color w:val="000000"/>
              </w:rPr>
            </w:pPr>
            <w:r>
              <w:rPr>
                <w:rFonts w:ascii="Calibri" w:eastAsia="Times New Roman" w:hAnsi="Calibri" w:cs="Times New Roman"/>
                <w:color w:val="000000"/>
              </w:rPr>
              <w:t>t-Stat</w:t>
            </w:r>
            <w:r w:rsidRPr="00D56157">
              <w:rPr>
                <w:rFonts w:ascii="Calibri" w:eastAsia="Times New Roman" w:hAnsi="Calibri" w:cs="Times New Roman"/>
                <w:color w:val="000000"/>
              </w:rPr>
              <w:t>i</w:t>
            </w:r>
            <w:r>
              <w:rPr>
                <w:rFonts w:ascii="Calibri" w:eastAsia="Times New Roman" w:hAnsi="Calibri" w:cs="Times New Roman"/>
                <w:color w:val="000000"/>
              </w:rPr>
              <w:t>s</w:t>
            </w:r>
            <w:r w:rsidRPr="00D56157">
              <w:rPr>
                <w:rFonts w:ascii="Calibri" w:eastAsia="Times New Roman" w:hAnsi="Calibri" w:cs="Times New Roman"/>
                <w:color w:val="000000"/>
              </w:rPr>
              <w:t>tic</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32EA5561"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p-value</w:t>
            </w:r>
          </w:p>
        </w:tc>
      </w:tr>
      <w:tr w:rsidR="006045FA" w:rsidRPr="00D56157" w14:paraId="0C97DCE0" w14:textId="77777777" w:rsidTr="00467FD5">
        <w:trPr>
          <w:trHeight w:val="300"/>
        </w:trPr>
        <w:tc>
          <w:tcPr>
            <w:tcW w:w="2340" w:type="dxa"/>
            <w:tcBorders>
              <w:top w:val="single" w:sz="4" w:space="0" w:color="auto"/>
              <w:left w:val="single" w:sz="4" w:space="0" w:color="auto"/>
              <w:bottom w:val="nil"/>
              <w:right w:val="single" w:sz="4" w:space="0" w:color="auto"/>
            </w:tcBorders>
            <w:shd w:val="clear" w:color="auto" w:fill="auto"/>
            <w:noWrap/>
            <w:vAlign w:val="bottom"/>
            <w:hideMark/>
          </w:tcPr>
          <w:p w14:paraId="6AE29FE4"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GDP</w:t>
            </w:r>
          </w:p>
        </w:tc>
        <w:tc>
          <w:tcPr>
            <w:tcW w:w="1500" w:type="dxa"/>
            <w:tcBorders>
              <w:top w:val="nil"/>
              <w:left w:val="nil"/>
              <w:bottom w:val="nil"/>
              <w:right w:val="single" w:sz="4" w:space="0" w:color="auto"/>
            </w:tcBorders>
            <w:shd w:val="clear" w:color="auto" w:fill="auto"/>
            <w:noWrap/>
            <w:vAlign w:val="bottom"/>
            <w:hideMark/>
          </w:tcPr>
          <w:p w14:paraId="131CE651" w14:textId="2F602340"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-7.243</w:t>
            </w:r>
          </w:p>
        </w:tc>
        <w:tc>
          <w:tcPr>
            <w:tcW w:w="1380" w:type="dxa"/>
            <w:tcBorders>
              <w:top w:val="nil"/>
              <w:left w:val="nil"/>
              <w:bottom w:val="nil"/>
              <w:right w:val="single" w:sz="4" w:space="0" w:color="auto"/>
            </w:tcBorders>
            <w:shd w:val="clear" w:color="auto" w:fill="auto"/>
            <w:noWrap/>
            <w:vAlign w:val="bottom"/>
            <w:hideMark/>
          </w:tcPr>
          <w:p w14:paraId="56BC67E6"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-2.17</w:t>
            </w:r>
          </w:p>
        </w:tc>
        <w:tc>
          <w:tcPr>
            <w:tcW w:w="1560" w:type="dxa"/>
            <w:tcBorders>
              <w:top w:val="nil"/>
              <w:left w:val="nil"/>
              <w:bottom w:val="nil"/>
              <w:right w:val="single" w:sz="4" w:space="0" w:color="auto"/>
            </w:tcBorders>
            <w:shd w:val="clear" w:color="auto" w:fill="auto"/>
            <w:noWrap/>
            <w:vAlign w:val="bottom"/>
            <w:hideMark/>
          </w:tcPr>
          <w:p w14:paraId="14EABE6B"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0.034</w:t>
            </w:r>
          </w:p>
        </w:tc>
      </w:tr>
      <w:tr w:rsidR="006045FA" w:rsidRPr="00D56157" w14:paraId="47808205"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39013439"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GDPGROWTH</w:t>
            </w:r>
          </w:p>
        </w:tc>
        <w:tc>
          <w:tcPr>
            <w:tcW w:w="1500" w:type="dxa"/>
            <w:tcBorders>
              <w:top w:val="nil"/>
              <w:left w:val="nil"/>
              <w:bottom w:val="nil"/>
              <w:right w:val="single" w:sz="4" w:space="0" w:color="auto"/>
            </w:tcBorders>
            <w:shd w:val="clear" w:color="auto" w:fill="auto"/>
            <w:noWrap/>
            <w:vAlign w:val="bottom"/>
            <w:hideMark/>
          </w:tcPr>
          <w:p w14:paraId="7E3D470B" w14:textId="16351CC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7.315</w:t>
            </w:r>
          </w:p>
        </w:tc>
        <w:tc>
          <w:tcPr>
            <w:tcW w:w="1380" w:type="dxa"/>
            <w:tcBorders>
              <w:top w:val="nil"/>
              <w:left w:val="nil"/>
              <w:bottom w:val="nil"/>
              <w:right w:val="single" w:sz="4" w:space="0" w:color="auto"/>
            </w:tcBorders>
            <w:shd w:val="clear" w:color="auto" w:fill="auto"/>
            <w:noWrap/>
            <w:vAlign w:val="bottom"/>
            <w:hideMark/>
          </w:tcPr>
          <w:p w14:paraId="0FDB771F"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2.3</w:t>
            </w:r>
          </w:p>
        </w:tc>
        <w:tc>
          <w:tcPr>
            <w:tcW w:w="1560" w:type="dxa"/>
            <w:tcBorders>
              <w:top w:val="nil"/>
              <w:left w:val="nil"/>
              <w:bottom w:val="nil"/>
              <w:right w:val="single" w:sz="4" w:space="0" w:color="auto"/>
            </w:tcBorders>
            <w:shd w:val="clear" w:color="auto" w:fill="auto"/>
            <w:noWrap/>
            <w:vAlign w:val="bottom"/>
            <w:hideMark/>
          </w:tcPr>
          <w:p w14:paraId="71759921"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0.025</w:t>
            </w:r>
          </w:p>
        </w:tc>
      </w:tr>
      <w:tr w:rsidR="006045FA" w:rsidRPr="00D56157" w14:paraId="50A39F6E"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2808DD8C"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INFLATION</w:t>
            </w:r>
          </w:p>
        </w:tc>
        <w:tc>
          <w:tcPr>
            <w:tcW w:w="1500" w:type="dxa"/>
            <w:tcBorders>
              <w:top w:val="nil"/>
              <w:left w:val="nil"/>
              <w:bottom w:val="nil"/>
              <w:right w:val="single" w:sz="4" w:space="0" w:color="auto"/>
            </w:tcBorders>
            <w:shd w:val="clear" w:color="auto" w:fill="auto"/>
            <w:noWrap/>
            <w:vAlign w:val="bottom"/>
            <w:hideMark/>
          </w:tcPr>
          <w:p w14:paraId="772814A1"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0.00003942</w:t>
            </w:r>
          </w:p>
        </w:tc>
        <w:tc>
          <w:tcPr>
            <w:tcW w:w="1380" w:type="dxa"/>
            <w:tcBorders>
              <w:top w:val="nil"/>
              <w:left w:val="nil"/>
              <w:bottom w:val="nil"/>
              <w:right w:val="single" w:sz="4" w:space="0" w:color="auto"/>
            </w:tcBorders>
            <w:shd w:val="clear" w:color="auto" w:fill="auto"/>
            <w:noWrap/>
            <w:vAlign w:val="bottom"/>
            <w:hideMark/>
          </w:tcPr>
          <w:p w14:paraId="57AC5D59"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0.1</w:t>
            </w:r>
          </w:p>
        </w:tc>
        <w:tc>
          <w:tcPr>
            <w:tcW w:w="1560" w:type="dxa"/>
            <w:tcBorders>
              <w:top w:val="nil"/>
              <w:left w:val="nil"/>
              <w:bottom w:val="nil"/>
              <w:right w:val="single" w:sz="4" w:space="0" w:color="auto"/>
            </w:tcBorders>
            <w:shd w:val="clear" w:color="auto" w:fill="auto"/>
            <w:noWrap/>
            <w:vAlign w:val="bottom"/>
            <w:hideMark/>
          </w:tcPr>
          <w:p w14:paraId="0A85F8BA"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0.921</w:t>
            </w:r>
          </w:p>
        </w:tc>
      </w:tr>
      <w:tr w:rsidR="006045FA" w:rsidRPr="00D56157" w14:paraId="2EBB9C9E"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30283114"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INTEREST</w:t>
            </w:r>
          </w:p>
        </w:tc>
        <w:tc>
          <w:tcPr>
            <w:tcW w:w="1500" w:type="dxa"/>
            <w:tcBorders>
              <w:top w:val="nil"/>
              <w:left w:val="nil"/>
              <w:bottom w:val="nil"/>
              <w:right w:val="single" w:sz="4" w:space="0" w:color="auto"/>
            </w:tcBorders>
            <w:shd w:val="clear" w:color="auto" w:fill="auto"/>
            <w:noWrap/>
            <w:vAlign w:val="bottom"/>
            <w:hideMark/>
          </w:tcPr>
          <w:p w14:paraId="10EF983F" w14:textId="0E9DBF8F"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0.078</w:t>
            </w:r>
          </w:p>
        </w:tc>
        <w:tc>
          <w:tcPr>
            <w:tcW w:w="1380" w:type="dxa"/>
            <w:tcBorders>
              <w:top w:val="nil"/>
              <w:left w:val="nil"/>
              <w:bottom w:val="nil"/>
              <w:right w:val="single" w:sz="4" w:space="0" w:color="auto"/>
            </w:tcBorders>
            <w:shd w:val="clear" w:color="auto" w:fill="auto"/>
            <w:noWrap/>
            <w:vAlign w:val="bottom"/>
            <w:hideMark/>
          </w:tcPr>
          <w:p w14:paraId="52B06368"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2.11</w:t>
            </w:r>
          </w:p>
        </w:tc>
        <w:tc>
          <w:tcPr>
            <w:tcW w:w="1560" w:type="dxa"/>
            <w:tcBorders>
              <w:top w:val="nil"/>
              <w:left w:val="nil"/>
              <w:bottom w:val="nil"/>
              <w:right w:val="single" w:sz="4" w:space="0" w:color="auto"/>
            </w:tcBorders>
            <w:shd w:val="clear" w:color="auto" w:fill="auto"/>
            <w:noWrap/>
            <w:vAlign w:val="bottom"/>
            <w:hideMark/>
          </w:tcPr>
          <w:p w14:paraId="53E2614D"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0.04</w:t>
            </w:r>
          </w:p>
        </w:tc>
      </w:tr>
      <w:tr w:rsidR="006045FA" w:rsidRPr="00D56157" w14:paraId="20733C92"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6E742479"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TURNOVER</w:t>
            </w:r>
          </w:p>
        </w:tc>
        <w:tc>
          <w:tcPr>
            <w:tcW w:w="1500" w:type="dxa"/>
            <w:tcBorders>
              <w:top w:val="nil"/>
              <w:left w:val="nil"/>
              <w:bottom w:val="nil"/>
              <w:right w:val="single" w:sz="4" w:space="0" w:color="auto"/>
            </w:tcBorders>
            <w:shd w:val="clear" w:color="auto" w:fill="auto"/>
            <w:noWrap/>
            <w:vAlign w:val="bottom"/>
            <w:hideMark/>
          </w:tcPr>
          <w:p w14:paraId="78A8364E" w14:textId="54CA8C71"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0.391</w:t>
            </w:r>
          </w:p>
        </w:tc>
        <w:tc>
          <w:tcPr>
            <w:tcW w:w="1380" w:type="dxa"/>
            <w:tcBorders>
              <w:top w:val="nil"/>
              <w:left w:val="nil"/>
              <w:bottom w:val="nil"/>
              <w:right w:val="single" w:sz="4" w:space="0" w:color="auto"/>
            </w:tcBorders>
            <w:shd w:val="clear" w:color="auto" w:fill="auto"/>
            <w:noWrap/>
            <w:vAlign w:val="bottom"/>
            <w:hideMark/>
          </w:tcPr>
          <w:p w14:paraId="68385461"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3.19</w:t>
            </w:r>
          </w:p>
        </w:tc>
        <w:tc>
          <w:tcPr>
            <w:tcW w:w="1560" w:type="dxa"/>
            <w:tcBorders>
              <w:top w:val="nil"/>
              <w:left w:val="nil"/>
              <w:bottom w:val="nil"/>
              <w:right w:val="single" w:sz="4" w:space="0" w:color="auto"/>
            </w:tcBorders>
            <w:shd w:val="clear" w:color="auto" w:fill="auto"/>
            <w:noWrap/>
            <w:vAlign w:val="bottom"/>
            <w:hideMark/>
          </w:tcPr>
          <w:p w14:paraId="540A0BCB"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0.002</w:t>
            </w:r>
          </w:p>
        </w:tc>
      </w:tr>
      <w:tr w:rsidR="006045FA" w:rsidRPr="00D56157" w14:paraId="5C365889"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7FE76E00"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PROFIT</w:t>
            </w:r>
          </w:p>
        </w:tc>
        <w:tc>
          <w:tcPr>
            <w:tcW w:w="1500" w:type="dxa"/>
            <w:tcBorders>
              <w:top w:val="nil"/>
              <w:left w:val="nil"/>
              <w:bottom w:val="nil"/>
              <w:right w:val="single" w:sz="4" w:space="0" w:color="auto"/>
            </w:tcBorders>
            <w:shd w:val="clear" w:color="auto" w:fill="auto"/>
            <w:noWrap/>
            <w:vAlign w:val="bottom"/>
            <w:hideMark/>
          </w:tcPr>
          <w:p w14:paraId="6C73E258" w14:textId="797AAD6E"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-0.913</w:t>
            </w:r>
          </w:p>
        </w:tc>
        <w:tc>
          <w:tcPr>
            <w:tcW w:w="1380" w:type="dxa"/>
            <w:tcBorders>
              <w:top w:val="nil"/>
              <w:left w:val="nil"/>
              <w:bottom w:val="nil"/>
              <w:right w:val="single" w:sz="4" w:space="0" w:color="auto"/>
            </w:tcBorders>
            <w:shd w:val="clear" w:color="auto" w:fill="auto"/>
            <w:noWrap/>
            <w:vAlign w:val="bottom"/>
            <w:hideMark/>
          </w:tcPr>
          <w:p w14:paraId="34BF3CFC"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-6.92</w:t>
            </w:r>
          </w:p>
        </w:tc>
        <w:tc>
          <w:tcPr>
            <w:tcW w:w="1560" w:type="dxa"/>
            <w:tcBorders>
              <w:top w:val="nil"/>
              <w:left w:val="nil"/>
              <w:bottom w:val="nil"/>
              <w:right w:val="single" w:sz="4" w:space="0" w:color="auto"/>
            </w:tcBorders>
            <w:shd w:val="clear" w:color="auto" w:fill="auto"/>
            <w:noWrap/>
            <w:vAlign w:val="bottom"/>
            <w:hideMark/>
          </w:tcPr>
          <w:p w14:paraId="2793627F"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w:t>
            </w:r>
          </w:p>
        </w:tc>
      </w:tr>
      <w:tr w:rsidR="006045FA" w:rsidRPr="00D56157" w14:paraId="37D2B4B5" w14:textId="77777777" w:rsidTr="00467FD5">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BEF54AA" w14:textId="725C41C1"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G</w:t>
            </w:r>
            <w:r w:rsidR="00E6051D">
              <w:rPr>
                <w:rFonts w:ascii="Calibri" w:eastAsia="Times New Roman" w:hAnsi="Calibri" w:cs="Times New Roman"/>
                <w:color w:val="000000"/>
              </w:rPr>
              <w:t>VIEW</w:t>
            </w:r>
          </w:p>
        </w:tc>
        <w:tc>
          <w:tcPr>
            <w:tcW w:w="1500" w:type="dxa"/>
            <w:tcBorders>
              <w:top w:val="nil"/>
              <w:left w:val="nil"/>
              <w:bottom w:val="single" w:sz="4" w:space="0" w:color="auto"/>
              <w:right w:val="single" w:sz="4" w:space="0" w:color="auto"/>
            </w:tcBorders>
            <w:shd w:val="clear" w:color="auto" w:fill="auto"/>
            <w:noWrap/>
            <w:vAlign w:val="bottom"/>
            <w:hideMark/>
          </w:tcPr>
          <w:p w14:paraId="178FCFE2" w14:textId="58537F6D"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0.142</w:t>
            </w:r>
          </w:p>
        </w:tc>
        <w:tc>
          <w:tcPr>
            <w:tcW w:w="1380" w:type="dxa"/>
            <w:tcBorders>
              <w:top w:val="nil"/>
              <w:left w:val="nil"/>
              <w:bottom w:val="single" w:sz="4" w:space="0" w:color="auto"/>
              <w:right w:val="single" w:sz="4" w:space="0" w:color="auto"/>
            </w:tcBorders>
            <w:shd w:val="clear" w:color="auto" w:fill="auto"/>
            <w:noWrap/>
            <w:vAlign w:val="bottom"/>
            <w:hideMark/>
          </w:tcPr>
          <w:p w14:paraId="0326C794"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2.58</w:t>
            </w:r>
          </w:p>
        </w:tc>
        <w:tc>
          <w:tcPr>
            <w:tcW w:w="1560" w:type="dxa"/>
            <w:tcBorders>
              <w:top w:val="nil"/>
              <w:left w:val="nil"/>
              <w:bottom w:val="single" w:sz="4" w:space="0" w:color="auto"/>
              <w:right w:val="single" w:sz="4" w:space="0" w:color="auto"/>
            </w:tcBorders>
            <w:shd w:val="clear" w:color="auto" w:fill="auto"/>
            <w:noWrap/>
            <w:vAlign w:val="bottom"/>
            <w:hideMark/>
          </w:tcPr>
          <w:p w14:paraId="01C32E45"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0.013</w:t>
            </w:r>
          </w:p>
        </w:tc>
      </w:tr>
      <w:tr w:rsidR="006045FA" w:rsidRPr="00D56157" w14:paraId="5514E867"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296B519A"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DUMMY2010</w:t>
            </w:r>
          </w:p>
        </w:tc>
        <w:tc>
          <w:tcPr>
            <w:tcW w:w="1500" w:type="dxa"/>
            <w:tcBorders>
              <w:top w:val="nil"/>
              <w:left w:val="nil"/>
              <w:bottom w:val="nil"/>
              <w:right w:val="single" w:sz="4" w:space="0" w:color="auto"/>
            </w:tcBorders>
            <w:shd w:val="clear" w:color="auto" w:fill="auto"/>
            <w:noWrap/>
            <w:vAlign w:val="bottom"/>
            <w:hideMark/>
          </w:tcPr>
          <w:p w14:paraId="15264894" w14:textId="164C4B3F"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-16.212</w:t>
            </w:r>
          </w:p>
        </w:tc>
        <w:tc>
          <w:tcPr>
            <w:tcW w:w="1380" w:type="dxa"/>
            <w:tcBorders>
              <w:top w:val="nil"/>
              <w:left w:val="nil"/>
              <w:bottom w:val="nil"/>
              <w:right w:val="single" w:sz="4" w:space="0" w:color="auto"/>
            </w:tcBorders>
            <w:shd w:val="clear" w:color="auto" w:fill="auto"/>
            <w:noWrap/>
            <w:vAlign w:val="bottom"/>
            <w:hideMark/>
          </w:tcPr>
          <w:p w14:paraId="78BB221D"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-2.6</w:t>
            </w:r>
          </w:p>
        </w:tc>
        <w:tc>
          <w:tcPr>
            <w:tcW w:w="1560" w:type="dxa"/>
            <w:tcBorders>
              <w:top w:val="nil"/>
              <w:left w:val="nil"/>
              <w:bottom w:val="nil"/>
              <w:right w:val="single" w:sz="4" w:space="0" w:color="auto"/>
            </w:tcBorders>
            <w:shd w:val="clear" w:color="auto" w:fill="auto"/>
            <w:noWrap/>
            <w:vAlign w:val="bottom"/>
            <w:hideMark/>
          </w:tcPr>
          <w:p w14:paraId="3E18B642"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0.012</w:t>
            </w:r>
          </w:p>
        </w:tc>
      </w:tr>
      <w:tr w:rsidR="006045FA" w:rsidRPr="00D56157" w14:paraId="6F42D9D9"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1E249CE0"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DUMMY2011</w:t>
            </w:r>
          </w:p>
        </w:tc>
        <w:tc>
          <w:tcPr>
            <w:tcW w:w="1500" w:type="dxa"/>
            <w:tcBorders>
              <w:top w:val="nil"/>
              <w:left w:val="nil"/>
              <w:bottom w:val="nil"/>
              <w:right w:val="single" w:sz="4" w:space="0" w:color="auto"/>
            </w:tcBorders>
            <w:shd w:val="clear" w:color="auto" w:fill="auto"/>
            <w:noWrap/>
            <w:vAlign w:val="bottom"/>
            <w:hideMark/>
          </w:tcPr>
          <w:p w14:paraId="7DA2EE99" w14:textId="07EF70C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-21.583</w:t>
            </w:r>
          </w:p>
        </w:tc>
        <w:tc>
          <w:tcPr>
            <w:tcW w:w="1380" w:type="dxa"/>
            <w:tcBorders>
              <w:top w:val="nil"/>
              <w:left w:val="nil"/>
              <w:bottom w:val="nil"/>
              <w:right w:val="single" w:sz="4" w:space="0" w:color="auto"/>
            </w:tcBorders>
            <w:shd w:val="clear" w:color="auto" w:fill="auto"/>
            <w:noWrap/>
            <w:vAlign w:val="bottom"/>
            <w:hideMark/>
          </w:tcPr>
          <w:p w14:paraId="6EA870BF"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-2.9</w:t>
            </w:r>
          </w:p>
        </w:tc>
        <w:tc>
          <w:tcPr>
            <w:tcW w:w="1560" w:type="dxa"/>
            <w:tcBorders>
              <w:top w:val="nil"/>
              <w:left w:val="nil"/>
              <w:bottom w:val="nil"/>
              <w:right w:val="single" w:sz="4" w:space="0" w:color="auto"/>
            </w:tcBorders>
            <w:shd w:val="clear" w:color="auto" w:fill="auto"/>
            <w:noWrap/>
            <w:vAlign w:val="bottom"/>
            <w:hideMark/>
          </w:tcPr>
          <w:p w14:paraId="4EFA3151"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0.005</w:t>
            </w:r>
          </w:p>
        </w:tc>
      </w:tr>
      <w:tr w:rsidR="006045FA" w:rsidRPr="00D56157" w14:paraId="70E88CCA"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72AC4979"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DUMMY2012</w:t>
            </w:r>
          </w:p>
        </w:tc>
        <w:tc>
          <w:tcPr>
            <w:tcW w:w="1500" w:type="dxa"/>
            <w:tcBorders>
              <w:top w:val="nil"/>
              <w:left w:val="nil"/>
              <w:bottom w:val="nil"/>
              <w:right w:val="single" w:sz="4" w:space="0" w:color="auto"/>
            </w:tcBorders>
            <w:shd w:val="clear" w:color="auto" w:fill="auto"/>
            <w:noWrap/>
            <w:vAlign w:val="bottom"/>
            <w:hideMark/>
          </w:tcPr>
          <w:p w14:paraId="568B99AC" w14:textId="07C64150"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-15.919</w:t>
            </w:r>
          </w:p>
        </w:tc>
        <w:tc>
          <w:tcPr>
            <w:tcW w:w="1380" w:type="dxa"/>
            <w:tcBorders>
              <w:top w:val="nil"/>
              <w:left w:val="nil"/>
              <w:bottom w:val="nil"/>
              <w:right w:val="single" w:sz="4" w:space="0" w:color="auto"/>
            </w:tcBorders>
            <w:shd w:val="clear" w:color="auto" w:fill="auto"/>
            <w:noWrap/>
            <w:vAlign w:val="bottom"/>
            <w:hideMark/>
          </w:tcPr>
          <w:p w14:paraId="449338EC"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-2.97</w:t>
            </w:r>
          </w:p>
        </w:tc>
        <w:tc>
          <w:tcPr>
            <w:tcW w:w="1560" w:type="dxa"/>
            <w:tcBorders>
              <w:top w:val="nil"/>
              <w:left w:val="nil"/>
              <w:bottom w:val="nil"/>
              <w:right w:val="single" w:sz="4" w:space="0" w:color="auto"/>
            </w:tcBorders>
            <w:shd w:val="clear" w:color="auto" w:fill="auto"/>
            <w:noWrap/>
            <w:vAlign w:val="bottom"/>
            <w:hideMark/>
          </w:tcPr>
          <w:p w14:paraId="5EFB7C9D"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0.004</w:t>
            </w:r>
          </w:p>
        </w:tc>
      </w:tr>
      <w:tr w:rsidR="006045FA" w:rsidRPr="00D56157" w14:paraId="6EE89685" w14:textId="77777777" w:rsidTr="00467FD5">
        <w:trPr>
          <w:trHeight w:val="300"/>
        </w:trPr>
        <w:tc>
          <w:tcPr>
            <w:tcW w:w="2340" w:type="dxa"/>
            <w:tcBorders>
              <w:top w:val="nil"/>
              <w:left w:val="single" w:sz="4" w:space="0" w:color="auto"/>
              <w:bottom w:val="nil"/>
              <w:right w:val="single" w:sz="4" w:space="0" w:color="auto"/>
            </w:tcBorders>
            <w:shd w:val="clear" w:color="auto" w:fill="auto"/>
            <w:noWrap/>
            <w:vAlign w:val="bottom"/>
            <w:hideMark/>
          </w:tcPr>
          <w:p w14:paraId="246E27F5"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DUMMY2013</w:t>
            </w:r>
          </w:p>
        </w:tc>
        <w:tc>
          <w:tcPr>
            <w:tcW w:w="1500" w:type="dxa"/>
            <w:tcBorders>
              <w:top w:val="nil"/>
              <w:left w:val="nil"/>
              <w:bottom w:val="nil"/>
              <w:right w:val="single" w:sz="4" w:space="0" w:color="auto"/>
            </w:tcBorders>
            <w:shd w:val="clear" w:color="auto" w:fill="auto"/>
            <w:noWrap/>
            <w:vAlign w:val="bottom"/>
            <w:hideMark/>
          </w:tcPr>
          <w:p w14:paraId="30FF9E2C" w14:textId="5BC44452"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-24.681</w:t>
            </w:r>
          </w:p>
        </w:tc>
        <w:tc>
          <w:tcPr>
            <w:tcW w:w="1380" w:type="dxa"/>
            <w:tcBorders>
              <w:top w:val="nil"/>
              <w:left w:val="nil"/>
              <w:bottom w:val="nil"/>
              <w:right w:val="single" w:sz="4" w:space="0" w:color="auto"/>
            </w:tcBorders>
            <w:shd w:val="clear" w:color="auto" w:fill="auto"/>
            <w:noWrap/>
            <w:vAlign w:val="bottom"/>
            <w:hideMark/>
          </w:tcPr>
          <w:p w14:paraId="5963D25A"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-3.94</w:t>
            </w:r>
          </w:p>
        </w:tc>
        <w:tc>
          <w:tcPr>
            <w:tcW w:w="1560" w:type="dxa"/>
            <w:tcBorders>
              <w:top w:val="nil"/>
              <w:left w:val="nil"/>
              <w:bottom w:val="nil"/>
              <w:right w:val="single" w:sz="4" w:space="0" w:color="auto"/>
            </w:tcBorders>
            <w:shd w:val="clear" w:color="auto" w:fill="auto"/>
            <w:noWrap/>
            <w:vAlign w:val="bottom"/>
            <w:hideMark/>
          </w:tcPr>
          <w:p w14:paraId="6589B4C3"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w:t>
            </w:r>
          </w:p>
        </w:tc>
      </w:tr>
      <w:tr w:rsidR="006045FA" w:rsidRPr="00D56157" w14:paraId="3D55696C" w14:textId="77777777" w:rsidTr="00467FD5">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BE36BEB" w14:textId="77777777" w:rsidR="006045FA" w:rsidRPr="00D56157" w:rsidRDefault="006045FA" w:rsidP="00467FD5">
            <w:pPr>
              <w:spacing w:after="0" w:line="240" w:lineRule="auto"/>
              <w:rPr>
                <w:rFonts w:ascii="Calibri" w:eastAsia="Times New Roman" w:hAnsi="Calibri" w:cs="Times New Roman"/>
                <w:color w:val="000000"/>
              </w:rPr>
            </w:pPr>
            <w:r w:rsidRPr="00D56157">
              <w:rPr>
                <w:rFonts w:ascii="Calibri" w:eastAsia="Times New Roman" w:hAnsi="Calibri" w:cs="Times New Roman"/>
                <w:color w:val="000000"/>
              </w:rPr>
              <w:t>DUMMY2014</w:t>
            </w:r>
          </w:p>
        </w:tc>
        <w:tc>
          <w:tcPr>
            <w:tcW w:w="1500" w:type="dxa"/>
            <w:tcBorders>
              <w:top w:val="nil"/>
              <w:left w:val="nil"/>
              <w:bottom w:val="single" w:sz="4" w:space="0" w:color="auto"/>
              <w:right w:val="single" w:sz="4" w:space="0" w:color="auto"/>
            </w:tcBorders>
            <w:shd w:val="clear" w:color="auto" w:fill="auto"/>
            <w:noWrap/>
            <w:vAlign w:val="bottom"/>
            <w:hideMark/>
          </w:tcPr>
          <w:p w14:paraId="0EAFFD1A" w14:textId="137DE8B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-4.991</w:t>
            </w:r>
          </w:p>
        </w:tc>
        <w:tc>
          <w:tcPr>
            <w:tcW w:w="1380" w:type="dxa"/>
            <w:tcBorders>
              <w:top w:val="nil"/>
              <w:left w:val="nil"/>
              <w:bottom w:val="single" w:sz="4" w:space="0" w:color="auto"/>
              <w:right w:val="single" w:sz="4" w:space="0" w:color="auto"/>
            </w:tcBorders>
            <w:shd w:val="clear" w:color="auto" w:fill="auto"/>
            <w:noWrap/>
            <w:vAlign w:val="bottom"/>
            <w:hideMark/>
          </w:tcPr>
          <w:p w14:paraId="108D8320"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-1.04</w:t>
            </w:r>
          </w:p>
        </w:tc>
        <w:tc>
          <w:tcPr>
            <w:tcW w:w="1560" w:type="dxa"/>
            <w:tcBorders>
              <w:top w:val="nil"/>
              <w:left w:val="nil"/>
              <w:bottom w:val="single" w:sz="4" w:space="0" w:color="auto"/>
              <w:right w:val="single" w:sz="4" w:space="0" w:color="auto"/>
            </w:tcBorders>
            <w:shd w:val="clear" w:color="auto" w:fill="auto"/>
            <w:noWrap/>
            <w:vAlign w:val="bottom"/>
            <w:hideMark/>
          </w:tcPr>
          <w:p w14:paraId="1FEC0A57"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0.303</w:t>
            </w:r>
          </w:p>
        </w:tc>
      </w:tr>
    </w:tbl>
    <w:p w14:paraId="10BA2875" w14:textId="4903FF6A" w:rsidR="006045FA" w:rsidRDefault="006045FA" w:rsidP="006045FA">
      <w:r>
        <w:fldChar w:fldCharType="end"/>
      </w:r>
      <w:r w:rsidRPr="00D711A3">
        <w:rPr>
          <w:sz w:val="20"/>
          <w:szCs w:val="20"/>
        </w:rPr>
        <w:t>Table.</w:t>
      </w:r>
      <w:r w:rsidR="00846500">
        <w:rPr>
          <w:sz w:val="20"/>
          <w:szCs w:val="20"/>
        </w:rPr>
        <w:t>6</w:t>
      </w:r>
      <w:r w:rsidRPr="00D711A3">
        <w:rPr>
          <w:sz w:val="20"/>
          <w:szCs w:val="20"/>
        </w:rPr>
        <w:t xml:space="preserve"> Regression Results</w:t>
      </w:r>
      <w:r>
        <w:fldChar w:fldCharType="begin"/>
      </w:r>
      <w:r>
        <w:instrText xml:space="preserve"> LINK </w:instrText>
      </w:r>
      <w:r w:rsidR="00BA5B6D">
        <w:instrText xml:space="preserve">Excel.Sheet.12 Book1 Sheet1!R1C9:R1C10 </w:instrText>
      </w:r>
      <w:r>
        <w:instrText xml:space="preserve">\a \f 4 \h </w:instrText>
      </w:r>
      <w:r>
        <w:fldChar w:fldCharType="separate"/>
      </w:r>
    </w:p>
    <w:tbl>
      <w:tblPr>
        <w:tblW w:w="4280" w:type="dxa"/>
        <w:tblLook w:val="04A0" w:firstRow="1" w:lastRow="0" w:firstColumn="1" w:lastColumn="0" w:noHBand="0" w:noVBand="1"/>
      </w:tblPr>
      <w:tblGrid>
        <w:gridCol w:w="1980"/>
        <w:gridCol w:w="2300"/>
      </w:tblGrid>
      <w:tr w:rsidR="006045FA" w:rsidRPr="00D56157" w14:paraId="041C7AC5" w14:textId="77777777" w:rsidTr="00467FD5">
        <w:trPr>
          <w:trHeight w:val="30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AECA46" w14:textId="77777777" w:rsidR="006045FA" w:rsidRPr="00D56157" w:rsidRDefault="006045FA" w:rsidP="00467FD5">
            <w:pPr>
              <w:rPr>
                <w:rFonts w:ascii="Calibri" w:eastAsia="Times New Roman" w:hAnsi="Calibri" w:cs="Times New Roman"/>
                <w:color w:val="000000"/>
              </w:rPr>
            </w:pPr>
            <w:r w:rsidRPr="00D56157">
              <w:rPr>
                <w:rFonts w:ascii="Calibri" w:eastAsia="Times New Roman" w:hAnsi="Calibri" w:cs="Times New Roman"/>
                <w:color w:val="000000"/>
              </w:rPr>
              <w:t>Adjusted R-Squared</w:t>
            </w:r>
          </w:p>
        </w:tc>
        <w:tc>
          <w:tcPr>
            <w:tcW w:w="2300" w:type="dxa"/>
            <w:tcBorders>
              <w:top w:val="single" w:sz="4" w:space="0" w:color="auto"/>
              <w:left w:val="nil"/>
              <w:bottom w:val="single" w:sz="4" w:space="0" w:color="auto"/>
              <w:right w:val="single" w:sz="4" w:space="0" w:color="auto"/>
            </w:tcBorders>
            <w:shd w:val="clear" w:color="auto" w:fill="auto"/>
            <w:noWrap/>
            <w:vAlign w:val="bottom"/>
            <w:hideMark/>
          </w:tcPr>
          <w:p w14:paraId="5C92BAFE" w14:textId="77777777" w:rsidR="006045FA" w:rsidRPr="00D56157" w:rsidRDefault="006045FA" w:rsidP="00467FD5">
            <w:pPr>
              <w:spacing w:after="0" w:line="240" w:lineRule="auto"/>
              <w:jc w:val="right"/>
              <w:rPr>
                <w:rFonts w:ascii="Calibri" w:eastAsia="Times New Roman" w:hAnsi="Calibri" w:cs="Times New Roman"/>
                <w:color w:val="000000"/>
              </w:rPr>
            </w:pPr>
            <w:r w:rsidRPr="00D56157">
              <w:rPr>
                <w:rFonts w:ascii="Calibri" w:eastAsia="Times New Roman" w:hAnsi="Calibri" w:cs="Times New Roman"/>
                <w:color w:val="000000"/>
              </w:rPr>
              <w:t>0.761</w:t>
            </w:r>
          </w:p>
        </w:tc>
      </w:tr>
    </w:tbl>
    <w:p w14:paraId="6FC277F6" w14:textId="5C040194" w:rsidR="00092473" w:rsidRDefault="006045FA" w:rsidP="00192648">
      <w:pPr>
        <w:rPr>
          <w:sz w:val="20"/>
          <w:szCs w:val="20"/>
        </w:rPr>
      </w:pPr>
      <w:r>
        <w:rPr>
          <w:sz w:val="20"/>
          <w:szCs w:val="20"/>
        </w:rPr>
        <w:fldChar w:fldCharType="end"/>
      </w:r>
      <w:r>
        <w:rPr>
          <w:sz w:val="20"/>
          <w:szCs w:val="20"/>
        </w:rPr>
        <w:t>Table.</w:t>
      </w:r>
      <w:r w:rsidR="00846500">
        <w:rPr>
          <w:sz w:val="20"/>
          <w:szCs w:val="20"/>
        </w:rPr>
        <w:t>7</w:t>
      </w:r>
    </w:p>
    <w:p w14:paraId="20BD7C0F" w14:textId="07D1DD87" w:rsidR="008449AA" w:rsidRDefault="008449AA" w:rsidP="00192648">
      <w:pPr>
        <w:rPr>
          <w:sz w:val="20"/>
          <w:szCs w:val="20"/>
        </w:rPr>
      </w:pPr>
    </w:p>
    <w:p w14:paraId="192C442F" w14:textId="44F686E9" w:rsidR="00152361" w:rsidRDefault="00152361" w:rsidP="00192648">
      <w:pPr>
        <w:rPr>
          <w:sz w:val="20"/>
          <w:szCs w:val="20"/>
        </w:rPr>
      </w:pPr>
    </w:p>
    <w:p w14:paraId="40A27DB9" w14:textId="29543059" w:rsidR="00152361" w:rsidRDefault="00152361" w:rsidP="00192648">
      <w:pPr>
        <w:rPr>
          <w:sz w:val="20"/>
          <w:szCs w:val="20"/>
        </w:rPr>
      </w:pPr>
    </w:p>
    <w:p w14:paraId="1DCF9AEE" w14:textId="52CF2E17" w:rsidR="00152361" w:rsidRDefault="00152361" w:rsidP="00192648">
      <w:pPr>
        <w:rPr>
          <w:sz w:val="20"/>
          <w:szCs w:val="20"/>
        </w:rPr>
      </w:pPr>
    </w:p>
    <w:p w14:paraId="7127FF0B" w14:textId="428FAC77" w:rsidR="00152361" w:rsidRDefault="00152361" w:rsidP="00192648">
      <w:pPr>
        <w:rPr>
          <w:sz w:val="20"/>
          <w:szCs w:val="20"/>
        </w:rPr>
      </w:pPr>
    </w:p>
    <w:p w14:paraId="1CD83530" w14:textId="57465509" w:rsidR="00152361" w:rsidRDefault="00152361" w:rsidP="00192648">
      <w:pPr>
        <w:rPr>
          <w:sz w:val="20"/>
          <w:szCs w:val="20"/>
        </w:rPr>
      </w:pPr>
    </w:p>
    <w:p w14:paraId="403931DB" w14:textId="343BEF26" w:rsidR="00152361" w:rsidRDefault="00152361" w:rsidP="00192648">
      <w:pPr>
        <w:rPr>
          <w:sz w:val="20"/>
          <w:szCs w:val="20"/>
        </w:rPr>
      </w:pPr>
    </w:p>
    <w:p w14:paraId="7A5244A4" w14:textId="32F45F6D" w:rsidR="00152361" w:rsidRDefault="00152361" w:rsidP="00192648">
      <w:pPr>
        <w:rPr>
          <w:sz w:val="20"/>
          <w:szCs w:val="20"/>
        </w:rPr>
      </w:pPr>
    </w:p>
    <w:p w14:paraId="63FDB821" w14:textId="3684E905" w:rsidR="00152361" w:rsidRDefault="00152361" w:rsidP="00192648">
      <w:pPr>
        <w:rPr>
          <w:sz w:val="20"/>
          <w:szCs w:val="20"/>
        </w:rPr>
      </w:pPr>
    </w:p>
    <w:p w14:paraId="23EC3F08" w14:textId="15FA2EA9" w:rsidR="00152361" w:rsidRDefault="00152361" w:rsidP="00192648">
      <w:pPr>
        <w:rPr>
          <w:sz w:val="20"/>
          <w:szCs w:val="20"/>
        </w:rPr>
      </w:pPr>
    </w:p>
    <w:p w14:paraId="39DCCDF4" w14:textId="3BB664A1" w:rsidR="00152361" w:rsidRDefault="00152361" w:rsidP="00192648">
      <w:pPr>
        <w:rPr>
          <w:sz w:val="20"/>
          <w:szCs w:val="20"/>
        </w:rPr>
      </w:pPr>
    </w:p>
    <w:p w14:paraId="5F3F53A5" w14:textId="31676F05" w:rsidR="00152361" w:rsidRDefault="00152361" w:rsidP="00192648">
      <w:pPr>
        <w:rPr>
          <w:sz w:val="20"/>
          <w:szCs w:val="20"/>
        </w:rPr>
      </w:pPr>
    </w:p>
    <w:p w14:paraId="681AD760" w14:textId="4E7555E9" w:rsidR="00152361" w:rsidRDefault="00152361" w:rsidP="00192648">
      <w:pPr>
        <w:rPr>
          <w:sz w:val="20"/>
          <w:szCs w:val="20"/>
        </w:rPr>
      </w:pPr>
    </w:p>
    <w:p w14:paraId="066DA1BE" w14:textId="28B4277B" w:rsidR="00152361" w:rsidRDefault="00152361" w:rsidP="00192648">
      <w:pPr>
        <w:rPr>
          <w:sz w:val="20"/>
          <w:szCs w:val="20"/>
        </w:rPr>
      </w:pPr>
    </w:p>
    <w:p w14:paraId="225B69A2" w14:textId="77777777" w:rsidR="00152361" w:rsidRPr="008449AA" w:rsidRDefault="00152361" w:rsidP="00192648">
      <w:pPr>
        <w:rPr>
          <w:sz w:val="20"/>
          <w:szCs w:val="20"/>
        </w:rPr>
      </w:pPr>
    </w:p>
    <w:p w14:paraId="3F261DBE" w14:textId="019A0B54" w:rsidR="00152361" w:rsidRPr="00152361" w:rsidRDefault="00F61040" w:rsidP="00F61040">
      <w:pPr>
        <w:rPr>
          <w:b/>
          <w:bCs/>
          <w:sz w:val="28"/>
          <w:szCs w:val="28"/>
        </w:rPr>
      </w:pPr>
      <w:r>
        <w:rPr>
          <w:b/>
          <w:bCs/>
          <w:sz w:val="28"/>
          <w:szCs w:val="28"/>
        </w:rPr>
        <w:lastRenderedPageBreak/>
        <w:t>6 Conclusion</w:t>
      </w:r>
    </w:p>
    <w:p w14:paraId="5AB25038" w14:textId="77777777" w:rsidR="00BB3AC8" w:rsidRDefault="00F61040" w:rsidP="00132F04">
      <w:pPr>
        <w:spacing w:line="360" w:lineRule="auto"/>
        <w:jc w:val="both"/>
        <w:rPr>
          <w:rFonts w:cstheme="minorHAnsi"/>
        </w:rPr>
      </w:pPr>
      <w:r>
        <w:t xml:space="preserve">The aim of this paper was to find how certain variables may influence the capital structure of SME’s in Europe. Through the course of the years much research has been conducted on this subject, yet most studies were focused on </w:t>
      </w:r>
      <w:r w:rsidR="008449AA">
        <w:t xml:space="preserve">firms </w:t>
      </w:r>
      <w:r>
        <w:t xml:space="preserve">in the United States. </w:t>
      </w:r>
      <w:r w:rsidR="00071CF3">
        <w:rPr>
          <w:rFonts w:cstheme="minorHAnsi"/>
        </w:rPr>
        <w:t xml:space="preserve">This study focuses only on the Small and Medium firms mentioned in table 3. The aggregated data for the 11,720 firms in Europe is used for the period 2009 until 2014. </w:t>
      </w:r>
      <w:r w:rsidR="00071CF3">
        <w:t xml:space="preserve">The research on European countries is very limited. This paper is an attempt to add to the existing pool of literature by analyzing how macro- and aggregated firm specific variables explain capital structure changes using different theories. To answer the research question, 7 hypotheses were formulated. To test these hypotheses data was gathered from the World Databank and </w:t>
      </w:r>
      <w:r w:rsidR="00071CF3">
        <w:rPr>
          <w:bCs/>
        </w:rPr>
        <w:t>from the Survey on Access to Finance of Enterprises.</w:t>
      </w:r>
    </w:p>
    <w:p w14:paraId="63569749" w14:textId="1FE25493" w:rsidR="00071CF3" w:rsidRDefault="00071CF3" w:rsidP="00132F04">
      <w:pPr>
        <w:spacing w:line="360" w:lineRule="auto"/>
        <w:jc w:val="both"/>
        <w:rPr>
          <w:rFonts w:cstheme="minorHAnsi"/>
        </w:rPr>
      </w:pPr>
      <w:r>
        <w:t xml:space="preserve">With the results obtained from testing the hypotheses the research question </w:t>
      </w:r>
      <w:r>
        <w:rPr>
          <w:rFonts w:cstheme="minorHAnsi"/>
          <w:i/>
        </w:rPr>
        <w:t>‘To what extent</w:t>
      </w:r>
      <w:r w:rsidRPr="00C15B29">
        <w:rPr>
          <w:rFonts w:cstheme="minorHAnsi"/>
          <w:i/>
        </w:rPr>
        <w:t xml:space="preserve"> do macroeconomic variables </w:t>
      </w:r>
      <w:r>
        <w:rPr>
          <w:rFonts w:cstheme="minorHAnsi"/>
          <w:i/>
        </w:rPr>
        <w:t xml:space="preserve">and </w:t>
      </w:r>
      <w:r w:rsidR="00132F04">
        <w:rPr>
          <w:rFonts w:cstheme="minorHAnsi"/>
          <w:i/>
        </w:rPr>
        <w:t xml:space="preserve">aggregated firm </w:t>
      </w:r>
      <w:r>
        <w:rPr>
          <w:rFonts w:cstheme="minorHAnsi"/>
          <w:i/>
        </w:rPr>
        <w:t xml:space="preserve">specific variables </w:t>
      </w:r>
      <w:r w:rsidRPr="00C15B29">
        <w:rPr>
          <w:rFonts w:cstheme="minorHAnsi"/>
          <w:i/>
        </w:rPr>
        <w:t>help in explaining the capital structure in small and medium sized businesses in Western Europe’</w:t>
      </w:r>
      <w:r>
        <w:rPr>
          <w:rFonts w:cstheme="minorHAnsi"/>
          <w:i/>
        </w:rPr>
        <w:t xml:space="preserve"> </w:t>
      </w:r>
      <w:r>
        <w:rPr>
          <w:rFonts w:cstheme="minorHAnsi"/>
        </w:rPr>
        <w:t>can be answered.</w:t>
      </w:r>
    </w:p>
    <w:p w14:paraId="373BF4AC" w14:textId="77777777" w:rsidR="00465CC6" w:rsidRDefault="00BB3AC8" w:rsidP="00132F04">
      <w:pPr>
        <w:autoSpaceDE w:val="0"/>
        <w:autoSpaceDN w:val="0"/>
        <w:adjustRightInd w:val="0"/>
        <w:spacing w:line="360" w:lineRule="auto"/>
        <w:jc w:val="both"/>
        <w:rPr>
          <w:rFonts w:cstheme="minorHAnsi"/>
        </w:rPr>
      </w:pPr>
      <w:r>
        <w:rPr>
          <w:rFonts w:cstheme="minorHAnsi"/>
        </w:rPr>
        <w:t xml:space="preserve">The 7 variables which were studied in order to answer the research question were the 4 country specific variables GDP per capita, GDP growth rate, inflation rate, interest rate and the 3 aggregated firm specific variables Turnover, General Economic View and Profitability. The hypotheses constructed were based on theories which were most commonly used to explain the variable in question. </w:t>
      </w:r>
    </w:p>
    <w:p w14:paraId="235428A7" w14:textId="160631C4" w:rsidR="00465CC6" w:rsidRDefault="00721A31" w:rsidP="00132F04">
      <w:pPr>
        <w:autoSpaceDE w:val="0"/>
        <w:autoSpaceDN w:val="0"/>
        <w:adjustRightInd w:val="0"/>
        <w:spacing w:line="360" w:lineRule="auto"/>
        <w:jc w:val="both"/>
      </w:pPr>
      <w:r>
        <w:t>The trade-off theory makes it possible to explain part of the capital structure of SMEs.</w:t>
      </w:r>
      <w:r w:rsidR="004D729D">
        <w:t xml:space="preserve"> Turnover is significant positively related to the total debt ratio, as expected from theory. Interest rate is found to be significant negatively related to the total debt ratio, which was not expected. SMEs use more debt financing, because they receive tax deductions when the interest goes up. This makes i</w:t>
      </w:r>
      <w:r w:rsidR="00ED4E2C">
        <w:t xml:space="preserve">t very attractive to pursue </w:t>
      </w:r>
      <w:r w:rsidR="004D729D">
        <w:t>more external financing. The last variable which can be explained by the trade-off theory is the inflation rate. A negative relation was expected between inflation rate and capital structure, but the results showed a positive relation instead. This variable can be explained by the trade-off theory, even though it was not significant. Deterioration of the real value</w:t>
      </w:r>
      <w:r w:rsidR="00ED4E2C">
        <w:t xml:space="preserve"> leads to repayments being tax deductible, which makes debt more attractive than internal financing.</w:t>
      </w:r>
    </w:p>
    <w:p w14:paraId="4FB6E3B9" w14:textId="4027E580" w:rsidR="00314924" w:rsidRDefault="00ED4E2C" w:rsidP="00132F04">
      <w:pPr>
        <w:autoSpaceDE w:val="0"/>
        <w:autoSpaceDN w:val="0"/>
        <w:adjustRightInd w:val="0"/>
        <w:spacing w:line="360" w:lineRule="auto"/>
        <w:jc w:val="both"/>
        <w:rPr>
          <w:rFonts w:cstheme="minorHAnsi"/>
        </w:rPr>
      </w:pPr>
      <w:r>
        <w:t xml:space="preserve">The pecking order theory also explains the debt policy in SMEs quite well. According to this theory SMEs would prefer internal funds over external funds. Consistent with this theory, GDP growth leads to more borrowing by SMEs. In the short run firms will use internal funds to finance new projects, but will switch to external financing in the long run. This is explained by the fact that SMEs don’t have enough internal </w:t>
      </w:r>
      <w:r>
        <w:lastRenderedPageBreak/>
        <w:t>funds to keep financing new project long term and therefore have to switch to external financing.</w:t>
      </w:r>
      <w:r w:rsidR="00314924">
        <w:t xml:space="preserve"> Another variable which is consistent with the pecking order theory is the variable Profitability. This variable is significant negatively related to capital structure. </w:t>
      </w:r>
      <w:r w:rsidR="00314924">
        <w:rPr>
          <w:rFonts w:cstheme="minorHAnsi"/>
        </w:rPr>
        <w:t xml:space="preserve">Profitable firms generate enough internal funds to finance new projects, and therefore do not depend as much on raising funds via an issue of debt. The variables GDP and General Economic View were expected to be consistent with the trade-off theory, but are explained by the pecking order theory instead. Most countries used in this study belong to the richest countries in the world and may therefore indicate that firms inside these countries have more retained earnings to finance themselves. More retained earnings will lead to SMEs having less need </w:t>
      </w:r>
      <w:r w:rsidR="00F43020">
        <w:rPr>
          <w:rFonts w:cstheme="minorHAnsi"/>
        </w:rPr>
        <w:t>for</w:t>
      </w:r>
      <w:r w:rsidR="00314924">
        <w:rPr>
          <w:rFonts w:cstheme="minorHAnsi"/>
        </w:rPr>
        <w:t xml:space="preserve"> debt finance. The significant positive relation between General Economic View and capital structure can be explained by the fact that most SMEs don’t have enough internal resources to fund themselves</w:t>
      </w:r>
      <w:r w:rsidR="00C007A0">
        <w:rPr>
          <w:rFonts w:cstheme="minorHAnsi"/>
        </w:rPr>
        <w:t>. Therefore, they must seek additional capital to be able to invest in new projects.</w:t>
      </w:r>
      <w:r w:rsidR="00314924">
        <w:rPr>
          <w:rFonts w:cstheme="minorHAnsi"/>
        </w:rPr>
        <w:t xml:space="preserve"> </w:t>
      </w:r>
    </w:p>
    <w:p w14:paraId="533C8F22" w14:textId="7FAD81F1" w:rsidR="00132F04" w:rsidRDefault="00721A31" w:rsidP="00132F04">
      <w:pPr>
        <w:autoSpaceDE w:val="0"/>
        <w:autoSpaceDN w:val="0"/>
        <w:adjustRightInd w:val="0"/>
        <w:spacing w:line="360" w:lineRule="auto"/>
        <w:jc w:val="both"/>
        <w:rPr>
          <w:rFonts w:cstheme="minorHAnsi"/>
        </w:rPr>
      </w:pPr>
      <w:r>
        <w:t>Most of the variables did not show the relationship which was expected, based on the chosen theories. Nevertheless, all but one was strongly significant. Most of the earlier studies only take one theory into account while examining a firms’ capital structure, but this study has shown that both the pecking order theory as well as the trade-off theory needs to be to be taken into account while studying a firms’ capital structure.</w:t>
      </w:r>
      <w:r w:rsidR="00132F04">
        <w:rPr>
          <w:rFonts w:cstheme="minorHAnsi"/>
        </w:rPr>
        <w:t xml:space="preserve"> </w:t>
      </w:r>
      <w:r w:rsidR="00132F04">
        <w:t>F</w:t>
      </w:r>
      <w:r w:rsidR="00465CC6">
        <w:t>urthermore, t</w:t>
      </w:r>
      <w:r w:rsidR="00F61040">
        <w:t xml:space="preserve">he results obtained in this study have shown that macroeconomic and </w:t>
      </w:r>
      <w:r w:rsidR="00465CC6">
        <w:t xml:space="preserve">aggregated </w:t>
      </w:r>
      <w:r w:rsidR="00F61040">
        <w:t xml:space="preserve">firm specific variables are an important aspect in explaining SME’s capital structure and cannot be neglected. </w:t>
      </w:r>
    </w:p>
    <w:p w14:paraId="79F89B57" w14:textId="74B6D99A" w:rsidR="00F40A06" w:rsidRDefault="00F61040" w:rsidP="00132F04">
      <w:pPr>
        <w:spacing w:line="360" w:lineRule="auto"/>
        <w:jc w:val="both"/>
      </w:pPr>
      <w:r>
        <w:t xml:space="preserve">The main downfall of this study is the narrow timeframe which was used. Further research could benefit from choosing a longer period of time in order to study these determinants, and their effect on capital structure, better. This study was also not sufficient enough to make a statement on which of the two used theories are better in explaining the capital structure of SME’s. It is an attempt to identify relationships between certain determinants and </w:t>
      </w:r>
      <w:r w:rsidR="002C5CB3">
        <w:t>leverage</w:t>
      </w:r>
      <w:r>
        <w:t xml:space="preserve">. </w:t>
      </w:r>
      <w:r w:rsidR="002C5CB3">
        <w:t>Future studies may want to use both theories to examine the variables which affect the capital structure of SMEs.</w:t>
      </w:r>
    </w:p>
    <w:p w14:paraId="452CC9BE" w14:textId="1B8AC9AD" w:rsidR="00F40A06" w:rsidRDefault="00F40A06" w:rsidP="00F40A06">
      <w:pPr>
        <w:autoSpaceDE w:val="0"/>
        <w:autoSpaceDN w:val="0"/>
        <w:adjustRightInd w:val="0"/>
        <w:spacing w:after="0" w:line="240" w:lineRule="auto"/>
      </w:pPr>
    </w:p>
    <w:p w14:paraId="3667A64C" w14:textId="5D634D79" w:rsidR="006C5E3C" w:rsidRDefault="006C5E3C" w:rsidP="00F40A06">
      <w:pPr>
        <w:autoSpaceDE w:val="0"/>
        <w:autoSpaceDN w:val="0"/>
        <w:adjustRightInd w:val="0"/>
        <w:spacing w:after="0" w:line="240" w:lineRule="auto"/>
      </w:pPr>
    </w:p>
    <w:p w14:paraId="459FF88B" w14:textId="77777777" w:rsidR="006C5E3C" w:rsidRDefault="006C5E3C" w:rsidP="00F40A06">
      <w:pPr>
        <w:autoSpaceDE w:val="0"/>
        <w:autoSpaceDN w:val="0"/>
        <w:adjustRightInd w:val="0"/>
        <w:spacing w:after="0" w:line="240" w:lineRule="auto"/>
        <w:rPr>
          <w:rFonts w:ascii="TimesNewRomanPSMT" w:hAnsi="TimesNewRomanPSMT" w:cs="TimesNewRomanPSMT"/>
          <w:sz w:val="24"/>
          <w:szCs w:val="24"/>
        </w:rPr>
      </w:pPr>
    </w:p>
    <w:p w14:paraId="5D786AC5" w14:textId="4CDA853D" w:rsidR="008449AA" w:rsidRDefault="008449AA" w:rsidP="00F40A06">
      <w:pPr>
        <w:autoSpaceDE w:val="0"/>
        <w:autoSpaceDN w:val="0"/>
        <w:adjustRightInd w:val="0"/>
        <w:spacing w:after="0" w:line="240" w:lineRule="auto"/>
        <w:rPr>
          <w:rFonts w:ascii="TimesNewRomanPSMT" w:hAnsi="TimesNewRomanPSMT" w:cs="TimesNewRomanPSMT"/>
          <w:sz w:val="24"/>
          <w:szCs w:val="24"/>
        </w:rPr>
      </w:pPr>
    </w:p>
    <w:p w14:paraId="76364508" w14:textId="33369144" w:rsidR="00132F04" w:rsidRDefault="00132F04" w:rsidP="00F40A06">
      <w:pPr>
        <w:autoSpaceDE w:val="0"/>
        <w:autoSpaceDN w:val="0"/>
        <w:adjustRightInd w:val="0"/>
        <w:spacing w:after="0" w:line="240" w:lineRule="auto"/>
        <w:rPr>
          <w:rFonts w:ascii="TimesNewRomanPSMT" w:hAnsi="TimesNewRomanPSMT" w:cs="TimesNewRomanPSMT"/>
          <w:sz w:val="24"/>
          <w:szCs w:val="24"/>
        </w:rPr>
      </w:pPr>
    </w:p>
    <w:p w14:paraId="4F6FB4D8" w14:textId="77777777" w:rsidR="00132F04" w:rsidRDefault="00132F04" w:rsidP="00F40A06">
      <w:pPr>
        <w:autoSpaceDE w:val="0"/>
        <w:autoSpaceDN w:val="0"/>
        <w:adjustRightInd w:val="0"/>
        <w:spacing w:after="0" w:line="240" w:lineRule="auto"/>
        <w:rPr>
          <w:rFonts w:ascii="TimesNewRomanPSMT" w:hAnsi="TimesNewRomanPSMT" w:cs="TimesNewRomanPSMT"/>
          <w:sz w:val="24"/>
          <w:szCs w:val="24"/>
        </w:rPr>
      </w:pPr>
    </w:p>
    <w:p w14:paraId="0728B3FD" w14:textId="19154696" w:rsidR="006C5E3C" w:rsidRDefault="006C5E3C" w:rsidP="00F40A06">
      <w:pPr>
        <w:autoSpaceDE w:val="0"/>
        <w:autoSpaceDN w:val="0"/>
        <w:adjustRightInd w:val="0"/>
        <w:spacing w:after="0" w:line="240" w:lineRule="auto"/>
        <w:rPr>
          <w:rFonts w:ascii="TimesNewRomanPSMT" w:hAnsi="TimesNewRomanPSMT" w:cs="TimesNewRomanPSMT"/>
          <w:sz w:val="24"/>
          <w:szCs w:val="24"/>
        </w:rPr>
      </w:pPr>
    </w:p>
    <w:p w14:paraId="4B341D56" w14:textId="34E7423F" w:rsidR="002C5CB3" w:rsidRDefault="002C5CB3" w:rsidP="00F40A06">
      <w:pPr>
        <w:autoSpaceDE w:val="0"/>
        <w:autoSpaceDN w:val="0"/>
        <w:adjustRightInd w:val="0"/>
        <w:spacing w:after="0" w:line="240" w:lineRule="auto"/>
        <w:rPr>
          <w:rFonts w:ascii="TimesNewRomanPSMT" w:hAnsi="TimesNewRomanPSMT" w:cs="TimesNewRomanPSMT"/>
          <w:sz w:val="24"/>
          <w:szCs w:val="24"/>
        </w:rPr>
      </w:pPr>
    </w:p>
    <w:p w14:paraId="6069D8DC" w14:textId="2D822406" w:rsidR="009073AC" w:rsidRDefault="009073AC" w:rsidP="003746DC">
      <w:pPr>
        <w:spacing w:after="0"/>
        <w:rPr>
          <w:rFonts w:cstheme="minorHAnsi"/>
        </w:rPr>
      </w:pPr>
    </w:p>
    <w:p w14:paraId="093F604B" w14:textId="6D2BD7D4" w:rsidR="006A462A" w:rsidRDefault="006A462A" w:rsidP="006A462A">
      <w:pPr>
        <w:spacing w:after="0"/>
        <w:rPr>
          <w:b/>
          <w:sz w:val="28"/>
          <w:szCs w:val="28"/>
        </w:rPr>
      </w:pPr>
      <w:r w:rsidRPr="00F40A06">
        <w:rPr>
          <w:b/>
          <w:sz w:val="28"/>
          <w:szCs w:val="28"/>
        </w:rPr>
        <w:lastRenderedPageBreak/>
        <w:t xml:space="preserve">7 </w:t>
      </w:r>
      <w:r>
        <w:rPr>
          <w:b/>
          <w:sz w:val="28"/>
          <w:szCs w:val="28"/>
        </w:rPr>
        <w:t>Bibliography</w:t>
      </w:r>
    </w:p>
    <w:p w14:paraId="5F5DC482" w14:textId="3CB6CF42" w:rsidR="006A462A" w:rsidRPr="00F40A06" w:rsidRDefault="006A462A" w:rsidP="006A462A"/>
    <w:p w14:paraId="2B488FF6" w14:textId="1C9F6B0B" w:rsidR="006A462A" w:rsidRDefault="006A462A" w:rsidP="006A462A">
      <w:pPr>
        <w:pStyle w:val="Bibliography"/>
        <w:ind w:left="720" w:hanging="720"/>
        <w:rPr>
          <w:noProof/>
          <w:sz w:val="24"/>
          <w:szCs w:val="24"/>
        </w:rPr>
      </w:pPr>
      <w:r w:rsidRPr="00F40A06">
        <w:rPr>
          <w:rFonts w:cstheme="minorHAnsi"/>
        </w:rPr>
        <w:fldChar w:fldCharType="begin"/>
      </w:r>
      <w:r w:rsidRPr="00F40A06">
        <w:rPr>
          <w:rFonts w:cstheme="minorHAnsi"/>
        </w:rPr>
        <w:instrText xml:space="preserve"> BIBLIOGRAPHY </w:instrText>
      </w:r>
      <w:r w:rsidRPr="00F40A06">
        <w:rPr>
          <w:rFonts w:cstheme="minorHAnsi"/>
        </w:rPr>
        <w:fldChar w:fldCharType="separate"/>
      </w:r>
      <w:r>
        <w:rPr>
          <w:noProof/>
        </w:rPr>
        <w:t xml:space="preserve">Bartholdy , J., &amp; Mateus , C. (2008). </w:t>
      </w:r>
      <w:r>
        <w:rPr>
          <w:i/>
          <w:iCs/>
          <w:noProof/>
        </w:rPr>
        <w:t>Taxes and Corporate Debt Policy: Evidence for Unlisted Firms of Sixteen European Countries.</w:t>
      </w:r>
      <w:r>
        <w:rPr>
          <w:noProof/>
        </w:rPr>
        <w:t xml:space="preserve"> </w:t>
      </w:r>
      <w:r w:rsidR="00FE39EA">
        <w:rPr>
          <w:noProof/>
        </w:rPr>
        <w:t xml:space="preserve">Working Paper, </w:t>
      </w:r>
      <w:r w:rsidR="00066D61">
        <w:rPr>
          <w:noProof/>
        </w:rPr>
        <w:t>University of Aarhus, Denmark</w:t>
      </w:r>
      <w:r w:rsidR="00FE39EA">
        <w:rPr>
          <w:noProof/>
        </w:rPr>
        <w:t>.</w:t>
      </w:r>
    </w:p>
    <w:p w14:paraId="19C796F4" w14:textId="6B5924F5" w:rsidR="006A462A" w:rsidRDefault="006A462A" w:rsidP="006A462A">
      <w:pPr>
        <w:pStyle w:val="Bibliography"/>
        <w:ind w:left="720" w:hanging="720"/>
        <w:rPr>
          <w:noProof/>
        </w:rPr>
      </w:pPr>
      <w:r>
        <w:rPr>
          <w:noProof/>
        </w:rPr>
        <w:t xml:space="preserve">Bas, T., Muradoglu, G., &amp; Phylaktis, K. (2009). </w:t>
      </w:r>
      <w:r>
        <w:rPr>
          <w:i/>
          <w:iCs/>
          <w:noProof/>
        </w:rPr>
        <w:t>Determinants of Capital Structure in Developing Countries.</w:t>
      </w:r>
      <w:r>
        <w:rPr>
          <w:noProof/>
        </w:rPr>
        <w:t xml:space="preserve"> </w:t>
      </w:r>
      <w:r w:rsidR="00F30570">
        <w:rPr>
          <w:noProof/>
        </w:rPr>
        <w:t>Working Pape</w:t>
      </w:r>
      <w:r w:rsidR="00066D61">
        <w:rPr>
          <w:noProof/>
        </w:rPr>
        <w:t>r, Cass business School, London, UK.</w:t>
      </w:r>
    </w:p>
    <w:p w14:paraId="18F6C62A" w14:textId="77777777" w:rsidR="006A462A" w:rsidRDefault="006A462A" w:rsidP="006A462A">
      <w:pPr>
        <w:pStyle w:val="Bibliography"/>
        <w:ind w:left="720" w:hanging="720"/>
        <w:rPr>
          <w:noProof/>
        </w:rPr>
      </w:pPr>
      <w:r>
        <w:rPr>
          <w:noProof/>
        </w:rPr>
        <w:t xml:space="preserve">Bhaskaran, S. (2006). Incremental Innovation and Business Performance: Small and Medium-Size Food Enterprises in a Concentrated Industry Environment. </w:t>
      </w:r>
      <w:r>
        <w:rPr>
          <w:i/>
          <w:iCs/>
          <w:noProof/>
        </w:rPr>
        <w:t>Journal of Small Business Management</w:t>
      </w:r>
      <w:r>
        <w:rPr>
          <w:noProof/>
        </w:rPr>
        <w:t>, 44, 64-80.</w:t>
      </w:r>
    </w:p>
    <w:p w14:paraId="4E1D0396" w14:textId="31CF6979" w:rsidR="006A462A" w:rsidRDefault="006A462A" w:rsidP="006A462A">
      <w:pPr>
        <w:pStyle w:val="Bibliography"/>
        <w:ind w:left="720" w:hanging="720"/>
        <w:rPr>
          <w:noProof/>
        </w:rPr>
      </w:pPr>
      <w:r>
        <w:rPr>
          <w:noProof/>
        </w:rPr>
        <w:t xml:space="preserve">Booth, L., Aivazian, V., Demirguc-Kunt, A., &amp; Maksimovic, V. (2001). Capital Structures in Developing Countries. </w:t>
      </w:r>
      <w:r>
        <w:rPr>
          <w:i/>
          <w:iCs/>
          <w:noProof/>
        </w:rPr>
        <w:t>The Journal of Finance</w:t>
      </w:r>
      <w:r w:rsidR="00F30570">
        <w:rPr>
          <w:noProof/>
        </w:rPr>
        <w:t xml:space="preserve">, </w:t>
      </w:r>
      <w:r>
        <w:rPr>
          <w:noProof/>
        </w:rPr>
        <w:t>56, 87-130.</w:t>
      </w:r>
    </w:p>
    <w:p w14:paraId="4A1F7286" w14:textId="1B8C272E" w:rsidR="006A462A" w:rsidRDefault="006A462A" w:rsidP="006A462A">
      <w:pPr>
        <w:pStyle w:val="Bibliography"/>
        <w:ind w:left="720" w:hanging="720"/>
        <w:rPr>
          <w:noProof/>
        </w:rPr>
      </w:pPr>
      <w:r>
        <w:rPr>
          <w:noProof/>
        </w:rPr>
        <w:t xml:space="preserve">De Jong, A., Kabir, R., &amp; Nguyen, T. (2008). Capital structure around the world: The roles of firm- and country-specific determinants. </w:t>
      </w:r>
      <w:r>
        <w:rPr>
          <w:i/>
          <w:iCs/>
          <w:noProof/>
        </w:rPr>
        <w:t>Journal of Banking &amp; Finance</w:t>
      </w:r>
      <w:r>
        <w:rPr>
          <w:noProof/>
        </w:rPr>
        <w:t>, 32, 1954-1969.</w:t>
      </w:r>
    </w:p>
    <w:p w14:paraId="33796123" w14:textId="69188766" w:rsidR="006A462A" w:rsidRDefault="006A462A" w:rsidP="006A462A">
      <w:pPr>
        <w:pStyle w:val="Bibliography"/>
        <w:ind w:left="720" w:hanging="720"/>
        <w:rPr>
          <w:noProof/>
        </w:rPr>
      </w:pPr>
      <w:r>
        <w:rPr>
          <w:noProof/>
        </w:rPr>
        <w:t xml:space="preserve">DeAngelo, H., &amp; Masulis, R. (1980). Optimal capital structure under corporate and personal taxation. </w:t>
      </w:r>
      <w:r>
        <w:rPr>
          <w:i/>
          <w:iCs/>
          <w:noProof/>
        </w:rPr>
        <w:t>Journal of Financial Economics</w:t>
      </w:r>
      <w:r>
        <w:rPr>
          <w:noProof/>
        </w:rPr>
        <w:t>, 8, 3-29.</w:t>
      </w:r>
    </w:p>
    <w:p w14:paraId="5290491D" w14:textId="01D9975F" w:rsidR="006A462A" w:rsidRDefault="006A462A" w:rsidP="006A462A">
      <w:pPr>
        <w:pStyle w:val="Bibliography"/>
        <w:ind w:left="720" w:hanging="720"/>
        <w:rPr>
          <w:noProof/>
        </w:rPr>
      </w:pPr>
      <w:r>
        <w:rPr>
          <w:noProof/>
        </w:rPr>
        <w:t xml:space="preserve">Deesomsak, R., Paudyal, K., &amp; Pescetto, G. (2004). The determinants of capital structure: evidence from the Asia Pacific region. </w:t>
      </w:r>
      <w:r>
        <w:rPr>
          <w:i/>
          <w:iCs/>
          <w:noProof/>
        </w:rPr>
        <w:t>Journal of Multinational Financial Management</w:t>
      </w:r>
      <w:r>
        <w:rPr>
          <w:noProof/>
        </w:rPr>
        <w:t>, 14, 387-405.</w:t>
      </w:r>
    </w:p>
    <w:p w14:paraId="0451CFBB" w14:textId="3C6C0D6D" w:rsidR="006A462A" w:rsidRDefault="006A462A" w:rsidP="006A462A">
      <w:pPr>
        <w:pStyle w:val="Bibliography"/>
        <w:ind w:left="720" w:hanging="720"/>
        <w:rPr>
          <w:noProof/>
        </w:rPr>
      </w:pPr>
      <w:r>
        <w:rPr>
          <w:noProof/>
        </w:rPr>
        <w:t xml:space="preserve">Devesa, M., &amp; Esteban, L. (2008). La Identification de Conglomerados en el Sector Hotelero Espanol a partir de la estructura financiera. </w:t>
      </w:r>
      <w:r>
        <w:rPr>
          <w:i/>
          <w:iCs/>
          <w:noProof/>
        </w:rPr>
        <w:t>Cuadernos de Turismo</w:t>
      </w:r>
      <w:r>
        <w:rPr>
          <w:noProof/>
        </w:rPr>
        <w:t>, 21, 239-252.</w:t>
      </w:r>
    </w:p>
    <w:p w14:paraId="519AE584" w14:textId="33F2A40E" w:rsidR="006A462A" w:rsidRDefault="006A462A" w:rsidP="006A462A">
      <w:pPr>
        <w:pStyle w:val="Bibliography"/>
        <w:ind w:left="720" w:hanging="720"/>
        <w:rPr>
          <w:noProof/>
        </w:rPr>
      </w:pPr>
      <w:r>
        <w:rPr>
          <w:noProof/>
        </w:rPr>
        <w:t xml:space="preserve">Fama, E., &amp; French, K. (2000). Forecasting Profitability and Earnings. </w:t>
      </w:r>
      <w:r>
        <w:rPr>
          <w:i/>
          <w:iCs/>
          <w:noProof/>
        </w:rPr>
        <w:t>The Journal of Business</w:t>
      </w:r>
      <w:r w:rsidR="00F30570">
        <w:rPr>
          <w:noProof/>
        </w:rPr>
        <w:t xml:space="preserve">, </w:t>
      </w:r>
      <w:r>
        <w:rPr>
          <w:noProof/>
        </w:rPr>
        <w:t>73, 161-175.</w:t>
      </w:r>
    </w:p>
    <w:p w14:paraId="425C7E60" w14:textId="08DC733E" w:rsidR="00EF2B83" w:rsidRPr="00EF2B83" w:rsidRDefault="006A462A" w:rsidP="00D91D53">
      <w:pPr>
        <w:pStyle w:val="Bibliography"/>
        <w:ind w:left="720" w:hanging="720"/>
        <w:rPr>
          <w:noProof/>
        </w:rPr>
      </w:pPr>
      <w:r w:rsidRPr="00EF2B83">
        <w:rPr>
          <w:noProof/>
        </w:rPr>
        <w:t xml:space="preserve">Frank, M., &amp; Goyal, V. (2005). </w:t>
      </w:r>
      <w:r w:rsidRPr="00EF2B83">
        <w:rPr>
          <w:i/>
          <w:noProof/>
        </w:rPr>
        <w:t>Trade-Off and Pecking Order Theories of Debt</w:t>
      </w:r>
      <w:r w:rsidR="00EF2B83" w:rsidRPr="00EF2B83">
        <w:rPr>
          <w:noProof/>
        </w:rPr>
        <w:t xml:space="preserve">. </w:t>
      </w:r>
      <w:r w:rsidR="00EF2B83">
        <w:rPr>
          <w:noProof/>
        </w:rPr>
        <w:t>Working Paper, University of British Columbia, Canada.</w:t>
      </w:r>
    </w:p>
    <w:p w14:paraId="6985F4EE" w14:textId="16DC1E88" w:rsidR="00D91D53" w:rsidRDefault="00D91D53" w:rsidP="00D91D53">
      <w:pPr>
        <w:pStyle w:val="Bibliography"/>
        <w:ind w:left="720" w:hanging="720"/>
        <w:rPr>
          <w:noProof/>
        </w:rPr>
      </w:pPr>
      <w:r>
        <w:rPr>
          <w:noProof/>
        </w:rPr>
        <w:t xml:space="preserve">Grossman, G., &amp; Helpman, E. (1993). Endogenous Innovation in the Theory of Growth. </w:t>
      </w:r>
      <w:r>
        <w:rPr>
          <w:i/>
          <w:iCs/>
          <w:noProof/>
        </w:rPr>
        <w:t>Journal of Economic Perspectives</w:t>
      </w:r>
      <w:r>
        <w:rPr>
          <w:noProof/>
        </w:rPr>
        <w:t>, 8(1), 23-44.</w:t>
      </w:r>
    </w:p>
    <w:p w14:paraId="0E040F00" w14:textId="77777777" w:rsidR="006A462A" w:rsidRDefault="006A462A" w:rsidP="006A462A">
      <w:pPr>
        <w:pStyle w:val="Bibliography"/>
        <w:ind w:left="720" w:hanging="720"/>
        <w:rPr>
          <w:noProof/>
        </w:rPr>
      </w:pPr>
      <w:r>
        <w:rPr>
          <w:noProof/>
        </w:rPr>
        <w:t xml:space="preserve">Houwen, J. (2011). </w:t>
      </w:r>
      <w:r>
        <w:rPr>
          <w:i/>
          <w:iCs/>
          <w:noProof/>
        </w:rPr>
        <w:t xml:space="preserve">The theory of capital structure during the financial crisis </w:t>
      </w:r>
      <w:r>
        <w:rPr>
          <w:noProof/>
        </w:rPr>
        <w:t>(Unpublished Bachelor's thesis). University of Amsterdam, Amsterdam.</w:t>
      </w:r>
    </w:p>
    <w:p w14:paraId="4CC02979" w14:textId="77777777" w:rsidR="006A462A" w:rsidRPr="003746DC" w:rsidRDefault="006A462A" w:rsidP="006A462A">
      <w:pPr>
        <w:pStyle w:val="Bibliography"/>
        <w:ind w:left="720" w:hanging="720"/>
        <w:rPr>
          <w:noProof/>
        </w:rPr>
      </w:pPr>
      <w:r w:rsidRPr="003746DC">
        <w:rPr>
          <w:noProof/>
        </w:rPr>
        <w:t xml:space="preserve">Hutcheson, G., &amp; Sofroniou, N. (1999). The multivariate social scientist: Introductory statistics using generalized linear model. In </w:t>
      </w:r>
      <w:r w:rsidRPr="003746DC">
        <w:rPr>
          <w:i/>
          <w:iCs/>
          <w:noProof/>
        </w:rPr>
        <w:t>The Multivariate Social Scientist.</w:t>
      </w:r>
      <w:r w:rsidRPr="003746DC">
        <w:rPr>
          <w:noProof/>
        </w:rPr>
        <w:t xml:space="preserve"> London: SAGE Publications Ltd.</w:t>
      </w:r>
    </w:p>
    <w:p w14:paraId="0303E2D3" w14:textId="74C00AF1" w:rsidR="006A462A" w:rsidRDefault="006A462A" w:rsidP="006A462A">
      <w:pPr>
        <w:pStyle w:val="Bibliography"/>
        <w:ind w:left="720" w:hanging="720"/>
        <w:rPr>
          <w:noProof/>
        </w:rPr>
      </w:pPr>
      <w:r>
        <w:rPr>
          <w:noProof/>
        </w:rPr>
        <w:t xml:space="preserve">Jalilvand, A., &amp; Harris, R. (1984). Corporate Behavior in Adjusting to Capital Structure and Dividend Targets: An Econometric Study. </w:t>
      </w:r>
      <w:r>
        <w:rPr>
          <w:i/>
          <w:iCs/>
          <w:noProof/>
        </w:rPr>
        <w:t>The Journal of Finance</w:t>
      </w:r>
      <w:r w:rsidR="00F30570">
        <w:rPr>
          <w:noProof/>
        </w:rPr>
        <w:t xml:space="preserve">, </w:t>
      </w:r>
      <w:r>
        <w:rPr>
          <w:noProof/>
        </w:rPr>
        <w:t>39, 127-145.</w:t>
      </w:r>
    </w:p>
    <w:p w14:paraId="4721604A" w14:textId="168FB0D9" w:rsidR="006A462A" w:rsidRDefault="006A462A" w:rsidP="006A462A">
      <w:pPr>
        <w:pStyle w:val="Bibliography"/>
        <w:ind w:left="720" w:hanging="720"/>
        <w:rPr>
          <w:noProof/>
        </w:rPr>
      </w:pPr>
      <w:r>
        <w:rPr>
          <w:noProof/>
        </w:rPr>
        <w:lastRenderedPageBreak/>
        <w:t xml:space="preserve">Jensen, M., &amp; Meckling, W. (1976). Theory of the firm; managerial behaviour, agency costs and ownership structure. </w:t>
      </w:r>
      <w:r>
        <w:rPr>
          <w:i/>
          <w:iCs/>
          <w:noProof/>
        </w:rPr>
        <w:t>Journal of Financial Economics</w:t>
      </w:r>
      <w:r>
        <w:rPr>
          <w:noProof/>
        </w:rPr>
        <w:t>, 3, 305-360.</w:t>
      </w:r>
    </w:p>
    <w:p w14:paraId="6677D418" w14:textId="1490B2DF" w:rsidR="006A462A" w:rsidRDefault="006A462A" w:rsidP="006A462A">
      <w:pPr>
        <w:pStyle w:val="Bibliography"/>
        <w:ind w:left="720" w:hanging="720"/>
        <w:rPr>
          <w:noProof/>
        </w:rPr>
      </w:pPr>
      <w:r>
        <w:rPr>
          <w:noProof/>
        </w:rPr>
        <w:t xml:space="preserve">Jensen, N., &amp; Uhl, F. (2008). </w:t>
      </w:r>
      <w:r>
        <w:rPr>
          <w:i/>
          <w:iCs/>
          <w:noProof/>
        </w:rPr>
        <w:t>Capital Structure in European SMEs. An analysis of firm- and country specific variables</w:t>
      </w:r>
      <w:r w:rsidR="00FA489F">
        <w:rPr>
          <w:i/>
          <w:iCs/>
          <w:noProof/>
        </w:rPr>
        <w:t xml:space="preserve"> </w:t>
      </w:r>
      <w:r w:rsidR="00FA489F" w:rsidRPr="004A0775">
        <w:rPr>
          <w:iCs/>
          <w:noProof/>
        </w:rPr>
        <w:t>(</w:t>
      </w:r>
      <w:r w:rsidR="00FA489F">
        <w:rPr>
          <w:noProof/>
        </w:rPr>
        <w:t>Unpublished Master's thesis).</w:t>
      </w:r>
      <w:r>
        <w:rPr>
          <w:noProof/>
        </w:rPr>
        <w:t xml:space="preserve"> University of A</w:t>
      </w:r>
      <w:r w:rsidR="00F30570">
        <w:rPr>
          <w:noProof/>
        </w:rPr>
        <w:t>arhui</w:t>
      </w:r>
      <w:r w:rsidR="00FA489F">
        <w:rPr>
          <w:noProof/>
        </w:rPr>
        <w:t>s, Denmark</w:t>
      </w:r>
    </w:p>
    <w:p w14:paraId="1E108C11" w14:textId="77777777" w:rsidR="006A462A" w:rsidRDefault="006A462A" w:rsidP="006A462A">
      <w:pPr>
        <w:pStyle w:val="Bibliography"/>
        <w:ind w:left="720" w:hanging="720"/>
        <w:rPr>
          <w:noProof/>
        </w:rPr>
      </w:pPr>
      <w:r>
        <w:rPr>
          <w:noProof/>
        </w:rPr>
        <w:t xml:space="preserve">Jõeveer, K. (2005). </w:t>
      </w:r>
      <w:r>
        <w:rPr>
          <w:i/>
          <w:iCs/>
          <w:noProof/>
        </w:rPr>
        <w:t>What Do We Know about the Capital Structure of Small Firms?</w:t>
      </w:r>
      <w:r>
        <w:rPr>
          <w:noProof/>
        </w:rPr>
        <w:t xml:space="preserve"> Prague: The Center for Economic Research and Graduate Education - Economic Institute.</w:t>
      </w:r>
    </w:p>
    <w:p w14:paraId="7BDA1880" w14:textId="17A28B27" w:rsidR="006A462A" w:rsidRPr="007524AC" w:rsidRDefault="006A462A" w:rsidP="006A462A">
      <w:pPr>
        <w:pStyle w:val="Bibliography"/>
        <w:ind w:left="720" w:hanging="720"/>
        <w:rPr>
          <w:noProof/>
        </w:rPr>
      </w:pPr>
      <w:r w:rsidRPr="007524AC">
        <w:rPr>
          <w:noProof/>
        </w:rPr>
        <w:t xml:space="preserve">Jõeveer, K. (2006). </w:t>
      </w:r>
      <w:r w:rsidRPr="007524AC">
        <w:rPr>
          <w:i/>
          <w:iCs/>
          <w:noProof/>
        </w:rPr>
        <w:t>Sources of Capital Structure: Evidence fr</w:t>
      </w:r>
      <w:r w:rsidR="00C2306E">
        <w:rPr>
          <w:i/>
          <w:iCs/>
          <w:noProof/>
        </w:rPr>
        <w:t xml:space="preserve">om Transition Countries </w:t>
      </w:r>
      <w:r w:rsidR="00C2306E">
        <w:t xml:space="preserve">(No. 2). </w:t>
      </w:r>
      <w:r w:rsidR="007524AC">
        <w:rPr>
          <w:noProof/>
        </w:rPr>
        <w:t>Working Paper</w:t>
      </w:r>
      <w:r w:rsidR="00C2306E">
        <w:rPr>
          <w:noProof/>
        </w:rPr>
        <w:t>,</w:t>
      </w:r>
      <w:r w:rsidR="00E32F76">
        <w:rPr>
          <w:noProof/>
        </w:rPr>
        <w:t xml:space="preserve"> </w:t>
      </w:r>
      <w:r w:rsidR="00E32F76">
        <w:t>Bank of Estonia, Estonia.</w:t>
      </w:r>
    </w:p>
    <w:p w14:paraId="78EAECC5" w14:textId="19DE3906" w:rsidR="006A462A" w:rsidRDefault="006A462A" w:rsidP="006A462A">
      <w:pPr>
        <w:pStyle w:val="Bibliography"/>
        <w:ind w:left="720" w:hanging="720"/>
        <w:rPr>
          <w:noProof/>
        </w:rPr>
      </w:pPr>
      <w:r>
        <w:rPr>
          <w:noProof/>
        </w:rPr>
        <w:t xml:space="preserve">Lopez-Gracia, J., &amp; Mestre-Barbera, R. (2011). Tax effect on Spanish SME optimum debt maturity structure. </w:t>
      </w:r>
      <w:r>
        <w:rPr>
          <w:i/>
          <w:iCs/>
          <w:noProof/>
        </w:rPr>
        <w:t>Journal of Business Research</w:t>
      </w:r>
      <w:r w:rsidR="00FA489F">
        <w:rPr>
          <w:noProof/>
        </w:rPr>
        <w:t xml:space="preserve">, </w:t>
      </w:r>
      <w:r>
        <w:rPr>
          <w:noProof/>
        </w:rPr>
        <w:t>64, 649-655.</w:t>
      </w:r>
    </w:p>
    <w:p w14:paraId="678A2E96" w14:textId="07A78659" w:rsidR="006A462A" w:rsidRDefault="006A462A" w:rsidP="006A462A">
      <w:pPr>
        <w:pStyle w:val="Bibliography"/>
        <w:ind w:left="720" w:hanging="720"/>
        <w:rPr>
          <w:noProof/>
        </w:rPr>
      </w:pPr>
      <w:r>
        <w:rPr>
          <w:noProof/>
        </w:rPr>
        <w:t xml:space="preserve">Maksimovic, V., &amp; Demirgüç-Kunt, A. (1996). Stock Market Development and Financing Choices of Firms. </w:t>
      </w:r>
      <w:r>
        <w:rPr>
          <w:i/>
          <w:iCs/>
          <w:noProof/>
        </w:rPr>
        <w:t>The World Bank Economic Review</w:t>
      </w:r>
      <w:r>
        <w:rPr>
          <w:noProof/>
        </w:rPr>
        <w:t>, 10, 341-369.</w:t>
      </w:r>
    </w:p>
    <w:p w14:paraId="3B2A156C" w14:textId="18FB8177" w:rsidR="006A462A" w:rsidRDefault="006A462A" w:rsidP="006A462A">
      <w:pPr>
        <w:pStyle w:val="Bibliography"/>
        <w:ind w:left="720" w:hanging="720"/>
        <w:rPr>
          <w:noProof/>
        </w:rPr>
      </w:pPr>
      <w:r>
        <w:rPr>
          <w:noProof/>
        </w:rPr>
        <w:t xml:space="preserve">Modigliani, F., &amp; Miller, M. (1958). The Cost of Capital, Corporation Finance and the Theory of Investment . </w:t>
      </w:r>
      <w:r>
        <w:rPr>
          <w:i/>
          <w:iCs/>
          <w:noProof/>
        </w:rPr>
        <w:t>The American Economic Review</w:t>
      </w:r>
      <w:r>
        <w:rPr>
          <w:noProof/>
        </w:rPr>
        <w:t>, 48, 261-297.</w:t>
      </w:r>
    </w:p>
    <w:p w14:paraId="58849D69" w14:textId="516F844A" w:rsidR="006A462A" w:rsidRDefault="006A462A" w:rsidP="006A462A">
      <w:pPr>
        <w:pStyle w:val="Bibliography"/>
        <w:ind w:left="720" w:hanging="720"/>
        <w:rPr>
          <w:noProof/>
        </w:rPr>
      </w:pPr>
      <w:r>
        <w:rPr>
          <w:noProof/>
        </w:rPr>
        <w:t xml:space="preserve">Modigliani, F., &amp; Miller, M. (1963). Corporate Income Taxes and the Cost of Capital: A Correction. </w:t>
      </w:r>
      <w:r>
        <w:rPr>
          <w:i/>
          <w:iCs/>
          <w:noProof/>
        </w:rPr>
        <w:t>The American Economic Review</w:t>
      </w:r>
      <w:r>
        <w:rPr>
          <w:noProof/>
        </w:rPr>
        <w:t>, 53, 433-443.</w:t>
      </w:r>
    </w:p>
    <w:p w14:paraId="7297A26D" w14:textId="4E997461" w:rsidR="006A462A" w:rsidRDefault="006A462A" w:rsidP="006A462A">
      <w:pPr>
        <w:pStyle w:val="Bibliography"/>
        <w:ind w:left="720" w:hanging="720"/>
        <w:rPr>
          <w:noProof/>
        </w:rPr>
      </w:pPr>
      <w:r>
        <w:rPr>
          <w:noProof/>
        </w:rPr>
        <w:t xml:space="preserve">Myers, S. (1977). Determinants of corporate borrowing. </w:t>
      </w:r>
      <w:r>
        <w:rPr>
          <w:i/>
          <w:iCs/>
          <w:noProof/>
        </w:rPr>
        <w:t>Journal of Financial Economics</w:t>
      </w:r>
      <w:r>
        <w:rPr>
          <w:noProof/>
        </w:rPr>
        <w:t>, 5, 147-175.</w:t>
      </w:r>
    </w:p>
    <w:p w14:paraId="3E3F3545" w14:textId="5305262B" w:rsidR="006A462A" w:rsidRDefault="006A462A" w:rsidP="006A462A">
      <w:pPr>
        <w:pStyle w:val="Bibliography"/>
        <w:ind w:left="720" w:hanging="720"/>
        <w:rPr>
          <w:noProof/>
        </w:rPr>
      </w:pPr>
      <w:r>
        <w:rPr>
          <w:noProof/>
        </w:rPr>
        <w:t xml:space="preserve">Myers, S. (2001). Capital Structure. </w:t>
      </w:r>
      <w:r>
        <w:rPr>
          <w:i/>
          <w:iCs/>
          <w:noProof/>
        </w:rPr>
        <w:t>The Journal of Economic Perspectives</w:t>
      </w:r>
      <w:r>
        <w:rPr>
          <w:noProof/>
        </w:rPr>
        <w:t>, 15, 81-102.</w:t>
      </w:r>
    </w:p>
    <w:p w14:paraId="19EB73B5" w14:textId="506577F1" w:rsidR="006A462A" w:rsidRDefault="006A462A" w:rsidP="006A462A">
      <w:pPr>
        <w:pStyle w:val="Bibliography"/>
        <w:ind w:left="720" w:hanging="720"/>
        <w:rPr>
          <w:noProof/>
        </w:rPr>
      </w:pPr>
      <w:r>
        <w:rPr>
          <w:noProof/>
        </w:rPr>
        <w:t xml:space="preserve">Myers, S., &amp; Majluf, M. (1984). Corporate financing and investment decisions when firms have information that investors do not have. </w:t>
      </w:r>
      <w:r>
        <w:rPr>
          <w:i/>
          <w:iCs/>
          <w:noProof/>
        </w:rPr>
        <w:t>Journal of Financial Economics</w:t>
      </w:r>
      <w:r>
        <w:rPr>
          <w:noProof/>
        </w:rPr>
        <w:t>, 13, 187-221.</w:t>
      </w:r>
    </w:p>
    <w:p w14:paraId="78C29FD9" w14:textId="511F7177" w:rsidR="006A462A" w:rsidRDefault="006A462A" w:rsidP="006A462A">
      <w:pPr>
        <w:pStyle w:val="Bibliography"/>
        <w:ind w:left="720" w:hanging="720"/>
        <w:rPr>
          <w:noProof/>
        </w:rPr>
      </w:pPr>
      <w:r>
        <w:rPr>
          <w:noProof/>
        </w:rPr>
        <w:t xml:space="preserve">Noguera , J. (2001). Inflation and Capital Structure. </w:t>
      </w:r>
      <w:r>
        <w:rPr>
          <w:i/>
          <w:iCs/>
          <w:noProof/>
        </w:rPr>
        <w:t>Journal of Finance</w:t>
      </w:r>
      <w:r>
        <w:rPr>
          <w:noProof/>
        </w:rPr>
        <w:t>, 50, 320-325.</w:t>
      </w:r>
    </w:p>
    <w:p w14:paraId="5D7B3168" w14:textId="11ABB234" w:rsidR="006A462A" w:rsidRDefault="006A462A" w:rsidP="006A462A">
      <w:pPr>
        <w:pStyle w:val="Bibliography"/>
        <w:ind w:left="720" w:hanging="720"/>
        <w:rPr>
          <w:noProof/>
        </w:rPr>
      </w:pPr>
      <w:r>
        <w:rPr>
          <w:noProof/>
        </w:rPr>
        <w:t xml:space="preserve">Rajan, R., &amp; Zingales, R. (1995). What Do We Know about Capital Structure? Some Evidence from International Data. </w:t>
      </w:r>
      <w:r>
        <w:rPr>
          <w:i/>
          <w:iCs/>
          <w:noProof/>
        </w:rPr>
        <w:t>The Journal of Finance</w:t>
      </w:r>
      <w:r>
        <w:rPr>
          <w:noProof/>
        </w:rPr>
        <w:t>, 50, 1421-1460.</w:t>
      </w:r>
    </w:p>
    <w:p w14:paraId="5A233A12" w14:textId="29EA37F0" w:rsidR="006A462A" w:rsidRDefault="006A462A" w:rsidP="006A462A">
      <w:pPr>
        <w:pStyle w:val="Bibliography"/>
        <w:ind w:left="720" w:hanging="720"/>
        <w:rPr>
          <w:noProof/>
        </w:rPr>
      </w:pPr>
      <w:r>
        <w:rPr>
          <w:noProof/>
        </w:rPr>
        <w:t xml:space="preserve">Sogorb-Mira, F. (2005). How SME Uniqueness Affects Capital Structure: Evidence From A 1994–1998 Spanish Data Panel. </w:t>
      </w:r>
      <w:r>
        <w:rPr>
          <w:i/>
          <w:iCs/>
          <w:noProof/>
        </w:rPr>
        <w:t>Small Business Economics</w:t>
      </w:r>
      <w:r>
        <w:rPr>
          <w:noProof/>
        </w:rPr>
        <w:t>, 25, 447-457.</w:t>
      </w:r>
    </w:p>
    <w:p w14:paraId="1477B5D5" w14:textId="21CC04D9" w:rsidR="006A462A" w:rsidRPr="00E32F76" w:rsidRDefault="006A462A" w:rsidP="00E32F76">
      <w:pPr>
        <w:rPr>
          <w:rFonts w:ascii="Times New Roman" w:eastAsia="Times New Roman" w:hAnsi="Times New Roman" w:cs="Times New Roman"/>
          <w:sz w:val="23"/>
          <w:szCs w:val="23"/>
        </w:rPr>
      </w:pPr>
      <w:r w:rsidRPr="00AF1E7B">
        <w:rPr>
          <w:noProof/>
        </w:rPr>
        <w:t xml:space="preserve">Sulla, V., Sarria-Allende, V., &amp; Klapper, L. (2002). </w:t>
      </w:r>
      <w:r w:rsidRPr="00AF1E7B">
        <w:rPr>
          <w:i/>
          <w:iCs/>
          <w:noProof/>
        </w:rPr>
        <w:t>Small and Medium-Sized Enterprise Financing, in Eastern</w:t>
      </w:r>
      <w:r w:rsidR="00C2306E">
        <w:rPr>
          <w:i/>
          <w:iCs/>
          <w:noProof/>
        </w:rPr>
        <w:t xml:space="preserve"> Europe </w:t>
      </w:r>
      <w:r w:rsidR="00C2306E">
        <w:rPr>
          <w:noProof/>
        </w:rPr>
        <w:t xml:space="preserve">(No. 2933). </w:t>
      </w:r>
      <w:r w:rsidR="00AF1E7B" w:rsidRPr="00AF1E7B">
        <w:rPr>
          <w:noProof/>
        </w:rPr>
        <w:t>Working Paper</w:t>
      </w:r>
      <w:r w:rsidR="00E32F76">
        <w:rPr>
          <w:noProof/>
        </w:rPr>
        <w:t xml:space="preserve">, </w:t>
      </w:r>
      <w:r w:rsidR="00E32F76">
        <w:rPr>
          <w:rFonts w:ascii="Times New Roman" w:eastAsia="Times New Roman" w:hAnsi="Times New Roman" w:cs="Times New Roman"/>
          <w:sz w:val="23"/>
          <w:szCs w:val="23"/>
        </w:rPr>
        <w:t>The World Bank, Washington, DC.</w:t>
      </w:r>
    </w:p>
    <w:p w14:paraId="4F87786E" w14:textId="6815D614" w:rsidR="006A462A" w:rsidRDefault="006A462A" w:rsidP="006A462A">
      <w:pPr>
        <w:pStyle w:val="Bibliography"/>
        <w:ind w:left="720" w:hanging="720"/>
        <w:rPr>
          <w:noProof/>
        </w:rPr>
      </w:pPr>
      <w:r>
        <w:rPr>
          <w:noProof/>
        </w:rPr>
        <w:t xml:space="preserve">Verbeek, M., De Jong, A., &amp; Verwijmeren, P. (2011). Firms’ debt–equity decisions when the static tradeoff theory and the pecking order theory disagree. </w:t>
      </w:r>
      <w:r>
        <w:rPr>
          <w:i/>
          <w:iCs/>
          <w:noProof/>
        </w:rPr>
        <w:t>Journal of Banking and Finance</w:t>
      </w:r>
      <w:r>
        <w:rPr>
          <w:noProof/>
        </w:rPr>
        <w:t>, 35, 1303-1314.</w:t>
      </w:r>
    </w:p>
    <w:p w14:paraId="1B23FBD0" w14:textId="7CEF797C" w:rsidR="006A462A" w:rsidRDefault="006A462A" w:rsidP="006A462A">
      <w:pPr>
        <w:pStyle w:val="Bibliography"/>
        <w:ind w:left="720" w:hanging="720"/>
        <w:rPr>
          <w:noProof/>
        </w:rPr>
      </w:pPr>
      <w:r>
        <w:rPr>
          <w:noProof/>
        </w:rPr>
        <w:lastRenderedPageBreak/>
        <w:t xml:space="preserve">Wald, J. (1999). How firm characteristics affect capital structure: an international comparison. </w:t>
      </w:r>
      <w:r>
        <w:rPr>
          <w:i/>
          <w:iCs/>
          <w:noProof/>
        </w:rPr>
        <w:t>The Journal of Financial Research</w:t>
      </w:r>
      <w:r>
        <w:rPr>
          <w:noProof/>
        </w:rPr>
        <w:t>, 22, 161-187.</w:t>
      </w:r>
    </w:p>
    <w:p w14:paraId="4E802AF6" w14:textId="6FB6C4A6" w:rsidR="006A462A" w:rsidRDefault="006A462A" w:rsidP="006A462A">
      <w:pPr>
        <w:pStyle w:val="Bibliography"/>
        <w:ind w:left="720" w:hanging="720"/>
        <w:rPr>
          <w:noProof/>
        </w:rPr>
      </w:pPr>
      <w:r>
        <w:rPr>
          <w:noProof/>
        </w:rPr>
        <w:t xml:space="preserve">Warner, J., &amp; Gruber, M. (1977). Bankruptcy costs: some evidence. </w:t>
      </w:r>
      <w:r>
        <w:rPr>
          <w:i/>
          <w:iCs/>
          <w:noProof/>
        </w:rPr>
        <w:t>The Journal of Finance</w:t>
      </w:r>
      <w:r>
        <w:rPr>
          <w:noProof/>
        </w:rPr>
        <w:t>, 32, 337, 347.</w:t>
      </w:r>
    </w:p>
    <w:p w14:paraId="2F113FCC" w14:textId="7DB57AD6" w:rsidR="003746DC" w:rsidRPr="009073AC" w:rsidRDefault="006A462A" w:rsidP="003746DC">
      <w:r w:rsidRPr="00F40A06">
        <w:rPr>
          <w:rFonts w:cstheme="minorHAnsi"/>
          <w:b/>
          <w:bCs/>
          <w:noProof/>
        </w:rPr>
        <w:fldChar w:fldCharType="end"/>
      </w:r>
      <w:r w:rsidR="007524AC" w:rsidRPr="007524AC">
        <w:t xml:space="preserve"> </w:t>
      </w:r>
      <w:r w:rsidR="003746DC" w:rsidRPr="009073AC">
        <w:t xml:space="preserve">Central Intelligence Agency (2015). The World Fact Book. Retrieved from </w:t>
      </w:r>
      <w:r w:rsidR="003746DC" w:rsidRPr="00E32F76">
        <w:rPr>
          <w:rFonts w:cstheme="minorHAnsi"/>
        </w:rPr>
        <w:t>https://www.cia.gov/library/publications/the-world-factbook/rankorder/2001rank.html</w:t>
      </w:r>
    </w:p>
    <w:p w14:paraId="42676877" w14:textId="3A799C33" w:rsidR="009073AC" w:rsidRPr="00F40A06" w:rsidRDefault="009073AC" w:rsidP="006A462A">
      <w:pPr>
        <w:rPr>
          <w:rFonts w:cstheme="minorHAnsi"/>
        </w:rPr>
      </w:pPr>
    </w:p>
    <w:sectPr w:rsidR="009073AC" w:rsidRPr="00F40A06" w:rsidSect="00CE1359">
      <w:footerReference w:type="default" r:id="rId1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42C4EC" w14:textId="77777777" w:rsidR="009C30C6" w:rsidRDefault="009C30C6" w:rsidP="00B67A79">
      <w:pPr>
        <w:spacing w:after="0" w:line="240" w:lineRule="auto"/>
      </w:pPr>
      <w:r>
        <w:separator/>
      </w:r>
    </w:p>
  </w:endnote>
  <w:endnote w:type="continuationSeparator" w:id="0">
    <w:p w14:paraId="55736E55" w14:textId="77777777" w:rsidR="009C30C6" w:rsidRDefault="009C30C6" w:rsidP="00B67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Times-Roman">
    <w:panose1 w:val="00000000000000000000"/>
    <w:charset w:val="00"/>
    <w:family w:val="auto"/>
    <w:notTrueType/>
    <w:pitch w:val="default"/>
    <w:sig w:usb0="00000003" w:usb1="00000000" w:usb2="00000000" w:usb3="00000000" w:csb0="00000001" w:csb1="00000000"/>
  </w:font>
  <w:font w:name="TTE17F94D8t00">
    <w:altName w:val="MS Mincho"/>
    <w:panose1 w:val="00000000000000000000"/>
    <w:charset w:val="80"/>
    <w:family w:val="auto"/>
    <w:notTrueType/>
    <w:pitch w:val="default"/>
    <w:sig w:usb0="00000000" w:usb1="08070000" w:usb2="00000010" w:usb3="00000000" w:csb0="00020000" w:csb1="00000000"/>
  </w:font>
  <w:font w:name="TimesNewRomanPSMT">
    <w:altName w:val="MS Mincho"/>
    <w:panose1 w:val="00000000000000000000"/>
    <w:charset w:val="00"/>
    <w:family w:val="roman"/>
    <w:notTrueType/>
    <w:pitch w:val="default"/>
    <w:sig w:usb0="00000000"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401127"/>
      <w:docPartObj>
        <w:docPartGallery w:val="Page Numbers (Bottom of Page)"/>
        <w:docPartUnique/>
      </w:docPartObj>
    </w:sdtPr>
    <w:sdtEndPr>
      <w:rPr>
        <w:noProof/>
      </w:rPr>
    </w:sdtEndPr>
    <w:sdtContent>
      <w:p w14:paraId="6F66E24D" w14:textId="77777777" w:rsidR="00900608" w:rsidRDefault="00900608">
        <w:pPr>
          <w:pStyle w:val="Footer"/>
          <w:jc w:val="right"/>
        </w:pPr>
        <w:r>
          <w:t>1</w:t>
        </w:r>
      </w:p>
    </w:sdtContent>
  </w:sdt>
  <w:p w14:paraId="59049257" w14:textId="77777777" w:rsidR="00900608" w:rsidRDefault="0090060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3873609"/>
      <w:docPartObj>
        <w:docPartGallery w:val="Page Numbers (Bottom of Page)"/>
        <w:docPartUnique/>
      </w:docPartObj>
    </w:sdtPr>
    <w:sdtEndPr>
      <w:rPr>
        <w:noProof/>
      </w:rPr>
    </w:sdtEndPr>
    <w:sdtContent>
      <w:p w14:paraId="00CE1B1A" w14:textId="77777777" w:rsidR="00900608" w:rsidRDefault="00900608">
        <w:pPr>
          <w:pStyle w:val="Footer"/>
          <w:jc w:val="right"/>
        </w:pPr>
        <w:r>
          <w:t>ii</w:t>
        </w:r>
      </w:p>
    </w:sdtContent>
  </w:sdt>
  <w:p w14:paraId="7DF2721C" w14:textId="77777777" w:rsidR="00900608" w:rsidRDefault="0090060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3988123"/>
      <w:docPartObj>
        <w:docPartGallery w:val="Page Numbers (Bottom of Page)"/>
        <w:docPartUnique/>
      </w:docPartObj>
    </w:sdtPr>
    <w:sdtEndPr>
      <w:rPr>
        <w:noProof/>
      </w:rPr>
    </w:sdtEndPr>
    <w:sdtContent>
      <w:p w14:paraId="6A5DADD6" w14:textId="77777777" w:rsidR="00900608" w:rsidRDefault="00900608">
        <w:pPr>
          <w:pStyle w:val="Footer"/>
          <w:jc w:val="right"/>
        </w:pPr>
        <w:r>
          <w:t>iii</w:t>
        </w:r>
      </w:p>
    </w:sdtContent>
  </w:sdt>
  <w:p w14:paraId="26E2EADF" w14:textId="77777777" w:rsidR="00900608" w:rsidRDefault="0090060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942914"/>
      <w:docPartObj>
        <w:docPartGallery w:val="Page Numbers (Bottom of Page)"/>
        <w:docPartUnique/>
      </w:docPartObj>
    </w:sdtPr>
    <w:sdtEndPr>
      <w:rPr>
        <w:noProof/>
      </w:rPr>
    </w:sdtEndPr>
    <w:sdtContent>
      <w:p w14:paraId="7BBB44FD" w14:textId="5B78C69F" w:rsidR="00900608" w:rsidRDefault="00900608">
        <w:pPr>
          <w:pStyle w:val="Footer"/>
          <w:jc w:val="right"/>
        </w:pPr>
        <w:r>
          <w:fldChar w:fldCharType="begin"/>
        </w:r>
        <w:r>
          <w:instrText xml:space="preserve"> PAGE   \* MERGEFORMAT </w:instrText>
        </w:r>
        <w:r>
          <w:fldChar w:fldCharType="separate"/>
        </w:r>
        <w:r w:rsidR="00BA5B6D">
          <w:rPr>
            <w:noProof/>
          </w:rPr>
          <w:t>18</w:t>
        </w:r>
        <w:r>
          <w:rPr>
            <w:noProof/>
          </w:rPr>
          <w:fldChar w:fldCharType="end"/>
        </w:r>
      </w:p>
    </w:sdtContent>
  </w:sdt>
  <w:p w14:paraId="5A52921F" w14:textId="77777777" w:rsidR="00900608" w:rsidRDefault="009006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C38A79" w14:textId="77777777" w:rsidR="009C30C6" w:rsidRDefault="009C30C6" w:rsidP="00B67A79">
      <w:pPr>
        <w:spacing w:after="0" w:line="240" w:lineRule="auto"/>
      </w:pPr>
      <w:r>
        <w:separator/>
      </w:r>
    </w:p>
  </w:footnote>
  <w:footnote w:type="continuationSeparator" w:id="0">
    <w:p w14:paraId="05E0A134" w14:textId="77777777" w:rsidR="009C30C6" w:rsidRDefault="009C30C6" w:rsidP="00B67A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E30241"/>
    <w:multiLevelType w:val="hybridMultilevel"/>
    <w:tmpl w:val="B1CC4EBA"/>
    <w:lvl w:ilvl="0" w:tplc="4B8458F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72C"/>
    <w:rsid w:val="000002F3"/>
    <w:rsid w:val="00005E63"/>
    <w:rsid w:val="00015C7A"/>
    <w:rsid w:val="00027A92"/>
    <w:rsid w:val="00040FDA"/>
    <w:rsid w:val="0005653A"/>
    <w:rsid w:val="00066D61"/>
    <w:rsid w:val="00071CF3"/>
    <w:rsid w:val="00087BB1"/>
    <w:rsid w:val="00092473"/>
    <w:rsid w:val="00095A58"/>
    <w:rsid w:val="000E4FDB"/>
    <w:rsid w:val="000F7CDD"/>
    <w:rsid w:val="00125C4A"/>
    <w:rsid w:val="00132F04"/>
    <w:rsid w:val="00137E31"/>
    <w:rsid w:val="00143340"/>
    <w:rsid w:val="00144852"/>
    <w:rsid w:val="00152361"/>
    <w:rsid w:val="001631FC"/>
    <w:rsid w:val="00166CB2"/>
    <w:rsid w:val="0017092B"/>
    <w:rsid w:val="00192648"/>
    <w:rsid w:val="001B0B80"/>
    <w:rsid w:val="001B7376"/>
    <w:rsid w:val="001B75B7"/>
    <w:rsid w:val="001B7CD7"/>
    <w:rsid w:val="001E7AC4"/>
    <w:rsid w:val="001F6040"/>
    <w:rsid w:val="0020609B"/>
    <w:rsid w:val="00210792"/>
    <w:rsid w:val="0024520F"/>
    <w:rsid w:val="0025770A"/>
    <w:rsid w:val="00270EA2"/>
    <w:rsid w:val="002727E7"/>
    <w:rsid w:val="00282695"/>
    <w:rsid w:val="00287C0B"/>
    <w:rsid w:val="00290755"/>
    <w:rsid w:val="0029459C"/>
    <w:rsid w:val="002A61A6"/>
    <w:rsid w:val="002A7877"/>
    <w:rsid w:val="002C5CB3"/>
    <w:rsid w:val="002D7CE0"/>
    <w:rsid w:val="00305067"/>
    <w:rsid w:val="003130BA"/>
    <w:rsid w:val="00314924"/>
    <w:rsid w:val="00324E7F"/>
    <w:rsid w:val="003414F2"/>
    <w:rsid w:val="003432ED"/>
    <w:rsid w:val="00346E4C"/>
    <w:rsid w:val="00347ED6"/>
    <w:rsid w:val="003746DC"/>
    <w:rsid w:val="003868AC"/>
    <w:rsid w:val="0039126D"/>
    <w:rsid w:val="003A4F03"/>
    <w:rsid w:val="003B467C"/>
    <w:rsid w:val="003B50DF"/>
    <w:rsid w:val="003C2B3C"/>
    <w:rsid w:val="003C7CF0"/>
    <w:rsid w:val="003E4D2C"/>
    <w:rsid w:val="003E516B"/>
    <w:rsid w:val="003F0BDA"/>
    <w:rsid w:val="00402038"/>
    <w:rsid w:val="00465CC6"/>
    <w:rsid w:val="004660F9"/>
    <w:rsid w:val="00467FD5"/>
    <w:rsid w:val="004734AF"/>
    <w:rsid w:val="00490B21"/>
    <w:rsid w:val="004910C3"/>
    <w:rsid w:val="004A0775"/>
    <w:rsid w:val="004D729D"/>
    <w:rsid w:val="004E26BD"/>
    <w:rsid w:val="004E3E9B"/>
    <w:rsid w:val="004E762D"/>
    <w:rsid w:val="004F4F77"/>
    <w:rsid w:val="004F625B"/>
    <w:rsid w:val="0058212D"/>
    <w:rsid w:val="005B4E32"/>
    <w:rsid w:val="005F1C29"/>
    <w:rsid w:val="005F3D29"/>
    <w:rsid w:val="006045FA"/>
    <w:rsid w:val="00626901"/>
    <w:rsid w:val="006417E9"/>
    <w:rsid w:val="0064248A"/>
    <w:rsid w:val="006449A9"/>
    <w:rsid w:val="0067687F"/>
    <w:rsid w:val="00685847"/>
    <w:rsid w:val="00694C7D"/>
    <w:rsid w:val="006A23DE"/>
    <w:rsid w:val="006A462A"/>
    <w:rsid w:val="006B0AB6"/>
    <w:rsid w:val="006B60F7"/>
    <w:rsid w:val="006B7EFD"/>
    <w:rsid w:val="006C54A1"/>
    <w:rsid w:val="006C5E3C"/>
    <w:rsid w:val="006E18E4"/>
    <w:rsid w:val="006F3739"/>
    <w:rsid w:val="00721A31"/>
    <w:rsid w:val="00722790"/>
    <w:rsid w:val="00733B71"/>
    <w:rsid w:val="00733B73"/>
    <w:rsid w:val="00740455"/>
    <w:rsid w:val="00742A5D"/>
    <w:rsid w:val="007524AC"/>
    <w:rsid w:val="00754F5C"/>
    <w:rsid w:val="00780ECA"/>
    <w:rsid w:val="007A0697"/>
    <w:rsid w:val="007C6279"/>
    <w:rsid w:val="007C6B36"/>
    <w:rsid w:val="007D64A1"/>
    <w:rsid w:val="00805307"/>
    <w:rsid w:val="00816C4E"/>
    <w:rsid w:val="00817473"/>
    <w:rsid w:val="008449AA"/>
    <w:rsid w:val="00845261"/>
    <w:rsid w:val="00846500"/>
    <w:rsid w:val="00864870"/>
    <w:rsid w:val="008722E1"/>
    <w:rsid w:val="00894CA5"/>
    <w:rsid w:val="008B3BCF"/>
    <w:rsid w:val="008B7593"/>
    <w:rsid w:val="008E0BD1"/>
    <w:rsid w:val="008F21BB"/>
    <w:rsid w:val="00900608"/>
    <w:rsid w:val="009073AC"/>
    <w:rsid w:val="009132A5"/>
    <w:rsid w:val="009576AB"/>
    <w:rsid w:val="00966AD5"/>
    <w:rsid w:val="009A5C95"/>
    <w:rsid w:val="009B5AD6"/>
    <w:rsid w:val="009C30C6"/>
    <w:rsid w:val="009D3BEB"/>
    <w:rsid w:val="009E3AFE"/>
    <w:rsid w:val="009E6D09"/>
    <w:rsid w:val="009F0530"/>
    <w:rsid w:val="00A32DE3"/>
    <w:rsid w:val="00A4008D"/>
    <w:rsid w:val="00A6179A"/>
    <w:rsid w:val="00A91E81"/>
    <w:rsid w:val="00A9595A"/>
    <w:rsid w:val="00AB3AB1"/>
    <w:rsid w:val="00AC3FF2"/>
    <w:rsid w:val="00AC77CF"/>
    <w:rsid w:val="00AD2DD3"/>
    <w:rsid w:val="00AD3B8F"/>
    <w:rsid w:val="00AD5A7D"/>
    <w:rsid w:val="00AE46F6"/>
    <w:rsid w:val="00AF1E7B"/>
    <w:rsid w:val="00B60BA7"/>
    <w:rsid w:val="00B631E9"/>
    <w:rsid w:val="00B67A79"/>
    <w:rsid w:val="00B740E4"/>
    <w:rsid w:val="00B74F13"/>
    <w:rsid w:val="00B763B7"/>
    <w:rsid w:val="00B778A1"/>
    <w:rsid w:val="00BA1A18"/>
    <w:rsid w:val="00BA5B6D"/>
    <w:rsid w:val="00BB3AC8"/>
    <w:rsid w:val="00BB3CA7"/>
    <w:rsid w:val="00BB436B"/>
    <w:rsid w:val="00BD0636"/>
    <w:rsid w:val="00BD07CE"/>
    <w:rsid w:val="00C005BC"/>
    <w:rsid w:val="00C007A0"/>
    <w:rsid w:val="00C00F63"/>
    <w:rsid w:val="00C06659"/>
    <w:rsid w:val="00C17598"/>
    <w:rsid w:val="00C204C8"/>
    <w:rsid w:val="00C2306E"/>
    <w:rsid w:val="00C25357"/>
    <w:rsid w:val="00C36900"/>
    <w:rsid w:val="00C554D7"/>
    <w:rsid w:val="00C73D1A"/>
    <w:rsid w:val="00C75A60"/>
    <w:rsid w:val="00C9757E"/>
    <w:rsid w:val="00CC1A36"/>
    <w:rsid w:val="00CD2B0D"/>
    <w:rsid w:val="00CE1359"/>
    <w:rsid w:val="00D04730"/>
    <w:rsid w:val="00D35A0D"/>
    <w:rsid w:val="00D912B6"/>
    <w:rsid w:val="00D91D53"/>
    <w:rsid w:val="00D95D9A"/>
    <w:rsid w:val="00DA01DE"/>
    <w:rsid w:val="00DC315E"/>
    <w:rsid w:val="00DE6B36"/>
    <w:rsid w:val="00E028A0"/>
    <w:rsid w:val="00E1377A"/>
    <w:rsid w:val="00E23A88"/>
    <w:rsid w:val="00E25021"/>
    <w:rsid w:val="00E32F76"/>
    <w:rsid w:val="00E407EB"/>
    <w:rsid w:val="00E6051D"/>
    <w:rsid w:val="00E63DC5"/>
    <w:rsid w:val="00E77BFD"/>
    <w:rsid w:val="00E83BF9"/>
    <w:rsid w:val="00E91FFA"/>
    <w:rsid w:val="00E9423A"/>
    <w:rsid w:val="00EC00F1"/>
    <w:rsid w:val="00EC453D"/>
    <w:rsid w:val="00EC5342"/>
    <w:rsid w:val="00ED4E2C"/>
    <w:rsid w:val="00ED6BD0"/>
    <w:rsid w:val="00EF2B83"/>
    <w:rsid w:val="00F171F3"/>
    <w:rsid w:val="00F30570"/>
    <w:rsid w:val="00F34C29"/>
    <w:rsid w:val="00F36D84"/>
    <w:rsid w:val="00F40A06"/>
    <w:rsid w:val="00F43020"/>
    <w:rsid w:val="00F5072C"/>
    <w:rsid w:val="00F61040"/>
    <w:rsid w:val="00F70BE0"/>
    <w:rsid w:val="00F719F2"/>
    <w:rsid w:val="00F845EA"/>
    <w:rsid w:val="00FA489F"/>
    <w:rsid w:val="00FB2D68"/>
    <w:rsid w:val="00FC77B7"/>
    <w:rsid w:val="00FE39EA"/>
    <w:rsid w:val="00FE7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1CD699A"/>
  <w15:chartTrackingRefBased/>
  <w15:docId w15:val="{832CD02D-8E4F-46A6-A3E2-56CD6FD79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072C"/>
  </w:style>
  <w:style w:type="paragraph" w:styleId="Heading1">
    <w:name w:val="heading 1"/>
    <w:basedOn w:val="Normal"/>
    <w:next w:val="Normal"/>
    <w:link w:val="Heading1Char"/>
    <w:uiPriority w:val="9"/>
    <w:qFormat/>
    <w:rsid w:val="00F40A0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CC1A3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C1A36"/>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CC1A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660F9"/>
    <w:pPr>
      <w:autoSpaceDE w:val="0"/>
      <w:autoSpaceDN w:val="0"/>
      <w:adjustRightInd w:val="0"/>
      <w:spacing w:after="0" w:line="240" w:lineRule="auto"/>
    </w:pPr>
    <w:rPr>
      <w:rFonts w:ascii="Times New Roman" w:hAnsi="Times New Roman" w:cs="Times New Roman"/>
      <w:color w:val="000000"/>
      <w:sz w:val="24"/>
      <w:szCs w:val="24"/>
    </w:rPr>
  </w:style>
  <w:style w:type="character" w:styleId="SubtleEmphasis">
    <w:name w:val="Subtle Emphasis"/>
    <w:basedOn w:val="DefaultParagraphFont"/>
    <w:uiPriority w:val="19"/>
    <w:qFormat/>
    <w:rsid w:val="00F40A06"/>
    <w:rPr>
      <w:i/>
      <w:iCs/>
      <w:color w:val="404040" w:themeColor="text1" w:themeTint="BF"/>
    </w:rPr>
  </w:style>
  <w:style w:type="character" w:customStyle="1" w:styleId="Heading1Char">
    <w:name w:val="Heading 1 Char"/>
    <w:basedOn w:val="DefaultParagraphFont"/>
    <w:link w:val="Heading1"/>
    <w:uiPriority w:val="9"/>
    <w:rsid w:val="00F40A06"/>
    <w:rPr>
      <w:rFonts w:asciiTheme="majorHAnsi" w:eastAsiaTheme="majorEastAsia" w:hAnsiTheme="majorHAnsi" w:cstheme="majorBidi"/>
      <w:color w:val="365F91" w:themeColor="accent1" w:themeShade="BF"/>
      <w:sz w:val="32"/>
      <w:szCs w:val="32"/>
    </w:rPr>
  </w:style>
  <w:style w:type="paragraph" w:styleId="Bibliography">
    <w:name w:val="Bibliography"/>
    <w:basedOn w:val="Normal"/>
    <w:next w:val="Normal"/>
    <w:uiPriority w:val="37"/>
    <w:unhideWhenUsed/>
    <w:rsid w:val="00F40A06"/>
  </w:style>
  <w:style w:type="paragraph" w:styleId="Header">
    <w:name w:val="header"/>
    <w:basedOn w:val="Normal"/>
    <w:link w:val="HeaderChar"/>
    <w:uiPriority w:val="99"/>
    <w:unhideWhenUsed/>
    <w:rsid w:val="00B67A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7A79"/>
  </w:style>
  <w:style w:type="paragraph" w:styleId="Footer">
    <w:name w:val="footer"/>
    <w:basedOn w:val="Normal"/>
    <w:link w:val="FooterChar"/>
    <w:uiPriority w:val="99"/>
    <w:unhideWhenUsed/>
    <w:rsid w:val="00B67A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7A79"/>
  </w:style>
  <w:style w:type="paragraph" w:styleId="ListParagraph">
    <w:name w:val="List Paragraph"/>
    <w:basedOn w:val="Normal"/>
    <w:uiPriority w:val="34"/>
    <w:qFormat/>
    <w:rsid w:val="00287C0B"/>
    <w:pPr>
      <w:ind w:left="720"/>
      <w:contextualSpacing/>
    </w:pPr>
  </w:style>
  <w:style w:type="paragraph" w:styleId="BalloonText">
    <w:name w:val="Balloon Text"/>
    <w:basedOn w:val="Normal"/>
    <w:link w:val="BalloonTextChar"/>
    <w:uiPriority w:val="99"/>
    <w:semiHidden/>
    <w:unhideWhenUsed/>
    <w:rsid w:val="00287C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7C0B"/>
    <w:rPr>
      <w:rFonts w:ascii="Segoe UI" w:hAnsi="Segoe UI" w:cs="Segoe UI"/>
      <w:sz w:val="18"/>
      <w:szCs w:val="18"/>
    </w:rPr>
  </w:style>
  <w:style w:type="character" w:styleId="CommentReference">
    <w:name w:val="annotation reference"/>
    <w:basedOn w:val="DefaultParagraphFont"/>
    <w:uiPriority w:val="99"/>
    <w:semiHidden/>
    <w:unhideWhenUsed/>
    <w:rsid w:val="009D3BEB"/>
    <w:rPr>
      <w:sz w:val="16"/>
      <w:szCs w:val="16"/>
    </w:rPr>
  </w:style>
  <w:style w:type="paragraph" w:styleId="CommentText">
    <w:name w:val="annotation text"/>
    <w:basedOn w:val="Normal"/>
    <w:link w:val="CommentTextChar"/>
    <w:uiPriority w:val="99"/>
    <w:semiHidden/>
    <w:unhideWhenUsed/>
    <w:rsid w:val="009D3BEB"/>
    <w:pPr>
      <w:spacing w:line="240" w:lineRule="auto"/>
    </w:pPr>
    <w:rPr>
      <w:sz w:val="20"/>
      <w:szCs w:val="20"/>
    </w:rPr>
  </w:style>
  <w:style w:type="character" w:customStyle="1" w:styleId="CommentTextChar">
    <w:name w:val="Comment Text Char"/>
    <w:basedOn w:val="DefaultParagraphFont"/>
    <w:link w:val="CommentText"/>
    <w:uiPriority w:val="99"/>
    <w:semiHidden/>
    <w:rsid w:val="009D3BEB"/>
    <w:rPr>
      <w:sz w:val="20"/>
      <w:szCs w:val="20"/>
    </w:rPr>
  </w:style>
  <w:style w:type="paragraph" w:styleId="CommentSubject">
    <w:name w:val="annotation subject"/>
    <w:basedOn w:val="CommentText"/>
    <w:next w:val="CommentText"/>
    <w:link w:val="CommentSubjectChar"/>
    <w:uiPriority w:val="99"/>
    <w:semiHidden/>
    <w:unhideWhenUsed/>
    <w:rsid w:val="009D3BEB"/>
    <w:rPr>
      <w:b/>
      <w:bCs/>
    </w:rPr>
  </w:style>
  <w:style w:type="character" w:customStyle="1" w:styleId="CommentSubjectChar">
    <w:name w:val="Comment Subject Char"/>
    <w:basedOn w:val="CommentTextChar"/>
    <w:link w:val="CommentSubject"/>
    <w:uiPriority w:val="99"/>
    <w:semiHidden/>
    <w:rsid w:val="009D3BEB"/>
    <w:rPr>
      <w:b/>
      <w:bCs/>
      <w:sz w:val="20"/>
      <w:szCs w:val="20"/>
    </w:rPr>
  </w:style>
  <w:style w:type="character" w:customStyle="1" w:styleId="maintitle">
    <w:name w:val="maintitle"/>
    <w:basedOn w:val="DefaultParagraphFont"/>
    <w:rsid w:val="00015C7A"/>
  </w:style>
  <w:style w:type="character" w:customStyle="1" w:styleId="tgc">
    <w:name w:val="_tgc"/>
    <w:basedOn w:val="DefaultParagraphFont"/>
    <w:rsid w:val="007C6279"/>
  </w:style>
  <w:style w:type="paragraph" w:styleId="Revision">
    <w:name w:val="Revision"/>
    <w:hidden/>
    <w:uiPriority w:val="99"/>
    <w:semiHidden/>
    <w:rsid w:val="008722E1"/>
    <w:pPr>
      <w:spacing w:after="0" w:line="240" w:lineRule="auto"/>
    </w:pPr>
  </w:style>
  <w:style w:type="character" w:styleId="Hyperlink">
    <w:name w:val="Hyperlink"/>
    <w:basedOn w:val="DefaultParagraphFont"/>
    <w:uiPriority w:val="99"/>
    <w:unhideWhenUsed/>
    <w:rsid w:val="009073AC"/>
    <w:rPr>
      <w:color w:val="0000FF" w:themeColor="hyperlink"/>
      <w:u w:val="single"/>
    </w:rPr>
  </w:style>
  <w:style w:type="character" w:customStyle="1" w:styleId="nlmyear">
    <w:name w:val="nlm_year"/>
    <w:basedOn w:val="DefaultParagraphFont"/>
    <w:rsid w:val="00F30570"/>
  </w:style>
  <w:style w:type="character" w:styleId="HTMLCite">
    <w:name w:val="HTML Cite"/>
    <w:basedOn w:val="DefaultParagraphFont"/>
    <w:uiPriority w:val="99"/>
    <w:semiHidden/>
    <w:unhideWhenUsed/>
    <w:rsid w:val="00EF2B83"/>
    <w:rPr>
      <w:i/>
      <w:iCs/>
    </w:rPr>
  </w:style>
  <w:style w:type="character" w:customStyle="1" w:styleId="author">
    <w:name w:val="author"/>
    <w:basedOn w:val="DefaultParagraphFont"/>
    <w:rsid w:val="00EF2B83"/>
  </w:style>
  <w:style w:type="character" w:customStyle="1" w:styleId="pubyear">
    <w:name w:val="pubyear"/>
    <w:basedOn w:val="DefaultParagraphFont"/>
    <w:rsid w:val="00EF2B83"/>
  </w:style>
  <w:style w:type="character" w:customStyle="1" w:styleId="othertitle">
    <w:name w:val="othertitle"/>
    <w:basedOn w:val="DefaultParagraphFont"/>
    <w:rsid w:val="00EF2B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560717">
      <w:bodyDiv w:val="1"/>
      <w:marLeft w:val="0"/>
      <w:marRight w:val="0"/>
      <w:marTop w:val="0"/>
      <w:marBottom w:val="0"/>
      <w:divBdr>
        <w:top w:val="none" w:sz="0" w:space="0" w:color="auto"/>
        <w:left w:val="none" w:sz="0" w:space="0" w:color="auto"/>
        <w:bottom w:val="none" w:sz="0" w:space="0" w:color="auto"/>
        <w:right w:val="none" w:sz="0" w:space="0" w:color="auto"/>
      </w:divBdr>
    </w:div>
    <w:div w:id="228342619">
      <w:bodyDiv w:val="1"/>
      <w:marLeft w:val="0"/>
      <w:marRight w:val="0"/>
      <w:marTop w:val="0"/>
      <w:marBottom w:val="0"/>
      <w:divBdr>
        <w:top w:val="none" w:sz="0" w:space="0" w:color="auto"/>
        <w:left w:val="none" w:sz="0" w:space="0" w:color="auto"/>
        <w:bottom w:val="none" w:sz="0" w:space="0" w:color="auto"/>
        <w:right w:val="none" w:sz="0" w:space="0" w:color="auto"/>
      </w:divBdr>
    </w:div>
    <w:div w:id="412166121">
      <w:bodyDiv w:val="1"/>
      <w:marLeft w:val="0"/>
      <w:marRight w:val="0"/>
      <w:marTop w:val="0"/>
      <w:marBottom w:val="0"/>
      <w:divBdr>
        <w:top w:val="none" w:sz="0" w:space="0" w:color="auto"/>
        <w:left w:val="none" w:sz="0" w:space="0" w:color="auto"/>
        <w:bottom w:val="none" w:sz="0" w:space="0" w:color="auto"/>
        <w:right w:val="none" w:sz="0" w:space="0" w:color="auto"/>
      </w:divBdr>
      <w:divsChild>
        <w:div w:id="505362473">
          <w:marLeft w:val="0"/>
          <w:marRight w:val="0"/>
          <w:marTop w:val="0"/>
          <w:marBottom w:val="0"/>
          <w:divBdr>
            <w:top w:val="none" w:sz="0" w:space="0" w:color="auto"/>
            <w:left w:val="none" w:sz="0" w:space="0" w:color="auto"/>
            <w:bottom w:val="none" w:sz="0" w:space="0" w:color="auto"/>
            <w:right w:val="none" w:sz="0" w:space="0" w:color="auto"/>
          </w:divBdr>
        </w:div>
        <w:div w:id="647126412">
          <w:marLeft w:val="0"/>
          <w:marRight w:val="0"/>
          <w:marTop w:val="0"/>
          <w:marBottom w:val="0"/>
          <w:divBdr>
            <w:top w:val="none" w:sz="0" w:space="0" w:color="auto"/>
            <w:left w:val="none" w:sz="0" w:space="0" w:color="auto"/>
            <w:bottom w:val="none" w:sz="0" w:space="0" w:color="auto"/>
            <w:right w:val="none" w:sz="0" w:space="0" w:color="auto"/>
          </w:divBdr>
        </w:div>
        <w:div w:id="1824616580">
          <w:marLeft w:val="0"/>
          <w:marRight w:val="0"/>
          <w:marTop w:val="0"/>
          <w:marBottom w:val="0"/>
          <w:divBdr>
            <w:top w:val="none" w:sz="0" w:space="0" w:color="auto"/>
            <w:left w:val="none" w:sz="0" w:space="0" w:color="auto"/>
            <w:bottom w:val="none" w:sz="0" w:space="0" w:color="auto"/>
            <w:right w:val="none" w:sz="0" w:space="0" w:color="auto"/>
          </w:divBdr>
        </w:div>
      </w:divsChild>
    </w:div>
    <w:div w:id="428475500">
      <w:bodyDiv w:val="1"/>
      <w:marLeft w:val="0"/>
      <w:marRight w:val="0"/>
      <w:marTop w:val="0"/>
      <w:marBottom w:val="0"/>
      <w:divBdr>
        <w:top w:val="none" w:sz="0" w:space="0" w:color="auto"/>
        <w:left w:val="none" w:sz="0" w:space="0" w:color="auto"/>
        <w:bottom w:val="none" w:sz="0" w:space="0" w:color="auto"/>
        <w:right w:val="none" w:sz="0" w:space="0" w:color="auto"/>
      </w:divBdr>
    </w:div>
    <w:div w:id="512573987">
      <w:bodyDiv w:val="1"/>
      <w:marLeft w:val="0"/>
      <w:marRight w:val="0"/>
      <w:marTop w:val="0"/>
      <w:marBottom w:val="0"/>
      <w:divBdr>
        <w:top w:val="none" w:sz="0" w:space="0" w:color="auto"/>
        <w:left w:val="none" w:sz="0" w:space="0" w:color="auto"/>
        <w:bottom w:val="none" w:sz="0" w:space="0" w:color="auto"/>
        <w:right w:val="none" w:sz="0" w:space="0" w:color="auto"/>
      </w:divBdr>
    </w:div>
    <w:div w:id="590743819">
      <w:bodyDiv w:val="1"/>
      <w:marLeft w:val="0"/>
      <w:marRight w:val="0"/>
      <w:marTop w:val="0"/>
      <w:marBottom w:val="0"/>
      <w:divBdr>
        <w:top w:val="none" w:sz="0" w:space="0" w:color="auto"/>
        <w:left w:val="none" w:sz="0" w:space="0" w:color="auto"/>
        <w:bottom w:val="none" w:sz="0" w:space="0" w:color="auto"/>
        <w:right w:val="none" w:sz="0" w:space="0" w:color="auto"/>
      </w:divBdr>
    </w:div>
    <w:div w:id="847326015">
      <w:bodyDiv w:val="1"/>
      <w:marLeft w:val="0"/>
      <w:marRight w:val="0"/>
      <w:marTop w:val="0"/>
      <w:marBottom w:val="0"/>
      <w:divBdr>
        <w:top w:val="none" w:sz="0" w:space="0" w:color="auto"/>
        <w:left w:val="none" w:sz="0" w:space="0" w:color="auto"/>
        <w:bottom w:val="none" w:sz="0" w:space="0" w:color="auto"/>
        <w:right w:val="none" w:sz="0" w:space="0" w:color="auto"/>
      </w:divBdr>
      <w:divsChild>
        <w:div w:id="2024697621">
          <w:marLeft w:val="0"/>
          <w:marRight w:val="0"/>
          <w:marTop w:val="0"/>
          <w:marBottom w:val="0"/>
          <w:divBdr>
            <w:top w:val="none" w:sz="0" w:space="0" w:color="auto"/>
            <w:left w:val="none" w:sz="0" w:space="0" w:color="auto"/>
            <w:bottom w:val="none" w:sz="0" w:space="0" w:color="auto"/>
            <w:right w:val="none" w:sz="0" w:space="0" w:color="auto"/>
          </w:divBdr>
        </w:div>
        <w:div w:id="720638154">
          <w:marLeft w:val="0"/>
          <w:marRight w:val="0"/>
          <w:marTop w:val="0"/>
          <w:marBottom w:val="0"/>
          <w:divBdr>
            <w:top w:val="none" w:sz="0" w:space="0" w:color="auto"/>
            <w:left w:val="none" w:sz="0" w:space="0" w:color="auto"/>
            <w:bottom w:val="none" w:sz="0" w:space="0" w:color="auto"/>
            <w:right w:val="none" w:sz="0" w:space="0" w:color="auto"/>
          </w:divBdr>
        </w:div>
      </w:divsChild>
    </w:div>
    <w:div w:id="924991784">
      <w:bodyDiv w:val="1"/>
      <w:marLeft w:val="0"/>
      <w:marRight w:val="0"/>
      <w:marTop w:val="0"/>
      <w:marBottom w:val="0"/>
      <w:divBdr>
        <w:top w:val="none" w:sz="0" w:space="0" w:color="auto"/>
        <w:left w:val="none" w:sz="0" w:space="0" w:color="auto"/>
        <w:bottom w:val="none" w:sz="0" w:space="0" w:color="auto"/>
        <w:right w:val="none" w:sz="0" w:space="0" w:color="auto"/>
      </w:divBdr>
    </w:div>
    <w:div w:id="1127622192">
      <w:bodyDiv w:val="1"/>
      <w:marLeft w:val="0"/>
      <w:marRight w:val="0"/>
      <w:marTop w:val="0"/>
      <w:marBottom w:val="0"/>
      <w:divBdr>
        <w:top w:val="none" w:sz="0" w:space="0" w:color="auto"/>
        <w:left w:val="none" w:sz="0" w:space="0" w:color="auto"/>
        <w:bottom w:val="none" w:sz="0" w:space="0" w:color="auto"/>
        <w:right w:val="none" w:sz="0" w:space="0" w:color="auto"/>
      </w:divBdr>
    </w:div>
    <w:div w:id="1186094011">
      <w:bodyDiv w:val="1"/>
      <w:marLeft w:val="0"/>
      <w:marRight w:val="0"/>
      <w:marTop w:val="0"/>
      <w:marBottom w:val="0"/>
      <w:divBdr>
        <w:top w:val="none" w:sz="0" w:space="0" w:color="auto"/>
        <w:left w:val="none" w:sz="0" w:space="0" w:color="auto"/>
        <w:bottom w:val="none" w:sz="0" w:space="0" w:color="auto"/>
        <w:right w:val="none" w:sz="0" w:space="0" w:color="auto"/>
      </w:divBdr>
    </w:div>
    <w:div w:id="1597135714">
      <w:bodyDiv w:val="1"/>
      <w:marLeft w:val="0"/>
      <w:marRight w:val="0"/>
      <w:marTop w:val="0"/>
      <w:marBottom w:val="0"/>
      <w:divBdr>
        <w:top w:val="none" w:sz="0" w:space="0" w:color="auto"/>
        <w:left w:val="none" w:sz="0" w:space="0" w:color="auto"/>
        <w:bottom w:val="none" w:sz="0" w:space="0" w:color="auto"/>
        <w:right w:val="none" w:sz="0" w:space="0" w:color="auto"/>
      </w:divBdr>
    </w:div>
    <w:div w:id="2028290208">
      <w:bodyDiv w:val="1"/>
      <w:marLeft w:val="0"/>
      <w:marRight w:val="0"/>
      <w:marTop w:val="0"/>
      <w:marBottom w:val="0"/>
      <w:divBdr>
        <w:top w:val="none" w:sz="0" w:space="0" w:color="auto"/>
        <w:left w:val="none" w:sz="0" w:space="0" w:color="auto"/>
        <w:bottom w:val="none" w:sz="0" w:space="0" w:color="auto"/>
        <w:right w:val="none" w:sz="0" w:space="0" w:color="auto"/>
      </w:divBdr>
      <w:divsChild>
        <w:div w:id="733818716">
          <w:marLeft w:val="0"/>
          <w:marRight w:val="0"/>
          <w:marTop w:val="0"/>
          <w:marBottom w:val="0"/>
          <w:divBdr>
            <w:top w:val="none" w:sz="0" w:space="0" w:color="auto"/>
            <w:left w:val="none" w:sz="0" w:space="0" w:color="auto"/>
            <w:bottom w:val="none" w:sz="0" w:space="0" w:color="auto"/>
            <w:right w:val="none" w:sz="0" w:space="0" w:color="auto"/>
          </w:divBdr>
        </w:div>
        <w:div w:id="1618482707">
          <w:marLeft w:val="0"/>
          <w:marRight w:val="0"/>
          <w:marTop w:val="0"/>
          <w:marBottom w:val="0"/>
          <w:divBdr>
            <w:top w:val="none" w:sz="0" w:space="0" w:color="auto"/>
            <w:left w:val="none" w:sz="0" w:space="0" w:color="auto"/>
            <w:bottom w:val="none" w:sz="0" w:space="0" w:color="auto"/>
            <w:right w:val="none" w:sz="0" w:space="0" w:color="auto"/>
          </w:divBdr>
        </w:div>
        <w:div w:id="1886142522">
          <w:marLeft w:val="0"/>
          <w:marRight w:val="0"/>
          <w:marTop w:val="0"/>
          <w:marBottom w:val="0"/>
          <w:divBdr>
            <w:top w:val="none" w:sz="0" w:space="0" w:color="auto"/>
            <w:left w:val="none" w:sz="0" w:space="0" w:color="auto"/>
            <w:bottom w:val="none" w:sz="0" w:space="0" w:color="auto"/>
            <w:right w:val="none" w:sz="0" w:space="0" w:color="auto"/>
          </w:divBdr>
        </w:div>
        <w:div w:id="320041505">
          <w:marLeft w:val="0"/>
          <w:marRight w:val="0"/>
          <w:marTop w:val="0"/>
          <w:marBottom w:val="0"/>
          <w:divBdr>
            <w:top w:val="none" w:sz="0" w:space="0" w:color="auto"/>
            <w:left w:val="none" w:sz="0" w:space="0" w:color="auto"/>
            <w:bottom w:val="none" w:sz="0" w:space="0" w:color="auto"/>
            <w:right w:val="none" w:sz="0" w:space="0" w:color="auto"/>
          </w:divBdr>
        </w:div>
      </w:divsChild>
    </w:div>
    <w:div w:id="2082023497">
      <w:bodyDiv w:val="1"/>
      <w:marLeft w:val="0"/>
      <w:marRight w:val="0"/>
      <w:marTop w:val="0"/>
      <w:marBottom w:val="0"/>
      <w:divBdr>
        <w:top w:val="none" w:sz="0" w:space="0" w:color="auto"/>
        <w:left w:val="none" w:sz="0" w:space="0" w:color="auto"/>
        <w:bottom w:val="none" w:sz="0" w:space="0" w:color="auto"/>
        <w:right w:val="none" w:sz="0" w:space="0" w:color="auto"/>
      </w:divBdr>
      <w:divsChild>
        <w:div w:id="2143889272">
          <w:marLeft w:val="0"/>
          <w:marRight w:val="0"/>
          <w:marTop w:val="0"/>
          <w:marBottom w:val="0"/>
          <w:divBdr>
            <w:top w:val="none" w:sz="0" w:space="0" w:color="auto"/>
            <w:left w:val="none" w:sz="0" w:space="0" w:color="auto"/>
            <w:bottom w:val="none" w:sz="0" w:space="0" w:color="auto"/>
            <w:right w:val="none" w:sz="0" w:space="0" w:color="auto"/>
          </w:divBdr>
        </w:div>
        <w:div w:id="9018713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Gro93</b:Tag>
    <b:SourceType>JournalArticle</b:SourceType>
    <b:Guid>{9284B887-AB6A-42C2-B731-4212CB058082}</b:Guid>
    <b:Title>Endogenous Innovation in the Theory of Growth</b:Title>
    <b:JournalName>Journal of Economic Perspectives</b:JournalName>
    <b:Year>1993</b:Year>
    <b:Pages>Volume 8(1), 23-44</b:Pages>
    <b:Author>
      <b:Author>
        <b:NameList>
          <b:Person>
            <b:Last>Grossman</b:Last>
            <b:First>G.M.</b:First>
          </b:Person>
          <b:Person>
            <b:Last>Helpman</b:Last>
            <b:First>E.</b:First>
          </b:Person>
        </b:NameList>
      </b:Author>
    </b:Author>
    <b:RefOrder>1</b:RefOrder>
  </b:Source>
  <b:Source>
    <b:Tag>Jen76</b:Tag>
    <b:SourceType>JournalArticle</b:SourceType>
    <b:Guid>{AC3B35A0-6CB4-4492-9E6A-E6B7DCC43CFC}</b:Guid>
    <b:Title>Theory of the firm; managerial behaviour, agency costs and ownership structure</b:Title>
    <b:JournalName>Journal of Financial Economics</b:JournalName>
    <b:Year>1976</b:Year>
    <b:Pages>Volume 3, 305-360</b:Pages>
    <b:Author>
      <b:Author>
        <b:NameList>
          <b:Person>
            <b:Last>Jensen</b:Last>
            <b:First>M.</b:First>
          </b:Person>
          <b:Person>
            <b:Last>Meckling</b:Last>
            <b:First>W.</b:First>
          </b:Person>
        </b:NameList>
      </b:Author>
    </b:Author>
    <b:RefOrder>2</b:RefOrder>
  </b:Source>
  <b:Source>
    <b:Tag>Mye84</b:Tag>
    <b:SourceType>JournalArticle</b:SourceType>
    <b:Guid>{097458CA-F186-4AC8-833B-A25D9C2D79CA}</b:Guid>
    <b:Title>Corporate financing and investment decisions when firms have information that investors do not have</b:Title>
    <b:JournalName>Journal of Financial Economics</b:JournalName>
    <b:Year>1984</b:Year>
    <b:Pages>Volume 13, 187-221</b:Pages>
    <b:Author>
      <b:Author>
        <b:NameList>
          <b:Person>
            <b:Last>Myers</b:Last>
            <b:First>S.C. </b:First>
          </b:Person>
          <b:Person>
            <b:Last>Majluf</b:Last>
            <b:First>M.S.</b:First>
          </b:Person>
        </b:NameList>
      </b:Author>
    </b:Author>
    <b:RefOrder>3</b:RefOrder>
  </b:Source>
  <b:Source>
    <b:Tag>Mod58</b:Tag>
    <b:SourceType>JournalArticle</b:SourceType>
    <b:Guid>{0E250CFD-F0EF-4D77-8834-098B6938B2D8}</b:Guid>
    <b:Title>The Cost of Capital, Corporation Finance and the Theory of Investment </b:Title>
    <b:JournalName>The American Economic Review</b:JournalName>
    <b:Year>1958</b:Year>
    <b:Pages>Volume 48, 261-297</b:Pages>
    <b:Author>
      <b:Author>
        <b:NameList>
          <b:Person>
            <b:Last>Modigliani</b:Last>
            <b:First>F.</b:First>
          </b:Person>
          <b:Person>
            <b:Last>Miller</b:Last>
            <b:First>M.H.</b:First>
          </b:Person>
        </b:NameList>
      </b:Author>
    </b:Author>
    <b:RefOrder>4</b:RefOrder>
  </b:Source>
  <b:Source>
    <b:Tag>DeA80</b:Tag>
    <b:SourceType>JournalArticle</b:SourceType>
    <b:Guid>{B79CF869-CB27-4696-80AE-71E0F4254AF7}</b:Guid>
    <b:Title>Optimal capital structure under corporate and personal taxation</b:Title>
    <b:JournalName>Journal of Financial Economics</b:JournalName>
    <b:Year>1980</b:Year>
    <b:Pages>Volume 8, 3-29</b:Pages>
    <b:Author>
      <b:Author>
        <b:NameList>
          <b:Person>
            <b:Last>DeAngelo</b:Last>
            <b:First>H.</b:First>
          </b:Person>
          <b:Person>
            <b:Last>Masulis</b:Last>
            <b:First>R.W.</b:First>
          </b:Person>
        </b:NameList>
      </b:Author>
    </b:Author>
    <b:RefOrder>5</b:RefOrder>
  </b:Source>
  <b:Source>
    <b:Tag>Mye01</b:Tag>
    <b:SourceType>JournalArticle</b:SourceType>
    <b:Guid>{9841535C-02AD-467A-BE6C-34D17D572D72}</b:Guid>
    <b:Title>Capital Structure</b:Title>
    <b:JournalName>The Journal of Economic Perspectives</b:JournalName>
    <b:Year>2001</b:Year>
    <b:Pages>Volume 15, 81-102</b:Pages>
    <b:Author>
      <b:Author>
        <b:NameList>
          <b:Person>
            <b:Last>Myers</b:Last>
            <b:First>S.C.</b:First>
          </b:Person>
        </b:NameList>
      </b:Author>
    </b:Author>
    <b:RefOrder>6</b:RefOrder>
  </b:Source>
  <b:Source>
    <b:Tag>Fam00</b:Tag>
    <b:SourceType>JournalArticle</b:SourceType>
    <b:Guid>{72B9268E-33CB-4757-BF0B-EFF95ADCB72C}</b:Guid>
    <b:Title>Forecasting Profitability and Earnings</b:Title>
    <b:Year>2000</b:Year>
    <b:Pages>Volume 73, 161-175</b:Pages>
    <b:JournalName>The Journal of Business</b:JournalName>
    <b:Author>
      <b:Author>
        <b:NameList>
          <b:Person>
            <b:Last>Fama</b:Last>
            <b:First>E.F.</b:First>
          </b:Person>
          <b:Person>
            <b:Last>French</b:Last>
            <b:First>K.R.</b:First>
          </b:Person>
        </b:NameList>
      </b:Author>
    </b:Author>
    <b:RefOrder>7</b:RefOrder>
  </b:Source>
  <b:Source>
    <b:Tag>Lop11</b:Tag>
    <b:SourceType>JournalArticle</b:SourceType>
    <b:Guid>{96AB2EDE-4031-4967-9C6F-DE80E4843F94}</b:Guid>
    <b:Title>Tax effect on Spanish SME optimum debt maturity structure</b:Title>
    <b:JournalName>Journal of Business Research</b:JournalName>
    <b:Year>2011</b:Year>
    <b:Pages>Volume 64, 649-655</b:Pages>
    <b:Author>
      <b:Author>
        <b:NameList>
          <b:Person>
            <b:Last>Lopez-Gracia</b:Last>
            <b:First>J.</b:First>
          </b:Person>
          <b:Person>
            <b:Last>Mestre-Barbera</b:Last>
            <b:First>R.</b:First>
          </b:Person>
        </b:NameList>
      </b:Author>
    </b:Author>
    <b:RefOrder>8</b:RefOrder>
  </b:Source>
  <b:Source>
    <b:Tag>Mod63</b:Tag>
    <b:SourceType>JournalArticle</b:SourceType>
    <b:Guid>{0980884A-27A3-442E-8658-2B8EC48BEF7D}</b:Guid>
    <b:Title>Corporate Income Taxes and the Cost of Capital: A Correction</b:Title>
    <b:JournalName>The American Economic Review</b:JournalName>
    <b:Year>1963</b:Year>
    <b:Pages>Volume 53, 433-443</b:Pages>
    <b:Author>
      <b:Author>
        <b:NameList>
          <b:Person>
            <b:Last>Modigliani</b:Last>
            <b:First>F.</b:First>
          </b:Person>
          <b:Person>
            <b:Last>Miller</b:Last>
            <b:First>M.H.</b:First>
          </b:Person>
        </b:NameList>
      </b:Author>
    </b:Author>
    <b:RefOrder>9</b:RefOrder>
  </b:Source>
  <b:Source>
    <b:Tag>War77</b:Tag>
    <b:SourceType>JournalArticle</b:SourceType>
    <b:Guid>{AA90FE4E-1C6C-4493-BEC1-FFEA70167F9D}</b:Guid>
    <b:Title>Bankruptcy costs: some evidence</b:Title>
    <b:JournalName>The Journal of Finance</b:JournalName>
    <b:Year>1977</b:Year>
    <b:Pages>Volume 32, 337, 347</b:Pages>
    <b:Author>
      <b:Author>
        <b:NameList>
          <b:Person>
            <b:Last>Warner</b:Last>
            <b:First>J.B.</b:First>
          </b:Person>
          <b:Person>
            <b:Last>Gruber</b:Last>
            <b:First>M.J.</b:First>
          </b:Person>
        </b:NameList>
      </b:Author>
    </b:Author>
    <b:RefOrder>10</b:RefOrder>
  </b:Source>
  <b:Source>
    <b:Tag>Jal84</b:Tag>
    <b:SourceType>JournalArticle</b:SourceType>
    <b:Guid>{8126F336-C392-4C48-A14A-4B0C182D236E}</b:Guid>
    <b:Title>Corporate Behavior in Adjusting to Capital Structure and Dividend Targets: An Econometric Study</b:Title>
    <b:JournalName>The Journal of Finance</b:JournalName>
    <b:Year>1984</b:Year>
    <b:Pages>Volume 39, 127-145</b:Pages>
    <b:Author>
      <b:Author>
        <b:NameList>
          <b:Person>
            <b:Last>Jalilvand</b:Last>
            <b:First>A.</b:First>
          </b:Person>
          <b:Person>
            <b:Last>Harris</b:Last>
            <b:First>R.S.</b:First>
          </b:Person>
        </b:NameList>
      </b:Author>
    </b:Author>
    <b:RefOrder>11</b:RefOrder>
  </b:Source>
  <b:Source>
    <b:Tag>Sog05</b:Tag>
    <b:SourceType>JournalArticle</b:SourceType>
    <b:Guid>{3AE1AE4D-4B02-473F-9210-A287BBA1A1B1}</b:Guid>
    <b:Title>How SME Uniqueness Affects Capital Structure: Evidence From A 1994–1998 Spanish Data Panel</b:Title>
    <b:JournalName>Small Business Economics</b:JournalName>
    <b:Year>2005</b:Year>
    <b:Pages>Volume 25, 447-457</b:Pages>
    <b:Author>
      <b:Author>
        <b:NameList>
          <b:Person>
            <b:Last>Sogorb-Mira</b:Last>
            <b:First>F.</b:First>
          </b:Person>
        </b:NameList>
      </b:Author>
    </b:Author>
    <b:RefOrder>12</b:RefOrder>
  </b:Source>
  <b:Source>
    <b:Tag>Jen08</b:Tag>
    <b:SourceType>Report</b:SourceType>
    <b:Guid>{D517C299-C34C-4103-B882-788140B14B9A}</b:Guid>
    <b:Title>Capital Structure in European SMEs. An analysis of firm- and country specific variables</b:Title>
    <b:Year>2008</b:Year>
    <b:Publisher>Aarhus School of Business, University of Aarhuis</b:Publisher>
    <b:Author>
      <b:Author>
        <b:NameList>
          <b:Person>
            <b:Last>Jensen</b:Last>
            <b:First>N.S.</b:First>
          </b:Person>
          <b:Person>
            <b:Last>Uhl</b:Last>
            <b:First>F.T.</b:First>
          </b:Person>
        </b:NameList>
      </b:Author>
    </b:Author>
    <b:RefOrder>13</b:RefOrder>
  </b:Source>
  <b:Source>
    <b:Tag>Raj95</b:Tag>
    <b:SourceType>JournalArticle</b:SourceType>
    <b:Guid>{4955E18B-E1A6-4586-BD98-52214ECC5791}</b:Guid>
    <b:Title>What Do We Know about Capital Structure? Some Evidence from International Data</b:Title>
    <b:Year>1995</b:Year>
    <b:JournalName>The Journal of Finance</b:JournalName>
    <b:Pages>Volume 50, 1421-1460</b:Pages>
    <b:Author>
      <b:Author>
        <b:NameList>
          <b:Person>
            <b:Last>Rajan</b:Last>
            <b:First>R.G.</b:First>
          </b:Person>
          <b:Person>
            <b:Last>Zingales</b:Last>
            <b:First>R.</b:First>
          </b:Person>
        </b:NameList>
      </b:Author>
    </b:Author>
    <b:RefOrder>14</b:RefOrder>
  </b:Source>
  <b:Source>
    <b:Tag>Wal99</b:Tag>
    <b:SourceType>JournalArticle</b:SourceType>
    <b:Guid>{C52393FD-61E0-41D3-9D51-18D107014662}</b:Guid>
    <b:Title>How firm characteristics affect capital structure: an international comparison</b:Title>
    <b:JournalName>The Journal of Financial Research</b:JournalName>
    <b:Year>1999</b:Year>
    <b:Pages>Volume 22, 161-187</b:Pages>
    <b:Author>
      <b:Author>
        <b:NameList>
          <b:Person>
            <b:Last>Wald</b:Last>
            <b:First>J.K.</b:First>
          </b:Person>
        </b:NameList>
      </b:Author>
    </b:Author>
    <b:RefOrder>15</b:RefOrder>
  </b:Source>
  <b:Source>
    <b:Tag>Boo01</b:Tag>
    <b:SourceType>JournalArticle</b:SourceType>
    <b:Guid>{42AF548D-2AD8-4A11-9295-71A1BDA9D78E}</b:Guid>
    <b:Title>Capital Structures in Developing Countries</b:Title>
    <b:Year>2001</b:Year>
    <b:JournalName>The Journal of Finance</b:JournalName>
    <b:Pages>Volume 56, 87-130</b:Pages>
    <b:Author>
      <b:Author>
        <b:NameList>
          <b:Person>
            <b:Last>Booth</b:Last>
            <b:First>L.</b:First>
          </b:Person>
          <b:Person>
            <b:Last>Aivazian</b:Last>
            <b:First>V.</b:First>
          </b:Person>
          <b:Person>
            <b:Last>Demirguc-Kunt</b:Last>
            <b:First>A.</b:First>
          </b:Person>
          <b:Person>
            <b:Last>Maksimovic</b:Last>
            <b:First>V.</b:First>
          </b:Person>
        </b:NameList>
      </b:Author>
    </b:Author>
    <b:RefOrder>16</b:RefOrder>
  </b:Source>
  <b:Source>
    <b:Tag>Jõe05</b:Tag>
    <b:SourceType>Report</b:SourceType>
    <b:Guid>{A6CD6B11-3FFB-4844-BCB0-005E63A4594A}</b:Guid>
    <b:Title>What Do We Know about the Capital Structure of Small Firms?</b:Title>
    <b:Year>2005</b:Year>
    <b:Author>
      <b:Author>
        <b:NameList>
          <b:Person>
            <b:Last>Jõeveer</b:Last>
            <b:First>K.</b:First>
          </b:Person>
        </b:NameList>
      </b:Author>
    </b:Author>
    <b:Publisher>The Center for Economic Research and Graduate Education - Economic Institute</b:Publisher>
    <b:City>Prague</b:City>
    <b:RefOrder>17</b:RefOrder>
  </b:Source>
  <b:Source>
    <b:Tag>Ver11</b:Tag>
    <b:SourceType>JournalArticle</b:SourceType>
    <b:Guid>{787892F7-A45C-4395-90C1-B3CA36BB5AEA}</b:Guid>
    <b:Title>Firms’ debt–equity decisions when the static tradeoff theory and the pecking order theory disagree</b:Title>
    <b:Year>2011</b:Year>
    <b:JournalName>Journal of Banking and Finance</b:JournalName>
    <b:Pages>Volume 35, 1303-1314</b:Pages>
    <b:Author>
      <b:Author>
        <b:NameList>
          <b:Person>
            <b:Last>Verbeek</b:Last>
            <b:First>M.</b:First>
          </b:Person>
          <b:Person>
            <b:Last>De Jong</b:Last>
            <b:First>A.</b:First>
          </b:Person>
          <b:Person>
            <b:Last>Verwijmeren</b:Last>
            <b:First>P.</b:First>
          </b:Person>
        </b:NameList>
      </b:Author>
    </b:Author>
    <b:RefOrder>18</b:RefOrder>
  </b:Source>
  <b:Source>
    <b:Tag>Mak96</b:Tag>
    <b:SourceType>JournalArticle</b:SourceType>
    <b:Guid>{B7D98ADE-02B0-4168-A059-0AEB9F5787AC}</b:Guid>
    <b:Title>Stock Market Development and Financing Choices of Firms</b:Title>
    <b:JournalName>The World Bank Economic Review</b:JournalName>
    <b:Year>1996</b:Year>
    <b:Pages>Volume 10, 341-369</b:Pages>
    <b:Author>
      <b:Author>
        <b:NameList>
          <b:Person>
            <b:Last>Maksimovic</b:Last>
            <b:First>V.</b:First>
          </b:Person>
          <b:Person>
            <b:Last>Demirgüç-Kunt</b:Last>
            <b:First>A.</b:First>
          </b:Person>
        </b:NameList>
      </b:Author>
    </b:Author>
    <b:RefOrder>19</b:RefOrder>
  </b:Source>
  <b:Source>
    <b:Tag>Bar08</b:Tag>
    <b:SourceType>Report</b:SourceType>
    <b:Guid>{4A59552E-98E3-465D-B943-C66B0158336A}</b:Guid>
    <b:Title>Taxes and Corporate Debt Policy: Evidence for Unlisted Firms of Sixteen European Countries</b:Title>
    <b:Year>2008</b:Year>
    <b:Publisher>Working Paper</b:Publisher>
    <b:Author>
      <b:Author>
        <b:NameList>
          <b:Person>
            <b:Last>Bartholdy </b:Last>
            <b:First>J.</b:First>
          </b:Person>
          <b:Person>
            <b:Last>Mateus </b:Last>
            <b:First>C.</b:First>
          </b:Person>
        </b:NameList>
      </b:Author>
    </b:Author>
    <b:RefOrder>20</b:RefOrder>
  </b:Source>
  <b:Source>
    <b:Tag>Jõe06</b:Tag>
    <b:SourceType>Report</b:SourceType>
    <b:Guid>{28946011-5E7F-4CFC-AF4D-86ABA90F478D}</b:Guid>
    <b:Title>Sources of Capital Structure: Evidence from Transition Countries</b:Title>
    <b:Year>2006</b:Year>
    <b:Publisher>Working Paper</b:Publisher>
    <b:Author>
      <b:Author>
        <b:NameList>
          <b:Person>
            <b:Last>Jõeveer</b:Last>
            <b:First>K.</b:First>
          </b:Person>
        </b:NameList>
      </b:Author>
    </b:Author>
    <b:RefOrder>21</b:RefOrder>
  </b:Source>
  <b:Source>
    <b:Tag>Mye77</b:Tag>
    <b:SourceType>JournalArticle</b:SourceType>
    <b:Guid>{E758F473-8457-463E-94EF-4AAA089E5414}</b:Guid>
    <b:Title>Determinants of corporate borrowing</b:Title>
    <b:Year>1977</b:Year>
    <b:JournalName>Journal of Financial Economics</b:JournalName>
    <b:Pages>Volume 5, 147-175</b:Pages>
    <b:Author>
      <b:Author>
        <b:NameList>
          <b:Person>
            <b:Last>Myers</b:Last>
            <b:First>S.C.</b:First>
          </b:Person>
        </b:NameList>
      </b:Author>
    </b:Author>
    <b:RefOrder>22</b:RefOrder>
  </b:Source>
  <b:Source>
    <b:Tag>Hut99</b:Tag>
    <b:SourceType>BookSection</b:SourceType>
    <b:Guid>{801A9869-6125-4AF4-B5D2-659C89B6BEF7}</b:Guid>
    <b:Title>The multivariate social scientist: Introductory statistics using generalized linear model</b:Title>
    <b:Year>1999</b:Year>
    <b:Author>
      <b:Author>
        <b:NameList>
          <b:Person>
            <b:Last>Hutcheson</b:Last>
            <b:First>G.D.</b:First>
          </b:Person>
          <b:Person>
            <b:Last>Sofroniou</b:Last>
            <b:First>N.</b:First>
          </b:Person>
        </b:NameList>
      </b:Author>
    </b:Author>
    <b:BookTitle>The Multivariate Social Scientist</b:BookTitle>
    <b:City>London</b:City>
    <b:Publisher>SAGE Publications Ltd</b:Publisher>
    <b:RefOrder>23</b:RefOrder>
  </b:Source>
  <b:Source>
    <b:Tag>Dee04</b:Tag>
    <b:SourceType>JournalArticle</b:SourceType>
    <b:Guid>{AB53D63C-4A4C-461B-8A37-1B93B60A2AA4}</b:Guid>
    <b:Title>The determinants of capital structure: evidence from the Asia Pacific region</b:Title>
    <b:Year>2004</b:Year>
    <b:Pages>Volume 14, 387-405</b:Pages>
    <b:JournalName>Journal of Multinational Financial Management</b:JournalName>
    <b:Author>
      <b:Author>
        <b:NameList>
          <b:Person>
            <b:Last>Deesomsak</b:Last>
            <b:First>R.</b:First>
          </b:Person>
          <b:Person>
            <b:Last>Paudyal</b:Last>
            <b:First>K.</b:First>
          </b:Person>
          <b:Person>
            <b:Last>Pescetto</b:Last>
            <b:First>G.</b:First>
          </b:Person>
        </b:NameList>
      </b:Author>
    </b:Author>
    <b:RefOrder>24</b:RefOrder>
  </b:Source>
  <b:Source>
    <b:Tag>Nog01</b:Tag>
    <b:SourceType>JournalArticle</b:SourceType>
    <b:Guid>{08F1B280-6BBD-4E22-9F15-A39619161E49}</b:Guid>
    <b:Title>Inflation and Capital Structure</b:Title>
    <b:Year>2001</b:Year>
    <b:Publisher>Working Paper</b:Publisher>
    <b:Author>
      <b:Author>
        <b:NameList>
          <b:Person>
            <b:Last>Noguera </b:Last>
            <b:First>J.</b:First>
          </b:Person>
        </b:NameList>
      </b:Author>
    </b:Author>
    <b:JournalName>Journal of Finance</b:JournalName>
    <b:Pages>Volume 50, 320-325</b:Pages>
    <b:RefOrder>25</b:RefOrder>
  </b:Source>
  <b:Source>
    <b:Tag>DeJ08</b:Tag>
    <b:SourceType>JournalArticle</b:SourceType>
    <b:Guid>{A90A8CB0-6A33-44DD-B3B3-D399356E6901}</b:Guid>
    <b:Title>Capital structure around the world: The roles of firm- and country-specific determinants</b:Title>
    <b:JournalName>Journal of Banking &amp; Finance</b:JournalName>
    <b:Year>2008</b:Year>
    <b:Pages>Volume 32, 1954-1969</b:Pages>
    <b:Author>
      <b:Author>
        <b:NameList>
          <b:Person>
            <b:Last>De Jong</b:Last>
            <b:First>A.</b:First>
          </b:Person>
          <b:Person>
            <b:Last>Kabir</b:Last>
            <b:First>R.</b:First>
          </b:Person>
          <b:Person>
            <b:Last>Nguyen</b:Last>
            <b:First>T.</b:First>
          </b:Person>
        </b:NameList>
      </b:Author>
    </b:Author>
    <b:RefOrder>26</b:RefOrder>
  </b:Source>
  <b:Source>
    <b:Tag>Dev08</b:Tag>
    <b:SourceType>JournalArticle</b:SourceType>
    <b:Guid>{FDEA6C37-4435-4BD6-8657-9B73423C8240}</b:Guid>
    <b:Title>La Identification de Conglomerados en el Sector Hotelero Espanol a partir de la estructura financiera</b:Title>
    <b:JournalName>Cuadernos de Turismo</b:JournalName>
    <b:Year>2008</b:Year>
    <b:Pages>Volume 21, 239-252</b:Pages>
    <b:Author>
      <b:Author>
        <b:NameList>
          <b:Person>
            <b:Last>Devesa</b:Last>
            <b:First>M.J.S.</b:First>
          </b:Person>
          <b:Person>
            <b:Last>Esteban</b:Last>
            <b:First>L.P.</b:First>
          </b:Person>
        </b:NameList>
      </b:Author>
    </b:Author>
    <b:RefOrder>27</b:RefOrder>
  </b:Source>
  <b:Source>
    <b:Tag>Kla02</b:Tag>
    <b:SourceType>Report</b:SourceType>
    <b:Guid>{F9FC2D8E-938E-48B0-AC64-823F473677BA}</b:Guid>
    <b:Title>Small and Medium-Sized Enterprise Financing, in Eastern Europe</b:Title>
    <b:Year>2002</b:Year>
    <b:Author>
      <b:Author>
        <b:NameList>
          <b:Person>
            <b:Last>Sulla</b:Last>
            <b:First>V.</b:First>
          </b:Person>
          <b:Person>
            <b:Last>Sarria-Allende</b:Last>
            <b:First>V.</b:First>
          </b:Person>
          <b:Person>
            <b:Last>Klapper</b:Last>
            <b:First>L.</b:First>
          </b:Person>
        </b:NameList>
      </b:Author>
    </b:Author>
    <b:Publisher>World Bank Working Paper</b:Publisher>
    <b:RefOrder>28</b:RefOrder>
  </b:Source>
  <b:Source>
    <b:Tag>Bha06</b:Tag>
    <b:SourceType>JournalArticle</b:SourceType>
    <b:Guid>{8B970FE0-522A-4384-B859-CA487D6568B3}</b:Guid>
    <b:Title>Incremental Innovation and Business Performance: Small and Medium-Size Food Enterprises in a Concentrated Industry Environment</b:Title>
    <b:Year>2006</b:Year>
    <b:JournalName>Journal of Small Business Management</b:JournalName>
    <b:Pages>44, 64-80</b:Pages>
    <b:Author>
      <b:Author>
        <b:NameList>
          <b:Person>
            <b:Last>Bhaskaran</b:Last>
            <b:First>S.</b:First>
          </b:Person>
        </b:NameList>
      </b:Author>
    </b:Author>
    <b:RefOrder>29</b:RefOrder>
  </b:Source>
  <b:Source>
    <b:Tag>Hou11</b:Tag>
    <b:SourceType>Report</b:SourceType>
    <b:Guid>{794ED024-AD9E-4AB7-8E4F-A161C3F6127C}</b:Guid>
    <b:Title>The theory of capital structure during the financial crisis</b:Title>
    <b:Year>2011</b:Year>
    <b:Author>
      <b:Author>
        <b:NameList>
          <b:Person>
            <b:Last>Houwen</b:Last>
            <b:First>J.</b:First>
          </b:Person>
        </b:NameList>
      </b:Author>
    </b:Author>
    <b:Publisher>University of Amsterdam</b:Publisher>
    <b:City>Amsterdam</b:City>
    <b:RefOrder>30</b:RefOrder>
  </b:Source>
  <b:Source>
    <b:Tag>Bas09</b:Tag>
    <b:SourceType>JournalArticle</b:SourceType>
    <b:Guid>{B214D609-8FCF-460B-8645-5D4AADBE4112}</b:Guid>
    <b:Title>Determinants of Capital Structure in Developing Countries</b:Title>
    <b:Year>2009</b:Year>
    <b:Publisher>Working Paper</b:Publisher>
    <b:Author>
      <b:Author>
        <b:NameList>
          <b:Person>
            <b:Last>Bas</b:Last>
            <b:First>T.</b:First>
          </b:Person>
          <b:Person>
            <b:Last>Muradoglu</b:Last>
            <b:First>G.</b:First>
          </b:Person>
          <b:Person>
            <b:Last>Phylaktis</b:Last>
            <b:First>K.</b:First>
          </b:Person>
        </b:NameList>
      </b:Author>
    </b:Author>
    <b:JournalName>Journal of Finance</b:JournalName>
    <b:RefOrder>31</b:RefOrder>
  </b:Source>
  <b:Source>
    <b:Tag>Fra05</b:Tag>
    <b:SourceType>BookSection</b:SourceType>
    <b:Guid>{063E631C-3BC8-4D1F-912B-00F7AF396B5E}</b:Guid>
    <b:Title>Trade-Off and Pecking Order Theories of Debt</b:Title>
    <b:Year>2005</b:Year>
    <b:Pages>2, 135-179</b:Pages>
    <b:Author>
      <b:Author>
        <b:NameList>
          <b:Person>
            <b:Last>Frank</b:Last>
            <b:First>M.Z.</b:First>
          </b:Person>
          <b:Person>
            <b:Last>Goyal</b:Last>
            <b:First>V.K.</b:First>
          </b:Person>
        </b:NameList>
      </b:Author>
    </b:Author>
    <b:BookTitle>Handbook of Corporate Finance: Empirical Corporate Finance</b:BookTitle>
    <b:City>Amsterdam</b:City>
    <b:Publisher>Elsevier/North-Holland</b:Publisher>
    <b:RefOrder>32</b:RefOrder>
  </b:Source>
</b:Sources>
</file>

<file path=customXml/itemProps1.xml><?xml version="1.0" encoding="utf-8"?>
<ds:datastoreItem xmlns:ds="http://schemas.openxmlformats.org/officeDocument/2006/customXml" ds:itemID="{BB08A8D9-C6C4-46B9-9708-77DADE6949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28</Pages>
  <Words>8585</Words>
  <Characters>48939</Characters>
  <Application>Microsoft Office Word</Application>
  <DocSecurity>0</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Romijn</dc:creator>
  <cp:keywords/>
  <dc:description/>
  <cp:lastModifiedBy>A.J. van Stel</cp:lastModifiedBy>
  <cp:revision>3</cp:revision>
  <dcterms:created xsi:type="dcterms:W3CDTF">2016-07-27T12:51:00Z</dcterms:created>
  <dcterms:modified xsi:type="dcterms:W3CDTF">2016-07-27T12:56:00Z</dcterms:modified>
</cp:coreProperties>
</file>