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29043" w14:textId="77777777" w:rsidR="00890669" w:rsidRPr="00AE339B" w:rsidRDefault="00C64927" w:rsidP="00890669">
      <w:pPr>
        <w:jc w:val="center"/>
        <w:rPr>
          <w:b/>
          <w:sz w:val="40"/>
          <w:szCs w:val="40"/>
        </w:rPr>
      </w:pPr>
      <w:bookmarkStart w:id="0" w:name="_GoBack"/>
      <w:bookmarkEnd w:id="0"/>
      <w:r>
        <w:rPr>
          <w:b/>
          <w:noProof/>
          <w:sz w:val="40"/>
          <w:szCs w:val="40"/>
          <w:lang w:val="nl-NL"/>
        </w:rPr>
        <mc:AlternateContent>
          <mc:Choice Requires="wps">
            <w:drawing>
              <wp:anchor distT="0" distB="0" distL="114300" distR="114300" simplePos="0" relativeHeight="251658240" behindDoc="0" locked="0" layoutInCell="1" allowOverlap="1" wp14:anchorId="0DBED85A" wp14:editId="6D7EB009">
                <wp:simplePos x="0" y="0"/>
                <wp:positionH relativeFrom="column">
                  <wp:posOffset>0</wp:posOffset>
                </wp:positionH>
                <wp:positionV relativeFrom="paragraph">
                  <wp:posOffset>228600</wp:posOffset>
                </wp:positionV>
                <wp:extent cx="3543300" cy="1943100"/>
                <wp:effectExtent l="0" t="0" r="38100" b="38100"/>
                <wp:wrapThrough wrapText="bothSides">
                  <wp:wrapPolygon edited="0">
                    <wp:start x="0" y="0"/>
                    <wp:lineTo x="0" y="21741"/>
                    <wp:lineTo x="21677" y="21741"/>
                    <wp:lineTo x="21677" y="0"/>
                    <wp:lineTo x="0" y="0"/>
                  </wp:wrapPolygon>
                </wp:wrapThrough>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943100"/>
                        </a:xfrm>
                        <a:prstGeom prst="rect">
                          <a:avLst/>
                        </a:prstGeom>
                        <a:solidFill>
                          <a:srgbClr val="FFFFFF"/>
                        </a:solidFill>
                        <a:ln w="9525">
                          <a:solidFill>
                            <a:srgbClr val="000000"/>
                          </a:solidFill>
                          <a:miter lim="800000"/>
                          <a:headEnd/>
                          <a:tailEnd/>
                        </a:ln>
                      </wps:spPr>
                      <wps:txbx>
                        <w:txbxContent>
                          <w:p w14:paraId="6E8A8A21" w14:textId="77777777" w:rsidR="007F63A3" w:rsidRDefault="007F63A3" w:rsidP="000D6965">
                            <w:pPr>
                              <w:autoSpaceDE w:val="0"/>
                              <w:autoSpaceDN w:val="0"/>
                              <w:adjustRightInd w:val="0"/>
                              <w:rPr>
                                <w:color w:val="000000"/>
                                <w:sz w:val="26"/>
                                <w:szCs w:val="26"/>
                                <w:lang w:val="en-US"/>
                              </w:rPr>
                            </w:pPr>
                            <w:r>
                              <w:rPr>
                                <w:color w:val="000000"/>
                                <w:sz w:val="26"/>
                                <w:szCs w:val="26"/>
                                <w:lang w:val="en-US"/>
                              </w:rPr>
                              <w:t>Capital Gains Tax: Theory and Empirics</w:t>
                            </w:r>
                          </w:p>
                          <w:p w14:paraId="53E2104B"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ERASMUS UNIVERSITY ROTTERDAM</w:t>
                            </w:r>
                          </w:p>
                          <w:p w14:paraId="2297F446"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Erasmus School of Economics</w:t>
                            </w:r>
                          </w:p>
                          <w:p w14:paraId="3A82F1E7"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Department of Economics</w:t>
                            </w:r>
                          </w:p>
                          <w:p w14:paraId="4C8707E7" w14:textId="77777777" w:rsidR="007F63A3" w:rsidRDefault="007F63A3" w:rsidP="000D6965">
                            <w:pPr>
                              <w:autoSpaceDE w:val="0"/>
                              <w:autoSpaceDN w:val="0"/>
                              <w:adjustRightInd w:val="0"/>
                              <w:rPr>
                                <w:color w:val="000000"/>
                                <w:sz w:val="23"/>
                                <w:szCs w:val="23"/>
                                <w:lang w:val="en-US"/>
                              </w:rPr>
                            </w:pPr>
                          </w:p>
                          <w:p w14:paraId="734712B7"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Supervisor: Bas Jacobs</w:t>
                            </w:r>
                          </w:p>
                          <w:p w14:paraId="08A5E29B" w14:textId="77777777" w:rsidR="007F63A3" w:rsidRDefault="007F63A3" w:rsidP="000D6965">
                            <w:pPr>
                              <w:autoSpaceDE w:val="0"/>
                              <w:autoSpaceDN w:val="0"/>
                              <w:adjustRightInd w:val="0"/>
                              <w:rPr>
                                <w:color w:val="000000"/>
                                <w:sz w:val="23"/>
                                <w:szCs w:val="23"/>
                                <w:lang w:val="en-US"/>
                              </w:rPr>
                            </w:pPr>
                          </w:p>
                          <w:p w14:paraId="5EF30BFB"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Name: Adriaan Brabander</w:t>
                            </w:r>
                          </w:p>
                          <w:p w14:paraId="2D1F7473"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Exam number:  xxx</w:t>
                            </w:r>
                          </w:p>
                          <w:p w14:paraId="2AC33892" w14:textId="77777777" w:rsidR="007F63A3" w:rsidRPr="00E170FF" w:rsidRDefault="007F63A3" w:rsidP="000D6965">
                            <w:r>
                              <w:rPr>
                                <w:color w:val="000000"/>
                                <w:sz w:val="23"/>
                                <w:szCs w:val="23"/>
                                <w:lang w:val="en-US"/>
                              </w:rPr>
                              <w:t>E-mail address: Adriaan.b@hotmail.com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ED85A" id="_x0000_t202" coordsize="21600,21600" o:spt="202" path="m,l,21600r21600,l21600,xe">
                <v:stroke joinstyle="miter"/>
                <v:path gradientshapeok="t" o:connecttype="rect"/>
              </v:shapetype>
              <v:shape id="Tekstvak 3" o:spid="_x0000_s1026" type="#_x0000_t202" style="position:absolute;left:0;text-align:left;margin-left:0;margin-top:18pt;width:279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">
                <v:textbox>
                  <w:txbxContent>
                    <w:p w14:paraId="6E8A8A21" w14:textId="77777777" w:rsidR="007F63A3" w:rsidRDefault="007F63A3" w:rsidP="000D6965">
                      <w:pPr>
                        <w:autoSpaceDE w:val="0"/>
                        <w:autoSpaceDN w:val="0"/>
                        <w:adjustRightInd w:val="0"/>
                        <w:rPr>
                          <w:color w:val="000000"/>
                          <w:sz w:val="26"/>
                          <w:szCs w:val="26"/>
                          <w:lang w:val="en-US"/>
                        </w:rPr>
                      </w:pPr>
                      <w:r>
                        <w:rPr>
                          <w:color w:val="000000"/>
                          <w:sz w:val="26"/>
                          <w:szCs w:val="26"/>
                          <w:lang w:val="en-US"/>
                        </w:rPr>
                        <w:t>Capital Gains Tax: Theory and Empirics</w:t>
                      </w:r>
                    </w:p>
                    <w:p w14:paraId="53E2104B"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ERASMUS UNIVERSITY ROTTERDAM</w:t>
                      </w:r>
                    </w:p>
                    <w:p w14:paraId="2297F446"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Erasmus School of Economics</w:t>
                      </w:r>
                    </w:p>
                    <w:p w14:paraId="3A82F1E7"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Department of Economics</w:t>
                      </w:r>
                    </w:p>
                    <w:p w14:paraId="4C8707E7" w14:textId="77777777" w:rsidR="007F63A3" w:rsidRDefault="007F63A3" w:rsidP="000D6965">
                      <w:pPr>
                        <w:autoSpaceDE w:val="0"/>
                        <w:autoSpaceDN w:val="0"/>
                        <w:adjustRightInd w:val="0"/>
                        <w:rPr>
                          <w:color w:val="000000"/>
                          <w:sz w:val="23"/>
                          <w:szCs w:val="23"/>
                          <w:lang w:val="en-US"/>
                        </w:rPr>
                      </w:pPr>
                    </w:p>
                    <w:p w14:paraId="734712B7"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Supervisor: Bas Jacobs</w:t>
                      </w:r>
                    </w:p>
                    <w:p w14:paraId="08A5E29B" w14:textId="77777777" w:rsidR="007F63A3" w:rsidRDefault="007F63A3" w:rsidP="000D6965">
                      <w:pPr>
                        <w:autoSpaceDE w:val="0"/>
                        <w:autoSpaceDN w:val="0"/>
                        <w:adjustRightInd w:val="0"/>
                        <w:rPr>
                          <w:color w:val="000000"/>
                          <w:sz w:val="23"/>
                          <w:szCs w:val="23"/>
                          <w:lang w:val="en-US"/>
                        </w:rPr>
                      </w:pPr>
                    </w:p>
                    <w:p w14:paraId="5EF30BFB"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Name: Adriaan Brabander</w:t>
                      </w:r>
                    </w:p>
                    <w:p w14:paraId="2D1F7473" w14:textId="77777777" w:rsidR="007F63A3" w:rsidRDefault="007F63A3" w:rsidP="000D6965">
                      <w:pPr>
                        <w:autoSpaceDE w:val="0"/>
                        <w:autoSpaceDN w:val="0"/>
                        <w:adjustRightInd w:val="0"/>
                        <w:rPr>
                          <w:color w:val="000000"/>
                          <w:sz w:val="23"/>
                          <w:szCs w:val="23"/>
                          <w:lang w:val="en-US"/>
                        </w:rPr>
                      </w:pPr>
                      <w:r>
                        <w:rPr>
                          <w:color w:val="000000"/>
                          <w:sz w:val="23"/>
                          <w:szCs w:val="23"/>
                          <w:lang w:val="en-US"/>
                        </w:rPr>
                        <w:t>Exam number:  xxx</w:t>
                      </w:r>
                    </w:p>
                    <w:p w14:paraId="2AC33892" w14:textId="77777777" w:rsidR="007F63A3" w:rsidRPr="00E170FF" w:rsidRDefault="007F63A3" w:rsidP="000D6965">
                      <w:r>
                        <w:rPr>
                          <w:color w:val="000000"/>
                          <w:sz w:val="23"/>
                          <w:szCs w:val="23"/>
                          <w:lang w:val="en-US"/>
                        </w:rPr>
                        <w:t>E-mail address: Adriaan.b@hotmail.com</w:t>
                      </w:r>
                    </w:p>
                  </w:txbxContent>
                </v:textbox>
                <w10:wrap type="through"/>
              </v:shape>
            </w:pict>
          </mc:Fallback>
        </mc:AlternateContent>
      </w:r>
    </w:p>
    <w:p w14:paraId="15A54D35" w14:textId="77777777" w:rsidR="00890669" w:rsidRPr="00AE339B" w:rsidRDefault="00890669" w:rsidP="00890669">
      <w:pPr>
        <w:jc w:val="center"/>
        <w:rPr>
          <w:b/>
          <w:sz w:val="40"/>
          <w:szCs w:val="40"/>
        </w:rPr>
      </w:pPr>
    </w:p>
    <w:p w14:paraId="018FAF44" w14:textId="77777777" w:rsidR="00890669" w:rsidRPr="00AE339B" w:rsidRDefault="00890669" w:rsidP="00890669">
      <w:pPr>
        <w:jc w:val="center"/>
        <w:rPr>
          <w:b/>
          <w:sz w:val="40"/>
          <w:szCs w:val="40"/>
        </w:rPr>
      </w:pPr>
    </w:p>
    <w:p w14:paraId="00438259" w14:textId="77777777" w:rsidR="00890669" w:rsidRPr="00AE339B" w:rsidRDefault="00890669" w:rsidP="00890669">
      <w:pPr>
        <w:jc w:val="center"/>
        <w:rPr>
          <w:b/>
          <w:sz w:val="40"/>
          <w:szCs w:val="40"/>
        </w:rPr>
      </w:pPr>
    </w:p>
    <w:p w14:paraId="38EC3E1D" w14:textId="77777777" w:rsidR="00890669" w:rsidRPr="00AE339B" w:rsidRDefault="00890669" w:rsidP="00890669">
      <w:pPr>
        <w:jc w:val="center"/>
        <w:rPr>
          <w:b/>
          <w:sz w:val="40"/>
          <w:szCs w:val="40"/>
        </w:rPr>
      </w:pPr>
    </w:p>
    <w:p w14:paraId="5A17C333" w14:textId="77777777" w:rsidR="00890669" w:rsidRPr="00AE339B" w:rsidRDefault="00890669" w:rsidP="00890669">
      <w:pPr>
        <w:jc w:val="center"/>
        <w:rPr>
          <w:b/>
          <w:sz w:val="40"/>
          <w:szCs w:val="40"/>
        </w:rPr>
      </w:pPr>
    </w:p>
    <w:p w14:paraId="5CA855BD" w14:textId="77777777" w:rsidR="00890669" w:rsidRPr="00AE339B" w:rsidRDefault="00890669" w:rsidP="00890669">
      <w:pPr>
        <w:jc w:val="center"/>
        <w:rPr>
          <w:b/>
          <w:sz w:val="40"/>
          <w:szCs w:val="40"/>
        </w:rPr>
      </w:pPr>
    </w:p>
    <w:p w14:paraId="40EE282D" w14:textId="77777777" w:rsidR="00890669" w:rsidRPr="00AE339B" w:rsidRDefault="00890669" w:rsidP="00890669">
      <w:pPr>
        <w:jc w:val="center"/>
        <w:rPr>
          <w:b/>
          <w:sz w:val="40"/>
          <w:szCs w:val="40"/>
        </w:rPr>
      </w:pPr>
    </w:p>
    <w:p w14:paraId="0B880B23" w14:textId="77777777" w:rsidR="00890669" w:rsidRPr="00AE339B" w:rsidRDefault="00890669" w:rsidP="00890669">
      <w:pPr>
        <w:jc w:val="center"/>
        <w:rPr>
          <w:b/>
          <w:sz w:val="40"/>
          <w:szCs w:val="40"/>
        </w:rPr>
      </w:pPr>
    </w:p>
    <w:p w14:paraId="7D1FE772" w14:textId="77777777" w:rsidR="00890669" w:rsidRPr="00AE339B" w:rsidRDefault="00890669" w:rsidP="00890669">
      <w:pPr>
        <w:jc w:val="center"/>
        <w:rPr>
          <w:b/>
          <w:sz w:val="40"/>
          <w:szCs w:val="40"/>
        </w:rPr>
      </w:pPr>
    </w:p>
    <w:p w14:paraId="4BFF0749" w14:textId="77777777" w:rsidR="00890669" w:rsidRPr="00AE339B" w:rsidRDefault="00890669" w:rsidP="00890669">
      <w:pPr>
        <w:jc w:val="center"/>
      </w:pPr>
    </w:p>
    <w:p w14:paraId="11C75390" w14:textId="77777777" w:rsidR="00890669" w:rsidRPr="00AE339B" w:rsidRDefault="00890669" w:rsidP="00890669">
      <w:pPr>
        <w:jc w:val="center"/>
      </w:pPr>
    </w:p>
    <w:p w14:paraId="26DD7F33" w14:textId="77777777" w:rsidR="00890669" w:rsidRPr="00AE339B" w:rsidRDefault="00890669" w:rsidP="00890669">
      <w:pPr>
        <w:jc w:val="center"/>
      </w:pPr>
    </w:p>
    <w:p w14:paraId="1A6590BC" w14:textId="77777777" w:rsidR="00890669" w:rsidRPr="00AE339B" w:rsidRDefault="00890669" w:rsidP="00890669">
      <w:pPr>
        <w:jc w:val="center"/>
      </w:pPr>
    </w:p>
    <w:p w14:paraId="456E4188" w14:textId="77777777" w:rsidR="00890669" w:rsidRPr="00AE339B" w:rsidRDefault="00890669" w:rsidP="00890669">
      <w:pPr>
        <w:jc w:val="center"/>
      </w:pPr>
    </w:p>
    <w:p w14:paraId="31D4D1F4" w14:textId="77777777" w:rsidR="00890669" w:rsidRPr="00AE339B" w:rsidRDefault="00890669" w:rsidP="00890669">
      <w:pPr>
        <w:jc w:val="center"/>
      </w:pPr>
    </w:p>
    <w:p w14:paraId="4C87456C" w14:textId="77777777" w:rsidR="00890669" w:rsidRPr="00AE339B" w:rsidRDefault="00890669" w:rsidP="00890669">
      <w:pPr>
        <w:jc w:val="center"/>
      </w:pPr>
    </w:p>
    <w:p w14:paraId="7C7F1A85" w14:textId="77777777" w:rsidR="00890669" w:rsidRPr="00AE339B" w:rsidRDefault="00890669" w:rsidP="00890669">
      <w:pPr>
        <w:jc w:val="center"/>
      </w:pPr>
    </w:p>
    <w:p w14:paraId="33295BCD" w14:textId="77777777" w:rsidR="00890669" w:rsidRPr="00AE339B" w:rsidRDefault="00890669" w:rsidP="00890669">
      <w:pPr>
        <w:jc w:val="center"/>
      </w:pPr>
    </w:p>
    <w:p w14:paraId="6906710C" w14:textId="77777777" w:rsidR="001C4392" w:rsidRDefault="001C4392" w:rsidP="00684C24">
      <w:pPr>
        <w:spacing w:line="360" w:lineRule="auto"/>
      </w:pPr>
    </w:p>
    <w:p w14:paraId="372BC316" w14:textId="77777777" w:rsidR="001C4392" w:rsidRDefault="001C4392" w:rsidP="00684C24">
      <w:pPr>
        <w:spacing w:line="360" w:lineRule="auto"/>
      </w:pPr>
    </w:p>
    <w:p w14:paraId="24E7E1C9" w14:textId="77777777" w:rsidR="001C4392" w:rsidRDefault="001C4392" w:rsidP="00684C24">
      <w:pPr>
        <w:spacing w:line="360" w:lineRule="auto"/>
      </w:pPr>
    </w:p>
    <w:p w14:paraId="6ECD97BC" w14:textId="77777777" w:rsidR="001C4392" w:rsidRDefault="001C4392" w:rsidP="00684C24">
      <w:pPr>
        <w:spacing w:line="360" w:lineRule="auto"/>
      </w:pPr>
    </w:p>
    <w:p w14:paraId="6042FE95" w14:textId="77777777" w:rsidR="001C4392" w:rsidRDefault="001C4392" w:rsidP="00684C24">
      <w:pPr>
        <w:spacing w:line="360" w:lineRule="auto"/>
      </w:pPr>
    </w:p>
    <w:p w14:paraId="052D7A91" w14:textId="77777777" w:rsidR="001C4392" w:rsidRDefault="001C4392" w:rsidP="00684C24">
      <w:pPr>
        <w:spacing w:line="360" w:lineRule="auto"/>
      </w:pPr>
    </w:p>
    <w:p w14:paraId="3CC3B763" w14:textId="77777777" w:rsidR="001C4392" w:rsidRDefault="001C4392" w:rsidP="00684C24">
      <w:pPr>
        <w:spacing w:line="360" w:lineRule="auto"/>
      </w:pPr>
    </w:p>
    <w:p w14:paraId="4A4ED013" w14:textId="136F0D27" w:rsidR="00684C24" w:rsidRPr="006F3978" w:rsidRDefault="001C4392" w:rsidP="00684C24">
      <w:pPr>
        <w:spacing w:line="360" w:lineRule="auto"/>
        <w:sectPr w:rsidR="00684C24" w:rsidRPr="006F3978" w:rsidSect="00E85735">
          <w:footerReference w:type="even" r:id="rId7"/>
          <w:footerReference w:type="default" r:id="rId8"/>
          <w:pgSz w:w="11900" w:h="16840"/>
          <w:pgMar w:top="1418" w:right="1418" w:bottom="1418" w:left="1418" w:header="709" w:footer="709" w:gutter="0"/>
          <w:cols w:space="708"/>
          <w:titlePg/>
          <w:docGrid w:linePitch="360"/>
        </w:sectPr>
      </w:pPr>
      <w:r>
        <w:t xml:space="preserve">Abstract: </w:t>
      </w:r>
      <w:r w:rsidR="00684C24">
        <w:t>This paper reviews theoretical and empirical literature regarding capital gains taxation.</w:t>
      </w:r>
      <w:r>
        <w:t xml:space="preserve"> </w:t>
      </w:r>
      <w:r w:rsidR="005C3752">
        <w:t>First, it provides an introduction to the theory of optimal taxation and capital t</w:t>
      </w:r>
      <w:r w:rsidR="0052299E">
        <w:t xml:space="preserve">axation around the globe. Although a </w:t>
      </w:r>
      <w:r w:rsidR="005C3752">
        <w:t>positive analysis shows capital taxat</w:t>
      </w:r>
      <w:r w:rsidR="0052299E">
        <w:t>ion distorts savings behaviour, the paper arguments capital income should be taxed.</w:t>
      </w:r>
      <w:r w:rsidR="002B43CC">
        <w:t xml:space="preserve"> Further, the effects of a capital gains tax on portfolio behaviour and risk taking are evaluated. The paper concludes that adopting a retrospective capital gains tax, in combination with accrual taxation</w:t>
      </w:r>
      <w:r w:rsidR="00F52408">
        <w:t xml:space="preserve"> is </w:t>
      </w:r>
      <w:r w:rsidR="00C35263">
        <w:t>probably optimal for social welfare.</w:t>
      </w:r>
      <w:r w:rsidR="00D43E5C">
        <w:t xml:space="preserve"> </w:t>
      </w:r>
    </w:p>
    <w:p w14:paraId="04214418" w14:textId="26B0C0D7" w:rsidR="00D6507C" w:rsidRDefault="00D6507C"/>
    <w:p w14:paraId="3EBFD922" w14:textId="3417847E" w:rsidR="00110B00" w:rsidRDefault="00110B00"/>
    <w:sdt>
      <w:sdtPr>
        <w:rPr>
          <w:rFonts w:asciiTheme="minorHAnsi" w:eastAsiaTheme="minorEastAsia" w:hAnsiTheme="minorHAnsi" w:cstheme="minorBidi"/>
          <w:b w:val="0"/>
          <w:bCs w:val="0"/>
          <w:color w:val="auto"/>
          <w:sz w:val="24"/>
          <w:szCs w:val="24"/>
          <w:lang w:val="nl-NL"/>
        </w:rPr>
        <w:id w:val="-160707128"/>
        <w:docPartObj>
          <w:docPartGallery w:val="Table of Contents"/>
          <w:docPartUnique/>
        </w:docPartObj>
      </w:sdtPr>
      <w:sdtEndPr>
        <w:rPr>
          <w:noProof/>
          <w:lang w:val="en-GB"/>
        </w:rPr>
      </w:sdtEndPr>
      <w:sdtContent>
        <w:p w14:paraId="18D21949" w14:textId="5014422D" w:rsidR="009B1BE4" w:rsidRDefault="00936330">
          <w:pPr>
            <w:pStyle w:val="TOCHeading"/>
          </w:pPr>
          <w:r>
            <w:rPr>
              <w:lang w:val="nl-NL"/>
            </w:rPr>
            <w:t>Table of contents</w:t>
          </w:r>
        </w:p>
        <w:p w14:paraId="21863B39" w14:textId="77777777" w:rsidR="00BF2854" w:rsidRDefault="009B1BE4">
          <w:pPr>
            <w:pStyle w:val="TOC1"/>
            <w:tabs>
              <w:tab w:val="right" w:pos="9054"/>
            </w:tabs>
            <w:rPr>
              <w:b w:val="0"/>
              <w:noProof/>
              <w:sz w:val="24"/>
              <w:szCs w:val="24"/>
              <w:lang w:val="en-US" w:eastAsia="ja-JP"/>
            </w:rPr>
          </w:pPr>
          <w:r>
            <w:rPr>
              <w:b w:val="0"/>
            </w:rPr>
            <w:fldChar w:fldCharType="begin"/>
          </w:r>
          <w:r>
            <w:instrText>TOC \o "1-3" \h \z \u</w:instrText>
          </w:r>
          <w:r>
            <w:rPr>
              <w:b w:val="0"/>
            </w:rPr>
            <w:fldChar w:fldCharType="separate"/>
          </w:r>
          <w:r w:rsidR="00BF2854">
            <w:rPr>
              <w:noProof/>
            </w:rPr>
            <w:t>Introduction</w:t>
          </w:r>
          <w:r w:rsidR="00BF2854">
            <w:rPr>
              <w:noProof/>
            </w:rPr>
            <w:tab/>
          </w:r>
          <w:r w:rsidR="00BF2854">
            <w:rPr>
              <w:noProof/>
            </w:rPr>
            <w:fldChar w:fldCharType="begin"/>
          </w:r>
          <w:r w:rsidR="00BF2854">
            <w:rPr>
              <w:noProof/>
            </w:rPr>
            <w:instrText xml:space="preserve"> PAGEREF _Toc331345784 \h </w:instrText>
          </w:r>
          <w:r w:rsidR="00BF2854">
            <w:rPr>
              <w:noProof/>
            </w:rPr>
          </w:r>
          <w:r w:rsidR="00BF2854">
            <w:rPr>
              <w:noProof/>
            </w:rPr>
            <w:fldChar w:fldCharType="separate"/>
          </w:r>
          <w:r w:rsidR="00BF2854">
            <w:rPr>
              <w:noProof/>
            </w:rPr>
            <w:t>3</w:t>
          </w:r>
          <w:r w:rsidR="00BF2854">
            <w:rPr>
              <w:noProof/>
            </w:rPr>
            <w:fldChar w:fldCharType="end"/>
          </w:r>
        </w:p>
        <w:p w14:paraId="359ACB3B" w14:textId="77777777" w:rsidR="00BF2854" w:rsidRDefault="00BF2854">
          <w:pPr>
            <w:pStyle w:val="TOC1"/>
            <w:tabs>
              <w:tab w:val="right" w:pos="9054"/>
            </w:tabs>
            <w:rPr>
              <w:b w:val="0"/>
              <w:noProof/>
              <w:sz w:val="24"/>
              <w:szCs w:val="24"/>
              <w:lang w:val="en-US" w:eastAsia="ja-JP"/>
            </w:rPr>
          </w:pPr>
          <w:r>
            <w:rPr>
              <w:noProof/>
            </w:rPr>
            <w:t>Chapter one - Theory of optimal taxation</w:t>
          </w:r>
          <w:r>
            <w:rPr>
              <w:noProof/>
            </w:rPr>
            <w:tab/>
          </w:r>
          <w:r>
            <w:rPr>
              <w:noProof/>
            </w:rPr>
            <w:fldChar w:fldCharType="begin"/>
          </w:r>
          <w:r>
            <w:rPr>
              <w:noProof/>
            </w:rPr>
            <w:instrText xml:space="preserve"> PAGEREF _Toc331345785 \h </w:instrText>
          </w:r>
          <w:r>
            <w:rPr>
              <w:noProof/>
            </w:rPr>
          </w:r>
          <w:r>
            <w:rPr>
              <w:noProof/>
            </w:rPr>
            <w:fldChar w:fldCharType="separate"/>
          </w:r>
          <w:r>
            <w:rPr>
              <w:noProof/>
            </w:rPr>
            <w:t>5</w:t>
          </w:r>
          <w:r>
            <w:rPr>
              <w:noProof/>
            </w:rPr>
            <w:fldChar w:fldCharType="end"/>
          </w:r>
        </w:p>
        <w:p w14:paraId="0E7361E4" w14:textId="77777777" w:rsidR="00BF2854" w:rsidRDefault="00BF2854">
          <w:pPr>
            <w:pStyle w:val="TOC1"/>
            <w:tabs>
              <w:tab w:val="right" w:pos="9054"/>
            </w:tabs>
            <w:rPr>
              <w:b w:val="0"/>
              <w:noProof/>
              <w:sz w:val="24"/>
              <w:szCs w:val="24"/>
              <w:lang w:val="en-US" w:eastAsia="ja-JP"/>
            </w:rPr>
          </w:pPr>
          <w:r>
            <w:rPr>
              <w:noProof/>
            </w:rPr>
            <w:t>Chapter two - Capital income taxation around the globe</w:t>
          </w:r>
          <w:r>
            <w:rPr>
              <w:noProof/>
            </w:rPr>
            <w:tab/>
          </w:r>
          <w:r>
            <w:rPr>
              <w:noProof/>
            </w:rPr>
            <w:fldChar w:fldCharType="begin"/>
          </w:r>
          <w:r>
            <w:rPr>
              <w:noProof/>
            </w:rPr>
            <w:instrText xml:space="preserve"> PAGEREF _Toc331345786 \h </w:instrText>
          </w:r>
          <w:r>
            <w:rPr>
              <w:noProof/>
            </w:rPr>
          </w:r>
          <w:r>
            <w:rPr>
              <w:noProof/>
            </w:rPr>
            <w:fldChar w:fldCharType="separate"/>
          </w:r>
          <w:r>
            <w:rPr>
              <w:noProof/>
            </w:rPr>
            <w:t>8</w:t>
          </w:r>
          <w:r>
            <w:rPr>
              <w:noProof/>
            </w:rPr>
            <w:fldChar w:fldCharType="end"/>
          </w:r>
        </w:p>
        <w:p w14:paraId="7B7F17EE" w14:textId="77777777" w:rsidR="00BF2854" w:rsidRDefault="00BF2854">
          <w:pPr>
            <w:pStyle w:val="TOC1"/>
            <w:tabs>
              <w:tab w:val="right" w:pos="9054"/>
            </w:tabs>
            <w:rPr>
              <w:b w:val="0"/>
              <w:noProof/>
              <w:sz w:val="24"/>
              <w:szCs w:val="24"/>
              <w:lang w:val="en-US" w:eastAsia="ja-JP"/>
            </w:rPr>
          </w:pPr>
          <w:r>
            <w:rPr>
              <w:noProof/>
            </w:rPr>
            <w:t>Chapter three – The effects of capital income taxation on savings behaviour</w:t>
          </w:r>
          <w:r>
            <w:rPr>
              <w:noProof/>
            </w:rPr>
            <w:tab/>
          </w:r>
          <w:r>
            <w:rPr>
              <w:noProof/>
            </w:rPr>
            <w:fldChar w:fldCharType="begin"/>
          </w:r>
          <w:r>
            <w:rPr>
              <w:noProof/>
            </w:rPr>
            <w:instrText xml:space="preserve"> PAGEREF _Toc331345787 \h </w:instrText>
          </w:r>
          <w:r>
            <w:rPr>
              <w:noProof/>
            </w:rPr>
          </w:r>
          <w:r>
            <w:rPr>
              <w:noProof/>
            </w:rPr>
            <w:fldChar w:fldCharType="separate"/>
          </w:r>
          <w:r>
            <w:rPr>
              <w:noProof/>
            </w:rPr>
            <w:t>12</w:t>
          </w:r>
          <w:r>
            <w:rPr>
              <w:noProof/>
            </w:rPr>
            <w:fldChar w:fldCharType="end"/>
          </w:r>
        </w:p>
        <w:p w14:paraId="55C5F6D4" w14:textId="77777777" w:rsidR="00BF2854" w:rsidRDefault="00BF2854">
          <w:pPr>
            <w:pStyle w:val="TOC2"/>
            <w:tabs>
              <w:tab w:val="right" w:pos="9054"/>
            </w:tabs>
            <w:rPr>
              <w:i w:val="0"/>
              <w:noProof/>
              <w:sz w:val="24"/>
              <w:szCs w:val="24"/>
              <w:lang w:val="en-US" w:eastAsia="ja-JP"/>
            </w:rPr>
          </w:pPr>
          <w:r>
            <w:rPr>
              <w:noProof/>
            </w:rPr>
            <w:t>Theory</w:t>
          </w:r>
          <w:r>
            <w:rPr>
              <w:noProof/>
            </w:rPr>
            <w:tab/>
          </w:r>
          <w:r>
            <w:rPr>
              <w:noProof/>
            </w:rPr>
            <w:fldChar w:fldCharType="begin"/>
          </w:r>
          <w:r>
            <w:rPr>
              <w:noProof/>
            </w:rPr>
            <w:instrText xml:space="preserve"> PAGEREF _Toc331345788 \h </w:instrText>
          </w:r>
          <w:r>
            <w:rPr>
              <w:noProof/>
            </w:rPr>
          </w:r>
          <w:r>
            <w:rPr>
              <w:noProof/>
            </w:rPr>
            <w:fldChar w:fldCharType="separate"/>
          </w:r>
          <w:r>
            <w:rPr>
              <w:noProof/>
            </w:rPr>
            <w:t>12</w:t>
          </w:r>
          <w:r>
            <w:rPr>
              <w:noProof/>
            </w:rPr>
            <w:fldChar w:fldCharType="end"/>
          </w:r>
        </w:p>
        <w:p w14:paraId="269AF61D" w14:textId="77777777" w:rsidR="00BF2854" w:rsidRDefault="00BF2854">
          <w:pPr>
            <w:pStyle w:val="TOC2"/>
            <w:tabs>
              <w:tab w:val="right" w:pos="9054"/>
            </w:tabs>
            <w:rPr>
              <w:i w:val="0"/>
              <w:noProof/>
              <w:sz w:val="24"/>
              <w:szCs w:val="24"/>
              <w:lang w:val="en-US" w:eastAsia="ja-JP"/>
            </w:rPr>
          </w:pPr>
          <w:r>
            <w:rPr>
              <w:noProof/>
            </w:rPr>
            <w:t>Empirics</w:t>
          </w:r>
          <w:r>
            <w:rPr>
              <w:noProof/>
            </w:rPr>
            <w:tab/>
          </w:r>
          <w:r>
            <w:rPr>
              <w:noProof/>
            </w:rPr>
            <w:fldChar w:fldCharType="begin"/>
          </w:r>
          <w:r>
            <w:rPr>
              <w:noProof/>
            </w:rPr>
            <w:instrText xml:space="preserve"> PAGEREF _Toc331345789 \h </w:instrText>
          </w:r>
          <w:r>
            <w:rPr>
              <w:noProof/>
            </w:rPr>
          </w:r>
          <w:r>
            <w:rPr>
              <w:noProof/>
            </w:rPr>
            <w:fldChar w:fldCharType="separate"/>
          </w:r>
          <w:r>
            <w:rPr>
              <w:noProof/>
            </w:rPr>
            <w:t>14</w:t>
          </w:r>
          <w:r>
            <w:rPr>
              <w:noProof/>
            </w:rPr>
            <w:fldChar w:fldCharType="end"/>
          </w:r>
        </w:p>
        <w:p w14:paraId="21E07ADF" w14:textId="77777777" w:rsidR="00BF2854" w:rsidRDefault="00BF2854">
          <w:pPr>
            <w:pStyle w:val="TOC2"/>
            <w:tabs>
              <w:tab w:val="right" w:pos="9054"/>
            </w:tabs>
            <w:rPr>
              <w:i w:val="0"/>
              <w:noProof/>
              <w:sz w:val="24"/>
              <w:szCs w:val="24"/>
              <w:lang w:val="en-US" w:eastAsia="ja-JP"/>
            </w:rPr>
          </w:pPr>
          <w:r w:rsidRPr="00576120">
            <w:rPr>
              <w:noProof/>
              <w:lang w:val="nl-NL"/>
            </w:rPr>
            <w:t>Conclusion</w:t>
          </w:r>
          <w:r>
            <w:rPr>
              <w:noProof/>
            </w:rPr>
            <w:tab/>
          </w:r>
          <w:r>
            <w:rPr>
              <w:noProof/>
            </w:rPr>
            <w:fldChar w:fldCharType="begin"/>
          </w:r>
          <w:r>
            <w:rPr>
              <w:noProof/>
            </w:rPr>
            <w:instrText xml:space="preserve"> PAGEREF _Toc331345790 \h </w:instrText>
          </w:r>
          <w:r>
            <w:rPr>
              <w:noProof/>
            </w:rPr>
          </w:r>
          <w:r>
            <w:rPr>
              <w:noProof/>
            </w:rPr>
            <w:fldChar w:fldCharType="separate"/>
          </w:r>
          <w:r>
            <w:rPr>
              <w:noProof/>
            </w:rPr>
            <w:t>15</w:t>
          </w:r>
          <w:r>
            <w:rPr>
              <w:noProof/>
            </w:rPr>
            <w:fldChar w:fldCharType="end"/>
          </w:r>
        </w:p>
        <w:p w14:paraId="3BD689AA" w14:textId="77777777" w:rsidR="00BF2854" w:rsidRDefault="00BF2854">
          <w:pPr>
            <w:pStyle w:val="TOC1"/>
            <w:tabs>
              <w:tab w:val="right" w:pos="9054"/>
            </w:tabs>
            <w:rPr>
              <w:b w:val="0"/>
              <w:noProof/>
              <w:sz w:val="24"/>
              <w:szCs w:val="24"/>
              <w:lang w:val="en-US" w:eastAsia="ja-JP"/>
            </w:rPr>
          </w:pPr>
          <w:r>
            <w:rPr>
              <w:noProof/>
            </w:rPr>
            <w:t>Chapter four - the effect of capital gains taxation on portfolio behaviour &amp; risk taking</w:t>
          </w:r>
          <w:r>
            <w:rPr>
              <w:noProof/>
            </w:rPr>
            <w:tab/>
          </w:r>
          <w:r>
            <w:rPr>
              <w:noProof/>
            </w:rPr>
            <w:fldChar w:fldCharType="begin"/>
          </w:r>
          <w:r>
            <w:rPr>
              <w:noProof/>
            </w:rPr>
            <w:instrText xml:space="preserve"> PAGEREF _Toc331345791 \h </w:instrText>
          </w:r>
          <w:r>
            <w:rPr>
              <w:noProof/>
            </w:rPr>
          </w:r>
          <w:r>
            <w:rPr>
              <w:noProof/>
            </w:rPr>
            <w:fldChar w:fldCharType="separate"/>
          </w:r>
          <w:r>
            <w:rPr>
              <w:noProof/>
            </w:rPr>
            <w:t>16</w:t>
          </w:r>
          <w:r>
            <w:rPr>
              <w:noProof/>
            </w:rPr>
            <w:fldChar w:fldCharType="end"/>
          </w:r>
        </w:p>
        <w:p w14:paraId="306C11A1" w14:textId="77777777" w:rsidR="00BF2854" w:rsidRDefault="00BF2854">
          <w:pPr>
            <w:pStyle w:val="TOC2"/>
            <w:tabs>
              <w:tab w:val="right" w:pos="9054"/>
            </w:tabs>
            <w:rPr>
              <w:i w:val="0"/>
              <w:noProof/>
              <w:sz w:val="24"/>
              <w:szCs w:val="24"/>
              <w:lang w:val="en-US" w:eastAsia="ja-JP"/>
            </w:rPr>
          </w:pPr>
          <w:r>
            <w:rPr>
              <w:noProof/>
            </w:rPr>
            <w:t>The taxing of excess returns to risk</w:t>
          </w:r>
          <w:r>
            <w:rPr>
              <w:noProof/>
            </w:rPr>
            <w:tab/>
          </w:r>
          <w:r>
            <w:rPr>
              <w:noProof/>
            </w:rPr>
            <w:fldChar w:fldCharType="begin"/>
          </w:r>
          <w:r>
            <w:rPr>
              <w:noProof/>
            </w:rPr>
            <w:instrText xml:space="preserve"> PAGEREF _Toc331345792 \h </w:instrText>
          </w:r>
          <w:r>
            <w:rPr>
              <w:noProof/>
            </w:rPr>
          </w:r>
          <w:r>
            <w:rPr>
              <w:noProof/>
            </w:rPr>
            <w:fldChar w:fldCharType="separate"/>
          </w:r>
          <w:r>
            <w:rPr>
              <w:noProof/>
            </w:rPr>
            <w:t>17</w:t>
          </w:r>
          <w:r>
            <w:rPr>
              <w:noProof/>
            </w:rPr>
            <w:fldChar w:fldCharType="end"/>
          </w:r>
        </w:p>
        <w:p w14:paraId="3CED2348" w14:textId="77777777" w:rsidR="00BF2854" w:rsidRDefault="00BF2854">
          <w:pPr>
            <w:pStyle w:val="TOC2"/>
            <w:tabs>
              <w:tab w:val="right" w:pos="9054"/>
            </w:tabs>
            <w:rPr>
              <w:i w:val="0"/>
              <w:noProof/>
              <w:sz w:val="24"/>
              <w:szCs w:val="24"/>
              <w:lang w:val="en-US" w:eastAsia="ja-JP"/>
            </w:rPr>
          </w:pPr>
          <w:r>
            <w:rPr>
              <w:noProof/>
            </w:rPr>
            <w:t>The lock-in effect</w:t>
          </w:r>
          <w:r>
            <w:rPr>
              <w:noProof/>
            </w:rPr>
            <w:tab/>
          </w:r>
          <w:r>
            <w:rPr>
              <w:noProof/>
            </w:rPr>
            <w:fldChar w:fldCharType="begin"/>
          </w:r>
          <w:r>
            <w:rPr>
              <w:noProof/>
            </w:rPr>
            <w:instrText xml:space="preserve"> PAGEREF _Toc331345793 \h </w:instrText>
          </w:r>
          <w:r>
            <w:rPr>
              <w:noProof/>
            </w:rPr>
          </w:r>
          <w:r>
            <w:rPr>
              <w:noProof/>
            </w:rPr>
            <w:fldChar w:fldCharType="separate"/>
          </w:r>
          <w:r>
            <w:rPr>
              <w:noProof/>
            </w:rPr>
            <w:t>18</w:t>
          </w:r>
          <w:r>
            <w:rPr>
              <w:noProof/>
            </w:rPr>
            <w:fldChar w:fldCharType="end"/>
          </w:r>
        </w:p>
        <w:p w14:paraId="706F5A2B" w14:textId="77777777" w:rsidR="00BF2854" w:rsidRDefault="00BF2854">
          <w:pPr>
            <w:pStyle w:val="TOC2"/>
            <w:tabs>
              <w:tab w:val="right" w:pos="9054"/>
            </w:tabs>
            <w:rPr>
              <w:i w:val="0"/>
              <w:noProof/>
              <w:sz w:val="24"/>
              <w:szCs w:val="24"/>
              <w:lang w:val="en-US" w:eastAsia="ja-JP"/>
            </w:rPr>
          </w:pPr>
          <w:r>
            <w:rPr>
              <w:noProof/>
            </w:rPr>
            <w:t>Government revenue</w:t>
          </w:r>
          <w:r>
            <w:rPr>
              <w:noProof/>
            </w:rPr>
            <w:tab/>
          </w:r>
          <w:r>
            <w:rPr>
              <w:noProof/>
            </w:rPr>
            <w:fldChar w:fldCharType="begin"/>
          </w:r>
          <w:r>
            <w:rPr>
              <w:noProof/>
            </w:rPr>
            <w:instrText xml:space="preserve"> PAGEREF _Toc331345794 \h </w:instrText>
          </w:r>
          <w:r>
            <w:rPr>
              <w:noProof/>
            </w:rPr>
          </w:r>
          <w:r>
            <w:rPr>
              <w:noProof/>
            </w:rPr>
            <w:fldChar w:fldCharType="separate"/>
          </w:r>
          <w:r>
            <w:rPr>
              <w:noProof/>
            </w:rPr>
            <w:t>19</w:t>
          </w:r>
          <w:r>
            <w:rPr>
              <w:noProof/>
            </w:rPr>
            <w:fldChar w:fldCharType="end"/>
          </w:r>
        </w:p>
        <w:p w14:paraId="7AE31BBA" w14:textId="77777777" w:rsidR="00BF2854" w:rsidRDefault="00BF2854">
          <w:pPr>
            <w:pStyle w:val="TOC2"/>
            <w:tabs>
              <w:tab w:val="right" w:pos="9054"/>
            </w:tabs>
            <w:rPr>
              <w:i w:val="0"/>
              <w:noProof/>
              <w:sz w:val="24"/>
              <w:szCs w:val="24"/>
              <w:lang w:val="en-US" w:eastAsia="ja-JP"/>
            </w:rPr>
          </w:pPr>
          <w:r>
            <w:rPr>
              <w:noProof/>
            </w:rPr>
            <w:t>Entrepreneurial risk taking</w:t>
          </w:r>
          <w:r>
            <w:rPr>
              <w:noProof/>
            </w:rPr>
            <w:tab/>
          </w:r>
          <w:r>
            <w:rPr>
              <w:noProof/>
            </w:rPr>
            <w:fldChar w:fldCharType="begin"/>
          </w:r>
          <w:r>
            <w:rPr>
              <w:noProof/>
            </w:rPr>
            <w:instrText xml:space="preserve"> PAGEREF _Toc331345795 \h </w:instrText>
          </w:r>
          <w:r>
            <w:rPr>
              <w:noProof/>
            </w:rPr>
          </w:r>
          <w:r>
            <w:rPr>
              <w:noProof/>
            </w:rPr>
            <w:fldChar w:fldCharType="separate"/>
          </w:r>
          <w:r>
            <w:rPr>
              <w:noProof/>
            </w:rPr>
            <w:t>20</w:t>
          </w:r>
          <w:r>
            <w:rPr>
              <w:noProof/>
            </w:rPr>
            <w:fldChar w:fldCharType="end"/>
          </w:r>
        </w:p>
        <w:p w14:paraId="75ABB55D" w14:textId="77777777" w:rsidR="00BF2854" w:rsidRDefault="00BF2854">
          <w:pPr>
            <w:pStyle w:val="TOC2"/>
            <w:tabs>
              <w:tab w:val="right" w:pos="9054"/>
            </w:tabs>
            <w:rPr>
              <w:i w:val="0"/>
              <w:noProof/>
              <w:sz w:val="24"/>
              <w:szCs w:val="24"/>
              <w:lang w:val="en-US" w:eastAsia="ja-JP"/>
            </w:rPr>
          </w:pPr>
          <w:r>
            <w:rPr>
              <w:noProof/>
            </w:rPr>
            <w:t>Taxing on accrual</w:t>
          </w:r>
          <w:r>
            <w:rPr>
              <w:noProof/>
            </w:rPr>
            <w:tab/>
          </w:r>
          <w:r>
            <w:rPr>
              <w:noProof/>
            </w:rPr>
            <w:fldChar w:fldCharType="begin"/>
          </w:r>
          <w:r>
            <w:rPr>
              <w:noProof/>
            </w:rPr>
            <w:instrText xml:space="preserve"> PAGEREF _Toc331345796 \h </w:instrText>
          </w:r>
          <w:r>
            <w:rPr>
              <w:noProof/>
            </w:rPr>
          </w:r>
          <w:r>
            <w:rPr>
              <w:noProof/>
            </w:rPr>
            <w:fldChar w:fldCharType="separate"/>
          </w:r>
          <w:r>
            <w:rPr>
              <w:noProof/>
            </w:rPr>
            <w:t>20</w:t>
          </w:r>
          <w:r>
            <w:rPr>
              <w:noProof/>
            </w:rPr>
            <w:fldChar w:fldCharType="end"/>
          </w:r>
        </w:p>
        <w:p w14:paraId="5759A84B" w14:textId="77777777" w:rsidR="00BF2854" w:rsidRDefault="00BF2854">
          <w:pPr>
            <w:pStyle w:val="TOC2"/>
            <w:tabs>
              <w:tab w:val="right" w:pos="9054"/>
            </w:tabs>
            <w:rPr>
              <w:i w:val="0"/>
              <w:noProof/>
              <w:sz w:val="24"/>
              <w:szCs w:val="24"/>
              <w:lang w:val="en-US" w:eastAsia="ja-JP"/>
            </w:rPr>
          </w:pPr>
          <w:r>
            <w:rPr>
              <w:noProof/>
            </w:rPr>
            <w:t>A retrospective capital gains tax</w:t>
          </w:r>
          <w:r>
            <w:rPr>
              <w:noProof/>
            </w:rPr>
            <w:tab/>
          </w:r>
          <w:r>
            <w:rPr>
              <w:noProof/>
            </w:rPr>
            <w:fldChar w:fldCharType="begin"/>
          </w:r>
          <w:r>
            <w:rPr>
              <w:noProof/>
            </w:rPr>
            <w:instrText xml:space="preserve"> PAGEREF _Toc331345797 \h </w:instrText>
          </w:r>
          <w:r>
            <w:rPr>
              <w:noProof/>
            </w:rPr>
          </w:r>
          <w:r>
            <w:rPr>
              <w:noProof/>
            </w:rPr>
            <w:fldChar w:fldCharType="separate"/>
          </w:r>
          <w:r>
            <w:rPr>
              <w:noProof/>
            </w:rPr>
            <w:t>20</w:t>
          </w:r>
          <w:r>
            <w:rPr>
              <w:noProof/>
            </w:rPr>
            <w:fldChar w:fldCharType="end"/>
          </w:r>
        </w:p>
        <w:p w14:paraId="259A3AA9" w14:textId="77777777" w:rsidR="00BF2854" w:rsidRDefault="00BF2854">
          <w:pPr>
            <w:pStyle w:val="TOC2"/>
            <w:tabs>
              <w:tab w:val="right" w:pos="9054"/>
            </w:tabs>
            <w:rPr>
              <w:i w:val="0"/>
              <w:noProof/>
              <w:sz w:val="24"/>
              <w:szCs w:val="24"/>
              <w:lang w:val="en-US" w:eastAsia="ja-JP"/>
            </w:rPr>
          </w:pPr>
          <w:r>
            <w:rPr>
              <w:noProof/>
            </w:rPr>
            <w:t>Conclusion</w:t>
          </w:r>
          <w:r>
            <w:rPr>
              <w:noProof/>
            </w:rPr>
            <w:tab/>
          </w:r>
          <w:r>
            <w:rPr>
              <w:noProof/>
            </w:rPr>
            <w:fldChar w:fldCharType="begin"/>
          </w:r>
          <w:r>
            <w:rPr>
              <w:noProof/>
            </w:rPr>
            <w:instrText xml:space="preserve"> PAGEREF _Toc331345798 \h </w:instrText>
          </w:r>
          <w:r>
            <w:rPr>
              <w:noProof/>
            </w:rPr>
          </w:r>
          <w:r>
            <w:rPr>
              <w:noProof/>
            </w:rPr>
            <w:fldChar w:fldCharType="separate"/>
          </w:r>
          <w:r>
            <w:rPr>
              <w:noProof/>
            </w:rPr>
            <w:t>21</w:t>
          </w:r>
          <w:r>
            <w:rPr>
              <w:noProof/>
            </w:rPr>
            <w:fldChar w:fldCharType="end"/>
          </w:r>
        </w:p>
        <w:p w14:paraId="28C93113" w14:textId="77777777" w:rsidR="00BF2854" w:rsidRDefault="00BF2854">
          <w:pPr>
            <w:pStyle w:val="TOC1"/>
            <w:tabs>
              <w:tab w:val="right" w:pos="9054"/>
            </w:tabs>
            <w:rPr>
              <w:b w:val="0"/>
              <w:noProof/>
              <w:sz w:val="24"/>
              <w:szCs w:val="24"/>
              <w:lang w:val="en-US" w:eastAsia="ja-JP"/>
            </w:rPr>
          </w:pPr>
          <w:r>
            <w:rPr>
              <w:noProof/>
            </w:rPr>
            <w:t>Chapter five – Arguments for capital income taxation</w:t>
          </w:r>
          <w:r>
            <w:rPr>
              <w:noProof/>
            </w:rPr>
            <w:tab/>
          </w:r>
          <w:r>
            <w:rPr>
              <w:noProof/>
            </w:rPr>
            <w:fldChar w:fldCharType="begin"/>
          </w:r>
          <w:r>
            <w:rPr>
              <w:noProof/>
            </w:rPr>
            <w:instrText xml:space="preserve"> PAGEREF _Toc331345799 \h </w:instrText>
          </w:r>
          <w:r>
            <w:rPr>
              <w:noProof/>
            </w:rPr>
          </w:r>
          <w:r>
            <w:rPr>
              <w:noProof/>
            </w:rPr>
            <w:fldChar w:fldCharType="separate"/>
          </w:r>
          <w:r>
            <w:rPr>
              <w:noProof/>
            </w:rPr>
            <w:t>23</w:t>
          </w:r>
          <w:r>
            <w:rPr>
              <w:noProof/>
            </w:rPr>
            <w:fldChar w:fldCharType="end"/>
          </w:r>
        </w:p>
        <w:p w14:paraId="496C6AE9" w14:textId="77777777" w:rsidR="00BF2854" w:rsidRDefault="00BF2854">
          <w:pPr>
            <w:pStyle w:val="TOC2"/>
            <w:tabs>
              <w:tab w:val="right" w:pos="9054"/>
            </w:tabs>
            <w:rPr>
              <w:i w:val="0"/>
              <w:noProof/>
              <w:sz w:val="24"/>
              <w:szCs w:val="24"/>
              <w:lang w:val="en-US" w:eastAsia="ja-JP"/>
            </w:rPr>
          </w:pPr>
          <w:r>
            <w:rPr>
              <w:noProof/>
            </w:rPr>
            <w:t>The Atkinson-Stiglitz theorem and Chamley &amp; Judd</w:t>
          </w:r>
          <w:r>
            <w:rPr>
              <w:noProof/>
            </w:rPr>
            <w:tab/>
          </w:r>
          <w:r>
            <w:rPr>
              <w:noProof/>
            </w:rPr>
            <w:fldChar w:fldCharType="begin"/>
          </w:r>
          <w:r>
            <w:rPr>
              <w:noProof/>
            </w:rPr>
            <w:instrText xml:space="preserve"> PAGEREF _Toc331345800 \h </w:instrText>
          </w:r>
          <w:r>
            <w:rPr>
              <w:noProof/>
            </w:rPr>
          </w:r>
          <w:r>
            <w:rPr>
              <w:noProof/>
            </w:rPr>
            <w:fldChar w:fldCharType="separate"/>
          </w:r>
          <w:r>
            <w:rPr>
              <w:noProof/>
            </w:rPr>
            <w:t>23</w:t>
          </w:r>
          <w:r>
            <w:rPr>
              <w:noProof/>
            </w:rPr>
            <w:fldChar w:fldCharType="end"/>
          </w:r>
        </w:p>
        <w:p w14:paraId="5F4E51A5" w14:textId="77777777" w:rsidR="00BF2854" w:rsidRDefault="00BF2854">
          <w:pPr>
            <w:pStyle w:val="TOC2"/>
            <w:tabs>
              <w:tab w:val="right" w:pos="9054"/>
            </w:tabs>
            <w:rPr>
              <w:i w:val="0"/>
              <w:noProof/>
              <w:sz w:val="24"/>
              <w:szCs w:val="24"/>
              <w:lang w:val="en-US" w:eastAsia="ja-JP"/>
            </w:rPr>
          </w:pPr>
          <w:r>
            <w:rPr>
              <w:noProof/>
            </w:rPr>
            <w:t>Countering distortions in labour supply</w:t>
          </w:r>
          <w:r>
            <w:rPr>
              <w:noProof/>
            </w:rPr>
            <w:tab/>
          </w:r>
          <w:r>
            <w:rPr>
              <w:noProof/>
            </w:rPr>
            <w:fldChar w:fldCharType="begin"/>
          </w:r>
          <w:r>
            <w:rPr>
              <w:noProof/>
            </w:rPr>
            <w:instrText xml:space="preserve"> PAGEREF _Toc331345801 \h </w:instrText>
          </w:r>
          <w:r>
            <w:rPr>
              <w:noProof/>
            </w:rPr>
          </w:r>
          <w:r>
            <w:rPr>
              <w:noProof/>
            </w:rPr>
            <w:fldChar w:fldCharType="separate"/>
          </w:r>
          <w:r>
            <w:rPr>
              <w:noProof/>
            </w:rPr>
            <w:t>24</w:t>
          </w:r>
          <w:r>
            <w:rPr>
              <w:noProof/>
            </w:rPr>
            <w:fldChar w:fldCharType="end"/>
          </w:r>
        </w:p>
        <w:p w14:paraId="5A9F2173" w14:textId="77777777" w:rsidR="00BF2854" w:rsidRDefault="00BF2854">
          <w:pPr>
            <w:pStyle w:val="TOC2"/>
            <w:tabs>
              <w:tab w:val="right" w:pos="9054"/>
            </w:tabs>
            <w:rPr>
              <w:i w:val="0"/>
              <w:noProof/>
              <w:sz w:val="24"/>
              <w:szCs w:val="24"/>
              <w:lang w:val="en-US" w:eastAsia="ja-JP"/>
            </w:rPr>
          </w:pPr>
          <w:r>
            <w:rPr>
              <w:noProof/>
            </w:rPr>
            <w:t>Arbitrage and income shifting</w:t>
          </w:r>
          <w:r>
            <w:rPr>
              <w:noProof/>
            </w:rPr>
            <w:tab/>
          </w:r>
          <w:r>
            <w:rPr>
              <w:noProof/>
            </w:rPr>
            <w:fldChar w:fldCharType="begin"/>
          </w:r>
          <w:r>
            <w:rPr>
              <w:noProof/>
            </w:rPr>
            <w:instrText xml:space="preserve"> PAGEREF _Toc331345802 \h </w:instrText>
          </w:r>
          <w:r>
            <w:rPr>
              <w:noProof/>
            </w:rPr>
          </w:r>
          <w:r>
            <w:rPr>
              <w:noProof/>
            </w:rPr>
            <w:fldChar w:fldCharType="separate"/>
          </w:r>
          <w:r>
            <w:rPr>
              <w:noProof/>
            </w:rPr>
            <w:t>27</w:t>
          </w:r>
          <w:r>
            <w:rPr>
              <w:noProof/>
            </w:rPr>
            <w:fldChar w:fldCharType="end"/>
          </w:r>
        </w:p>
        <w:p w14:paraId="25D311F2" w14:textId="77777777" w:rsidR="00BF2854" w:rsidRDefault="00BF2854">
          <w:pPr>
            <w:pStyle w:val="TOC2"/>
            <w:tabs>
              <w:tab w:val="right" w:pos="9054"/>
            </w:tabs>
            <w:rPr>
              <w:i w:val="0"/>
              <w:noProof/>
              <w:sz w:val="24"/>
              <w:szCs w:val="24"/>
              <w:lang w:val="en-US" w:eastAsia="ja-JP"/>
            </w:rPr>
          </w:pPr>
          <w:r>
            <w:rPr>
              <w:noProof/>
            </w:rPr>
            <w:t>Earning ability</w:t>
          </w:r>
          <w:r>
            <w:rPr>
              <w:noProof/>
            </w:rPr>
            <w:tab/>
          </w:r>
          <w:r>
            <w:rPr>
              <w:noProof/>
            </w:rPr>
            <w:fldChar w:fldCharType="begin"/>
          </w:r>
          <w:r>
            <w:rPr>
              <w:noProof/>
            </w:rPr>
            <w:instrText xml:space="preserve"> PAGEREF _Toc331345803 \h </w:instrText>
          </w:r>
          <w:r>
            <w:rPr>
              <w:noProof/>
            </w:rPr>
          </w:r>
          <w:r>
            <w:rPr>
              <w:noProof/>
            </w:rPr>
            <w:fldChar w:fldCharType="separate"/>
          </w:r>
          <w:r>
            <w:rPr>
              <w:noProof/>
            </w:rPr>
            <w:t>30</w:t>
          </w:r>
          <w:r>
            <w:rPr>
              <w:noProof/>
            </w:rPr>
            <w:fldChar w:fldCharType="end"/>
          </w:r>
        </w:p>
        <w:p w14:paraId="2D642A3C" w14:textId="77777777" w:rsidR="00BF2854" w:rsidRDefault="00BF2854">
          <w:pPr>
            <w:pStyle w:val="TOC2"/>
            <w:tabs>
              <w:tab w:val="right" w:pos="9054"/>
            </w:tabs>
            <w:rPr>
              <w:i w:val="0"/>
              <w:noProof/>
              <w:sz w:val="24"/>
              <w:szCs w:val="24"/>
              <w:lang w:val="en-US" w:eastAsia="ja-JP"/>
            </w:rPr>
          </w:pPr>
          <w:r>
            <w:rPr>
              <w:noProof/>
            </w:rPr>
            <w:t>Inheritances</w:t>
          </w:r>
          <w:r>
            <w:rPr>
              <w:noProof/>
            </w:rPr>
            <w:tab/>
          </w:r>
          <w:r>
            <w:rPr>
              <w:noProof/>
            </w:rPr>
            <w:fldChar w:fldCharType="begin"/>
          </w:r>
          <w:r>
            <w:rPr>
              <w:noProof/>
            </w:rPr>
            <w:instrText xml:space="preserve"> PAGEREF _Toc331345804 \h </w:instrText>
          </w:r>
          <w:r>
            <w:rPr>
              <w:noProof/>
            </w:rPr>
          </w:r>
          <w:r>
            <w:rPr>
              <w:noProof/>
            </w:rPr>
            <w:fldChar w:fldCharType="separate"/>
          </w:r>
          <w:r>
            <w:rPr>
              <w:noProof/>
            </w:rPr>
            <w:t>34</w:t>
          </w:r>
          <w:r>
            <w:rPr>
              <w:noProof/>
            </w:rPr>
            <w:fldChar w:fldCharType="end"/>
          </w:r>
        </w:p>
        <w:p w14:paraId="76B517E9" w14:textId="77777777" w:rsidR="00BF2854" w:rsidRDefault="00BF2854">
          <w:pPr>
            <w:pStyle w:val="TOC2"/>
            <w:tabs>
              <w:tab w:val="right" w:pos="9054"/>
            </w:tabs>
            <w:rPr>
              <w:i w:val="0"/>
              <w:noProof/>
              <w:sz w:val="24"/>
              <w:szCs w:val="24"/>
              <w:lang w:val="en-US" w:eastAsia="ja-JP"/>
            </w:rPr>
          </w:pPr>
          <w:r>
            <w:rPr>
              <w:noProof/>
            </w:rPr>
            <w:t>Uncertainty and luck</w:t>
          </w:r>
          <w:r>
            <w:rPr>
              <w:noProof/>
            </w:rPr>
            <w:tab/>
          </w:r>
          <w:r>
            <w:rPr>
              <w:noProof/>
            </w:rPr>
            <w:fldChar w:fldCharType="begin"/>
          </w:r>
          <w:r>
            <w:rPr>
              <w:noProof/>
            </w:rPr>
            <w:instrText xml:space="preserve"> PAGEREF _Toc331345805 \h </w:instrText>
          </w:r>
          <w:r>
            <w:rPr>
              <w:noProof/>
            </w:rPr>
          </w:r>
          <w:r>
            <w:rPr>
              <w:noProof/>
            </w:rPr>
            <w:fldChar w:fldCharType="separate"/>
          </w:r>
          <w:r>
            <w:rPr>
              <w:noProof/>
            </w:rPr>
            <w:t>35</w:t>
          </w:r>
          <w:r>
            <w:rPr>
              <w:noProof/>
            </w:rPr>
            <w:fldChar w:fldCharType="end"/>
          </w:r>
        </w:p>
        <w:p w14:paraId="1C6336DD" w14:textId="77777777" w:rsidR="00BF2854" w:rsidRDefault="00BF2854">
          <w:pPr>
            <w:pStyle w:val="TOC2"/>
            <w:tabs>
              <w:tab w:val="right" w:pos="9054"/>
            </w:tabs>
            <w:rPr>
              <w:i w:val="0"/>
              <w:noProof/>
              <w:sz w:val="24"/>
              <w:szCs w:val="24"/>
              <w:lang w:val="en-US" w:eastAsia="ja-JP"/>
            </w:rPr>
          </w:pPr>
          <w:r>
            <w:rPr>
              <w:noProof/>
            </w:rPr>
            <w:t>Rents</w:t>
          </w:r>
          <w:r>
            <w:rPr>
              <w:noProof/>
            </w:rPr>
            <w:tab/>
          </w:r>
          <w:r>
            <w:rPr>
              <w:noProof/>
            </w:rPr>
            <w:fldChar w:fldCharType="begin"/>
          </w:r>
          <w:r>
            <w:rPr>
              <w:noProof/>
            </w:rPr>
            <w:instrText xml:space="preserve"> PAGEREF _Toc331345806 \h </w:instrText>
          </w:r>
          <w:r>
            <w:rPr>
              <w:noProof/>
            </w:rPr>
          </w:r>
          <w:r>
            <w:rPr>
              <w:noProof/>
            </w:rPr>
            <w:fldChar w:fldCharType="separate"/>
          </w:r>
          <w:r>
            <w:rPr>
              <w:noProof/>
            </w:rPr>
            <w:t>36</w:t>
          </w:r>
          <w:r>
            <w:rPr>
              <w:noProof/>
            </w:rPr>
            <w:fldChar w:fldCharType="end"/>
          </w:r>
        </w:p>
        <w:p w14:paraId="253C8172" w14:textId="77777777" w:rsidR="00BF2854" w:rsidRDefault="00BF2854">
          <w:pPr>
            <w:pStyle w:val="TOC2"/>
            <w:tabs>
              <w:tab w:val="right" w:pos="9054"/>
            </w:tabs>
            <w:rPr>
              <w:i w:val="0"/>
              <w:noProof/>
              <w:sz w:val="24"/>
              <w:szCs w:val="24"/>
              <w:lang w:val="en-US" w:eastAsia="ja-JP"/>
            </w:rPr>
          </w:pPr>
          <w:r>
            <w:rPr>
              <w:noProof/>
            </w:rPr>
            <w:t>Conclusion</w:t>
          </w:r>
          <w:r>
            <w:rPr>
              <w:noProof/>
            </w:rPr>
            <w:tab/>
          </w:r>
          <w:r>
            <w:rPr>
              <w:noProof/>
            </w:rPr>
            <w:fldChar w:fldCharType="begin"/>
          </w:r>
          <w:r>
            <w:rPr>
              <w:noProof/>
            </w:rPr>
            <w:instrText xml:space="preserve"> PAGEREF _Toc331345807 \h </w:instrText>
          </w:r>
          <w:r>
            <w:rPr>
              <w:noProof/>
            </w:rPr>
          </w:r>
          <w:r>
            <w:rPr>
              <w:noProof/>
            </w:rPr>
            <w:fldChar w:fldCharType="separate"/>
          </w:r>
          <w:r>
            <w:rPr>
              <w:noProof/>
            </w:rPr>
            <w:t>36</w:t>
          </w:r>
          <w:r>
            <w:rPr>
              <w:noProof/>
            </w:rPr>
            <w:fldChar w:fldCharType="end"/>
          </w:r>
        </w:p>
        <w:p w14:paraId="1D3EBEFE" w14:textId="77777777" w:rsidR="00BF2854" w:rsidRDefault="00BF2854">
          <w:pPr>
            <w:pStyle w:val="TOC1"/>
            <w:tabs>
              <w:tab w:val="right" w:pos="9054"/>
            </w:tabs>
            <w:rPr>
              <w:b w:val="0"/>
              <w:noProof/>
              <w:sz w:val="24"/>
              <w:szCs w:val="24"/>
              <w:lang w:val="en-US" w:eastAsia="ja-JP"/>
            </w:rPr>
          </w:pPr>
          <w:r>
            <w:rPr>
              <w:noProof/>
            </w:rPr>
            <w:t>Chapter 6 – Arguments regarding capital gains taxation</w:t>
          </w:r>
          <w:r>
            <w:rPr>
              <w:noProof/>
            </w:rPr>
            <w:tab/>
          </w:r>
          <w:r>
            <w:rPr>
              <w:noProof/>
            </w:rPr>
            <w:fldChar w:fldCharType="begin"/>
          </w:r>
          <w:r>
            <w:rPr>
              <w:noProof/>
            </w:rPr>
            <w:instrText xml:space="preserve"> PAGEREF _Toc331345808 \h </w:instrText>
          </w:r>
          <w:r>
            <w:rPr>
              <w:noProof/>
            </w:rPr>
          </w:r>
          <w:r>
            <w:rPr>
              <w:noProof/>
            </w:rPr>
            <w:fldChar w:fldCharType="separate"/>
          </w:r>
          <w:r>
            <w:rPr>
              <w:noProof/>
            </w:rPr>
            <w:t>38</w:t>
          </w:r>
          <w:r>
            <w:rPr>
              <w:noProof/>
            </w:rPr>
            <w:fldChar w:fldCharType="end"/>
          </w:r>
        </w:p>
        <w:p w14:paraId="0B31E22E" w14:textId="77777777" w:rsidR="00BF2854" w:rsidRDefault="00BF2854">
          <w:pPr>
            <w:pStyle w:val="TOC2"/>
            <w:tabs>
              <w:tab w:val="right" w:pos="9054"/>
            </w:tabs>
            <w:rPr>
              <w:i w:val="0"/>
              <w:noProof/>
              <w:sz w:val="24"/>
              <w:szCs w:val="24"/>
              <w:lang w:val="en-US" w:eastAsia="ja-JP"/>
            </w:rPr>
          </w:pPr>
          <w:r>
            <w:rPr>
              <w:noProof/>
            </w:rPr>
            <w:t>The ‘lock-in’ effect</w:t>
          </w:r>
          <w:r>
            <w:rPr>
              <w:noProof/>
            </w:rPr>
            <w:tab/>
          </w:r>
          <w:r>
            <w:rPr>
              <w:noProof/>
            </w:rPr>
            <w:fldChar w:fldCharType="begin"/>
          </w:r>
          <w:r>
            <w:rPr>
              <w:noProof/>
            </w:rPr>
            <w:instrText xml:space="preserve"> PAGEREF _Toc331345809 \h </w:instrText>
          </w:r>
          <w:r>
            <w:rPr>
              <w:noProof/>
            </w:rPr>
          </w:r>
          <w:r>
            <w:rPr>
              <w:noProof/>
            </w:rPr>
            <w:fldChar w:fldCharType="separate"/>
          </w:r>
          <w:r>
            <w:rPr>
              <w:noProof/>
            </w:rPr>
            <w:t>38</w:t>
          </w:r>
          <w:r>
            <w:rPr>
              <w:noProof/>
            </w:rPr>
            <w:fldChar w:fldCharType="end"/>
          </w:r>
        </w:p>
        <w:p w14:paraId="13BEB244" w14:textId="77777777" w:rsidR="00BF2854" w:rsidRDefault="00BF2854">
          <w:pPr>
            <w:pStyle w:val="TOC2"/>
            <w:tabs>
              <w:tab w:val="right" w:pos="9054"/>
            </w:tabs>
            <w:rPr>
              <w:i w:val="0"/>
              <w:noProof/>
              <w:sz w:val="24"/>
              <w:szCs w:val="24"/>
              <w:lang w:val="en-US" w:eastAsia="ja-JP"/>
            </w:rPr>
          </w:pPr>
          <w:r>
            <w:rPr>
              <w:noProof/>
            </w:rPr>
            <w:t>Sub-optimal portfolio diversification</w:t>
          </w:r>
          <w:r>
            <w:rPr>
              <w:noProof/>
            </w:rPr>
            <w:tab/>
          </w:r>
          <w:r>
            <w:rPr>
              <w:noProof/>
            </w:rPr>
            <w:fldChar w:fldCharType="begin"/>
          </w:r>
          <w:r>
            <w:rPr>
              <w:noProof/>
            </w:rPr>
            <w:instrText xml:space="preserve"> PAGEREF _Toc331345810 \h </w:instrText>
          </w:r>
          <w:r>
            <w:rPr>
              <w:noProof/>
            </w:rPr>
          </w:r>
          <w:r>
            <w:rPr>
              <w:noProof/>
            </w:rPr>
            <w:fldChar w:fldCharType="separate"/>
          </w:r>
          <w:r>
            <w:rPr>
              <w:noProof/>
            </w:rPr>
            <w:t>40</w:t>
          </w:r>
          <w:r>
            <w:rPr>
              <w:noProof/>
            </w:rPr>
            <w:fldChar w:fldCharType="end"/>
          </w:r>
        </w:p>
        <w:p w14:paraId="15C98CFC" w14:textId="77777777" w:rsidR="00BF2854" w:rsidRDefault="00BF2854">
          <w:pPr>
            <w:pStyle w:val="TOC2"/>
            <w:tabs>
              <w:tab w:val="right" w:pos="9054"/>
            </w:tabs>
            <w:rPr>
              <w:i w:val="0"/>
              <w:noProof/>
              <w:sz w:val="24"/>
              <w:szCs w:val="24"/>
              <w:lang w:val="en-US" w:eastAsia="ja-JP"/>
            </w:rPr>
          </w:pPr>
          <w:r>
            <w:rPr>
              <w:noProof/>
            </w:rPr>
            <w:t>Government revenue</w:t>
          </w:r>
          <w:r>
            <w:rPr>
              <w:noProof/>
            </w:rPr>
            <w:tab/>
          </w:r>
          <w:r>
            <w:rPr>
              <w:noProof/>
            </w:rPr>
            <w:fldChar w:fldCharType="begin"/>
          </w:r>
          <w:r>
            <w:rPr>
              <w:noProof/>
            </w:rPr>
            <w:instrText xml:space="preserve"> PAGEREF _Toc331345811 \h </w:instrText>
          </w:r>
          <w:r>
            <w:rPr>
              <w:noProof/>
            </w:rPr>
          </w:r>
          <w:r>
            <w:rPr>
              <w:noProof/>
            </w:rPr>
            <w:fldChar w:fldCharType="separate"/>
          </w:r>
          <w:r>
            <w:rPr>
              <w:noProof/>
            </w:rPr>
            <w:t>42</w:t>
          </w:r>
          <w:r>
            <w:rPr>
              <w:noProof/>
            </w:rPr>
            <w:fldChar w:fldCharType="end"/>
          </w:r>
        </w:p>
        <w:p w14:paraId="70324E73" w14:textId="77777777" w:rsidR="00BF2854" w:rsidRDefault="00BF2854">
          <w:pPr>
            <w:pStyle w:val="TOC2"/>
            <w:tabs>
              <w:tab w:val="right" w:pos="9054"/>
            </w:tabs>
            <w:rPr>
              <w:i w:val="0"/>
              <w:noProof/>
              <w:sz w:val="24"/>
              <w:szCs w:val="24"/>
              <w:lang w:val="en-US" w:eastAsia="ja-JP"/>
            </w:rPr>
          </w:pPr>
          <w:r>
            <w:rPr>
              <w:noProof/>
            </w:rPr>
            <w:t>Entrepreneurship and risk taking</w:t>
          </w:r>
          <w:r>
            <w:rPr>
              <w:noProof/>
            </w:rPr>
            <w:tab/>
          </w:r>
          <w:r>
            <w:rPr>
              <w:noProof/>
            </w:rPr>
            <w:fldChar w:fldCharType="begin"/>
          </w:r>
          <w:r>
            <w:rPr>
              <w:noProof/>
            </w:rPr>
            <w:instrText xml:space="preserve"> PAGEREF _Toc331345812 \h </w:instrText>
          </w:r>
          <w:r>
            <w:rPr>
              <w:noProof/>
            </w:rPr>
          </w:r>
          <w:r>
            <w:rPr>
              <w:noProof/>
            </w:rPr>
            <w:fldChar w:fldCharType="separate"/>
          </w:r>
          <w:r>
            <w:rPr>
              <w:noProof/>
            </w:rPr>
            <w:t>45</w:t>
          </w:r>
          <w:r>
            <w:rPr>
              <w:noProof/>
            </w:rPr>
            <w:fldChar w:fldCharType="end"/>
          </w:r>
        </w:p>
        <w:p w14:paraId="54F886BD" w14:textId="77777777" w:rsidR="00BF2854" w:rsidRDefault="00BF2854">
          <w:pPr>
            <w:pStyle w:val="TOC2"/>
            <w:tabs>
              <w:tab w:val="right" w:pos="9054"/>
            </w:tabs>
            <w:rPr>
              <w:i w:val="0"/>
              <w:noProof/>
              <w:sz w:val="24"/>
              <w:szCs w:val="24"/>
              <w:lang w:val="en-US" w:eastAsia="ja-JP"/>
            </w:rPr>
          </w:pPr>
          <w:r>
            <w:rPr>
              <w:noProof/>
            </w:rPr>
            <w:t>Compliance, administrative costs</w:t>
          </w:r>
          <w:r>
            <w:rPr>
              <w:noProof/>
            </w:rPr>
            <w:tab/>
          </w:r>
          <w:r>
            <w:rPr>
              <w:noProof/>
            </w:rPr>
            <w:fldChar w:fldCharType="begin"/>
          </w:r>
          <w:r>
            <w:rPr>
              <w:noProof/>
            </w:rPr>
            <w:instrText xml:space="preserve"> PAGEREF _Toc331345813 \h </w:instrText>
          </w:r>
          <w:r>
            <w:rPr>
              <w:noProof/>
            </w:rPr>
          </w:r>
          <w:r>
            <w:rPr>
              <w:noProof/>
            </w:rPr>
            <w:fldChar w:fldCharType="separate"/>
          </w:r>
          <w:r>
            <w:rPr>
              <w:noProof/>
            </w:rPr>
            <w:t>48</w:t>
          </w:r>
          <w:r>
            <w:rPr>
              <w:noProof/>
            </w:rPr>
            <w:fldChar w:fldCharType="end"/>
          </w:r>
        </w:p>
        <w:p w14:paraId="5D55EF54" w14:textId="77777777" w:rsidR="00BF2854" w:rsidRDefault="00BF2854">
          <w:pPr>
            <w:pStyle w:val="TOC2"/>
            <w:tabs>
              <w:tab w:val="right" w:pos="9054"/>
            </w:tabs>
            <w:rPr>
              <w:i w:val="0"/>
              <w:noProof/>
              <w:sz w:val="24"/>
              <w:szCs w:val="24"/>
              <w:lang w:val="en-US" w:eastAsia="ja-JP"/>
            </w:rPr>
          </w:pPr>
          <w:r>
            <w:rPr>
              <w:noProof/>
            </w:rPr>
            <w:t>Tax avoidance</w:t>
          </w:r>
          <w:r>
            <w:rPr>
              <w:noProof/>
            </w:rPr>
            <w:tab/>
          </w:r>
          <w:r>
            <w:rPr>
              <w:noProof/>
            </w:rPr>
            <w:fldChar w:fldCharType="begin"/>
          </w:r>
          <w:r>
            <w:rPr>
              <w:noProof/>
            </w:rPr>
            <w:instrText xml:space="preserve"> PAGEREF _Toc331345814 \h </w:instrText>
          </w:r>
          <w:r>
            <w:rPr>
              <w:noProof/>
            </w:rPr>
          </w:r>
          <w:r>
            <w:rPr>
              <w:noProof/>
            </w:rPr>
            <w:fldChar w:fldCharType="separate"/>
          </w:r>
          <w:r>
            <w:rPr>
              <w:noProof/>
            </w:rPr>
            <w:t>48</w:t>
          </w:r>
          <w:r>
            <w:rPr>
              <w:noProof/>
            </w:rPr>
            <w:fldChar w:fldCharType="end"/>
          </w:r>
        </w:p>
        <w:p w14:paraId="44CB4E38" w14:textId="77777777" w:rsidR="00BF2854" w:rsidRDefault="00BF2854">
          <w:pPr>
            <w:pStyle w:val="TOC2"/>
            <w:tabs>
              <w:tab w:val="right" w:pos="9054"/>
            </w:tabs>
            <w:rPr>
              <w:i w:val="0"/>
              <w:noProof/>
              <w:sz w:val="24"/>
              <w:szCs w:val="24"/>
              <w:lang w:val="en-US" w:eastAsia="ja-JP"/>
            </w:rPr>
          </w:pPr>
          <w:r>
            <w:rPr>
              <w:noProof/>
            </w:rPr>
            <w:t>Conclusion</w:t>
          </w:r>
          <w:r>
            <w:rPr>
              <w:noProof/>
            </w:rPr>
            <w:tab/>
          </w:r>
          <w:r>
            <w:rPr>
              <w:noProof/>
            </w:rPr>
            <w:fldChar w:fldCharType="begin"/>
          </w:r>
          <w:r>
            <w:rPr>
              <w:noProof/>
            </w:rPr>
            <w:instrText xml:space="preserve"> PAGEREF _Toc331345815 \h </w:instrText>
          </w:r>
          <w:r>
            <w:rPr>
              <w:noProof/>
            </w:rPr>
          </w:r>
          <w:r>
            <w:rPr>
              <w:noProof/>
            </w:rPr>
            <w:fldChar w:fldCharType="separate"/>
          </w:r>
          <w:r>
            <w:rPr>
              <w:noProof/>
            </w:rPr>
            <w:t>49</w:t>
          </w:r>
          <w:r>
            <w:rPr>
              <w:noProof/>
            </w:rPr>
            <w:fldChar w:fldCharType="end"/>
          </w:r>
        </w:p>
        <w:p w14:paraId="468498FA" w14:textId="77777777" w:rsidR="00BF2854" w:rsidRDefault="00BF2854">
          <w:pPr>
            <w:pStyle w:val="TOC1"/>
            <w:tabs>
              <w:tab w:val="right" w:pos="9054"/>
            </w:tabs>
            <w:rPr>
              <w:b w:val="0"/>
              <w:noProof/>
              <w:sz w:val="24"/>
              <w:szCs w:val="24"/>
              <w:lang w:val="en-US" w:eastAsia="ja-JP"/>
            </w:rPr>
          </w:pPr>
          <w:r>
            <w:rPr>
              <w:noProof/>
            </w:rPr>
            <w:t>Concluding remarks</w:t>
          </w:r>
          <w:r>
            <w:rPr>
              <w:noProof/>
            </w:rPr>
            <w:tab/>
          </w:r>
          <w:r>
            <w:rPr>
              <w:noProof/>
            </w:rPr>
            <w:fldChar w:fldCharType="begin"/>
          </w:r>
          <w:r>
            <w:rPr>
              <w:noProof/>
            </w:rPr>
            <w:instrText xml:space="preserve"> PAGEREF _Toc331345816 \h </w:instrText>
          </w:r>
          <w:r>
            <w:rPr>
              <w:noProof/>
            </w:rPr>
          </w:r>
          <w:r>
            <w:rPr>
              <w:noProof/>
            </w:rPr>
            <w:fldChar w:fldCharType="separate"/>
          </w:r>
          <w:r>
            <w:rPr>
              <w:noProof/>
            </w:rPr>
            <w:t>50</w:t>
          </w:r>
          <w:r>
            <w:rPr>
              <w:noProof/>
            </w:rPr>
            <w:fldChar w:fldCharType="end"/>
          </w:r>
        </w:p>
        <w:p w14:paraId="67ED9878" w14:textId="77777777" w:rsidR="00BF2854" w:rsidRDefault="00BF2854">
          <w:pPr>
            <w:pStyle w:val="TOC1"/>
            <w:tabs>
              <w:tab w:val="right" w:pos="9054"/>
            </w:tabs>
            <w:rPr>
              <w:b w:val="0"/>
              <w:noProof/>
              <w:sz w:val="24"/>
              <w:szCs w:val="24"/>
              <w:lang w:val="en-US" w:eastAsia="ja-JP"/>
            </w:rPr>
          </w:pPr>
          <w:r>
            <w:rPr>
              <w:noProof/>
            </w:rPr>
            <w:t>References</w:t>
          </w:r>
          <w:r>
            <w:rPr>
              <w:noProof/>
            </w:rPr>
            <w:tab/>
          </w:r>
          <w:r>
            <w:rPr>
              <w:noProof/>
            </w:rPr>
            <w:fldChar w:fldCharType="begin"/>
          </w:r>
          <w:r>
            <w:rPr>
              <w:noProof/>
            </w:rPr>
            <w:instrText xml:space="preserve"> PAGEREF _Toc331345817 \h </w:instrText>
          </w:r>
          <w:r>
            <w:rPr>
              <w:noProof/>
            </w:rPr>
          </w:r>
          <w:r>
            <w:rPr>
              <w:noProof/>
            </w:rPr>
            <w:fldChar w:fldCharType="separate"/>
          </w:r>
          <w:r>
            <w:rPr>
              <w:noProof/>
            </w:rPr>
            <w:t>52</w:t>
          </w:r>
          <w:r>
            <w:rPr>
              <w:noProof/>
            </w:rPr>
            <w:fldChar w:fldCharType="end"/>
          </w:r>
        </w:p>
        <w:p w14:paraId="4F20B240" w14:textId="6F3EA6FD" w:rsidR="009B1BE4" w:rsidRDefault="009B1BE4">
          <w:r>
            <w:rPr>
              <w:b/>
              <w:bCs/>
              <w:noProof/>
            </w:rPr>
            <w:fldChar w:fldCharType="end"/>
          </w:r>
        </w:p>
      </w:sdtContent>
    </w:sdt>
    <w:p w14:paraId="54B38823" w14:textId="76DC4C9B" w:rsidR="00890669" w:rsidRPr="00AE339B" w:rsidRDefault="00D6507C" w:rsidP="00B755CA">
      <w:pPr>
        <w:pStyle w:val="Heading1"/>
      </w:pPr>
      <w:r>
        <w:br w:type="column"/>
      </w:r>
      <w:bookmarkStart w:id="1" w:name="_Toc331344934"/>
      <w:bookmarkStart w:id="2" w:name="_Toc331345784"/>
      <w:r w:rsidR="00DA7913" w:rsidRPr="00AE339B">
        <w:lastRenderedPageBreak/>
        <w:t>Introduction</w:t>
      </w:r>
      <w:bookmarkEnd w:id="1"/>
      <w:bookmarkEnd w:id="2"/>
    </w:p>
    <w:p w14:paraId="067A7731" w14:textId="77777777" w:rsidR="007267B4" w:rsidRPr="00AE339B" w:rsidRDefault="00DA7913" w:rsidP="00DA7913">
      <w:pPr>
        <w:spacing w:line="360" w:lineRule="auto"/>
      </w:pPr>
      <w:r w:rsidRPr="00AE339B">
        <w:t xml:space="preserve">In the Netherlands, like many other developed countries, wealth concerns a significant part of the economy. In 2014, more than 95% of households possessed financial assets. The values of bank savings and securities of households added up to more than 300 billion euros each (CBS, 2015). </w:t>
      </w:r>
      <w:r w:rsidR="00770DD4" w:rsidRPr="00AE339B">
        <w:t xml:space="preserve">Income is flowing from all this capital. </w:t>
      </w:r>
      <w:r w:rsidRPr="00AE339B">
        <w:t xml:space="preserve">Thomas Piketty, in </w:t>
      </w:r>
      <w:r w:rsidR="00353C4D" w:rsidRPr="00AE339B">
        <w:t>h</w:t>
      </w:r>
      <w:r w:rsidRPr="00AE339B">
        <w:t>is work on capital in the 21</w:t>
      </w:r>
      <w:r w:rsidRPr="00AE339B">
        <w:rPr>
          <w:vertAlign w:val="superscript"/>
        </w:rPr>
        <w:t>st</w:t>
      </w:r>
      <w:r w:rsidRPr="00AE339B">
        <w:t xml:space="preserve"> century, pleads for a higher wealth tax in order to temper growing inequality (Piketty, 2013). However, in his book he does not devote much attention to how the system of taxing wealth should be shaped. </w:t>
      </w:r>
      <w:r w:rsidR="00FE5F41" w:rsidRPr="00AE339B">
        <w:t>T</w:t>
      </w:r>
      <w:r w:rsidR="00353C4D" w:rsidRPr="00AE339B">
        <w:t>he t</w:t>
      </w:r>
      <w:r w:rsidR="00FE5F41" w:rsidRPr="00AE339B">
        <w:t xml:space="preserve">axation </w:t>
      </w:r>
      <w:r w:rsidR="00353C4D" w:rsidRPr="00AE339B">
        <w:t xml:space="preserve">of wealth has a direct influence on most of </w:t>
      </w:r>
      <w:r w:rsidR="00987956" w:rsidRPr="00AE339B">
        <w:t>the people in our society.</w:t>
      </w:r>
      <w:r w:rsidR="00FE5F41" w:rsidRPr="00AE339B">
        <w:t xml:space="preserve"> </w:t>
      </w:r>
      <w:r w:rsidR="00987956" w:rsidRPr="00AE339B">
        <w:t>Thus, it is relevant to question the means by which we do so</w:t>
      </w:r>
      <w:r w:rsidR="00FE5F41" w:rsidRPr="00AE339B">
        <w:t xml:space="preserve">. </w:t>
      </w:r>
      <w:r w:rsidR="007267B4" w:rsidRPr="00AE339B">
        <w:t xml:space="preserve">Countries differ in their approach to taxing wealth. In 2001, the Netherlands has started applying a proportional wealth tax; Annually, </w:t>
      </w:r>
      <w:r w:rsidR="003A51A9" w:rsidRPr="00AE339B">
        <w:t>a presumed capital yield</w:t>
      </w:r>
      <w:r w:rsidR="007267B4" w:rsidRPr="00AE339B">
        <w:t xml:space="preserve"> of 4%</w:t>
      </w:r>
      <w:r w:rsidR="00770DD4" w:rsidRPr="00AE339B">
        <w:t xml:space="preserve"> on wealth</w:t>
      </w:r>
      <w:r w:rsidR="007267B4" w:rsidRPr="00AE339B">
        <w:t xml:space="preserve"> is taxed at a rate of 30%, leading to an effective rate of 1.2%. </w:t>
      </w:r>
      <w:r w:rsidR="00A41FC2" w:rsidRPr="00AE339B">
        <w:t xml:space="preserve">Capital gains are not taxed in the Netherlands </w:t>
      </w:r>
      <w:sdt>
        <w:sdtPr>
          <w:id w:val="-17315129"/>
          <w:citation/>
        </w:sdtPr>
        <w:sdtEndPr/>
        <w:sdtContent>
          <w:r w:rsidR="00A41FC2" w:rsidRPr="00AE339B">
            <w:fldChar w:fldCharType="begin"/>
          </w:r>
          <w:r w:rsidR="00A41FC2" w:rsidRPr="00AE339B">
            <w:rPr>
              <w:lang w:val="nl-NL"/>
            </w:rPr>
            <w:instrText xml:space="preserve"> CITATION Kam05 \l 1043 </w:instrText>
          </w:r>
          <w:r w:rsidR="00A41FC2" w:rsidRPr="00AE339B">
            <w:fldChar w:fldCharType="separate"/>
          </w:r>
          <w:r w:rsidR="00A41FC2" w:rsidRPr="00AE339B">
            <w:rPr>
              <w:noProof/>
              <w:lang w:val="nl-NL"/>
            </w:rPr>
            <w:t>(Kamerstuk, 2005)</w:t>
          </w:r>
          <w:r w:rsidR="00A41FC2" w:rsidRPr="00AE339B">
            <w:fldChar w:fldCharType="end"/>
          </w:r>
        </w:sdtContent>
      </w:sdt>
      <w:r w:rsidR="00A41FC2" w:rsidRPr="00AE339B">
        <w:t xml:space="preserve">. </w:t>
      </w:r>
    </w:p>
    <w:p w14:paraId="233B496D" w14:textId="77777777" w:rsidR="007267B4" w:rsidRPr="00AE339B" w:rsidRDefault="007267B4" w:rsidP="00DA7913">
      <w:pPr>
        <w:spacing w:line="360" w:lineRule="auto"/>
      </w:pPr>
    </w:p>
    <w:p w14:paraId="347C9E09" w14:textId="77777777" w:rsidR="00D151DA" w:rsidRPr="00AE339B" w:rsidRDefault="00D151DA" w:rsidP="00DA7913">
      <w:pPr>
        <w:spacing w:line="360" w:lineRule="auto"/>
        <w:rPr>
          <w:i/>
        </w:rPr>
      </w:pPr>
      <w:r w:rsidRPr="00AE339B">
        <w:rPr>
          <w:i/>
        </w:rPr>
        <w:t>Capital gains tax</w:t>
      </w:r>
    </w:p>
    <w:p w14:paraId="2BC78508" w14:textId="70B26F8B" w:rsidR="007267B4" w:rsidRPr="00AE339B" w:rsidRDefault="007267B4" w:rsidP="00DA7913">
      <w:pPr>
        <w:spacing w:line="360" w:lineRule="auto"/>
      </w:pPr>
      <w:r w:rsidRPr="00AE339B">
        <w:t xml:space="preserve">Many developed countries use a capital gains tax. For example, the UK and France have them at rates of 28% and 39% respectively </w:t>
      </w:r>
      <w:sdt>
        <w:sdtPr>
          <w:id w:val="1704053476"/>
          <w:citation/>
        </w:sdtPr>
        <w:sdtEndPr/>
        <w:sdtContent>
          <w:r w:rsidRPr="00AE339B">
            <w:fldChar w:fldCharType="begin"/>
          </w:r>
          <w:r w:rsidRPr="00AE339B">
            <w:rPr>
              <w:lang w:val="nl-NL"/>
            </w:rPr>
            <w:instrText xml:space="preserve"> CITATION Mic13 \l 1043 </w:instrText>
          </w:r>
          <w:r w:rsidRPr="00AE339B">
            <w:fldChar w:fldCharType="separate"/>
          </w:r>
          <w:r w:rsidRPr="00AE339B">
            <w:rPr>
              <w:noProof/>
              <w:lang w:val="nl-NL"/>
            </w:rPr>
            <w:t>(Harding, 2013)</w:t>
          </w:r>
          <w:r w:rsidRPr="00AE339B">
            <w:fldChar w:fldCharType="end"/>
          </w:r>
        </w:sdtContent>
      </w:sdt>
      <w:r w:rsidR="00554BE9">
        <w:t>. In the prese</w:t>
      </w:r>
      <w:r w:rsidR="00572062">
        <w:t>nt situation in most countries,</w:t>
      </w:r>
      <w:r w:rsidRPr="00AE339B">
        <w:t xml:space="preserve"> capital gains tax</w:t>
      </w:r>
      <w:r w:rsidR="00572062">
        <w:t>es</w:t>
      </w:r>
      <w:r w:rsidRPr="00AE339B">
        <w:t xml:space="preserve"> </w:t>
      </w:r>
      <w:r w:rsidR="00572062">
        <w:t>are</w:t>
      </w:r>
      <w:r w:rsidR="005325FF" w:rsidRPr="00AE339B">
        <w:t xml:space="preserve"> levied on asset</w:t>
      </w:r>
      <w:r w:rsidR="006D3967" w:rsidRPr="00AE339B">
        <w:t>s upon realization</w:t>
      </w:r>
      <w:r w:rsidR="00CE7C20" w:rsidRPr="00AE339B">
        <w:rPr>
          <w:rStyle w:val="FootnoteReference"/>
        </w:rPr>
        <w:footnoteReference w:id="1"/>
      </w:r>
      <w:r w:rsidR="005325FF" w:rsidRPr="00AE339B">
        <w:t>. The amount that is subject to tax equals the value at the moment of sale minus the value at the moment the asset was obtained</w:t>
      </w:r>
      <w:r w:rsidR="00C95BA4" w:rsidRPr="00AE339B">
        <w:t>.</w:t>
      </w:r>
      <w:r w:rsidR="007D3010" w:rsidRPr="00AE339B">
        <w:t xml:space="preserve"> This concerns all assets an individual or company holds.</w:t>
      </w:r>
      <w:r w:rsidR="008A796C" w:rsidRPr="00AE339B">
        <w:t xml:space="preserve"> </w:t>
      </w:r>
      <w:r w:rsidR="00F668FC" w:rsidRPr="00AE339B">
        <w:t>In essence, capital gains are a form of capital income. Thus, the arguments related to taxing capital income are also relevant for the taxing of capital gains.</w:t>
      </w:r>
      <w:r w:rsidR="00DC2E10" w:rsidRPr="00AE339B">
        <w:rPr>
          <w:rStyle w:val="FootnoteReference"/>
        </w:rPr>
        <w:t xml:space="preserve"> </w:t>
      </w:r>
    </w:p>
    <w:p w14:paraId="20473B81" w14:textId="77777777" w:rsidR="004170D9" w:rsidRPr="00AE339B" w:rsidRDefault="004170D9" w:rsidP="00DA7913">
      <w:pPr>
        <w:spacing w:line="360" w:lineRule="auto"/>
      </w:pPr>
    </w:p>
    <w:p w14:paraId="67C29529" w14:textId="77777777" w:rsidR="00AB0B59" w:rsidRPr="00AE339B" w:rsidRDefault="00BE36AB" w:rsidP="00DA7913">
      <w:pPr>
        <w:spacing w:line="360" w:lineRule="auto"/>
      </w:pPr>
      <w:r w:rsidRPr="00AE339B">
        <w:t xml:space="preserve">The discussion on how to set a framework for taxation </w:t>
      </w:r>
      <w:r w:rsidR="001224AA" w:rsidRPr="00AE339B">
        <w:t>is relevant for our society</w:t>
      </w:r>
      <w:r w:rsidRPr="00AE339B">
        <w:t xml:space="preserve">. </w:t>
      </w:r>
      <w:r w:rsidR="00DA7913" w:rsidRPr="00AE339B">
        <w:t xml:space="preserve">The purpose of this research is to </w:t>
      </w:r>
      <w:r w:rsidR="00417580" w:rsidRPr="00AE339B">
        <w:t>add to the debate by evaluating</w:t>
      </w:r>
      <w:r w:rsidR="00DA7913" w:rsidRPr="00AE339B">
        <w:t xml:space="preserve"> the </w:t>
      </w:r>
      <w:r w:rsidR="00AE775B" w:rsidRPr="00AE339B">
        <w:t xml:space="preserve">merits and flaws of a </w:t>
      </w:r>
      <w:r w:rsidR="00DA7913" w:rsidRPr="00AE339B">
        <w:t xml:space="preserve">capital gains tax </w:t>
      </w:r>
      <w:r w:rsidR="00AE775B" w:rsidRPr="00AE339B">
        <w:t>as a taxation tool</w:t>
      </w:r>
      <w:r w:rsidR="00DA7913" w:rsidRPr="00AE339B">
        <w:t xml:space="preserve">. </w:t>
      </w:r>
      <w:r w:rsidR="00822EBA" w:rsidRPr="00AE339B">
        <w:t>The</w:t>
      </w:r>
      <w:r w:rsidR="00E25CF6" w:rsidRPr="00AE339B">
        <w:t xml:space="preserve"> theory of optimal taxation provides theoretical </w:t>
      </w:r>
      <w:r w:rsidR="00822EBA" w:rsidRPr="00AE339B">
        <w:t xml:space="preserve">arguments </w:t>
      </w:r>
      <w:r w:rsidR="00E25CF6" w:rsidRPr="00AE339B">
        <w:t xml:space="preserve">both </w:t>
      </w:r>
      <w:r w:rsidR="00822EBA" w:rsidRPr="00AE339B">
        <w:t xml:space="preserve">for </w:t>
      </w:r>
      <w:r w:rsidR="00E25CF6" w:rsidRPr="00AE339B">
        <w:t xml:space="preserve">and against a capital gains tax. In this research, </w:t>
      </w:r>
      <w:r w:rsidR="00822EBA" w:rsidRPr="00AE339B">
        <w:t xml:space="preserve">empirical studies are </w:t>
      </w:r>
      <w:r w:rsidR="00D44F68" w:rsidRPr="00AE339B">
        <w:t>presented, in order to test the validity of the</w:t>
      </w:r>
      <w:r w:rsidR="00E25CF6" w:rsidRPr="00AE339B">
        <w:t>se</w:t>
      </w:r>
      <w:r w:rsidR="00D44F68" w:rsidRPr="00AE339B">
        <w:t xml:space="preserve"> theoretical arguments.</w:t>
      </w:r>
      <w:r w:rsidR="00E25CF6" w:rsidRPr="00AE339B">
        <w:t xml:space="preserve"> Examples from </w:t>
      </w:r>
      <w:r w:rsidR="00E25CF6" w:rsidRPr="00AE339B">
        <w:lastRenderedPageBreak/>
        <w:t>various countries will be reviewed to make a complete and solid analysis of the effects of a capital gains tax.</w:t>
      </w:r>
    </w:p>
    <w:p w14:paraId="2EE122CF" w14:textId="77777777" w:rsidR="00D20E8D" w:rsidRPr="00AE339B" w:rsidRDefault="00D20E8D" w:rsidP="00DA7913">
      <w:pPr>
        <w:spacing w:line="360" w:lineRule="auto"/>
      </w:pPr>
    </w:p>
    <w:p w14:paraId="0E011BAB" w14:textId="77777777" w:rsidR="00F3239A" w:rsidRPr="00AE339B" w:rsidRDefault="009D214B" w:rsidP="00DA7913">
      <w:pPr>
        <w:spacing w:line="360" w:lineRule="auto"/>
      </w:pPr>
      <w:r w:rsidRPr="00AE339B">
        <w:t xml:space="preserve">It is </w:t>
      </w:r>
      <w:r w:rsidR="00C2698D" w:rsidRPr="00AE339B">
        <w:t>important to note that this</w:t>
      </w:r>
      <w:r w:rsidRPr="00AE339B">
        <w:t xml:space="preserve"> research focuses on the advantages and disadvantages of a capital gains tax from an abstract perspective. It is an objective analysis of the tool that is a capital gains tax. </w:t>
      </w:r>
      <w:r w:rsidR="00853084" w:rsidRPr="00AE339B">
        <w:t>Countries that levy a</w:t>
      </w:r>
      <w:r w:rsidR="00C2698D" w:rsidRPr="00AE339B">
        <w:t xml:space="preserve"> capital gains tax differ in </w:t>
      </w:r>
      <w:r w:rsidR="00853084" w:rsidRPr="00AE339B">
        <w:t xml:space="preserve">the </w:t>
      </w:r>
      <w:r w:rsidR="00C2698D" w:rsidRPr="00AE339B">
        <w:t xml:space="preserve">rates and amounts of </w:t>
      </w:r>
      <w:r w:rsidR="00911924" w:rsidRPr="00AE339B">
        <w:t>exemptions</w:t>
      </w:r>
      <w:r w:rsidR="00853084" w:rsidRPr="00AE339B">
        <w:t xml:space="preserve"> they set</w:t>
      </w:r>
      <w:r w:rsidR="00911924" w:rsidRPr="00AE339B">
        <w:t>. This</w:t>
      </w:r>
      <w:r w:rsidR="00C2698D" w:rsidRPr="00AE339B">
        <w:t xml:space="preserve"> research does not</w:t>
      </w:r>
      <w:r w:rsidR="008D53C9" w:rsidRPr="00AE339B">
        <w:t xml:space="preserve"> </w:t>
      </w:r>
      <w:r w:rsidR="00CD6CE5" w:rsidRPr="00AE339B">
        <w:t xml:space="preserve">aim to </w:t>
      </w:r>
      <w:r w:rsidR="008D53C9" w:rsidRPr="00AE339B">
        <w:t xml:space="preserve">evaluate one specific approach, but </w:t>
      </w:r>
      <w:r w:rsidR="00C2698D" w:rsidRPr="00AE339B">
        <w:t>the effects of a capital gains tax</w:t>
      </w:r>
      <w:r w:rsidR="000E5030" w:rsidRPr="00AE339B">
        <w:t xml:space="preserve"> in broad sense</w:t>
      </w:r>
      <w:r w:rsidR="00C2698D" w:rsidRPr="00AE339B">
        <w:t xml:space="preserve">. </w:t>
      </w:r>
    </w:p>
    <w:p w14:paraId="5B8F3900" w14:textId="77777777" w:rsidR="008E20B4" w:rsidRPr="00AE339B" w:rsidRDefault="008E20B4" w:rsidP="00DA7913">
      <w:pPr>
        <w:spacing w:line="360" w:lineRule="auto"/>
      </w:pPr>
    </w:p>
    <w:p w14:paraId="3DCC098A" w14:textId="1E5B1F00" w:rsidR="00F84C90" w:rsidRDefault="00F84C90" w:rsidP="00DA7913">
      <w:pPr>
        <w:spacing w:line="360" w:lineRule="auto"/>
      </w:pPr>
      <w:r>
        <w:t>The central o</w:t>
      </w:r>
      <w:r w:rsidR="008E554D">
        <w:t xml:space="preserve">bjective of this research is to evaluate a capital gains tax as a taxing tool from an optimal welfare perspective. </w:t>
      </w:r>
      <w:r w:rsidR="00306127">
        <w:t>It strives to identify</w:t>
      </w:r>
      <w:r>
        <w:t xml:space="preserve"> advantages and disadvantages of a capital gains t</w:t>
      </w:r>
      <w:r w:rsidR="00422334">
        <w:t>ax.</w:t>
      </w:r>
      <w:r w:rsidR="00380B29">
        <w:t xml:space="preserve"> First capital income taxation in general shall be </w:t>
      </w:r>
      <w:r w:rsidR="002C5AC9">
        <w:t>reviewed</w:t>
      </w:r>
      <w:r w:rsidR="00AC3AFC">
        <w:t>, as this context is important for the evaluation of a capital gains tax</w:t>
      </w:r>
      <w:r w:rsidR="00380B29">
        <w:t>. Then</w:t>
      </w:r>
      <w:r w:rsidR="00E61010">
        <w:t>,</w:t>
      </w:r>
      <w:r w:rsidR="00380B29">
        <w:t xml:space="preserve"> the paper will focus </w:t>
      </w:r>
      <w:r w:rsidR="005E15D9">
        <w:t>on the effects of a capital gains tax</w:t>
      </w:r>
      <w:r w:rsidR="00380B29">
        <w:t xml:space="preserve"> in specific.</w:t>
      </w:r>
    </w:p>
    <w:p w14:paraId="4BA7999A" w14:textId="77777777" w:rsidR="008E554D" w:rsidRDefault="008E554D" w:rsidP="00DA7913">
      <w:pPr>
        <w:spacing w:line="360" w:lineRule="auto"/>
        <w:rPr>
          <w:i/>
        </w:rPr>
      </w:pPr>
    </w:p>
    <w:p w14:paraId="2C96A804" w14:textId="77777777" w:rsidR="00DA7913" w:rsidRPr="00AE339B" w:rsidRDefault="00DA7913" w:rsidP="00DA7913">
      <w:pPr>
        <w:spacing w:line="360" w:lineRule="auto"/>
        <w:rPr>
          <w:i/>
        </w:rPr>
      </w:pPr>
      <w:r w:rsidRPr="00AE339B">
        <w:rPr>
          <w:i/>
        </w:rPr>
        <w:t xml:space="preserve">Overview </w:t>
      </w:r>
    </w:p>
    <w:p w14:paraId="2AB85D9F" w14:textId="2258B026" w:rsidR="00DA7913" w:rsidRPr="00AE339B" w:rsidRDefault="00DA7913" w:rsidP="00E77565">
      <w:pPr>
        <w:spacing w:line="360" w:lineRule="auto"/>
      </w:pPr>
      <w:r w:rsidRPr="00AE339B">
        <w:t xml:space="preserve">In this research, I review the </w:t>
      </w:r>
      <w:r w:rsidR="00D70103">
        <w:t>theoretical and empirical literature on</w:t>
      </w:r>
      <w:r w:rsidRPr="00AE339B">
        <w:t xml:space="preserve"> capital gain</w:t>
      </w:r>
      <w:r w:rsidR="006B4686" w:rsidRPr="00AE339B">
        <w:t>s</w:t>
      </w:r>
      <w:r w:rsidR="00607DD1" w:rsidRPr="00AE339B">
        <w:t xml:space="preserve"> tax</w:t>
      </w:r>
      <w:r w:rsidR="00D70103">
        <w:t>ation</w:t>
      </w:r>
      <w:r w:rsidR="00607DD1" w:rsidRPr="00AE339B">
        <w:t xml:space="preserve">. </w:t>
      </w:r>
      <w:r w:rsidR="004E3D18">
        <w:t xml:space="preserve">Chapter one presents an introduction to </w:t>
      </w:r>
      <w:r w:rsidRPr="00AE339B">
        <w:t>the optimal theory of</w:t>
      </w:r>
      <w:r w:rsidR="009E66E3">
        <w:t xml:space="preserve"> taxation</w:t>
      </w:r>
      <w:r w:rsidR="00E90DFC" w:rsidRPr="00AE339B">
        <w:t xml:space="preserve">. </w:t>
      </w:r>
      <w:r w:rsidR="00B541BE">
        <w:t>Then, c</w:t>
      </w:r>
      <w:r w:rsidR="00216B4B">
        <w:t>hapter two gives an overview of capital taxation around the globe</w:t>
      </w:r>
      <w:r w:rsidR="00DD0BB6">
        <w:t>. In chapter three a positive analysis is performed of the effect of capital taxation on savings behaviour</w:t>
      </w:r>
      <w:r w:rsidR="005A35CE">
        <w:t>. Chapter four review</w:t>
      </w:r>
      <w:r w:rsidR="006147E7">
        <w:t>s</w:t>
      </w:r>
      <w:r w:rsidR="005A35CE">
        <w:t xml:space="preserve"> the </w:t>
      </w:r>
      <w:r w:rsidR="00A521B2">
        <w:t>theories</w:t>
      </w:r>
      <w:r w:rsidR="005A35CE">
        <w:t xml:space="preserve"> regarding </w:t>
      </w:r>
      <w:r w:rsidR="00A521B2">
        <w:t>capital gains taxat</w:t>
      </w:r>
      <w:r w:rsidR="006E0C2D">
        <w:t>ion and portfolio behaviour as well as risk taking</w:t>
      </w:r>
      <w:r w:rsidR="006147E7">
        <w:t>.</w:t>
      </w:r>
      <w:r w:rsidR="007B10E7">
        <w:t xml:space="preserve"> In chapter five, arguments are presented for capital </w:t>
      </w:r>
      <w:r w:rsidR="002214B8">
        <w:t xml:space="preserve">income </w:t>
      </w:r>
      <w:r w:rsidR="007B10E7">
        <w:t>taxation</w:t>
      </w:r>
      <w:r w:rsidR="004118FF">
        <w:t xml:space="preserve">. Chapter six </w:t>
      </w:r>
      <w:r w:rsidR="00B64A3F">
        <w:t>provides the empirics related</w:t>
      </w:r>
      <w:r w:rsidR="00CA0B9F">
        <w:t xml:space="preserve"> to chapter three and </w:t>
      </w:r>
      <w:r w:rsidR="00493390">
        <w:t>gives</w:t>
      </w:r>
      <w:r w:rsidR="004118FF">
        <w:t xml:space="preserve"> arguments </w:t>
      </w:r>
      <w:r w:rsidR="008544D7">
        <w:t>regarding</w:t>
      </w:r>
      <w:r w:rsidR="002A285D">
        <w:t xml:space="preserve"> capital gains taxation</w:t>
      </w:r>
      <w:r w:rsidR="008544D7">
        <w:t>.</w:t>
      </w:r>
      <w:r w:rsidR="00B541BE">
        <w:t xml:space="preserve"> </w:t>
      </w:r>
      <w:r w:rsidR="0020053C">
        <w:t>The paper ends with some concluding remarks.</w:t>
      </w:r>
    </w:p>
    <w:p w14:paraId="7DEC7121" w14:textId="77777777" w:rsidR="000D4C08" w:rsidRPr="00AE339B" w:rsidRDefault="000D4C08" w:rsidP="00DA7913">
      <w:pPr>
        <w:spacing w:line="360" w:lineRule="auto"/>
      </w:pPr>
    </w:p>
    <w:p w14:paraId="72BCED0E" w14:textId="77777777" w:rsidR="00F937A9" w:rsidRPr="00AE339B" w:rsidRDefault="00F937A9">
      <w:pPr>
        <w:rPr>
          <w:i/>
        </w:rPr>
      </w:pPr>
      <w:r w:rsidRPr="00AE339B">
        <w:rPr>
          <w:i/>
        </w:rPr>
        <w:br w:type="page"/>
      </w:r>
    </w:p>
    <w:p w14:paraId="54DF2BD8" w14:textId="77777777" w:rsidR="00E32AE6" w:rsidRDefault="009951C3" w:rsidP="00E145D3">
      <w:pPr>
        <w:pStyle w:val="Heading1"/>
      </w:pPr>
      <w:bookmarkStart w:id="3" w:name="_Toc331344935"/>
      <w:bookmarkStart w:id="4" w:name="_Toc331345785"/>
      <w:r>
        <w:lastRenderedPageBreak/>
        <w:t xml:space="preserve">Chapter </w:t>
      </w:r>
      <w:r w:rsidR="00BD1080">
        <w:t>one</w:t>
      </w:r>
      <w:r>
        <w:t xml:space="preserve"> - </w:t>
      </w:r>
      <w:r w:rsidR="000D4C08" w:rsidRPr="00AE339B">
        <w:t>Theory of optimal taxation</w:t>
      </w:r>
      <w:bookmarkEnd w:id="3"/>
      <w:bookmarkEnd w:id="4"/>
    </w:p>
    <w:p w14:paraId="10A1DDC1" w14:textId="77777777" w:rsidR="00CC4853" w:rsidRDefault="00E23925" w:rsidP="00C00406">
      <w:pPr>
        <w:spacing w:line="360" w:lineRule="auto"/>
      </w:pPr>
      <w:r>
        <w:t xml:space="preserve">In the optimal theory of taxation, the main goal for the government is the maximisation of social welfare. </w:t>
      </w:r>
      <w:r w:rsidR="000C6D0B">
        <w:t>Social</w:t>
      </w:r>
      <w:r w:rsidR="005D68E4">
        <w:t xml:space="preserve"> welfare is considered a cumulative of all the utility that is obtained by individuals in society</w:t>
      </w:r>
      <w:r w:rsidR="006D3CBE">
        <w:t>, adjusted for weights assigned to each individual</w:t>
      </w:r>
      <w:r w:rsidR="005D68E4">
        <w:t xml:space="preserve">. Corporations are not taken into account, since all benefits and costs eventually flow towards the individuals. </w:t>
      </w:r>
      <w:r w:rsidR="00CC1272">
        <w:t xml:space="preserve">The same thing goes for the government, which belongs to the people. Citizens in a country pay taxes, and in return they are granted with facilities such </w:t>
      </w:r>
      <w:r w:rsidR="00CC1272" w:rsidRPr="00CC4853">
        <w:t>as infrastructure, jurisdiction and law-enforcement</w:t>
      </w:r>
      <w:r w:rsidR="00CC4853" w:rsidRPr="00CC4853">
        <w:t xml:space="preserve"> </w:t>
      </w:r>
      <w:r w:rsidR="00CC4853" w:rsidRPr="00CC4853">
        <w:rPr>
          <w:noProof/>
          <w:lang w:val="nl-NL"/>
        </w:rPr>
        <w:t>(Jacobs, 2015)</w:t>
      </w:r>
      <w:r w:rsidR="00CC1272" w:rsidRPr="00CC4853">
        <w:t xml:space="preserve">. </w:t>
      </w:r>
    </w:p>
    <w:p w14:paraId="2CC4F840" w14:textId="77777777" w:rsidR="005849F3" w:rsidRDefault="005849F3" w:rsidP="00C00406">
      <w:pPr>
        <w:spacing w:line="360" w:lineRule="auto"/>
      </w:pPr>
    </w:p>
    <w:p w14:paraId="1B747F80" w14:textId="7390C558" w:rsidR="005849F3" w:rsidRDefault="008C72B2" w:rsidP="00C00406">
      <w:pPr>
        <w:spacing w:line="360" w:lineRule="auto"/>
      </w:pPr>
      <w:r>
        <w:t>Utility</w:t>
      </w:r>
      <w:r w:rsidR="009B4B63">
        <w:t xml:space="preserve"> </w:t>
      </w:r>
      <w:r w:rsidR="000B3D78">
        <w:t xml:space="preserve">increases </w:t>
      </w:r>
      <w:r w:rsidR="00EE19CA">
        <w:t>with</w:t>
      </w:r>
      <w:r w:rsidR="000B3D78">
        <w:t xml:space="preserve"> consumption of scarce goods that allows the satisfying of </w:t>
      </w:r>
      <w:r>
        <w:t xml:space="preserve">an individual’s </w:t>
      </w:r>
      <w:r w:rsidR="000B3D78">
        <w:t>needs</w:t>
      </w:r>
      <w:r w:rsidR="009B4B63">
        <w:t xml:space="preserve">. </w:t>
      </w:r>
      <w:r w:rsidR="003F04D5">
        <w:t xml:space="preserve">Not only material goods enhance </w:t>
      </w:r>
      <w:r w:rsidR="007C08D0">
        <w:t>well-being</w:t>
      </w:r>
      <w:r w:rsidR="003F04D5">
        <w:t>. L</w:t>
      </w:r>
      <w:r w:rsidR="00836C41">
        <w:t>eisure</w:t>
      </w:r>
      <w:r w:rsidR="003F04D5">
        <w:t>, for example,</w:t>
      </w:r>
      <w:r w:rsidR="00836C41">
        <w:t xml:space="preserve"> is also </w:t>
      </w:r>
      <w:r w:rsidR="00470D4F">
        <w:t xml:space="preserve">a </w:t>
      </w:r>
      <w:r w:rsidR="00836C41">
        <w:t>source of utility</w:t>
      </w:r>
      <w:r w:rsidR="00B06F27">
        <w:t>.</w:t>
      </w:r>
      <w:r w:rsidR="00640C0C">
        <w:t xml:space="preserve"> </w:t>
      </w:r>
      <w:r w:rsidR="005849F3">
        <w:t>Individuals are assumed to behave rational and to have consistent preferences.</w:t>
      </w:r>
      <w:r w:rsidR="00F12C35">
        <w:t xml:space="preserve"> They maximise utility, subject to their own budget constraint.</w:t>
      </w:r>
      <w:r w:rsidR="00421994">
        <w:t xml:space="preserve"> Economically speaking, the only sources of inequality stem from the differences in earning ability or skill level on the one hand, and initial endowments on the other.</w:t>
      </w:r>
    </w:p>
    <w:p w14:paraId="5F4C1994" w14:textId="77777777" w:rsidR="005849F3" w:rsidRDefault="005849F3" w:rsidP="00C00406">
      <w:pPr>
        <w:spacing w:line="360" w:lineRule="auto"/>
      </w:pPr>
    </w:p>
    <w:p w14:paraId="057E38EE" w14:textId="77777777" w:rsidR="00B05F2F" w:rsidRDefault="00B05F2F" w:rsidP="00C00406">
      <w:pPr>
        <w:spacing w:line="360" w:lineRule="auto"/>
      </w:pPr>
      <w:r>
        <w:t xml:space="preserve">When defining welfare, the </w:t>
      </w:r>
      <w:r w:rsidR="00075644">
        <w:t xml:space="preserve">optimal taxation </w:t>
      </w:r>
      <w:r>
        <w:t xml:space="preserve">theory uses the broad sense of the concept. Not only </w:t>
      </w:r>
      <w:r w:rsidR="005D62AE">
        <w:t>factors</w:t>
      </w:r>
      <w:r>
        <w:t xml:space="preserve"> such as income and wealth are considered, but also</w:t>
      </w:r>
      <w:r w:rsidR="00640C0C">
        <w:t xml:space="preserve"> quality of </w:t>
      </w:r>
      <w:r w:rsidR="00D63D3D">
        <w:t>environment</w:t>
      </w:r>
      <w:r>
        <w:t xml:space="preserve"> and other external factors</w:t>
      </w:r>
      <w:r w:rsidR="00640C0C">
        <w:t xml:space="preserve"> adding towards a higher general quality of life</w:t>
      </w:r>
      <w:r>
        <w:t>.</w:t>
      </w:r>
    </w:p>
    <w:p w14:paraId="565AC718" w14:textId="77777777" w:rsidR="008B75E9" w:rsidRDefault="008B75E9" w:rsidP="00C00406">
      <w:pPr>
        <w:spacing w:line="360" w:lineRule="auto"/>
      </w:pPr>
    </w:p>
    <w:p w14:paraId="7394CC3E" w14:textId="77777777" w:rsidR="008B75E9" w:rsidRDefault="008B75E9" w:rsidP="00C00406">
      <w:pPr>
        <w:spacing w:line="360" w:lineRule="auto"/>
      </w:pPr>
      <w:r>
        <w:t xml:space="preserve">It is clear that the government should be able to aggregate the utility across individuals in order to evaluate the social welfare. </w:t>
      </w:r>
      <w:r w:rsidR="00200A26">
        <w:t>It</w:t>
      </w:r>
      <w:r>
        <w:t xml:space="preserve"> can be difficult to quantify utility, which is necessary in ord</w:t>
      </w:r>
      <w:r w:rsidR="00691474">
        <w:t>er to perform an analysis. This</w:t>
      </w:r>
      <w:r w:rsidR="00881FCB">
        <w:t xml:space="preserve"> hurdle</w:t>
      </w:r>
      <w:r>
        <w:t xml:space="preserve"> aside</w:t>
      </w:r>
      <w:r w:rsidR="00881FCB">
        <w:t>, the</w:t>
      </w:r>
      <w:r>
        <w:t xml:space="preserve"> government evaluate</w:t>
      </w:r>
      <w:r w:rsidR="00525A22">
        <w:t>s</w:t>
      </w:r>
      <w:r>
        <w:t xml:space="preserve"> taxation tools on the basis of their welfare maximising power. </w:t>
      </w:r>
    </w:p>
    <w:p w14:paraId="2E6C4F46" w14:textId="77777777" w:rsidR="00B05F2F" w:rsidRDefault="00B05F2F" w:rsidP="00C00406">
      <w:pPr>
        <w:spacing w:line="360" w:lineRule="auto"/>
      </w:pPr>
    </w:p>
    <w:p w14:paraId="0C2A07E0" w14:textId="77777777" w:rsidR="00F15349" w:rsidRDefault="006B53E7" w:rsidP="00C00406">
      <w:pPr>
        <w:spacing w:line="360" w:lineRule="auto"/>
      </w:pPr>
      <w:r>
        <w:t>In the</w:t>
      </w:r>
      <w:r w:rsidR="00FB2227">
        <w:t xml:space="preserve"> analysis</w:t>
      </w:r>
      <w:r w:rsidR="00940291">
        <w:t>,</w:t>
      </w:r>
      <w:r w:rsidR="00FB2227">
        <w:t xml:space="preserve"> t</w:t>
      </w:r>
      <w:r w:rsidR="008D410F">
        <w:t xml:space="preserve">he government represents a benevolent ruler that strives towards welfare maximisation. </w:t>
      </w:r>
      <w:r w:rsidR="00E23925">
        <w:t>There are two ways of fra</w:t>
      </w:r>
      <w:r w:rsidR="008D410F">
        <w:t>ming the path that leads to this goal</w:t>
      </w:r>
      <w:r w:rsidR="002A4D08">
        <w:t xml:space="preserve">. Essentially, they are </w:t>
      </w:r>
      <w:r w:rsidR="00F53E8E">
        <w:t>two sides of the same coin</w:t>
      </w:r>
      <w:r w:rsidR="002A4D08">
        <w:t>;</w:t>
      </w:r>
      <w:r w:rsidR="00E23925">
        <w:t xml:space="preserve"> </w:t>
      </w:r>
      <w:r w:rsidR="00BB7456">
        <w:t>On the one hand</w:t>
      </w:r>
      <w:r w:rsidR="00E23925">
        <w:t xml:space="preserve">, </w:t>
      </w:r>
      <w:r w:rsidR="00B05F2F">
        <w:t>the government can opt to maximis</w:t>
      </w:r>
      <w:r w:rsidR="001D3319">
        <w:t xml:space="preserve">e </w:t>
      </w:r>
      <w:r w:rsidR="00BB7456">
        <w:t xml:space="preserve">social welfare, </w:t>
      </w:r>
      <w:r w:rsidR="00273A02">
        <w:t xml:space="preserve">whilst </w:t>
      </w:r>
      <w:r w:rsidR="00BB7456">
        <w:t>subject</w:t>
      </w:r>
      <w:r w:rsidR="00273A02">
        <w:t>ed</w:t>
      </w:r>
      <w:r w:rsidR="00BB7456">
        <w:t xml:space="preserve"> to a certain budget </w:t>
      </w:r>
      <w:r w:rsidR="001D0663">
        <w:t>constraint</w:t>
      </w:r>
      <w:r w:rsidR="004655C1">
        <w:t xml:space="preserve"> for the economy. On the other hand, </w:t>
      </w:r>
      <w:r w:rsidR="003F4A29">
        <w:t>it can try and minimise the social cost whilst maintaining the existing distribution of welfare.</w:t>
      </w:r>
      <w:r w:rsidR="00F53E8E">
        <w:t xml:space="preserve"> </w:t>
      </w:r>
    </w:p>
    <w:p w14:paraId="437CCEE0" w14:textId="77777777" w:rsidR="00C932F4" w:rsidRDefault="00C932F4" w:rsidP="00C00406">
      <w:pPr>
        <w:spacing w:line="360" w:lineRule="auto"/>
      </w:pPr>
    </w:p>
    <w:p w14:paraId="2619518D" w14:textId="77777777" w:rsidR="00F15349" w:rsidRDefault="008B75E9" w:rsidP="00C00406">
      <w:pPr>
        <w:spacing w:line="360" w:lineRule="auto"/>
      </w:pPr>
      <w:r>
        <w:lastRenderedPageBreak/>
        <w:t>It is important to note that the government is not subject to any political restrictions</w:t>
      </w:r>
      <w:r w:rsidR="00C83AD5">
        <w:t xml:space="preserve">. The normative welfare-analysis concerns the policy structure </w:t>
      </w:r>
      <w:r w:rsidR="00C83AD5">
        <w:rPr>
          <w:i/>
        </w:rPr>
        <w:t>given</w:t>
      </w:r>
      <w:r w:rsidR="00C83AD5">
        <w:t xml:space="preserve"> social preferences. </w:t>
      </w:r>
      <w:r w:rsidR="002D66C4">
        <w:t>Welfare economics</w:t>
      </w:r>
      <w:r w:rsidR="00012B40">
        <w:t xml:space="preserve"> is only concerned with welfare.</w:t>
      </w:r>
      <w:r w:rsidR="002D66C4">
        <w:t xml:space="preserve"> </w:t>
      </w:r>
      <w:r w:rsidR="0051202D">
        <w:t xml:space="preserve">It </w:t>
      </w:r>
      <w:r w:rsidR="002D66C4">
        <w:t xml:space="preserve">does not prescribe the social preferences that a government should uphold. </w:t>
      </w:r>
      <w:r w:rsidR="00554463">
        <w:t>It is optimal to have a more equal income distribution</w:t>
      </w:r>
      <w:r w:rsidR="000668A0">
        <w:t xml:space="preserve">, </w:t>
      </w:r>
      <w:r w:rsidR="00554463">
        <w:t>i</w:t>
      </w:r>
      <w:r w:rsidR="008224FB">
        <w:t>f the social marginal utility of income decreases with income.</w:t>
      </w:r>
      <w:r w:rsidR="00EA6EF9">
        <w:t xml:space="preserve"> This can be the case if private marginal utility is declining in income, or if the government attaches more weight </w:t>
      </w:r>
      <w:r w:rsidR="00E2247E">
        <w:t>in terms of welfare to individuals with lower utility</w:t>
      </w:r>
      <w:r w:rsidR="0044284D">
        <w:t>.</w:t>
      </w:r>
      <w:r w:rsidR="008D7649">
        <w:t xml:space="preserve"> </w:t>
      </w:r>
      <w:r w:rsidR="008D50F5">
        <w:t xml:space="preserve">Thus, where some other fields of study might turn to a subjective concept of ‘fairness’, welfare economics is only concerned with optimisation of social welfare. It is up to the politicians to state </w:t>
      </w:r>
      <w:r w:rsidR="000B5634">
        <w:t xml:space="preserve">clearly </w:t>
      </w:r>
      <w:r w:rsidR="008D50F5">
        <w:t xml:space="preserve">the social preferences and the assigned weights to (classes of) individuals’ utility that </w:t>
      </w:r>
      <w:r w:rsidR="009117FF">
        <w:t>arise</w:t>
      </w:r>
      <w:r w:rsidR="008D50F5">
        <w:t xml:space="preserve"> from these </w:t>
      </w:r>
      <w:r w:rsidR="008D50F5" w:rsidRPr="00FA3BD2">
        <w:t>preferences</w:t>
      </w:r>
      <w:r w:rsidR="00FA3BD2" w:rsidRPr="00FA3BD2">
        <w:t xml:space="preserve"> </w:t>
      </w:r>
      <w:r w:rsidR="00FA3BD2" w:rsidRPr="00FA3BD2">
        <w:rPr>
          <w:noProof/>
          <w:lang w:val="nl-NL"/>
        </w:rPr>
        <w:t>(Jacobs, 2013)</w:t>
      </w:r>
      <w:r w:rsidR="008D50F5" w:rsidRPr="00FA3BD2">
        <w:t>.</w:t>
      </w:r>
      <w:r w:rsidR="00195CCD">
        <w:t xml:space="preserve"> </w:t>
      </w:r>
      <w:r w:rsidR="00AA5A22">
        <w:t>In practise, m</w:t>
      </w:r>
      <w:r w:rsidR="00195CCD">
        <w:t>ost governments do attach more weight to individuals with lower utility, so that income redistribution becomes a definite goal</w:t>
      </w:r>
      <w:r w:rsidR="005C0D5B">
        <w:t xml:space="preserve"> </w:t>
      </w:r>
      <w:r w:rsidR="00E21737">
        <w:t>also from a welfare-economics perspective</w:t>
      </w:r>
      <w:r w:rsidR="00195CCD">
        <w:t>.</w:t>
      </w:r>
    </w:p>
    <w:p w14:paraId="345A5076" w14:textId="77777777" w:rsidR="008B5A03" w:rsidRDefault="008B5A03" w:rsidP="00C00406">
      <w:pPr>
        <w:spacing w:line="360" w:lineRule="auto"/>
      </w:pPr>
    </w:p>
    <w:p w14:paraId="07CD883A" w14:textId="331EBDF2" w:rsidR="00F53FA8" w:rsidRDefault="008B5A03" w:rsidP="00C00406">
      <w:pPr>
        <w:spacing w:line="360" w:lineRule="auto"/>
      </w:pPr>
      <w:r>
        <w:t xml:space="preserve">The first theorem of welfare economics states that markets are </w:t>
      </w:r>
      <w:r w:rsidR="00877298">
        <w:t>efficient. F</w:t>
      </w:r>
      <w:r w:rsidR="00EF707B">
        <w:t>ailures of the</w:t>
      </w:r>
      <w:r>
        <w:t xml:space="preserve"> markets can be corrected by government action, in order to reduce social costs.</w:t>
      </w:r>
      <w:r w:rsidR="00315E4A">
        <w:t xml:space="preserve"> The second</w:t>
      </w:r>
      <w:r w:rsidR="00CC4853">
        <w:t xml:space="preserve"> theorem states that redistribution is possible without any social cost.</w:t>
      </w:r>
      <w:r w:rsidR="00FA3BD2">
        <w:t xml:space="preserve"> </w:t>
      </w:r>
      <w:r w:rsidR="00305B70">
        <w:t xml:space="preserve">The logic behind this theorem is the following: Individuals differ only in their earning ability and their initial endowment. It is possible to identify </w:t>
      </w:r>
      <w:r w:rsidR="00D24CDA">
        <w:t xml:space="preserve">these differences and levy a </w:t>
      </w:r>
      <w:r w:rsidR="00D24CDA" w:rsidRPr="002A545B">
        <w:rPr>
          <w:i/>
        </w:rPr>
        <w:t>lump-sum tax</w:t>
      </w:r>
      <w:r w:rsidR="00D24CDA">
        <w:t xml:space="preserve"> on every individual, dependent on their qualities. </w:t>
      </w:r>
      <w:r w:rsidR="007B0A53">
        <w:t>As there is no way to avoid this tax or adapt to it in any way, it is not distorting economic behaviour.</w:t>
      </w:r>
      <w:r w:rsidR="00B213A1">
        <w:t xml:space="preserve"> </w:t>
      </w:r>
      <w:r w:rsidR="00D06348">
        <w:t>This is the first best solution.</w:t>
      </w:r>
    </w:p>
    <w:p w14:paraId="72EFC5E0" w14:textId="77777777" w:rsidR="002A545B" w:rsidRDefault="002A545B" w:rsidP="00C00406">
      <w:pPr>
        <w:spacing w:line="360" w:lineRule="auto"/>
      </w:pPr>
    </w:p>
    <w:p w14:paraId="7387140A" w14:textId="3D69C4A8" w:rsidR="009E21C0" w:rsidRDefault="00891BA5" w:rsidP="008B3B59">
      <w:pPr>
        <w:spacing w:line="360" w:lineRule="auto"/>
      </w:pPr>
      <w:r>
        <w:t xml:space="preserve">However, unfortunately this </w:t>
      </w:r>
      <w:r w:rsidR="00877298">
        <w:t xml:space="preserve">second </w:t>
      </w:r>
      <w:r w:rsidR="00BA587F">
        <w:t>theorem does not hold</w:t>
      </w:r>
      <w:r>
        <w:t xml:space="preserve"> in our society, due to information asymmetry between the government and the private sector. The earning ability of individuals is private information and the government cannot verify this in any direct manner</w:t>
      </w:r>
      <w:r w:rsidR="009B4017" w:rsidRPr="009B4017">
        <w:t xml:space="preserve"> </w:t>
      </w:r>
      <w:r w:rsidR="00035036">
        <w:rPr>
          <w:noProof/>
          <w:lang w:val="nl-NL"/>
        </w:rPr>
        <w:t>(Mirrlees</w:t>
      </w:r>
      <w:r w:rsidR="00035036" w:rsidRPr="009B4017">
        <w:rPr>
          <w:noProof/>
          <w:lang w:val="nl-NL"/>
        </w:rPr>
        <w:t>, 1971)</w:t>
      </w:r>
      <w:r>
        <w:t>.</w:t>
      </w:r>
      <w:r w:rsidR="00DF437F">
        <w:t xml:space="preserve"> The government is restricted in the targets of its taxing instruments to verifiable behaviours of individuals</w:t>
      </w:r>
      <w:r w:rsidR="00DF1C87">
        <w:t>,</w:t>
      </w:r>
      <w:r w:rsidR="00DF437F">
        <w:t xml:space="preserve"> such as labour earnings, consumption expenditures and capital incomes.</w:t>
      </w:r>
      <w:r w:rsidR="008B3B59">
        <w:t xml:space="preserve"> These are second-best solutions.</w:t>
      </w:r>
      <w:r w:rsidR="00DF437F">
        <w:t xml:space="preserve"> The outcome of this structure is that high-ability individuals are incentivised to </w:t>
      </w:r>
      <w:r w:rsidR="00305CE0">
        <w:t>mimic low-ability individuals, in order to enjoy the more favourable tax treatment.</w:t>
      </w:r>
      <w:r w:rsidR="00F5229C">
        <w:t xml:space="preserve"> </w:t>
      </w:r>
      <w:r w:rsidR="00CD6E5E">
        <w:t xml:space="preserve">This takes the form of an efficiency cost, </w:t>
      </w:r>
      <w:r w:rsidR="002474A7">
        <w:t>since</w:t>
      </w:r>
      <w:r w:rsidR="00CD6E5E">
        <w:t xml:space="preserve"> high-ability individuals have less incentive to work, save, start an enterprise and invest in human capital. </w:t>
      </w:r>
      <w:r w:rsidR="00F5229C">
        <w:t xml:space="preserve">Thus, taxation forms a wedge between </w:t>
      </w:r>
      <w:r w:rsidR="00F5229C">
        <w:lastRenderedPageBreak/>
        <w:t xml:space="preserve">the benefits of an economic activity for society and the benefits for the </w:t>
      </w:r>
      <w:r w:rsidR="00CD6E5E">
        <w:t>individual.</w:t>
      </w:r>
      <w:r w:rsidR="00E46401">
        <w:t xml:space="preserve"> The result is a trade-off between equity</w:t>
      </w:r>
      <w:r w:rsidR="00C14A30">
        <w:t xml:space="preserve"> benefits</w:t>
      </w:r>
      <w:r w:rsidR="00E46401">
        <w:t xml:space="preserve"> and efficiency</w:t>
      </w:r>
      <w:r w:rsidR="00C14A30">
        <w:t xml:space="preserve"> costs </w:t>
      </w:r>
      <w:r w:rsidR="009E21C0">
        <w:t>of</w:t>
      </w:r>
      <w:r w:rsidR="00C14A30">
        <w:t xml:space="preserve"> the tax</w:t>
      </w:r>
      <w:r w:rsidR="00E46401">
        <w:t>.</w:t>
      </w:r>
    </w:p>
    <w:p w14:paraId="2018B29B" w14:textId="77777777" w:rsidR="00F53FA8" w:rsidRPr="008B3B59" w:rsidRDefault="00382449" w:rsidP="008B3B59">
      <w:pPr>
        <w:spacing w:line="360" w:lineRule="auto"/>
        <w:rPr>
          <w:lang w:val="en-US"/>
        </w:rPr>
      </w:pPr>
      <w:r>
        <w:tab/>
      </w:r>
    </w:p>
    <w:p w14:paraId="6E88983B" w14:textId="77777777" w:rsidR="00F5050B" w:rsidRDefault="00C35CEA" w:rsidP="00F5050B">
      <w:pPr>
        <w:spacing w:line="360" w:lineRule="auto"/>
        <w:rPr>
          <w:rFonts w:ascii="Cambria" w:hAnsi="Cambria" w:cs="Times"/>
          <w:lang w:val="en-US"/>
        </w:rPr>
      </w:pPr>
      <w:r>
        <w:t>Next to the vertical equity concerns of the government related to the redistribution of high-</w:t>
      </w:r>
      <w:r w:rsidR="00973565">
        <w:t>ability</w:t>
      </w:r>
      <w:r>
        <w:t xml:space="preserve"> to low-</w:t>
      </w:r>
      <w:r w:rsidR="00C47BC6">
        <w:t>ability</w:t>
      </w:r>
      <w:r>
        <w:t xml:space="preserve"> individuals</w:t>
      </w:r>
      <w:r w:rsidR="00705B16">
        <w:t>, there is also the valued concept of horizontal equity. Horizontal equity implies that a government does not discriminate between individuals that are equal in terms of ‘relevant’ characteristics</w:t>
      </w:r>
      <w:r w:rsidR="00194F12">
        <w:t xml:space="preserve">. However, </w:t>
      </w:r>
      <w:r w:rsidR="00C345D6">
        <w:t>some characteristics that may be relevant cannot be used in government policy. It is for example not generally accepted for the government to discriminate between race, age and gender.</w:t>
      </w:r>
      <w:r w:rsidR="007A5B28">
        <w:t xml:space="preserve"> </w:t>
      </w:r>
      <w:r w:rsidR="00A844F6">
        <w:t>Welfare economics</w:t>
      </w:r>
      <w:r w:rsidR="00D120E0">
        <w:t xml:space="preserve"> on the other hand,</w:t>
      </w:r>
      <w:r w:rsidR="00A844F6">
        <w:t xml:space="preserve"> states that all the characteristics that are correlated with ability should be included in the tax policy</w:t>
      </w:r>
      <w:r w:rsidR="00FF531B">
        <w:t xml:space="preserve"> </w:t>
      </w:r>
      <w:sdt>
        <w:sdtPr>
          <w:rPr>
            <w:rFonts w:ascii="Cambria" w:hAnsi="Cambria" w:cs="Times"/>
            <w:lang w:val="en-US"/>
          </w:rPr>
          <w:id w:val="-1820723678"/>
          <w:citation/>
        </w:sdtPr>
        <w:sdtEndPr/>
        <w:sdtContent>
          <w:r w:rsidR="004E438F" w:rsidRPr="004E438F">
            <w:rPr>
              <w:rFonts w:ascii="Cambria" w:hAnsi="Cambria" w:cs="Times"/>
              <w:lang w:val="en-US"/>
            </w:rPr>
            <w:fldChar w:fldCharType="begin"/>
          </w:r>
          <w:r w:rsidR="004E438F" w:rsidRPr="004E438F">
            <w:rPr>
              <w:rFonts w:ascii="Cambria" w:hAnsi="Cambria" w:cs="Times"/>
              <w:lang w:val="nl-NL"/>
            </w:rPr>
            <w:instrText xml:space="preserve"> CITATION GAA78 \l 1043 </w:instrText>
          </w:r>
          <w:r w:rsidR="004E438F" w:rsidRPr="004E438F">
            <w:rPr>
              <w:rFonts w:ascii="Cambria" w:hAnsi="Cambria" w:cs="Times"/>
              <w:lang w:val="en-US"/>
            </w:rPr>
            <w:fldChar w:fldCharType="separate"/>
          </w:r>
          <w:r w:rsidR="004E438F" w:rsidRPr="004E438F">
            <w:rPr>
              <w:rFonts w:ascii="Cambria" w:hAnsi="Cambria" w:cs="Times"/>
              <w:noProof/>
              <w:lang w:val="nl-NL"/>
            </w:rPr>
            <w:t>(Akerlof, 1978)</w:t>
          </w:r>
          <w:r w:rsidR="004E438F" w:rsidRPr="004E438F">
            <w:rPr>
              <w:rFonts w:ascii="Cambria" w:hAnsi="Cambria" w:cs="Times"/>
              <w:lang w:val="en-US"/>
            </w:rPr>
            <w:fldChar w:fldCharType="end"/>
          </w:r>
        </w:sdtContent>
      </w:sdt>
      <w:r w:rsidR="00FF531B">
        <w:rPr>
          <w:rFonts w:ascii="Cambria" w:hAnsi="Cambria" w:cs="Times"/>
          <w:lang w:val="en-US"/>
        </w:rPr>
        <w:t>.</w:t>
      </w:r>
      <w:r w:rsidR="008752BF">
        <w:rPr>
          <w:rFonts w:ascii="Cambria" w:hAnsi="Cambria" w:cs="Times"/>
          <w:lang w:val="en-US"/>
        </w:rPr>
        <w:t xml:space="preserve"> </w:t>
      </w:r>
    </w:p>
    <w:p w14:paraId="09450AEB" w14:textId="77777777" w:rsidR="004B4573" w:rsidRDefault="004B4573" w:rsidP="00F5050B">
      <w:pPr>
        <w:spacing w:line="360" w:lineRule="auto"/>
        <w:rPr>
          <w:rFonts w:ascii="Cambria" w:hAnsi="Cambria" w:cs="Times"/>
          <w:lang w:val="en-US"/>
        </w:rPr>
      </w:pPr>
    </w:p>
    <w:p w14:paraId="38C09A09" w14:textId="365E2638" w:rsidR="003E1C4F" w:rsidRDefault="005B68EA" w:rsidP="00F5050B">
      <w:pPr>
        <w:spacing w:line="360" w:lineRule="auto"/>
        <w:rPr>
          <w:rFonts w:ascii="Cambria" w:hAnsi="Cambria" w:cs="Times"/>
          <w:lang w:val="en-US"/>
        </w:rPr>
      </w:pPr>
      <w:r>
        <w:rPr>
          <w:rFonts w:ascii="Cambria" w:hAnsi="Cambria" w:cs="Times"/>
          <w:lang w:val="en-US"/>
        </w:rPr>
        <w:t>Concluding, t</w:t>
      </w:r>
      <w:r w:rsidR="003E1C4F">
        <w:rPr>
          <w:rFonts w:ascii="Cambria" w:hAnsi="Cambria" w:cs="Times"/>
          <w:lang w:val="en-US"/>
        </w:rPr>
        <w:t>he theory of optimal taxation has some implications when it comes to evaluating a capital income tax or a capital gains tax</w:t>
      </w:r>
      <w:r w:rsidR="006E3E2C">
        <w:rPr>
          <w:rFonts w:ascii="Cambria" w:hAnsi="Cambria" w:cs="Times"/>
          <w:lang w:val="en-US"/>
        </w:rPr>
        <w:t>.</w:t>
      </w:r>
      <w:r w:rsidR="004A4A6D">
        <w:rPr>
          <w:rFonts w:ascii="Cambria" w:hAnsi="Cambria" w:cs="Times"/>
          <w:lang w:val="en-US"/>
        </w:rPr>
        <w:t xml:space="preserve"> </w:t>
      </w:r>
      <w:r w:rsidR="00E02532">
        <w:rPr>
          <w:rFonts w:ascii="Cambria" w:hAnsi="Cambria" w:cs="Times"/>
          <w:lang w:val="en-US"/>
        </w:rPr>
        <w:t>To commence, in order for the tool to be appropriate, it should increase social welfare</w:t>
      </w:r>
      <w:r w:rsidR="00DB6B1E">
        <w:rPr>
          <w:rFonts w:ascii="Cambria" w:hAnsi="Cambria" w:cs="Times"/>
          <w:lang w:val="en-US"/>
        </w:rPr>
        <w:t>. One way to do this is by targeting high-ability individuals, and thus adding towards vertical equity</w:t>
      </w:r>
      <w:r w:rsidR="006822C1">
        <w:rPr>
          <w:rFonts w:ascii="Cambria" w:hAnsi="Cambria" w:cs="Times"/>
          <w:lang w:val="en-US"/>
        </w:rPr>
        <w:t>. Another</w:t>
      </w:r>
      <w:r w:rsidR="00CE5E89">
        <w:rPr>
          <w:rFonts w:ascii="Cambria" w:hAnsi="Cambria" w:cs="Times"/>
          <w:lang w:val="en-US"/>
        </w:rPr>
        <w:t xml:space="preserve"> way</w:t>
      </w:r>
      <w:r w:rsidR="006822C1">
        <w:rPr>
          <w:rFonts w:ascii="Cambria" w:hAnsi="Cambria" w:cs="Times"/>
          <w:lang w:val="en-US"/>
        </w:rPr>
        <w:t xml:space="preserve"> is to </w:t>
      </w:r>
      <w:r w:rsidR="007E7F5C">
        <w:rPr>
          <w:rFonts w:ascii="Cambria" w:hAnsi="Cambria" w:cs="Times"/>
          <w:lang w:val="en-US"/>
        </w:rPr>
        <w:t xml:space="preserve">decrease efficiency costs </w:t>
      </w:r>
      <w:r w:rsidR="001733AD">
        <w:rPr>
          <w:rFonts w:ascii="Cambria" w:hAnsi="Cambria" w:cs="Times"/>
          <w:lang w:val="en-US"/>
        </w:rPr>
        <w:t>by countering existing distortions</w:t>
      </w:r>
      <w:r w:rsidR="00CB08C5">
        <w:rPr>
          <w:rFonts w:ascii="Cambria" w:hAnsi="Cambria" w:cs="Times"/>
          <w:lang w:val="en-US"/>
        </w:rPr>
        <w:t xml:space="preserve">. </w:t>
      </w:r>
      <w:r w:rsidR="007E7F5C">
        <w:rPr>
          <w:rFonts w:ascii="Cambria" w:hAnsi="Cambria" w:cs="Times"/>
          <w:lang w:val="en-US"/>
        </w:rPr>
        <w:t>Imposing a taxing tool may induce efficiency costs</w:t>
      </w:r>
      <w:r w:rsidR="00C40E94">
        <w:rPr>
          <w:rFonts w:ascii="Cambria" w:hAnsi="Cambria" w:cs="Times"/>
          <w:lang w:val="en-US"/>
        </w:rPr>
        <w:t xml:space="preserve"> of its own</w:t>
      </w:r>
      <w:r w:rsidR="007E7F5C">
        <w:rPr>
          <w:rFonts w:ascii="Cambria" w:hAnsi="Cambria" w:cs="Times"/>
          <w:lang w:val="en-US"/>
        </w:rPr>
        <w:t xml:space="preserve">. In the case of </w:t>
      </w:r>
      <w:r w:rsidR="008D3ABA">
        <w:rPr>
          <w:rFonts w:ascii="Cambria" w:hAnsi="Cambria" w:cs="Times"/>
          <w:lang w:val="en-US"/>
        </w:rPr>
        <w:t>a capital income tax, savings behaviour might be distorted.</w:t>
      </w:r>
      <w:r w:rsidR="00484676">
        <w:rPr>
          <w:rFonts w:ascii="Cambria" w:hAnsi="Cambria" w:cs="Times"/>
          <w:lang w:val="en-US"/>
        </w:rPr>
        <w:t xml:space="preserve"> In order for the tool to be appropriate, t</w:t>
      </w:r>
      <w:r w:rsidR="006822C1">
        <w:rPr>
          <w:rFonts w:ascii="Cambria" w:hAnsi="Cambria" w:cs="Times"/>
          <w:lang w:val="en-US"/>
        </w:rPr>
        <w:t xml:space="preserve">he social gains should weigh up against the </w:t>
      </w:r>
      <w:r w:rsidR="00484676">
        <w:rPr>
          <w:rFonts w:ascii="Cambria" w:hAnsi="Cambria" w:cs="Times"/>
          <w:lang w:val="en-US"/>
        </w:rPr>
        <w:t>efficiency costs incurred, so in the end the social welfare increases.</w:t>
      </w:r>
      <w:r w:rsidR="004E4DC1">
        <w:rPr>
          <w:rFonts w:ascii="Cambria" w:hAnsi="Cambria" w:cs="Times"/>
          <w:lang w:val="en-US"/>
        </w:rPr>
        <w:t xml:space="preserve"> </w:t>
      </w:r>
    </w:p>
    <w:p w14:paraId="4FE21BBE" w14:textId="77777777" w:rsidR="0059617C" w:rsidRDefault="0059617C"/>
    <w:p w14:paraId="304F2503" w14:textId="77777777" w:rsidR="008E2426" w:rsidRPr="00AE339B" w:rsidRDefault="00A14E62" w:rsidP="00E145D3">
      <w:pPr>
        <w:pStyle w:val="Heading1"/>
      </w:pPr>
      <w:r>
        <w:br w:type="column"/>
      </w:r>
      <w:bookmarkStart w:id="5" w:name="_Toc331344936"/>
      <w:bookmarkStart w:id="6" w:name="_Toc331345786"/>
      <w:r w:rsidR="00BD1080">
        <w:lastRenderedPageBreak/>
        <w:t>Chapter two</w:t>
      </w:r>
      <w:r w:rsidR="009951C3">
        <w:t xml:space="preserve"> - </w:t>
      </w:r>
      <w:r w:rsidR="005250DC" w:rsidRPr="00AE339B">
        <w:t>C</w:t>
      </w:r>
      <w:r w:rsidR="008E2426" w:rsidRPr="00AE339B">
        <w:t>apital</w:t>
      </w:r>
      <w:r w:rsidR="005250DC" w:rsidRPr="00AE339B">
        <w:t xml:space="preserve"> income</w:t>
      </w:r>
      <w:r w:rsidR="008E2426" w:rsidRPr="00AE339B">
        <w:t xml:space="preserve"> taxation</w:t>
      </w:r>
      <w:r w:rsidR="005250DC" w:rsidRPr="00AE339B">
        <w:t xml:space="preserve"> around the globe</w:t>
      </w:r>
      <w:bookmarkEnd w:id="5"/>
      <w:bookmarkEnd w:id="6"/>
    </w:p>
    <w:p w14:paraId="5C66ABCD" w14:textId="77777777" w:rsidR="00F515D8" w:rsidRPr="00AE339B" w:rsidRDefault="00631DEA" w:rsidP="004C3C42">
      <w:pPr>
        <w:spacing w:line="360" w:lineRule="auto"/>
        <w:rPr>
          <w:rFonts w:eastAsia="Times New Roman" w:cs="Times New Roman"/>
          <w:lang w:val="nl-NL"/>
        </w:rPr>
      </w:pPr>
      <w:r>
        <w:t>First, in</w:t>
      </w:r>
      <w:r w:rsidR="008E2426" w:rsidRPr="00AE339B">
        <w:t xml:space="preserve"> order to further explain the relevance of this paper, I will sketch the international context of capital taxation. Countries differ in their approach when it comes to capital taxation. </w:t>
      </w:r>
      <w:r w:rsidR="0025566E" w:rsidRPr="00AE339B">
        <w:t xml:space="preserve">Michelle Harding </w:t>
      </w:r>
      <w:r w:rsidR="00F515D8" w:rsidRPr="00AE339B">
        <w:t xml:space="preserve">(2013) provides an elaborate overview of how the OECD countries approach capital taxation. She presents an analysis based on three pillars, these being: </w:t>
      </w:r>
      <w:r w:rsidR="00AC4D6B" w:rsidRPr="00AE339B">
        <w:t>‘</w:t>
      </w:r>
      <w:r w:rsidR="00F515D8" w:rsidRPr="00AE339B">
        <w:rPr>
          <w:rFonts w:eastAsia="Times New Roman" w:cs="Times New Roman"/>
          <w:lang w:val="nl-NL"/>
        </w:rPr>
        <w:t>dividend income, interest income and capital gains on shares and real property’</w:t>
      </w:r>
      <w:r w:rsidR="00304263" w:rsidRPr="00AE339B">
        <w:rPr>
          <w:rFonts w:eastAsia="Times New Roman" w:cs="Times New Roman"/>
          <w:lang w:val="nl-NL"/>
        </w:rPr>
        <w:t xml:space="preserve">. </w:t>
      </w:r>
      <w:r w:rsidR="007F52A4">
        <w:rPr>
          <w:rFonts w:eastAsia="Times New Roman" w:cs="Times New Roman"/>
          <w:lang w:val="nl-NL"/>
        </w:rPr>
        <w:t>Further, data in this section also stems from a report on taxation trends by the European Commission (2015)</w:t>
      </w:r>
      <w:r w:rsidR="006C048D">
        <w:rPr>
          <w:rFonts w:eastAsia="Times New Roman" w:cs="Times New Roman"/>
          <w:lang w:val="nl-NL"/>
        </w:rPr>
        <w:t>.</w:t>
      </w:r>
      <w:r w:rsidR="0003612E">
        <w:rPr>
          <w:rFonts w:eastAsia="Times New Roman" w:cs="Times New Roman"/>
          <w:lang w:val="nl-NL"/>
        </w:rPr>
        <w:t xml:space="preserve"> </w:t>
      </w:r>
    </w:p>
    <w:p w14:paraId="69D9B56E" w14:textId="77777777" w:rsidR="00304263" w:rsidRPr="00AE339B" w:rsidRDefault="00304263" w:rsidP="004C3C42">
      <w:pPr>
        <w:spacing w:line="360" w:lineRule="auto"/>
        <w:rPr>
          <w:rFonts w:eastAsia="Times New Roman" w:cs="Times New Roman"/>
          <w:lang w:val="nl-NL"/>
        </w:rPr>
      </w:pPr>
    </w:p>
    <w:p w14:paraId="6012349F" w14:textId="77777777" w:rsidR="002D62C9" w:rsidRPr="00AE339B" w:rsidRDefault="00316236" w:rsidP="004C3C42">
      <w:pPr>
        <w:spacing w:line="360" w:lineRule="auto"/>
      </w:pPr>
      <w:r w:rsidRPr="00AE339B">
        <w:t xml:space="preserve">In almost </w:t>
      </w:r>
      <w:r w:rsidR="00A85F89" w:rsidRPr="00AE339B">
        <w:t xml:space="preserve">all countries dividend is taxed, </w:t>
      </w:r>
      <w:r w:rsidR="00202178" w:rsidRPr="00AE339B">
        <w:t>with a few exceptions such as Hong Kong and Iran</w:t>
      </w:r>
      <w:r w:rsidR="00202178" w:rsidRPr="00AE339B">
        <w:rPr>
          <w:rStyle w:val="FootnoteReference"/>
        </w:rPr>
        <w:footnoteReference w:id="2"/>
      </w:r>
      <w:r w:rsidR="00114FAE">
        <w:t xml:space="preserve"> and the Netherlands, which is a special case</w:t>
      </w:r>
      <w:r w:rsidR="0085698A">
        <w:t xml:space="preserve"> that will be discussed later in this chapter</w:t>
      </w:r>
      <w:r w:rsidR="00202178" w:rsidRPr="00AE339B">
        <w:t>.</w:t>
      </w:r>
      <w:r w:rsidR="008B3EBD" w:rsidRPr="00AE339B">
        <w:t xml:space="preserve"> </w:t>
      </w:r>
      <w:r w:rsidR="00BF73EA" w:rsidRPr="00AE339B">
        <w:t xml:space="preserve">The dividend tax rates vary amongst OECD countries. For example, the personal tax payable ranges from </w:t>
      </w:r>
      <w:r w:rsidR="00052716" w:rsidRPr="00AE339B">
        <w:t xml:space="preserve">5 and 6.3 </w:t>
      </w:r>
      <w:r w:rsidR="004E7940" w:rsidRPr="00AE339B">
        <w:t>percent</w:t>
      </w:r>
      <w:r w:rsidR="00052716" w:rsidRPr="00AE339B">
        <w:t xml:space="preserve"> respectively in New Zealand and Japan, to 31.5 </w:t>
      </w:r>
      <w:r w:rsidR="004E7940" w:rsidRPr="00AE339B">
        <w:t>percent</w:t>
      </w:r>
      <w:r w:rsidR="00052716" w:rsidRPr="00AE339B">
        <w:t xml:space="preserve"> in Switzerland and Denmark. </w:t>
      </w:r>
      <w:r w:rsidR="004E7940" w:rsidRPr="00AE339B">
        <w:rPr>
          <w:lang w:val="nl-NL"/>
        </w:rPr>
        <w:t>Besides, some countries levy a withholding, such as Germany does at a rate of 18.4 percent</w:t>
      </w:r>
      <w:r w:rsidR="005F1F1F">
        <w:rPr>
          <w:lang w:val="nl-NL"/>
        </w:rPr>
        <w:t>, and the Netherlands does at a rate of 15 percent</w:t>
      </w:r>
      <w:r w:rsidR="004E7940" w:rsidRPr="00AE339B">
        <w:rPr>
          <w:lang w:val="nl-NL"/>
        </w:rPr>
        <w:t>. However, o</w:t>
      </w:r>
      <w:r w:rsidR="00052716" w:rsidRPr="00AE339B">
        <w:rPr>
          <w:lang w:val="nl-NL"/>
        </w:rPr>
        <w:t xml:space="preserve">ne must take note that tax </w:t>
      </w:r>
      <w:r w:rsidR="004E7940" w:rsidRPr="00AE339B">
        <w:rPr>
          <w:lang w:val="nl-NL"/>
        </w:rPr>
        <w:t xml:space="preserve">also </w:t>
      </w:r>
      <w:r w:rsidR="00052716" w:rsidRPr="00AE339B">
        <w:rPr>
          <w:lang w:val="nl-NL"/>
        </w:rPr>
        <w:t>has to be paid at the corporate level</w:t>
      </w:r>
      <w:r w:rsidR="00254132" w:rsidRPr="00AE339B">
        <w:rPr>
          <w:lang w:val="nl-NL"/>
        </w:rPr>
        <w:t>, which has an influence on the taxable income to shareholder</w:t>
      </w:r>
      <w:r w:rsidR="004646D7" w:rsidRPr="00AE339B">
        <w:rPr>
          <w:lang w:val="nl-NL"/>
        </w:rPr>
        <w:t>s</w:t>
      </w:r>
      <w:r w:rsidR="00052716" w:rsidRPr="00AE339B">
        <w:rPr>
          <w:lang w:val="nl-NL"/>
        </w:rPr>
        <w:t>.</w:t>
      </w:r>
      <w:r w:rsidR="00052716" w:rsidRPr="00AE339B">
        <w:rPr>
          <w:rStyle w:val="FootnoteReference"/>
        </w:rPr>
        <w:footnoteReference w:id="3"/>
      </w:r>
      <w:r w:rsidR="00052716" w:rsidRPr="00AE339B">
        <w:rPr>
          <w:lang w:val="nl-NL"/>
        </w:rPr>
        <w:t xml:space="preserve"> </w:t>
      </w:r>
    </w:p>
    <w:p w14:paraId="357994AC" w14:textId="77777777" w:rsidR="002D62C9" w:rsidRPr="00AE339B" w:rsidRDefault="002D62C9" w:rsidP="004C3C42">
      <w:pPr>
        <w:spacing w:line="360" w:lineRule="auto"/>
      </w:pPr>
    </w:p>
    <w:p w14:paraId="14496D51" w14:textId="77777777" w:rsidR="00663AF5" w:rsidRPr="00AE339B" w:rsidRDefault="00206E9A" w:rsidP="004C3C42">
      <w:pPr>
        <w:spacing w:line="360" w:lineRule="auto"/>
      </w:pPr>
      <w:r w:rsidRPr="00AE339B">
        <w:t xml:space="preserve">Interest, the income from savings capital, is taxed in </w:t>
      </w:r>
      <w:r w:rsidR="00C577EC">
        <w:t>most</w:t>
      </w:r>
      <w:r w:rsidRPr="00AE339B">
        <w:t xml:space="preserve"> OECD countries. Rates vary from </w:t>
      </w:r>
      <w:r w:rsidR="00157085" w:rsidRPr="00AE339B">
        <w:t xml:space="preserve">a withholding of 10 </w:t>
      </w:r>
      <w:r w:rsidR="004E7940" w:rsidRPr="00AE339B">
        <w:t>percent</w:t>
      </w:r>
      <w:r w:rsidR="00157085" w:rsidRPr="00AE339B">
        <w:t xml:space="preserve"> </w:t>
      </w:r>
      <w:r w:rsidR="004E7940" w:rsidRPr="00AE339B">
        <w:t>in Luxembourg, to a personal rate of 50 percent in the UK. The revenues that flow from both interest and dividend taxes also vary. For example, in Germany the withholdings of dividend and</w:t>
      </w:r>
      <w:r w:rsidR="00D71A8F" w:rsidRPr="00AE339B">
        <w:t xml:space="preserve"> interest</w:t>
      </w:r>
      <w:r w:rsidR="004E7940" w:rsidRPr="00AE339B">
        <w:t xml:space="preserve"> </w:t>
      </w:r>
      <w:r w:rsidR="00D71A8F" w:rsidRPr="00AE339B">
        <w:t>yield revenues of 17.4 billion and 7 billion</w:t>
      </w:r>
      <w:r w:rsidR="00D71A8F" w:rsidRPr="00AE339B">
        <w:rPr>
          <w:rStyle w:val="FootnoteReference"/>
        </w:rPr>
        <w:footnoteReference w:id="4"/>
      </w:r>
      <w:r w:rsidR="00D71A8F" w:rsidRPr="00AE339B">
        <w:t xml:space="preserve"> respectively (1.7 percent and 0.7 per cent of total tax revenue)</w:t>
      </w:r>
      <w:r w:rsidR="00D224BC" w:rsidRPr="00AE339B">
        <w:t xml:space="preserve">. </w:t>
      </w:r>
      <w:r w:rsidR="007602E3" w:rsidRPr="00AE339B">
        <w:t>Luxembourg on the other hand, receives a mere 64 million</w:t>
      </w:r>
      <w:r w:rsidR="00663AF5" w:rsidRPr="00AE339B">
        <w:t xml:space="preserve"> euros</w:t>
      </w:r>
      <w:r w:rsidR="007602E3" w:rsidRPr="00AE339B">
        <w:t xml:space="preserve"> in taxes on interest (0.3 percent of total tax revenue</w:t>
      </w:r>
      <w:r w:rsidR="0008799A" w:rsidRPr="00AE339B">
        <w:t>)</w:t>
      </w:r>
      <w:r w:rsidR="002A69AC">
        <w:t xml:space="preserve"> </w:t>
      </w:r>
      <w:sdt>
        <w:sdtPr>
          <w:id w:val="1853523269"/>
          <w:citation/>
        </w:sdtPr>
        <w:sdtEndPr/>
        <w:sdtContent>
          <w:r w:rsidR="00570939" w:rsidRPr="00AE339B">
            <w:fldChar w:fldCharType="begin"/>
          </w:r>
          <w:r w:rsidR="00570939" w:rsidRPr="00AE339B">
            <w:rPr>
              <w:lang w:val="nl-NL"/>
            </w:rPr>
            <w:instrText xml:space="preserve"> CITATION OEC \l 1043 </w:instrText>
          </w:r>
          <w:r w:rsidR="00570939" w:rsidRPr="00AE339B">
            <w:fldChar w:fldCharType="separate"/>
          </w:r>
          <w:r w:rsidR="00570939" w:rsidRPr="00AE339B">
            <w:rPr>
              <w:noProof/>
              <w:lang w:val="nl-NL"/>
            </w:rPr>
            <w:t>(OECD)</w:t>
          </w:r>
          <w:r w:rsidR="00570939" w:rsidRPr="00AE339B">
            <w:fldChar w:fldCharType="end"/>
          </w:r>
        </w:sdtContent>
      </w:sdt>
      <w:r w:rsidR="005657FA">
        <w:t>.</w:t>
      </w:r>
    </w:p>
    <w:p w14:paraId="5FF3864E" w14:textId="77777777" w:rsidR="00FC1656" w:rsidRDefault="00FC1656" w:rsidP="00F30F4B">
      <w:pPr>
        <w:spacing w:line="360" w:lineRule="auto"/>
        <w:rPr>
          <w:lang w:val="nl-NL"/>
        </w:rPr>
      </w:pPr>
    </w:p>
    <w:p w14:paraId="1C743BED" w14:textId="77777777" w:rsidR="00FC1656" w:rsidRDefault="00FC1656" w:rsidP="00F30F4B">
      <w:pPr>
        <w:spacing w:line="360" w:lineRule="auto"/>
        <w:rPr>
          <w:lang w:val="nl-NL"/>
        </w:rPr>
      </w:pPr>
    </w:p>
    <w:p w14:paraId="322BA18E" w14:textId="77777777" w:rsidR="00FC1656" w:rsidRDefault="00091158" w:rsidP="00F30F4B">
      <w:pPr>
        <w:spacing w:line="360" w:lineRule="auto"/>
        <w:rPr>
          <w:lang w:val="nl-NL"/>
        </w:rPr>
      </w:pPr>
      <w:r w:rsidRPr="00AE339B">
        <w:rPr>
          <w:lang w:val="nl-NL"/>
        </w:rPr>
        <w:t xml:space="preserve"> </w:t>
      </w:r>
    </w:p>
    <w:p w14:paraId="4EE18FBD" w14:textId="77777777" w:rsidR="00F265A3" w:rsidRDefault="00F265A3" w:rsidP="00F30F4B">
      <w:pPr>
        <w:spacing w:line="360" w:lineRule="auto"/>
        <w:rPr>
          <w:lang w:val="nl-NL"/>
        </w:rPr>
      </w:pPr>
    </w:p>
    <w:p w14:paraId="3E54269E" w14:textId="77777777" w:rsidR="00F265A3" w:rsidRDefault="00F265A3" w:rsidP="00F30F4B">
      <w:pPr>
        <w:spacing w:line="360" w:lineRule="auto"/>
        <w:rPr>
          <w:lang w:val="nl-NL"/>
        </w:rPr>
      </w:pPr>
    </w:p>
    <w:p w14:paraId="3D5A56E3" w14:textId="77777777" w:rsidR="00F265A3" w:rsidRPr="00F265A3" w:rsidRDefault="00965974" w:rsidP="00F30F4B">
      <w:pPr>
        <w:spacing w:line="360" w:lineRule="auto"/>
        <w:rPr>
          <w:i/>
          <w:lang w:val="nl-NL"/>
        </w:rPr>
      </w:pPr>
      <w:r>
        <w:rPr>
          <w:lang w:val="nl-NL"/>
        </w:rPr>
        <w:t xml:space="preserve">Table 1: </w:t>
      </w:r>
      <w:r w:rsidR="00F265A3">
        <w:rPr>
          <w:i/>
          <w:lang w:val="nl-NL"/>
        </w:rPr>
        <w:t>Capital gains</w:t>
      </w:r>
      <w:r w:rsidR="005008F6">
        <w:rPr>
          <w:i/>
          <w:lang w:val="nl-NL"/>
        </w:rPr>
        <w:t xml:space="preserve"> tax</w:t>
      </w:r>
      <w:r w:rsidR="00F265A3">
        <w:rPr>
          <w:i/>
          <w:lang w:val="nl-NL"/>
        </w:rPr>
        <w:t xml:space="preserve"> treatment and combined statutory rates of OECD countries.</w:t>
      </w:r>
    </w:p>
    <w:tbl>
      <w:tblPr>
        <w:tblW w:w="9240" w:type="dxa"/>
        <w:tblInd w:w="55" w:type="dxa"/>
        <w:tblCellMar>
          <w:left w:w="70" w:type="dxa"/>
          <w:right w:w="70" w:type="dxa"/>
        </w:tblCellMar>
        <w:tblLook w:val="04A0" w:firstRow="1" w:lastRow="0" w:firstColumn="1" w:lastColumn="0" w:noHBand="0" w:noVBand="1"/>
      </w:tblPr>
      <w:tblGrid>
        <w:gridCol w:w="2000"/>
        <w:gridCol w:w="4120"/>
        <w:gridCol w:w="1560"/>
        <w:gridCol w:w="1560"/>
      </w:tblGrid>
      <w:tr w:rsidR="00F30F4B" w:rsidRPr="00F30F4B" w14:paraId="25DB2A2A" w14:textId="77777777" w:rsidTr="00F30F4B">
        <w:trPr>
          <w:trHeight w:val="1260"/>
        </w:trPr>
        <w:tc>
          <w:tcPr>
            <w:tcW w:w="2000" w:type="dxa"/>
            <w:tcBorders>
              <w:top w:val="single" w:sz="4" w:space="0" w:color="4F81BD"/>
              <w:left w:val="nil"/>
              <w:bottom w:val="single" w:sz="4" w:space="0" w:color="4F81BD"/>
              <w:right w:val="nil"/>
            </w:tcBorders>
            <w:shd w:val="clear" w:color="auto" w:fill="auto"/>
            <w:vAlign w:val="bottom"/>
            <w:hideMark/>
          </w:tcPr>
          <w:p w14:paraId="4DC413FC" w14:textId="77777777" w:rsidR="00F30F4B" w:rsidRPr="00F30F4B" w:rsidRDefault="00F30F4B" w:rsidP="00F30F4B">
            <w:pPr>
              <w:rPr>
                <w:rFonts w:ascii="Calibri" w:eastAsia="Times New Roman" w:hAnsi="Calibri" w:cs="Times New Roman"/>
                <w:b/>
                <w:bCs/>
                <w:color w:val="366092"/>
                <w:lang w:val="nl-NL"/>
              </w:rPr>
            </w:pPr>
            <w:r w:rsidRPr="00F30F4B">
              <w:rPr>
                <w:rFonts w:ascii="Calibri" w:eastAsia="Times New Roman" w:hAnsi="Calibri" w:cs="Times New Roman"/>
                <w:b/>
                <w:bCs/>
                <w:color w:val="366092"/>
                <w:lang w:val="nl-NL"/>
              </w:rPr>
              <w:t>Country</w:t>
            </w:r>
          </w:p>
        </w:tc>
        <w:tc>
          <w:tcPr>
            <w:tcW w:w="4120" w:type="dxa"/>
            <w:tcBorders>
              <w:top w:val="single" w:sz="4" w:space="0" w:color="4F81BD"/>
              <w:left w:val="nil"/>
              <w:bottom w:val="single" w:sz="4" w:space="0" w:color="4F81BD"/>
              <w:right w:val="nil"/>
            </w:tcBorders>
            <w:shd w:val="clear" w:color="auto" w:fill="auto"/>
            <w:vAlign w:val="bottom"/>
            <w:hideMark/>
          </w:tcPr>
          <w:p w14:paraId="763F9C5C" w14:textId="77777777" w:rsidR="00F30F4B" w:rsidRPr="00F30F4B" w:rsidRDefault="00F30F4B" w:rsidP="00F30F4B">
            <w:pPr>
              <w:rPr>
                <w:rFonts w:ascii="Calibri" w:eastAsia="Times New Roman" w:hAnsi="Calibri" w:cs="Times New Roman"/>
                <w:b/>
                <w:bCs/>
                <w:color w:val="366092"/>
                <w:lang w:val="nl-NL"/>
              </w:rPr>
            </w:pPr>
            <w:r w:rsidRPr="00F30F4B">
              <w:rPr>
                <w:rFonts w:ascii="Calibri" w:eastAsia="Times New Roman" w:hAnsi="Calibri" w:cs="Times New Roman"/>
                <w:b/>
                <w:bCs/>
                <w:color w:val="366092"/>
                <w:lang w:val="nl-NL"/>
              </w:rPr>
              <w:t>Treatment of capital gains</w:t>
            </w:r>
          </w:p>
        </w:tc>
        <w:tc>
          <w:tcPr>
            <w:tcW w:w="1560" w:type="dxa"/>
            <w:tcBorders>
              <w:top w:val="single" w:sz="4" w:space="0" w:color="4F81BD"/>
              <w:left w:val="nil"/>
              <w:bottom w:val="single" w:sz="4" w:space="0" w:color="4F81BD"/>
              <w:right w:val="nil"/>
            </w:tcBorders>
            <w:shd w:val="clear" w:color="auto" w:fill="auto"/>
            <w:vAlign w:val="bottom"/>
            <w:hideMark/>
          </w:tcPr>
          <w:p w14:paraId="015E7242" w14:textId="77777777" w:rsidR="00F30F4B" w:rsidRPr="00F30F4B" w:rsidRDefault="00F30F4B" w:rsidP="00F30F4B">
            <w:pPr>
              <w:rPr>
                <w:rFonts w:ascii="Calibri" w:eastAsia="Times New Roman" w:hAnsi="Calibri" w:cs="Times New Roman"/>
                <w:b/>
                <w:bCs/>
                <w:color w:val="366092"/>
                <w:lang w:val="nl-NL"/>
              </w:rPr>
            </w:pPr>
            <w:r w:rsidRPr="00F30F4B">
              <w:rPr>
                <w:rFonts w:ascii="Calibri" w:eastAsia="Times New Roman" w:hAnsi="Calibri" w:cs="Times New Roman"/>
                <w:b/>
                <w:bCs/>
                <w:color w:val="366092"/>
                <w:lang w:val="nl-NL"/>
              </w:rPr>
              <w:t>Combined statutory rate (2012)</w:t>
            </w:r>
          </w:p>
        </w:tc>
        <w:tc>
          <w:tcPr>
            <w:tcW w:w="1560" w:type="dxa"/>
            <w:tcBorders>
              <w:top w:val="single" w:sz="4" w:space="0" w:color="4F81BD"/>
              <w:left w:val="nil"/>
              <w:bottom w:val="single" w:sz="4" w:space="0" w:color="4F81BD"/>
              <w:right w:val="nil"/>
            </w:tcBorders>
            <w:shd w:val="clear" w:color="auto" w:fill="auto"/>
            <w:vAlign w:val="bottom"/>
            <w:hideMark/>
          </w:tcPr>
          <w:p w14:paraId="1F51F2C5" w14:textId="77777777" w:rsidR="00F30F4B" w:rsidRPr="00F30F4B" w:rsidRDefault="00F30F4B" w:rsidP="00F30F4B">
            <w:pPr>
              <w:rPr>
                <w:rFonts w:ascii="Calibri" w:eastAsia="Times New Roman" w:hAnsi="Calibri" w:cs="Times New Roman"/>
                <w:b/>
                <w:bCs/>
                <w:color w:val="366092"/>
                <w:lang w:val="nl-NL"/>
              </w:rPr>
            </w:pPr>
            <w:r w:rsidRPr="00F30F4B">
              <w:rPr>
                <w:rFonts w:ascii="Calibri" w:eastAsia="Times New Roman" w:hAnsi="Calibri" w:cs="Times New Roman"/>
                <w:b/>
                <w:bCs/>
                <w:color w:val="366092"/>
                <w:lang w:val="nl-NL"/>
              </w:rPr>
              <w:t>Gains taxed at the personal level</w:t>
            </w:r>
          </w:p>
        </w:tc>
      </w:tr>
      <w:tr w:rsidR="00F30F4B" w:rsidRPr="00F30F4B" w14:paraId="13B23C80" w14:textId="77777777" w:rsidTr="00F30F4B">
        <w:trPr>
          <w:trHeight w:val="300"/>
        </w:trPr>
        <w:tc>
          <w:tcPr>
            <w:tcW w:w="2000" w:type="dxa"/>
            <w:tcBorders>
              <w:top w:val="nil"/>
              <w:left w:val="nil"/>
              <w:bottom w:val="nil"/>
              <w:right w:val="nil"/>
            </w:tcBorders>
            <w:shd w:val="clear" w:color="DCE6F1" w:fill="DCE6F1"/>
            <w:noWrap/>
            <w:vAlign w:val="bottom"/>
            <w:hideMark/>
          </w:tcPr>
          <w:p w14:paraId="63ED4DE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Australia</w:t>
            </w:r>
          </w:p>
        </w:tc>
        <w:tc>
          <w:tcPr>
            <w:tcW w:w="4120" w:type="dxa"/>
            <w:tcBorders>
              <w:top w:val="nil"/>
              <w:left w:val="nil"/>
              <w:bottom w:val="nil"/>
              <w:right w:val="nil"/>
            </w:tcBorders>
            <w:shd w:val="clear" w:color="DCE6F1" w:fill="DCE6F1"/>
            <w:noWrap/>
            <w:vAlign w:val="bottom"/>
            <w:hideMark/>
          </w:tcPr>
          <w:p w14:paraId="21D1B746"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Partial inclusion</w:t>
            </w:r>
          </w:p>
        </w:tc>
        <w:tc>
          <w:tcPr>
            <w:tcW w:w="1560" w:type="dxa"/>
            <w:tcBorders>
              <w:top w:val="nil"/>
              <w:left w:val="nil"/>
              <w:bottom w:val="nil"/>
              <w:right w:val="nil"/>
            </w:tcBorders>
            <w:shd w:val="clear" w:color="DCE6F1" w:fill="DCE6F1"/>
            <w:noWrap/>
            <w:vAlign w:val="bottom"/>
            <w:hideMark/>
          </w:tcPr>
          <w:p w14:paraId="0570C443"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46%</w:t>
            </w:r>
          </w:p>
        </w:tc>
        <w:tc>
          <w:tcPr>
            <w:tcW w:w="1560" w:type="dxa"/>
            <w:tcBorders>
              <w:top w:val="nil"/>
              <w:left w:val="nil"/>
              <w:bottom w:val="nil"/>
              <w:right w:val="nil"/>
            </w:tcBorders>
            <w:shd w:val="clear" w:color="DCE6F1" w:fill="DCE6F1"/>
            <w:noWrap/>
            <w:vAlign w:val="bottom"/>
            <w:hideMark/>
          </w:tcPr>
          <w:p w14:paraId="5225EAE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78217E72" w14:textId="77777777" w:rsidTr="00F30F4B">
        <w:trPr>
          <w:trHeight w:val="300"/>
        </w:trPr>
        <w:tc>
          <w:tcPr>
            <w:tcW w:w="2000" w:type="dxa"/>
            <w:tcBorders>
              <w:top w:val="nil"/>
              <w:left w:val="nil"/>
              <w:bottom w:val="nil"/>
              <w:right w:val="nil"/>
            </w:tcBorders>
            <w:shd w:val="clear" w:color="auto" w:fill="auto"/>
            <w:noWrap/>
            <w:vAlign w:val="bottom"/>
            <w:hideMark/>
          </w:tcPr>
          <w:p w14:paraId="37C7A908"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Austria</w:t>
            </w:r>
          </w:p>
        </w:tc>
        <w:tc>
          <w:tcPr>
            <w:tcW w:w="4120" w:type="dxa"/>
            <w:tcBorders>
              <w:top w:val="nil"/>
              <w:left w:val="nil"/>
              <w:bottom w:val="nil"/>
              <w:right w:val="nil"/>
            </w:tcBorders>
            <w:shd w:val="clear" w:color="auto" w:fill="auto"/>
            <w:noWrap/>
            <w:vAlign w:val="bottom"/>
            <w:hideMark/>
          </w:tcPr>
          <w:p w14:paraId="01AC6A08"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Final withholding</w:t>
            </w:r>
          </w:p>
        </w:tc>
        <w:tc>
          <w:tcPr>
            <w:tcW w:w="1560" w:type="dxa"/>
            <w:tcBorders>
              <w:top w:val="nil"/>
              <w:left w:val="nil"/>
              <w:bottom w:val="nil"/>
              <w:right w:val="nil"/>
            </w:tcBorders>
            <w:shd w:val="clear" w:color="auto" w:fill="auto"/>
            <w:noWrap/>
            <w:vAlign w:val="bottom"/>
            <w:hideMark/>
          </w:tcPr>
          <w:p w14:paraId="4E6C6B61"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44%</w:t>
            </w:r>
          </w:p>
        </w:tc>
        <w:tc>
          <w:tcPr>
            <w:tcW w:w="1560" w:type="dxa"/>
            <w:tcBorders>
              <w:top w:val="nil"/>
              <w:left w:val="nil"/>
              <w:bottom w:val="nil"/>
              <w:right w:val="nil"/>
            </w:tcBorders>
            <w:shd w:val="clear" w:color="auto" w:fill="auto"/>
            <w:noWrap/>
            <w:vAlign w:val="bottom"/>
            <w:hideMark/>
          </w:tcPr>
          <w:p w14:paraId="3060441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30724C97" w14:textId="77777777" w:rsidTr="00F30F4B">
        <w:trPr>
          <w:trHeight w:val="300"/>
        </w:trPr>
        <w:tc>
          <w:tcPr>
            <w:tcW w:w="2000" w:type="dxa"/>
            <w:tcBorders>
              <w:top w:val="nil"/>
              <w:left w:val="nil"/>
              <w:bottom w:val="nil"/>
              <w:right w:val="nil"/>
            </w:tcBorders>
            <w:shd w:val="clear" w:color="DCE6F1" w:fill="DCE6F1"/>
            <w:noWrap/>
            <w:vAlign w:val="bottom"/>
            <w:hideMark/>
          </w:tcPr>
          <w:p w14:paraId="37FCD5E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Belgium</w:t>
            </w:r>
          </w:p>
        </w:tc>
        <w:tc>
          <w:tcPr>
            <w:tcW w:w="4120" w:type="dxa"/>
            <w:tcBorders>
              <w:top w:val="nil"/>
              <w:left w:val="nil"/>
              <w:bottom w:val="nil"/>
              <w:right w:val="nil"/>
            </w:tcBorders>
            <w:shd w:val="clear" w:color="DCE6F1" w:fill="DCE6F1"/>
            <w:noWrap/>
            <w:vAlign w:val="bottom"/>
            <w:hideMark/>
          </w:tcPr>
          <w:p w14:paraId="79A797F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Allowance of corporate equity</w:t>
            </w:r>
          </w:p>
        </w:tc>
        <w:tc>
          <w:tcPr>
            <w:tcW w:w="1560" w:type="dxa"/>
            <w:tcBorders>
              <w:top w:val="nil"/>
              <w:left w:val="nil"/>
              <w:bottom w:val="nil"/>
              <w:right w:val="nil"/>
            </w:tcBorders>
            <w:shd w:val="clear" w:color="DCE6F1" w:fill="DCE6F1"/>
            <w:noWrap/>
            <w:vAlign w:val="bottom"/>
            <w:hideMark/>
          </w:tcPr>
          <w:p w14:paraId="2D7E121C"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8%</w:t>
            </w:r>
          </w:p>
        </w:tc>
        <w:tc>
          <w:tcPr>
            <w:tcW w:w="1560" w:type="dxa"/>
            <w:tcBorders>
              <w:top w:val="nil"/>
              <w:left w:val="nil"/>
              <w:bottom w:val="nil"/>
              <w:right w:val="nil"/>
            </w:tcBorders>
            <w:shd w:val="clear" w:color="DCE6F1" w:fill="DCE6F1"/>
            <w:noWrap/>
            <w:vAlign w:val="bottom"/>
            <w:hideMark/>
          </w:tcPr>
          <w:p w14:paraId="58899051"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648B12CC" w14:textId="77777777" w:rsidTr="00F30F4B">
        <w:trPr>
          <w:trHeight w:val="300"/>
        </w:trPr>
        <w:tc>
          <w:tcPr>
            <w:tcW w:w="2000" w:type="dxa"/>
            <w:tcBorders>
              <w:top w:val="nil"/>
              <w:left w:val="nil"/>
              <w:bottom w:val="nil"/>
              <w:right w:val="nil"/>
            </w:tcBorders>
            <w:shd w:val="clear" w:color="auto" w:fill="auto"/>
            <w:noWrap/>
            <w:vAlign w:val="bottom"/>
            <w:hideMark/>
          </w:tcPr>
          <w:p w14:paraId="2BF11C8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Canada</w:t>
            </w:r>
          </w:p>
        </w:tc>
        <w:tc>
          <w:tcPr>
            <w:tcW w:w="4120" w:type="dxa"/>
            <w:tcBorders>
              <w:top w:val="nil"/>
              <w:left w:val="nil"/>
              <w:bottom w:val="nil"/>
              <w:right w:val="nil"/>
            </w:tcBorders>
            <w:shd w:val="clear" w:color="auto" w:fill="auto"/>
            <w:noWrap/>
            <w:vAlign w:val="bottom"/>
            <w:hideMark/>
          </w:tcPr>
          <w:p w14:paraId="5BE0B23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Partial inclusion</w:t>
            </w:r>
          </w:p>
        </w:tc>
        <w:tc>
          <w:tcPr>
            <w:tcW w:w="1560" w:type="dxa"/>
            <w:tcBorders>
              <w:top w:val="nil"/>
              <w:left w:val="nil"/>
              <w:bottom w:val="nil"/>
              <w:right w:val="nil"/>
            </w:tcBorders>
            <w:shd w:val="clear" w:color="auto" w:fill="auto"/>
            <w:noWrap/>
            <w:vAlign w:val="bottom"/>
            <w:hideMark/>
          </w:tcPr>
          <w:p w14:paraId="56230C1A"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44%</w:t>
            </w:r>
          </w:p>
        </w:tc>
        <w:tc>
          <w:tcPr>
            <w:tcW w:w="1560" w:type="dxa"/>
            <w:tcBorders>
              <w:top w:val="nil"/>
              <w:left w:val="nil"/>
              <w:bottom w:val="nil"/>
              <w:right w:val="nil"/>
            </w:tcBorders>
            <w:shd w:val="clear" w:color="auto" w:fill="auto"/>
            <w:noWrap/>
            <w:vAlign w:val="bottom"/>
            <w:hideMark/>
          </w:tcPr>
          <w:p w14:paraId="19942CE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5674266A" w14:textId="77777777" w:rsidTr="00F30F4B">
        <w:trPr>
          <w:trHeight w:val="300"/>
        </w:trPr>
        <w:tc>
          <w:tcPr>
            <w:tcW w:w="2000" w:type="dxa"/>
            <w:tcBorders>
              <w:top w:val="nil"/>
              <w:left w:val="nil"/>
              <w:bottom w:val="nil"/>
              <w:right w:val="nil"/>
            </w:tcBorders>
            <w:shd w:val="clear" w:color="DCE6F1" w:fill="DCE6F1"/>
            <w:noWrap/>
            <w:vAlign w:val="bottom"/>
            <w:hideMark/>
          </w:tcPr>
          <w:p w14:paraId="465D127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Chile</w:t>
            </w:r>
          </w:p>
        </w:tc>
        <w:tc>
          <w:tcPr>
            <w:tcW w:w="4120" w:type="dxa"/>
            <w:tcBorders>
              <w:top w:val="nil"/>
              <w:left w:val="nil"/>
              <w:bottom w:val="nil"/>
              <w:right w:val="nil"/>
            </w:tcBorders>
            <w:shd w:val="clear" w:color="DCE6F1" w:fill="DCE6F1"/>
            <w:noWrap/>
            <w:vAlign w:val="bottom"/>
            <w:hideMark/>
          </w:tcPr>
          <w:p w14:paraId="7B9B6BA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 (w/ holding period)</w:t>
            </w:r>
          </w:p>
        </w:tc>
        <w:tc>
          <w:tcPr>
            <w:tcW w:w="1560" w:type="dxa"/>
            <w:tcBorders>
              <w:top w:val="nil"/>
              <w:left w:val="nil"/>
              <w:bottom w:val="nil"/>
              <w:right w:val="nil"/>
            </w:tcBorders>
            <w:shd w:val="clear" w:color="DCE6F1" w:fill="DCE6F1"/>
            <w:noWrap/>
            <w:vAlign w:val="bottom"/>
            <w:hideMark/>
          </w:tcPr>
          <w:p w14:paraId="147EA803"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20%</w:t>
            </w:r>
          </w:p>
        </w:tc>
        <w:tc>
          <w:tcPr>
            <w:tcW w:w="1560" w:type="dxa"/>
            <w:tcBorders>
              <w:top w:val="nil"/>
              <w:left w:val="nil"/>
              <w:bottom w:val="nil"/>
              <w:right w:val="nil"/>
            </w:tcBorders>
            <w:shd w:val="clear" w:color="DCE6F1" w:fill="DCE6F1"/>
            <w:noWrap/>
            <w:vAlign w:val="bottom"/>
            <w:hideMark/>
          </w:tcPr>
          <w:p w14:paraId="5A003EC0"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328485EB" w14:textId="77777777" w:rsidTr="00F30F4B">
        <w:trPr>
          <w:trHeight w:val="300"/>
        </w:trPr>
        <w:tc>
          <w:tcPr>
            <w:tcW w:w="2000" w:type="dxa"/>
            <w:tcBorders>
              <w:top w:val="nil"/>
              <w:left w:val="nil"/>
              <w:bottom w:val="nil"/>
              <w:right w:val="nil"/>
            </w:tcBorders>
            <w:shd w:val="clear" w:color="auto" w:fill="auto"/>
            <w:noWrap/>
            <w:vAlign w:val="bottom"/>
            <w:hideMark/>
          </w:tcPr>
          <w:p w14:paraId="40F2821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Czech Republic</w:t>
            </w:r>
          </w:p>
        </w:tc>
        <w:tc>
          <w:tcPr>
            <w:tcW w:w="4120" w:type="dxa"/>
            <w:tcBorders>
              <w:top w:val="nil"/>
              <w:left w:val="nil"/>
              <w:bottom w:val="nil"/>
              <w:right w:val="nil"/>
            </w:tcBorders>
            <w:shd w:val="clear" w:color="auto" w:fill="auto"/>
            <w:noWrap/>
            <w:vAlign w:val="bottom"/>
            <w:hideMark/>
          </w:tcPr>
          <w:p w14:paraId="3276183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 (w/ holding period)</w:t>
            </w:r>
          </w:p>
        </w:tc>
        <w:tc>
          <w:tcPr>
            <w:tcW w:w="1560" w:type="dxa"/>
            <w:tcBorders>
              <w:top w:val="nil"/>
              <w:left w:val="nil"/>
              <w:bottom w:val="nil"/>
              <w:right w:val="nil"/>
            </w:tcBorders>
            <w:shd w:val="clear" w:color="auto" w:fill="auto"/>
            <w:noWrap/>
            <w:vAlign w:val="bottom"/>
            <w:hideMark/>
          </w:tcPr>
          <w:p w14:paraId="778C61C7"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19%</w:t>
            </w:r>
          </w:p>
        </w:tc>
        <w:tc>
          <w:tcPr>
            <w:tcW w:w="1560" w:type="dxa"/>
            <w:tcBorders>
              <w:top w:val="nil"/>
              <w:left w:val="nil"/>
              <w:bottom w:val="nil"/>
              <w:right w:val="nil"/>
            </w:tcBorders>
            <w:shd w:val="clear" w:color="auto" w:fill="auto"/>
            <w:noWrap/>
            <w:vAlign w:val="bottom"/>
            <w:hideMark/>
          </w:tcPr>
          <w:p w14:paraId="5F900108"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149E63A7" w14:textId="77777777" w:rsidTr="00F30F4B">
        <w:trPr>
          <w:trHeight w:val="300"/>
        </w:trPr>
        <w:tc>
          <w:tcPr>
            <w:tcW w:w="2000" w:type="dxa"/>
            <w:tcBorders>
              <w:top w:val="nil"/>
              <w:left w:val="nil"/>
              <w:bottom w:val="nil"/>
              <w:right w:val="nil"/>
            </w:tcBorders>
            <w:shd w:val="clear" w:color="DCE6F1" w:fill="DCE6F1"/>
            <w:noWrap/>
            <w:vAlign w:val="bottom"/>
            <w:hideMark/>
          </w:tcPr>
          <w:p w14:paraId="2112656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Denmark</w:t>
            </w:r>
          </w:p>
        </w:tc>
        <w:tc>
          <w:tcPr>
            <w:tcW w:w="4120" w:type="dxa"/>
            <w:tcBorders>
              <w:top w:val="nil"/>
              <w:left w:val="nil"/>
              <w:bottom w:val="nil"/>
              <w:right w:val="nil"/>
            </w:tcBorders>
            <w:shd w:val="clear" w:color="DCE6F1" w:fill="DCE6F1"/>
            <w:noWrap/>
            <w:vAlign w:val="bottom"/>
            <w:hideMark/>
          </w:tcPr>
          <w:p w14:paraId="59CA1DB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w:t>
            </w:r>
          </w:p>
        </w:tc>
        <w:tc>
          <w:tcPr>
            <w:tcW w:w="1560" w:type="dxa"/>
            <w:tcBorders>
              <w:top w:val="nil"/>
              <w:left w:val="nil"/>
              <w:bottom w:val="nil"/>
              <w:right w:val="nil"/>
            </w:tcBorders>
            <w:shd w:val="clear" w:color="DCE6F1" w:fill="DCE6F1"/>
            <w:noWrap/>
            <w:vAlign w:val="bottom"/>
            <w:hideMark/>
          </w:tcPr>
          <w:p w14:paraId="39E35092"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57%</w:t>
            </w:r>
          </w:p>
        </w:tc>
        <w:tc>
          <w:tcPr>
            <w:tcW w:w="1560" w:type="dxa"/>
            <w:tcBorders>
              <w:top w:val="nil"/>
              <w:left w:val="nil"/>
              <w:bottom w:val="nil"/>
              <w:right w:val="nil"/>
            </w:tcBorders>
            <w:shd w:val="clear" w:color="DCE6F1" w:fill="DCE6F1"/>
            <w:noWrap/>
            <w:vAlign w:val="bottom"/>
            <w:hideMark/>
          </w:tcPr>
          <w:p w14:paraId="6096CF5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2B25B17D" w14:textId="77777777" w:rsidTr="00F30F4B">
        <w:trPr>
          <w:trHeight w:val="300"/>
        </w:trPr>
        <w:tc>
          <w:tcPr>
            <w:tcW w:w="2000" w:type="dxa"/>
            <w:tcBorders>
              <w:top w:val="nil"/>
              <w:left w:val="nil"/>
              <w:bottom w:val="nil"/>
              <w:right w:val="nil"/>
            </w:tcBorders>
            <w:shd w:val="clear" w:color="auto" w:fill="auto"/>
            <w:noWrap/>
            <w:vAlign w:val="bottom"/>
            <w:hideMark/>
          </w:tcPr>
          <w:p w14:paraId="1B61C5F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Estonia</w:t>
            </w:r>
          </w:p>
        </w:tc>
        <w:tc>
          <w:tcPr>
            <w:tcW w:w="4120" w:type="dxa"/>
            <w:tcBorders>
              <w:top w:val="nil"/>
              <w:left w:val="nil"/>
              <w:bottom w:val="nil"/>
              <w:right w:val="nil"/>
            </w:tcBorders>
            <w:shd w:val="clear" w:color="auto" w:fill="auto"/>
            <w:noWrap/>
            <w:vAlign w:val="bottom"/>
            <w:hideMark/>
          </w:tcPr>
          <w:p w14:paraId="10F4C62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w:t>
            </w:r>
          </w:p>
        </w:tc>
        <w:tc>
          <w:tcPr>
            <w:tcW w:w="1560" w:type="dxa"/>
            <w:tcBorders>
              <w:top w:val="nil"/>
              <w:left w:val="nil"/>
              <w:bottom w:val="nil"/>
              <w:right w:val="nil"/>
            </w:tcBorders>
            <w:shd w:val="clear" w:color="auto" w:fill="auto"/>
            <w:noWrap/>
            <w:vAlign w:val="bottom"/>
            <w:hideMark/>
          </w:tcPr>
          <w:p w14:paraId="1962F188"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38%</w:t>
            </w:r>
          </w:p>
        </w:tc>
        <w:tc>
          <w:tcPr>
            <w:tcW w:w="1560" w:type="dxa"/>
            <w:tcBorders>
              <w:top w:val="nil"/>
              <w:left w:val="nil"/>
              <w:bottom w:val="nil"/>
              <w:right w:val="nil"/>
            </w:tcBorders>
            <w:shd w:val="clear" w:color="auto" w:fill="auto"/>
            <w:noWrap/>
            <w:vAlign w:val="bottom"/>
            <w:hideMark/>
          </w:tcPr>
          <w:p w14:paraId="03D8B1B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3406D7E8" w14:textId="77777777" w:rsidTr="00F30F4B">
        <w:trPr>
          <w:trHeight w:val="300"/>
        </w:trPr>
        <w:tc>
          <w:tcPr>
            <w:tcW w:w="2000" w:type="dxa"/>
            <w:tcBorders>
              <w:top w:val="nil"/>
              <w:left w:val="nil"/>
              <w:bottom w:val="nil"/>
              <w:right w:val="nil"/>
            </w:tcBorders>
            <w:shd w:val="clear" w:color="DCE6F1" w:fill="DCE6F1"/>
            <w:noWrap/>
            <w:vAlign w:val="bottom"/>
            <w:hideMark/>
          </w:tcPr>
          <w:p w14:paraId="6016C83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Finland</w:t>
            </w:r>
          </w:p>
        </w:tc>
        <w:tc>
          <w:tcPr>
            <w:tcW w:w="4120" w:type="dxa"/>
            <w:tcBorders>
              <w:top w:val="nil"/>
              <w:left w:val="nil"/>
              <w:bottom w:val="nil"/>
              <w:right w:val="nil"/>
            </w:tcBorders>
            <w:shd w:val="clear" w:color="DCE6F1" w:fill="DCE6F1"/>
            <w:noWrap/>
            <w:vAlign w:val="bottom"/>
            <w:hideMark/>
          </w:tcPr>
          <w:p w14:paraId="650D0FC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 (w/ holding period)</w:t>
            </w:r>
          </w:p>
        </w:tc>
        <w:tc>
          <w:tcPr>
            <w:tcW w:w="1560" w:type="dxa"/>
            <w:tcBorders>
              <w:top w:val="nil"/>
              <w:left w:val="nil"/>
              <w:bottom w:val="nil"/>
              <w:right w:val="nil"/>
            </w:tcBorders>
            <w:shd w:val="clear" w:color="DCE6F1" w:fill="DCE6F1"/>
            <w:noWrap/>
            <w:vAlign w:val="bottom"/>
            <w:hideMark/>
          </w:tcPr>
          <w:p w14:paraId="4123E910"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49%</w:t>
            </w:r>
          </w:p>
        </w:tc>
        <w:tc>
          <w:tcPr>
            <w:tcW w:w="1560" w:type="dxa"/>
            <w:tcBorders>
              <w:top w:val="nil"/>
              <w:left w:val="nil"/>
              <w:bottom w:val="nil"/>
              <w:right w:val="nil"/>
            </w:tcBorders>
            <w:shd w:val="clear" w:color="DCE6F1" w:fill="DCE6F1"/>
            <w:noWrap/>
            <w:vAlign w:val="bottom"/>
            <w:hideMark/>
          </w:tcPr>
          <w:p w14:paraId="19B0F07E"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3D72A4F5" w14:textId="77777777" w:rsidTr="00F30F4B">
        <w:trPr>
          <w:trHeight w:val="300"/>
        </w:trPr>
        <w:tc>
          <w:tcPr>
            <w:tcW w:w="2000" w:type="dxa"/>
            <w:tcBorders>
              <w:top w:val="nil"/>
              <w:left w:val="nil"/>
              <w:bottom w:val="nil"/>
              <w:right w:val="nil"/>
            </w:tcBorders>
            <w:shd w:val="clear" w:color="auto" w:fill="auto"/>
            <w:noWrap/>
            <w:vAlign w:val="bottom"/>
            <w:hideMark/>
          </w:tcPr>
          <w:p w14:paraId="0595B9B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France</w:t>
            </w:r>
          </w:p>
        </w:tc>
        <w:tc>
          <w:tcPr>
            <w:tcW w:w="4120" w:type="dxa"/>
            <w:tcBorders>
              <w:top w:val="nil"/>
              <w:left w:val="nil"/>
              <w:bottom w:val="nil"/>
              <w:right w:val="nil"/>
            </w:tcBorders>
            <w:shd w:val="clear" w:color="auto" w:fill="auto"/>
            <w:noWrap/>
            <w:vAlign w:val="bottom"/>
            <w:hideMark/>
          </w:tcPr>
          <w:p w14:paraId="5C02AAE6"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auto" w:fill="auto"/>
            <w:noWrap/>
            <w:vAlign w:val="bottom"/>
            <w:hideMark/>
          </w:tcPr>
          <w:p w14:paraId="6D631856"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60%</w:t>
            </w:r>
          </w:p>
        </w:tc>
        <w:tc>
          <w:tcPr>
            <w:tcW w:w="1560" w:type="dxa"/>
            <w:tcBorders>
              <w:top w:val="nil"/>
              <w:left w:val="nil"/>
              <w:bottom w:val="nil"/>
              <w:right w:val="nil"/>
            </w:tcBorders>
            <w:shd w:val="clear" w:color="auto" w:fill="auto"/>
            <w:noWrap/>
            <w:vAlign w:val="bottom"/>
            <w:hideMark/>
          </w:tcPr>
          <w:p w14:paraId="0DA992D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0DDDEE83" w14:textId="77777777" w:rsidTr="00F30F4B">
        <w:trPr>
          <w:trHeight w:val="300"/>
        </w:trPr>
        <w:tc>
          <w:tcPr>
            <w:tcW w:w="2000" w:type="dxa"/>
            <w:tcBorders>
              <w:top w:val="nil"/>
              <w:left w:val="nil"/>
              <w:bottom w:val="nil"/>
              <w:right w:val="nil"/>
            </w:tcBorders>
            <w:shd w:val="clear" w:color="DCE6F1" w:fill="DCE6F1"/>
            <w:noWrap/>
            <w:vAlign w:val="bottom"/>
            <w:hideMark/>
          </w:tcPr>
          <w:p w14:paraId="722F31F4"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Germany</w:t>
            </w:r>
          </w:p>
        </w:tc>
        <w:tc>
          <w:tcPr>
            <w:tcW w:w="4120" w:type="dxa"/>
            <w:tcBorders>
              <w:top w:val="nil"/>
              <w:left w:val="nil"/>
              <w:bottom w:val="nil"/>
              <w:right w:val="nil"/>
            </w:tcBorders>
            <w:shd w:val="clear" w:color="DCE6F1" w:fill="DCE6F1"/>
            <w:noWrap/>
            <w:vAlign w:val="bottom"/>
            <w:hideMark/>
          </w:tcPr>
          <w:p w14:paraId="179C4D83"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Final withholding</w:t>
            </w:r>
          </w:p>
        </w:tc>
        <w:tc>
          <w:tcPr>
            <w:tcW w:w="1560" w:type="dxa"/>
            <w:tcBorders>
              <w:top w:val="nil"/>
              <w:left w:val="nil"/>
              <w:bottom w:val="nil"/>
              <w:right w:val="nil"/>
            </w:tcBorders>
            <w:shd w:val="clear" w:color="DCE6F1" w:fill="DCE6F1"/>
            <w:noWrap/>
            <w:vAlign w:val="bottom"/>
            <w:hideMark/>
          </w:tcPr>
          <w:p w14:paraId="62565568"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49%</w:t>
            </w:r>
          </w:p>
        </w:tc>
        <w:tc>
          <w:tcPr>
            <w:tcW w:w="1560" w:type="dxa"/>
            <w:tcBorders>
              <w:top w:val="nil"/>
              <w:left w:val="nil"/>
              <w:bottom w:val="nil"/>
              <w:right w:val="nil"/>
            </w:tcBorders>
            <w:shd w:val="clear" w:color="DCE6F1" w:fill="DCE6F1"/>
            <w:noWrap/>
            <w:vAlign w:val="bottom"/>
            <w:hideMark/>
          </w:tcPr>
          <w:p w14:paraId="2517672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0A9C0645" w14:textId="77777777" w:rsidTr="00F30F4B">
        <w:trPr>
          <w:trHeight w:val="300"/>
        </w:trPr>
        <w:tc>
          <w:tcPr>
            <w:tcW w:w="2000" w:type="dxa"/>
            <w:tcBorders>
              <w:top w:val="nil"/>
              <w:left w:val="nil"/>
              <w:bottom w:val="nil"/>
              <w:right w:val="nil"/>
            </w:tcBorders>
            <w:shd w:val="clear" w:color="auto" w:fill="auto"/>
            <w:noWrap/>
            <w:vAlign w:val="bottom"/>
            <w:hideMark/>
          </w:tcPr>
          <w:p w14:paraId="1613BDCE"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Greece</w:t>
            </w:r>
          </w:p>
        </w:tc>
        <w:tc>
          <w:tcPr>
            <w:tcW w:w="4120" w:type="dxa"/>
            <w:tcBorders>
              <w:top w:val="nil"/>
              <w:left w:val="nil"/>
              <w:bottom w:val="nil"/>
              <w:right w:val="nil"/>
            </w:tcBorders>
            <w:shd w:val="clear" w:color="auto" w:fill="auto"/>
            <w:noWrap/>
            <w:vAlign w:val="bottom"/>
            <w:hideMark/>
          </w:tcPr>
          <w:p w14:paraId="0E6553BE"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w:t>
            </w:r>
          </w:p>
        </w:tc>
        <w:tc>
          <w:tcPr>
            <w:tcW w:w="1560" w:type="dxa"/>
            <w:tcBorders>
              <w:top w:val="nil"/>
              <w:left w:val="nil"/>
              <w:bottom w:val="nil"/>
              <w:right w:val="nil"/>
            </w:tcBorders>
            <w:shd w:val="clear" w:color="auto" w:fill="auto"/>
            <w:noWrap/>
            <w:vAlign w:val="bottom"/>
            <w:hideMark/>
          </w:tcPr>
          <w:p w14:paraId="604A5393"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20%</w:t>
            </w:r>
          </w:p>
        </w:tc>
        <w:tc>
          <w:tcPr>
            <w:tcW w:w="1560" w:type="dxa"/>
            <w:tcBorders>
              <w:top w:val="nil"/>
              <w:left w:val="nil"/>
              <w:bottom w:val="nil"/>
              <w:right w:val="nil"/>
            </w:tcBorders>
            <w:shd w:val="clear" w:color="auto" w:fill="auto"/>
            <w:noWrap/>
            <w:vAlign w:val="bottom"/>
            <w:hideMark/>
          </w:tcPr>
          <w:p w14:paraId="1E75070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3ADD33D4" w14:textId="77777777" w:rsidTr="00F30F4B">
        <w:trPr>
          <w:trHeight w:val="300"/>
        </w:trPr>
        <w:tc>
          <w:tcPr>
            <w:tcW w:w="2000" w:type="dxa"/>
            <w:tcBorders>
              <w:top w:val="nil"/>
              <w:left w:val="nil"/>
              <w:bottom w:val="nil"/>
              <w:right w:val="nil"/>
            </w:tcBorders>
            <w:shd w:val="clear" w:color="DCE6F1" w:fill="DCE6F1"/>
            <w:noWrap/>
            <w:vAlign w:val="bottom"/>
            <w:hideMark/>
          </w:tcPr>
          <w:p w14:paraId="1EA92D4E"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Hungary</w:t>
            </w:r>
          </w:p>
        </w:tc>
        <w:tc>
          <w:tcPr>
            <w:tcW w:w="4120" w:type="dxa"/>
            <w:tcBorders>
              <w:top w:val="nil"/>
              <w:left w:val="nil"/>
              <w:bottom w:val="nil"/>
              <w:right w:val="nil"/>
            </w:tcBorders>
            <w:shd w:val="clear" w:color="DCE6F1" w:fill="DCE6F1"/>
            <w:noWrap/>
            <w:vAlign w:val="bottom"/>
            <w:hideMark/>
          </w:tcPr>
          <w:p w14:paraId="5B3BD191"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 (w/ holding period)</w:t>
            </w:r>
          </w:p>
        </w:tc>
        <w:tc>
          <w:tcPr>
            <w:tcW w:w="1560" w:type="dxa"/>
            <w:tcBorders>
              <w:top w:val="nil"/>
              <w:left w:val="nil"/>
              <w:bottom w:val="nil"/>
              <w:right w:val="nil"/>
            </w:tcBorders>
            <w:shd w:val="clear" w:color="DCE6F1" w:fill="DCE6F1"/>
            <w:noWrap/>
            <w:vAlign w:val="bottom"/>
            <w:hideMark/>
          </w:tcPr>
          <w:p w14:paraId="20E3856A"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19%</w:t>
            </w:r>
          </w:p>
        </w:tc>
        <w:tc>
          <w:tcPr>
            <w:tcW w:w="1560" w:type="dxa"/>
            <w:tcBorders>
              <w:top w:val="nil"/>
              <w:left w:val="nil"/>
              <w:bottom w:val="nil"/>
              <w:right w:val="nil"/>
            </w:tcBorders>
            <w:shd w:val="clear" w:color="DCE6F1" w:fill="DCE6F1"/>
            <w:noWrap/>
            <w:vAlign w:val="bottom"/>
            <w:hideMark/>
          </w:tcPr>
          <w:p w14:paraId="5381EFE6"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66C0A93C" w14:textId="77777777" w:rsidTr="00F30F4B">
        <w:trPr>
          <w:trHeight w:val="300"/>
        </w:trPr>
        <w:tc>
          <w:tcPr>
            <w:tcW w:w="2000" w:type="dxa"/>
            <w:tcBorders>
              <w:top w:val="nil"/>
              <w:left w:val="nil"/>
              <w:bottom w:val="nil"/>
              <w:right w:val="nil"/>
            </w:tcBorders>
            <w:shd w:val="clear" w:color="auto" w:fill="auto"/>
            <w:noWrap/>
            <w:vAlign w:val="bottom"/>
            <w:hideMark/>
          </w:tcPr>
          <w:p w14:paraId="531A2DB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Iceland</w:t>
            </w:r>
          </w:p>
        </w:tc>
        <w:tc>
          <w:tcPr>
            <w:tcW w:w="4120" w:type="dxa"/>
            <w:tcBorders>
              <w:top w:val="nil"/>
              <w:left w:val="nil"/>
              <w:bottom w:val="nil"/>
              <w:right w:val="nil"/>
            </w:tcBorders>
            <w:shd w:val="clear" w:color="auto" w:fill="auto"/>
            <w:noWrap/>
            <w:vAlign w:val="bottom"/>
            <w:hideMark/>
          </w:tcPr>
          <w:p w14:paraId="2E58E6A7"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w:t>
            </w:r>
          </w:p>
        </w:tc>
        <w:tc>
          <w:tcPr>
            <w:tcW w:w="1560" w:type="dxa"/>
            <w:tcBorders>
              <w:top w:val="nil"/>
              <w:left w:val="nil"/>
              <w:bottom w:val="nil"/>
              <w:right w:val="nil"/>
            </w:tcBorders>
            <w:shd w:val="clear" w:color="auto" w:fill="auto"/>
            <w:noWrap/>
            <w:vAlign w:val="bottom"/>
            <w:hideMark/>
          </w:tcPr>
          <w:p w14:paraId="23956358"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36%</w:t>
            </w:r>
          </w:p>
        </w:tc>
        <w:tc>
          <w:tcPr>
            <w:tcW w:w="1560" w:type="dxa"/>
            <w:tcBorders>
              <w:top w:val="nil"/>
              <w:left w:val="nil"/>
              <w:bottom w:val="nil"/>
              <w:right w:val="nil"/>
            </w:tcBorders>
            <w:shd w:val="clear" w:color="auto" w:fill="auto"/>
            <w:noWrap/>
            <w:vAlign w:val="bottom"/>
            <w:hideMark/>
          </w:tcPr>
          <w:p w14:paraId="3510F62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452CB687" w14:textId="77777777" w:rsidTr="00F30F4B">
        <w:trPr>
          <w:trHeight w:val="300"/>
        </w:trPr>
        <w:tc>
          <w:tcPr>
            <w:tcW w:w="2000" w:type="dxa"/>
            <w:tcBorders>
              <w:top w:val="nil"/>
              <w:left w:val="nil"/>
              <w:bottom w:val="nil"/>
              <w:right w:val="nil"/>
            </w:tcBorders>
            <w:shd w:val="clear" w:color="DCE6F1" w:fill="DCE6F1"/>
            <w:noWrap/>
            <w:vAlign w:val="bottom"/>
            <w:hideMark/>
          </w:tcPr>
          <w:p w14:paraId="082945EE"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Ireland</w:t>
            </w:r>
          </w:p>
        </w:tc>
        <w:tc>
          <w:tcPr>
            <w:tcW w:w="4120" w:type="dxa"/>
            <w:tcBorders>
              <w:top w:val="nil"/>
              <w:left w:val="nil"/>
              <w:bottom w:val="nil"/>
              <w:right w:val="nil"/>
            </w:tcBorders>
            <w:shd w:val="clear" w:color="DCE6F1" w:fill="DCE6F1"/>
            <w:noWrap/>
            <w:vAlign w:val="bottom"/>
            <w:hideMark/>
          </w:tcPr>
          <w:p w14:paraId="326C7AD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DCE6F1" w:fill="DCE6F1"/>
            <w:noWrap/>
            <w:vAlign w:val="bottom"/>
            <w:hideMark/>
          </w:tcPr>
          <w:p w14:paraId="06B1CA4D"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55%</w:t>
            </w:r>
          </w:p>
        </w:tc>
        <w:tc>
          <w:tcPr>
            <w:tcW w:w="1560" w:type="dxa"/>
            <w:tcBorders>
              <w:top w:val="nil"/>
              <w:left w:val="nil"/>
              <w:bottom w:val="nil"/>
              <w:right w:val="nil"/>
            </w:tcBorders>
            <w:shd w:val="clear" w:color="DCE6F1" w:fill="DCE6F1"/>
            <w:noWrap/>
            <w:vAlign w:val="bottom"/>
            <w:hideMark/>
          </w:tcPr>
          <w:p w14:paraId="6DAA9BE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6B9D7A87" w14:textId="77777777" w:rsidTr="00F30F4B">
        <w:trPr>
          <w:trHeight w:val="300"/>
        </w:trPr>
        <w:tc>
          <w:tcPr>
            <w:tcW w:w="2000" w:type="dxa"/>
            <w:tcBorders>
              <w:top w:val="nil"/>
              <w:left w:val="nil"/>
              <w:bottom w:val="nil"/>
              <w:right w:val="nil"/>
            </w:tcBorders>
            <w:shd w:val="clear" w:color="auto" w:fill="auto"/>
            <w:noWrap/>
            <w:vAlign w:val="bottom"/>
            <w:hideMark/>
          </w:tcPr>
          <w:p w14:paraId="5F633461"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Israel</w:t>
            </w:r>
          </w:p>
        </w:tc>
        <w:tc>
          <w:tcPr>
            <w:tcW w:w="4120" w:type="dxa"/>
            <w:tcBorders>
              <w:top w:val="nil"/>
              <w:left w:val="nil"/>
              <w:bottom w:val="nil"/>
              <w:right w:val="nil"/>
            </w:tcBorders>
            <w:shd w:val="clear" w:color="auto" w:fill="auto"/>
            <w:noWrap/>
            <w:vAlign w:val="bottom"/>
            <w:hideMark/>
          </w:tcPr>
          <w:p w14:paraId="7BDD572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Partial inclusion (w/ inflation adjustment)</w:t>
            </w:r>
          </w:p>
        </w:tc>
        <w:tc>
          <w:tcPr>
            <w:tcW w:w="1560" w:type="dxa"/>
            <w:tcBorders>
              <w:top w:val="nil"/>
              <w:left w:val="nil"/>
              <w:bottom w:val="nil"/>
              <w:right w:val="nil"/>
            </w:tcBorders>
            <w:shd w:val="clear" w:color="auto" w:fill="auto"/>
            <w:noWrap/>
            <w:vAlign w:val="bottom"/>
            <w:hideMark/>
          </w:tcPr>
          <w:p w14:paraId="7566A021"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40%</w:t>
            </w:r>
          </w:p>
        </w:tc>
        <w:tc>
          <w:tcPr>
            <w:tcW w:w="1560" w:type="dxa"/>
            <w:tcBorders>
              <w:top w:val="nil"/>
              <w:left w:val="nil"/>
              <w:bottom w:val="nil"/>
              <w:right w:val="nil"/>
            </w:tcBorders>
            <w:shd w:val="clear" w:color="auto" w:fill="auto"/>
            <w:noWrap/>
            <w:vAlign w:val="bottom"/>
            <w:hideMark/>
          </w:tcPr>
          <w:p w14:paraId="7D1A0E24"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6D8E812A" w14:textId="77777777" w:rsidTr="00F30F4B">
        <w:trPr>
          <w:trHeight w:val="300"/>
        </w:trPr>
        <w:tc>
          <w:tcPr>
            <w:tcW w:w="2000" w:type="dxa"/>
            <w:tcBorders>
              <w:top w:val="nil"/>
              <w:left w:val="nil"/>
              <w:bottom w:val="nil"/>
              <w:right w:val="nil"/>
            </w:tcBorders>
            <w:shd w:val="clear" w:color="DCE6F1" w:fill="DCE6F1"/>
            <w:noWrap/>
            <w:vAlign w:val="bottom"/>
            <w:hideMark/>
          </w:tcPr>
          <w:p w14:paraId="13728C33"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Italy (new equity)</w:t>
            </w:r>
          </w:p>
        </w:tc>
        <w:tc>
          <w:tcPr>
            <w:tcW w:w="4120" w:type="dxa"/>
            <w:tcBorders>
              <w:top w:val="nil"/>
              <w:left w:val="nil"/>
              <w:bottom w:val="nil"/>
              <w:right w:val="nil"/>
            </w:tcBorders>
            <w:shd w:val="clear" w:color="DCE6F1" w:fill="DCE6F1"/>
            <w:noWrap/>
            <w:vAlign w:val="bottom"/>
            <w:hideMark/>
          </w:tcPr>
          <w:p w14:paraId="2C793D7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Allowance of corporate equity</w:t>
            </w:r>
          </w:p>
        </w:tc>
        <w:tc>
          <w:tcPr>
            <w:tcW w:w="1560" w:type="dxa"/>
            <w:tcBorders>
              <w:top w:val="nil"/>
              <w:left w:val="nil"/>
              <w:bottom w:val="nil"/>
              <w:right w:val="nil"/>
            </w:tcBorders>
            <w:shd w:val="clear" w:color="DCE6F1" w:fill="DCE6F1"/>
            <w:vAlign w:val="bottom"/>
            <w:hideMark/>
          </w:tcPr>
          <w:p w14:paraId="42370BBE"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26%</w:t>
            </w:r>
          </w:p>
        </w:tc>
        <w:tc>
          <w:tcPr>
            <w:tcW w:w="1560" w:type="dxa"/>
            <w:tcBorders>
              <w:top w:val="nil"/>
              <w:left w:val="nil"/>
              <w:bottom w:val="nil"/>
              <w:right w:val="nil"/>
            </w:tcBorders>
            <w:shd w:val="clear" w:color="DCE6F1" w:fill="DCE6F1"/>
            <w:noWrap/>
            <w:vAlign w:val="bottom"/>
            <w:hideMark/>
          </w:tcPr>
          <w:p w14:paraId="54CA3CE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5E83BBC8" w14:textId="77777777" w:rsidTr="00F30F4B">
        <w:trPr>
          <w:trHeight w:val="300"/>
        </w:trPr>
        <w:tc>
          <w:tcPr>
            <w:tcW w:w="2000" w:type="dxa"/>
            <w:tcBorders>
              <w:top w:val="nil"/>
              <w:left w:val="nil"/>
              <w:bottom w:val="nil"/>
              <w:right w:val="nil"/>
            </w:tcBorders>
            <w:shd w:val="clear" w:color="auto" w:fill="auto"/>
            <w:noWrap/>
            <w:vAlign w:val="bottom"/>
            <w:hideMark/>
          </w:tcPr>
          <w:p w14:paraId="0EFE2B03"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Italy (old equity)</w:t>
            </w:r>
          </w:p>
        </w:tc>
        <w:tc>
          <w:tcPr>
            <w:tcW w:w="4120" w:type="dxa"/>
            <w:tcBorders>
              <w:top w:val="nil"/>
              <w:left w:val="nil"/>
              <w:bottom w:val="nil"/>
              <w:right w:val="nil"/>
            </w:tcBorders>
            <w:shd w:val="clear" w:color="auto" w:fill="auto"/>
            <w:noWrap/>
            <w:vAlign w:val="bottom"/>
            <w:hideMark/>
          </w:tcPr>
          <w:p w14:paraId="47C4C437"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auto" w:fill="auto"/>
            <w:vAlign w:val="bottom"/>
            <w:hideMark/>
          </w:tcPr>
          <w:p w14:paraId="62A85FAC"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42%</w:t>
            </w:r>
          </w:p>
        </w:tc>
        <w:tc>
          <w:tcPr>
            <w:tcW w:w="1560" w:type="dxa"/>
            <w:tcBorders>
              <w:top w:val="nil"/>
              <w:left w:val="nil"/>
              <w:bottom w:val="nil"/>
              <w:right w:val="nil"/>
            </w:tcBorders>
            <w:shd w:val="clear" w:color="auto" w:fill="auto"/>
            <w:noWrap/>
            <w:vAlign w:val="bottom"/>
            <w:hideMark/>
          </w:tcPr>
          <w:p w14:paraId="706B46B0"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092CB6ED" w14:textId="77777777" w:rsidTr="00F30F4B">
        <w:trPr>
          <w:trHeight w:val="300"/>
        </w:trPr>
        <w:tc>
          <w:tcPr>
            <w:tcW w:w="2000" w:type="dxa"/>
            <w:tcBorders>
              <w:top w:val="nil"/>
              <w:left w:val="nil"/>
              <w:bottom w:val="nil"/>
              <w:right w:val="nil"/>
            </w:tcBorders>
            <w:shd w:val="clear" w:color="DCE6F1" w:fill="DCE6F1"/>
            <w:noWrap/>
            <w:vAlign w:val="bottom"/>
            <w:hideMark/>
          </w:tcPr>
          <w:p w14:paraId="7EC7CC9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Japan</w:t>
            </w:r>
          </w:p>
        </w:tc>
        <w:tc>
          <w:tcPr>
            <w:tcW w:w="4120" w:type="dxa"/>
            <w:tcBorders>
              <w:top w:val="nil"/>
              <w:left w:val="nil"/>
              <w:bottom w:val="nil"/>
              <w:right w:val="nil"/>
            </w:tcBorders>
            <w:shd w:val="clear" w:color="DCE6F1" w:fill="DCE6F1"/>
            <w:noWrap/>
            <w:vAlign w:val="bottom"/>
            <w:hideMark/>
          </w:tcPr>
          <w:p w14:paraId="520063A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DCE6F1" w:fill="DCE6F1"/>
            <w:noWrap/>
            <w:vAlign w:val="bottom"/>
            <w:hideMark/>
          </w:tcPr>
          <w:p w14:paraId="73FC748E"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43%</w:t>
            </w:r>
          </w:p>
        </w:tc>
        <w:tc>
          <w:tcPr>
            <w:tcW w:w="1560" w:type="dxa"/>
            <w:tcBorders>
              <w:top w:val="nil"/>
              <w:left w:val="nil"/>
              <w:bottom w:val="nil"/>
              <w:right w:val="nil"/>
            </w:tcBorders>
            <w:shd w:val="clear" w:color="DCE6F1" w:fill="DCE6F1"/>
            <w:noWrap/>
            <w:vAlign w:val="bottom"/>
            <w:hideMark/>
          </w:tcPr>
          <w:p w14:paraId="371058D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493E4DC8" w14:textId="77777777" w:rsidTr="00F30F4B">
        <w:trPr>
          <w:trHeight w:val="300"/>
        </w:trPr>
        <w:tc>
          <w:tcPr>
            <w:tcW w:w="2000" w:type="dxa"/>
            <w:tcBorders>
              <w:top w:val="nil"/>
              <w:left w:val="nil"/>
              <w:bottom w:val="nil"/>
              <w:right w:val="nil"/>
            </w:tcBorders>
            <w:shd w:val="clear" w:color="auto" w:fill="auto"/>
            <w:noWrap/>
            <w:vAlign w:val="bottom"/>
            <w:hideMark/>
          </w:tcPr>
          <w:p w14:paraId="137269E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Korea</w:t>
            </w:r>
          </w:p>
        </w:tc>
        <w:tc>
          <w:tcPr>
            <w:tcW w:w="4120" w:type="dxa"/>
            <w:tcBorders>
              <w:top w:val="nil"/>
              <w:left w:val="nil"/>
              <w:bottom w:val="nil"/>
              <w:right w:val="nil"/>
            </w:tcBorders>
            <w:shd w:val="clear" w:color="auto" w:fill="auto"/>
            <w:noWrap/>
            <w:vAlign w:val="bottom"/>
            <w:hideMark/>
          </w:tcPr>
          <w:p w14:paraId="2754B707"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w:t>
            </w:r>
          </w:p>
        </w:tc>
        <w:tc>
          <w:tcPr>
            <w:tcW w:w="1560" w:type="dxa"/>
            <w:tcBorders>
              <w:top w:val="nil"/>
              <w:left w:val="nil"/>
              <w:bottom w:val="nil"/>
              <w:right w:val="nil"/>
            </w:tcBorders>
            <w:shd w:val="clear" w:color="auto" w:fill="auto"/>
            <w:noWrap/>
            <w:vAlign w:val="bottom"/>
            <w:hideMark/>
          </w:tcPr>
          <w:p w14:paraId="77FE5CA9"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24%</w:t>
            </w:r>
          </w:p>
        </w:tc>
        <w:tc>
          <w:tcPr>
            <w:tcW w:w="1560" w:type="dxa"/>
            <w:tcBorders>
              <w:top w:val="nil"/>
              <w:left w:val="nil"/>
              <w:bottom w:val="nil"/>
              <w:right w:val="nil"/>
            </w:tcBorders>
            <w:shd w:val="clear" w:color="auto" w:fill="auto"/>
            <w:noWrap/>
            <w:vAlign w:val="bottom"/>
            <w:hideMark/>
          </w:tcPr>
          <w:p w14:paraId="7435A66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4793C87F" w14:textId="77777777" w:rsidTr="00F30F4B">
        <w:trPr>
          <w:trHeight w:val="300"/>
        </w:trPr>
        <w:tc>
          <w:tcPr>
            <w:tcW w:w="2000" w:type="dxa"/>
            <w:tcBorders>
              <w:top w:val="nil"/>
              <w:left w:val="nil"/>
              <w:bottom w:val="nil"/>
              <w:right w:val="nil"/>
            </w:tcBorders>
            <w:shd w:val="clear" w:color="DCE6F1" w:fill="DCE6F1"/>
            <w:noWrap/>
            <w:vAlign w:val="bottom"/>
            <w:hideMark/>
          </w:tcPr>
          <w:p w14:paraId="763AD5AF"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Luxembourg</w:t>
            </w:r>
          </w:p>
        </w:tc>
        <w:tc>
          <w:tcPr>
            <w:tcW w:w="4120" w:type="dxa"/>
            <w:tcBorders>
              <w:top w:val="nil"/>
              <w:left w:val="nil"/>
              <w:bottom w:val="nil"/>
              <w:right w:val="nil"/>
            </w:tcBorders>
            <w:shd w:val="clear" w:color="DCE6F1" w:fill="DCE6F1"/>
            <w:noWrap/>
            <w:vAlign w:val="bottom"/>
            <w:hideMark/>
          </w:tcPr>
          <w:p w14:paraId="4A248738"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 (w/ holding period)</w:t>
            </w:r>
          </w:p>
        </w:tc>
        <w:tc>
          <w:tcPr>
            <w:tcW w:w="1560" w:type="dxa"/>
            <w:tcBorders>
              <w:top w:val="nil"/>
              <w:left w:val="nil"/>
              <w:bottom w:val="nil"/>
              <w:right w:val="nil"/>
            </w:tcBorders>
            <w:shd w:val="clear" w:color="DCE6F1" w:fill="DCE6F1"/>
            <w:noWrap/>
            <w:vAlign w:val="bottom"/>
            <w:hideMark/>
          </w:tcPr>
          <w:p w14:paraId="766457DE"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29%</w:t>
            </w:r>
          </w:p>
        </w:tc>
        <w:tc>
          <w:tcPr>
            <w:tcW w:w="1560" w:type="dxa"/>
            <w:tcBorders>
              <w:top w:val="nil"/>
              <w:left w:val="nil"/>
              <w:bottom w:val="nil"/>
              <w:right w:val="nil"/>
            </w:tcBorders>
            <w:shd w:val="clear" w:color="DCE6F1" w:fill="DCE6F1"/>
            <w:noWrap/>
            <w:vAlign w:val="bottom"/>
            <w:hideMark/>
          </w:tcPr>
          <w:p w14:paraId="028BC867"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1E90C841" w14:textId="77777777" w:rsidTr="00F30F4B">
        <w:trPr>
          <w:trHeight w:val="300"/>
        </w:trPr>
        <w:tc>
          <w:tcPr>
            <w:tcW w:w="2000" w:type="dxa"/>
            <w:tcBorders>
              <w:top w:val="nil"/>
              <w:left w:val="nil"/>
              <w:bottom w:val="nil"/>
              <w:right w:val="nil"/>
            </w:tcBorders>
            <w:shd w:val="clear" w:color="auto" w:fill="auto"/>
            <w:noWrap/>
            <w:vAlign w:val="bottom"/>
            <w:hideMark/>
          </w:tcPr>
          <w:p w14:paraId="0B7F890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Mexico</w:t>
            </w:r>
          </w:p>
        </w:tc>
        <w:tc>
          <w:tcPr>
            <w:tcW w:w="4120" w:type="dxa"/>
            <w:tcBorders>
              <w:top w:val="nil"/>
              <w:left w:val="nil"/>
              <w:bottom w:val="nil"/>
              <w:right w:val="nil"/>
            </w:tcBorders>
            <w:shd w:val="clear" w:color="auto" w:fill="auto"/>
            <w:noWrap/>
            <w:vAlign w:val="bottom"/>
            <w:hideMark/>
          </w:tcPr>
          <w:p w14:paraId="36B7C62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w:t>
            </w:r>
          </w:p>
        </w:tc>
        <w:tc>
          <w:tcPr>
            <w:tcW w:w="1560" w:type="dxa"/>
            <w:tcBorders>
              <w:top w:val="nil"/>
              <w:left w:val="nil"/>
              <w:bottom w:val="nil"/>
              <w:right w:val="nil"/>
            </w:tcBorders>
            <w:shd w:val="clear" w:color="auto" w:fill="auto"/>
            <w:noWrap/>
            <w:vAlign w:val="bottom"/>
            <w:hideMark/>
          </w:tcPr>
          <w:p w14:paraId="433A8BE2"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30%</w:t>
            </w:r>
          </w:p>
        </w:tc>
        <w:tc>
          <w:tcPr>
            <w:tcW w:w="1560" w:type="dxa"/>
            <w:tcBorders>
              <w:top w:val="nil"/>
              <w:left w:val="nil"/>
              <w:bottom w:val="nil"/>
              <w:right w:val="nil"/>
            </w:tcBorders>
            <w:shd w:val="clear" w:color="auto" w:fill="auto"/>
            <w:noWrap/>
            <w:vAlign w:val="bottom"/>
            <w:hideMark/>
          </w:tcPr>
          <w:p w14:paraId="38152748"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7DCD5592" w14:textId="77777777" w:rsidTr="00F30F4B">
        <w:trPr>
          <w:trHeight w:val="300"/>
        </w:trPr>
        <w:tc>
          <w:tcPr>
            <w:tcW w:w="2000" w:type="dxa"/>
            <w:tcBorders>
              <w:top w:val="nil"/>
              <w:left w:val="nil"/>
              <w:bottom w:val="nil"/>
              <w:right w:val="nil"/>
            </w:tcBorders>
            <w:shd w:val="clear" w:color="DCE6F1" w:fill="DCE6F1"/>
            <w:noWrap/>
            <w:vAlign w:val="bottom"/>
            <w:hideMark/>
          </w:tcPr>
          <w:p w14:paraId="335F29F3"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Netherlands</w:t>
            </w:r>
          </w:p>
        </w:tc>
        <w:tc>
          <w:tcPr>
            <w:tcW w:w="4120" w:type="dxa"/>
            <w:tcBorders>
              <w:top w:val="nil"/>
              <w:left w:val="nil"/>
              <w:bottom w:val="nil"/>
              <w:right w:val="nil"/>
            </w:tcBorders>
            <w:shd w:val="clear" w:color="DCE6F1" w:fill="DCE6F1"/>
            <w:noWrap/>
            <w:vAlign w:val="bottom"/>
            <w:hideMark/>
          </w:tcPr>
          <w:p w14:paraId="64D91BE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Included in the wealth tax of 'box 3'</w:t>
            </w:r>
          </w:p>
        </w:tc>
        <w:tc>
          <w:tcPr>
            <w:tcW w:w="1560" w:type="dxa"/>
            <w:tcBorders>
              <w:top w:val="nil"/>
              <w:left w:val="nil"/>
              <w:bottom w:val="nil"/>
              <w:right w:val="nil"/>
            </w:tcBorders>
            <w:shd w:val="clear" w:color="DCE6F1" w:fill="DCE6F1"/>
            <w:noWrap/>
            <w:vAlign w:val="bottom"/>
            <w:hideMark/>
          </w:tcPr>
          <w:p w14:paraId="78114C54"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0%</w:t>
            </w:r>
          </w:p>
        </w:tc>
        <w:tc>
          <w:tcPr>
            <w:tcW w:w="1560" w:type="dxa"/>
            <w:tcBorders>
              <w:top w:val="nil"/>
              <w:left w:val="nil"/>
              <w:bottom w:val="nil"/>
              <w:right w:val="nil"/>
            </w:tcBorders>
            <w:shd w:val="clear" w:color="DCE6F1" w:fill="DCE6F1"/>
            <w:noWrap/>
            <w:vAlign w:val="bottom"/>
            <w:hideMark/>
          </w:tcPr>
          <w:p w14:paraId="4AAA2EA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0B4AF686" w14:textId="77777777" w:rsidTr="00F30F4B">
        <w:trPr>
          <w:trHeight w:val="300"/>
        </w:trPr>
        <w:tc>
          <w:tcPr>
            <w:tcW w:w="2000" w:type="dxa"/>
            <w:tcBorders>
              <w:top w:val="nil"/>
              <w:left w:val="nil"/>
              <w:bottom w:val="nil"/>
              <w:right w:val="nil"/>
            </w:tcBorders>
            <w:shd w:val="clear" w:color="auto" w:fill="auto"/>
            <w:noWrap/>
            <w:vAlign w:val="bottom"/>
            <w:hideMark/>
          </w:tcPr>
          <w:p w14:paraId="4958C11E"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New Zealand</w:t>
            </w:r>
          </w:p>
        </w:tc>
        <w:tc>
          <w:tcPr>
            <w:tcW w:w="4120" w:type="dxa"/>
            <w:tcBorders>
              <w:top w:val="nil"/>
              <w:left w:val="nil"/>
              <w:bottom w:val="nil"/>
              <w:right w:val="nil"/>
            </w:tcBorders>
            <w:shd w:val="clear" w:color="auto" w:fill="auto"/>
            <w:noWrap/>
            <w:vAlign w:val="bottom"/>
            <w:hideMark/>
          </w:tcPr>
          <w:p w14:paraId="6CF5782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w:t>
            </w:r>
          </w:p>
        </w:tc>
        <w:tc>
          <w:tcPr>
            <w:tcW w:w="1560" w:type="dxa"/>
            <w:tcBorders>
              <w:top w:val="nil"/>
              <w:left w:val="nil"/>
              <w:bottom w:val="nil"/>
              <w:right w:val="nil"/>
            </w:tcBorders>
            <w:shd w:val="clear" w:color="auto" w:fill="auto"/>
            <w:noWrap/>
            <w:vAlign w:val="bottom"/>
            <w:hideMark/>
          </w:tcPr>
          <w:p w14:paraId="200EA132"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28%</w:t>
            </w:r>
          </w:p>
        </w:tc>
        <w:tc>
          <w:tcPr>
            <w:tcW w:w="1560" w:type="dxa"/>
            <w:tcBorders>
              <w:top w:val="nil"/>
              <w:left w:val="nil"/>
              <w:bottom w:val="nil"/>
              <w:right w:val="nil"/>
            </w:tcBorders>
            <w:shd w:val="clear" w:color="auto" w:fill="auto"/>
            <w:noWrap/>
            <w:vAlign w:val="bottom"/>
            <w:hideMark/>
          </w:tcPr>
          <w:p w14:paraId="6C4AC3E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707E30DD" w14:textId="77777777" w:rsidTr="00F30F4B">
        <w:trPr>
          <w:trHeight w:val="300"/>
        </w:trPr>
        <w:tc>
          <w:tcPr>
            <w:tcW w:w="2000" w:type="dxa"/>
            <w:tcBorders>
              <w:top w:val="nil"/>
              <w:left w:val="nil"/>
              <w:bottom w:val="nil"/>
              <w:right w:val="nil"/>
            </w:tcBorders>
            <w:shd w:val="clear" w:color="DCE6F1" w:fill="DCE6F1"/>
            <w:noWrap/>
            <w:vAlign w:val="bottom"/>
            <w:hideMark/>
          </w:tcPr>
          <w:p w14:paraId="55E038B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Norway</w:t>
            </w:r>
          </w:p>
        </w:tc>
        <w:tc>
          <w:tcPr>
            <w:tcW w:w="4120" w:type="dxa"/>
            <w:tcBorders>
              <w:top w:val="nil"/>
              <w:left w:val="nil"/>
              <w:bottom w:val="nil"/>
              <w:right w:val="nil"/>
            </w:tcBorders>
            <w:shd w:val="clear" w:color="DCE6F1" w:fill="DCE6F1"/>
            <w:noWrap/>
            <w:vAlign w:val="bottom"/>
            <w:hideMark/>
          </w:tcPr>
          <w:p w14:paraId="15ED7E2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Rate of return allowance</w:t>
            </w:r>
          </w:p>
        </w:tc>
        <w:tc>
          <w:tcPr>
            <w:tcW w:w="1560" w:type="dxa"/>
            <w:tcBorders>
              <w:top w:val="nil"/>
              <w:left w:val="nil"/>
              <w:bottom w:val="nil"/>
              <w:right w:val="nil"/>
            </w:tcBorders>
            <w:shd w:val="clear" w:color="DCE6F1" w:fill="DCE6F1"/>
            <w:noWrap/>
            <w:vAlign w:val="bottom"/>
            <w:hideMark/>
          </w:tcPr>
          <w:p w14:paraId="530C9F2A"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40%</w:t>
            </w:r>
          </w:p>
        </w:tc>
        <w:tc>
          <w:tcPr>
            <w:tcW w:w="1560" w:type="dxa"/>
            <w:tcBorders>
              <w:top w:val="nil"/>
              <w:left w:val="nil"/>
              <w:bottom w:val="nil"/>
              <w:right w:val="nil"/>
            </w:tcBorders>
            <w:shd w:val="clear" w:color="DCE6F1" w:fill="DCE6F1"/>
            <w:noWrap/>
            <w:vAlign w:val="bottom"/>
            <w:hideMark/>
          </w:tcPr>
          <w:p w14:paraId="2642ECA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20776C84" w14:textId="77777777" w:rsidTr="00F30F4B">
        <w:trPr>
          <w:trHeight w:val="300"/>
        </w:trPr>
        <w:tc>
          <w:tcPr>
            <w:tcW w:w="2000" w:type="dxa"/>
            <w:tcBorders>
              <w:top w:val="nil"/>
              <w:left w:val="nil"/>
              <w:bottom w:val="nil"/>
              <w:right w:val="nil"/>
            </w:tcBorders>
            <w:shd w:val="clear" w:color="auto" w:fill="auto"/>
            <w:noWrap/>
            <w:vAlign w:val="bottom"/>
            <w:hideMark/>
          </w:tcPr>
          <w:p w14:paraId="342578D6"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Poland</w:t>
            </w:r>
          </w:p>
        </w:tc>
        <w:tc>
          <w:tcPr>
            <w:tcW w:w="4120" w:type="dxa"/>
            <w:tcBorders>
              <w:top w:val="nil"/>
              <w:left w:val="nil"/>
              <w:bottom w:val="nil"/>
              <w:right w:val="nil"/>
            </w:tcBorders>
            <w:shd w:val="clear" w:color="auto" w:fill="auto"/>
            <w:noWrap/>
            <w:vAlign w:val="bottom"/>
            <w:hideMark/>
          </w:tcPr>
          <w:p w14:paraId="1C99689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auto" w:fill="auto"/>
            <w:noWrap/>
            <w:vAlign w:val="bottom"/>
            <w:hideMark/>
          </w:tcPr>
          <w:p w14:paraId="444EEB5C"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34%</w:t>
            </w:r>
          </w:p>
        </w:tc>
        <w:tc>
          <w:tcPr>
            <w:tcW w:w="1560" w:type="dxa"/>
            <w:tcBorders>
              <w:top w:val="nil"/>
              <w:left w:val="nil"/>
              <w:bottom w:val="nil"/>
              <w:right w:val="nil"/>
            </w:tcBorders>
            <w:shd w:val="clear" w:color="auto" w:fill="auto"/>
            <w:noWrap/>
            <w:vAlign w:val="bottom"/>
            <w:hideMark/>
          </w:tcPr>
          <w:p w14:paraId="22A7F53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78C615E9" w14:textId="77777777" w:rsidTr="00F30F4B">
        <w:trPr>
          <w:trHeight w:val="300"/>
        </w:trPr>
        <w:tc>
          <w:tcPr>
            <w:tcW w:w="2000" w:type="dxa"/>
            <w:tcBorders>
              <w:top w:val="nil"/>
              <w:left w:val="nil"/>
              <w:bottom w:val="nil"/>
              <w:right w:val="nil"/>
            </w:tcBorders>
            <w:shd w:val="clear" w:color="DCE6F1" w:fill="DCE6F1"/>
            <w:noWrap/>
            <w:vAlign w:val="bottom"/>
            <w:hideMark/>
          </w:tcPr>
          <w:p w14:paraId="208AD18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Portugal</w:t>
            </w:r>
          </w:p>
        </w:tc>
        <w:tc>
          <w:tcPr>
            <w:tcW w:w="4120" w:type="dxa"/>
            <w:tcBorders>
              <w:top w:val="nil"/>
              <w:left w:val="nil"/>
              <w:bottom w:val="nil"/>
              <w:right w:val="nil"/>
            </w:tcBorders>
            <w:shd w:val="clear" w:color="DCE6F1" w:fill="DCE6F1"/>
            <w:noWrap/>
            <w:vAlign w:val="bottom"/>
            <w:hideMark/>
          </w:tcPr>
          <w:p w14:paraId="08941BA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Final withholding</w:t>
            </w:r>
          </w:p>
        </w:tc>
        <w:tc>
          <w:tcPr>
            <w:tcW w:w="1560" w:type="dxa"/>
            <w:tcBorders>
              <w:top w:val="nil"/>
              <w:left w:val="nil"/>
              <w:bottom w:val="nil"/>
              <w:right w:val="nil"/>
            </w:tcBorders>
            <w:shd w:val="clear" w:color="DCE6F1" w:fill="DCE6F1"/>
            <w:noWrap/>
            <w:vAlign w:val="bottom"/>
            <w:hideMark/>
          </w:tcPr>
          <w:p w14:paraId="34F4BA31"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49%</w:t>
            </w:r>
          </w:p>
        </w:tc>
        <w:tc>
          <w:tcPr>
            <w:tcW w:w="1560" w:type="dxa"/>
            <w:tcBorders>
              <w:top w:val="nil"/>
              <w:left w:val="nil"/>
              <w:bottom w:val="nil"/>
              <w:right w:val="nil"/>
            </w:tcBorders>
            <w:shd w:val="clear" w:color="DCE6F1" w:fill="DCE6F1"/>
            <w:noWrap/>
            <w:vAlign w:val="bottom"/>
            <w:hideMark/>
          </w:tcPr>
          <w:p w14:paraId="2B97C750"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265FCB3D" w14:textId="77777777" w:rsidTr="00F30F4B">
        <w:trPr>
          <w:trHeight w:val="300"/>
        </w:trPr>
        <w:tc>
          <w:tcPr>
            <w:tcW w:w="2000" w:type="dxa"/>
            <w:tcBorders>
              <w:top w:val="nil"/>
              <w:left w:val="nil"/>
              <w:bottom w:val="nil"/>
              <w:right w:val="nil"/>
            </w:tcBorders>
            <w:shd w:val="clear" w:color="auto" w:fill="auto"/>
            <w:noWrap/>
            <w:vAlign w:val="bottom"/>
            <w:hideMark/>
          </w:tcPr>
          <w:p w14:paraId="62438148"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Slovak Republic</w:t>
            </w:r>
          </w:p>
        </w:tc>
        <w:tc>
          <w:tcPr>
            <w:tcW w:w="4120" w:type="dxa"/>
            <w:tcBorders>
              <w:top w:val="nil"/>
              <w:left w:val="nil"/>
              <w:bottom w:val="nil"/>
              <w:right w:val="nil"/>
            </w:tcBorders>
            <w:shd w:val="clear" w:color="auto" w:fill="auto"/>
            <w:noWrap/>
            <w:vAlign w:val="bottom"/>
            <w:hideMark/>
          </w:tcPr>
          <w:p w14:paraId="52C387E3"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w:t>
            </w:r>
          </w:p>
        </w:tc>
        <w:tc>
          <w:tcPr>
            <w:tcW w:w="1560" w:type="dxa"/>
            <w:tcBorders>
              <w:top w:val="nil"/>
              <w:left w:val="nil"/>
              <w:bottom w:val="nil"/>
              <w:right w:val="nil"/>
            </w:tcBorders>
            <w:shd w:val="clear" w:color="auto" w:fill="auto"/>
            <w:noWrap/>
            <w:vAlign w:val="bottom"/>
            <w:hideMark/>
          </w:tcPr>
          <w:p w14:paraId="3240FC69"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34%</w:t>
            </w:r>
          </w:p>
        </w:tc>
        <w:tc>
          <w:tcPr>
            <w:tcW w:w="1560" w:type="dxa"/>
            <w:tcBorders>
              <w:top w:val="nil"/>
              <w:left w:val="nil"/>
              <w:bottom w:val="nil"/>
              <w:right w:val="nil"/>
            </w:tcBorders>
            <w:shd w:val="clear" w:color="auto" w:fill="auto"/>
            <w:noWrap/>
            <w:vAlign w:val="bottom"/>
            <w:hideMark/>
          </w:tcPr>
          <w:p w14:paraId="0220260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5F63DED0" w14:textId="77777777" w:rsidTr="00F30F4B">
        <w:trPr>
          <w:trHeight w:val="300"/>
        </w:trPr>
        <w:tc>
          <w:tcPr>
            <w:tcW w:w="2000" w:type="dxa"/>
            <w:tcBorders>
              <w:top w:val="nil"/>
              <w:left w:val="nil"/>
              <w:bottom w:val="nil"/>
              <w:right w:val="nil"/>
            </w:tcBorders>
            <w:shd w:val="clear" w:color="DCE6F1" w:fill="DCE6F1"/>
            <w:noWrap/>
            <w:vAlign w:val="bottom"/>
            <w:hideMark/>
          </w:tcPr>
          <w:p w14:paraId="44049DD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Slovenia</w:t>
            </w:r>
          </w:p>
        </w:tc>
        <w:tc>
          <w:tcPr>
            <w:tcW w:w="4120" w:type="dxa"/>
            <w:tcBorders>
              <w:top w:val="nil"/>
              <w:left w:val="nil"/>
              <w:bottom w:val="nil"/>
              <w:right w:val="nil"/>
            </w:tcBorders>
            <w:shd w:val="clear" w:color="DCE6F1" w:fill="DCE6F1"/>
            <w:noWrap/>
            <w:vAlign w:val="bottom"/>
            <w:hideMark/>
          </w:tcPr>
          <w:p w14:paraId="0027C77B"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DCE6F1" w:fill="DCE6F1"/>
            <w:noWrap/>
            <w:vAlign w:val="bottom"/>
            <w:hideMark/>
          </w:tcPr>
          <w:p w14:paraId="111C57A8"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22%</w:t>
            </w:r>
          </w:p>
        </w:tc>
        <w:tc>
          <w:tcPr>
            <w:tcW w:w="1560" w:type="dxa"/>
            <w:tcBorders>
              <w:top w:val="nil"/>
              <w:left w:val="nil"/>
              <w:bottom w:val="nil"/>
              <w:right w:val="nil"/>
            </w:tcBorders>
            <w:shd w:val="clear" w:color="DCE6F1" w:fill="DCE6F1"/>
            <w:noWrap/>
            <w:vAlign w:val="bottom"/>
            <w:hideMark/>
          </w:tcPr>
          <w:p w14:paraId="075B94B0"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214D9D34" w14:textId="77777777" w:rsidTr="00F30F4B">
        <w:trPr>
          <w:trHeight w:val="300"/>
        </w:trPr>
        <w:tc>
          <w:tcPr>
            <w:tcW w:w="2000" w:type="dxa"/>
            <w:tcBorders>
              <w:top w:val="nil"/>
              <w:left w:val="nil"/>
              <w:bottom w:val="nil"/>
              <w:right w:val="nil"/>
            </w:tcBorders>
            <w:shd w:val="clear" w:color="auto" w:fill="auto"/>
            <w:noWrap/>
            <w:vAlign w:val="bottom"/>
            <w:hideMark/>
          </w:tcPr>
          <w:p w14:paraId="1567AA6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Spain</w:t>
            </w:r>
          </w:p>
        </w:tc>
        <w:tc>
          <w:tcPr>
            <w:tcW w:w="4120" w:type="dxa"/>
            <w:tcBorders>
              <w:top w:val="nil"/>
              <w:left w:val="nil"/>
              <w:bottom w:val="nil"/>
              <w:right w:val="nil"/>
            </w:tcBorders>
            <w:shd w:val="clear" w:color="auto" w:fill="auto"/>
            <w:noWrap/>
            <w:vAlign w:val="bottom"/>
            <w:hideMark/>
          </w:tcPr>
          <w:p w14:paraId="450149D2"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w:t>
            </w:r>
          </w:p>
        </w:tc>
        <w:tc>
          <w:tcPr>
            <w:tcW w:w="1560" w:type="dxa"/>
            <w:tcBorders>
              <w:top w:val="nil"/>
              <w:left w:val="nil"/>
              <w:bottom w:val="nil"/>
              <w:right w:val="nil"/>
            </w:tcBorders>
            <w:shd w:val="clear" w:color="auto" w:fill="auto"/>
            <w:noWrap/>
            <w:vAlign w:val="bottom"/>
            <w:hideMark/>
          </w:tcPr>
          <w:p w14:paraId="5D79E8A9"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49%</w:t>
            </w:r>
          </w:p>
        </w:tc>
        <w:tc>
          <w:tcPr>
            <w:tcW w:w="1560" w:type="dxa"/>
            <w:tcBorders>
              <w:top w:val="nil"/>
              <w:left w:val="nil"/>
              <w:bottom w:val="nil"/>
              <w:right w:val="nil"/>
            </w:tcBorders>
            <w:shd w:val="clear" w:color="auto" w:fill="auto"/>
            <w:noWrap/>
            <w:vAlign w:val="bottom"/>
            <w:hideMark/>
          </w:tcPr>
          <w:p w14:paraId="28DF8066"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1426121F" w14:textId="77777777" w:rsidTr="00F30F4B">
        <w:trPr>
          <w:trHeight w:val="300"/>
        </w:trPr>
        <w:tc>
          <w:tcPr>
            <w:tcW w:w="2000" w:type="dxa"/>
            <w:tcBorders>
              <w:top w:val="nil"/>
              <w:left w:val="nil"/>
              <w:bottom w:val="nil"/>
              <w:right w:val="nil"/>
            </w:tcBorders>
            <w:shd w:val="clear" w:color="DCE6F1" w:fill="DCE6F1"/>
            <w:noWrap/>
            <w:vAlign w:val="bottom"/>
            <w:hideMark/>
          </w:tcPr>
          <w:p w14:paraId="399486B1"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Sweden</w:t>
            </w:r>
          </w:p>
        </w:tc>
        <w:tc>
          <w:tcPr>
            <w:tcW w:w="4120" w:type="dxa"/>
            <w:tcBorders>
              <w:top w:val="nil"/>
              <w:left w:val="nil"/>
              <w:bottom w:val="nil"/>
              <w:right w:val="nil"/>
            </w:tcBorders>
            <w:shd w:val="clear" w:color="DCE6F1" w:fill="DCE6F1"/>
            <w:noWrap/>
            <w:vAlign w:val="bottom"/>
            <w:hideMark/>
          </w:tcPr>
          <w:p w14:paraId="120013F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Classical</w:t>
            </w:r>
          </w:p>
        </w:tc>
        <w:tc>
          <w:tcPr>
            <w:tcW w:w="1560" w:type="dxa"/>
            <w:tcBorders>
              <w:top w:val="nil"/>
              <w:left w:val="nil"/>
              <w:bottom w:val="nil"/>
              <w:right w:val="nil"/>
            </w:tcBorders>
            <w:shd w:val="clear" w:color="DCE6F1" w:fill="DCE6F1"/>
            <w:noWrap/>
            <w:vAlign w:val="bottom"/>
            <w:hideMark/>
          </w:tcPr>
          <w:p w14:paraId="280B82AA"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48%</w:t>
            </w:r>
          </w:p>
        </w:tc>
        <w:tc>
          <w:tcPr>
            <w:tcW w:w="1560" w:type="dxa"/>
            <w:tcBorders>
              <w:top w:val="nil"/>
              <w:left w:val="nil"/>
              <w:bottom w:val="nil"/>
              <w:right w:val="nil"/>
            </w:tcBorders>
            <w:shd w:val="clear" w:color="DCE6F1" w:fill="DCE6F1"/>
            <w:noWrap/>
            <w:vAlign w:val="bottom"/>
            <w:hideMark/>
          </w:tcPr>
          <w:p w14:paraId="5CA07E9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7ED40D4B" w14:textId="77777777" w:rsidTr="00F30F4B">
        <w:trPr>
          <w:trHeight w:val="300"/>
        </w:trPr>
        <w:tc>
          <w:tcPr>
            <w:tcW w:w="2000" w:type="dxa"/>
            <w:tcBorders>
              <w:top w:val="nil"/>
              <w:left w:val="nil"/>
              <w:bottom w:val="nil"/>
              <w:right w:val="nil"/>
            </w:tcBorders>
            <w:shd w:val="clear" w:color="auto" w:fill="auto"/>
            <w:noWrap/>
            <w:vAlign w:val="bottom"/>
            <w:hideMark/>
          </w:tcPr>
          <w:p w14:paraId="1391F4E0"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Switzerland</w:t>
            </w:r>
          </w:p>
        </w:tc>
        <w:tc>
          <w:tcPr>
            <w:tcW w:w="4120" w:type="dxa"/>
            <w:tcBorders>
              <w:top w:val="nil"/>
              <w:left w:val="nil"/>
              <w:bottom w:val="nil"/>
              <w:right w:val="nil"/>
            </w:tcBorders>
            <w:shd w:val="clear" w:color="auto" w:fill="auto"/>
            <w:noWrap/>
            <w:vAlign w:val="bottom"/>
            <w:hideMark/>
          </w:tcPr>
          <w:p w14:paraId="616BDF0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 (differs per canton)</w:t>
            </w:r>
          </w:p>
        </w:tc>
        <w:tc>
          <w:tcPr>
            <w:tcW w:w="1560" w:type="dxa"/>
            <w:tcBorders>
              <w:top w:val="nil"/>
              <w:left w:val="nil"/>
              <w:bottom w:val="nil"/>
              <w:right w:val="nil"/>
            </w:tcBorders>
            <w:shd w:val="clear" w:color="auto" w:fill="auto"/>
            <w:noWrap/>
            <w:vAlign w:val="bottom"/>
            <w:hideMark/>
          </w:tcPr>
          <w:p w14:paraId="025835D0"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21%</w:t>
            </w:r>
          </w:p>
        </w:tc>
        <w:tc>
          <w:tcPr>
            <w:tcW w:w="1560" w:type="dxa"/>
            <w:tcBorders>
              <w:top w:val="nil"/>
              <w:left w:val="nil"/>
              <w:bottom w:val="nil"/>
              <w:right w:val="nil"/>
            </w:tcBorders>
            <w:shd w:val="clear" w:color="auto" w:fill="auto"/>
            <w:noWrap/>
            <w:vAlign w:val="bottom"/>
            <w:hideMark/>
          </w:tcPr>
          <w:p w14:paraId="0D15225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45BE6B7F" w14:textId="77777777" w:rsidTr="00F30F4B">
        <w:trPr>
          <w:trHeight w:val="300"/>
        </w:trPr>
        <w:tc>
          <w:tcPr>
            <w:tcW w:w="2000" w:type="dxa"/>
            <w:tcBorders>
              <w:top w:val="nil"/>
              <w:left w:val="nil"/>
              <w:bottom w:val="nil"/>
              <w:right w:val="nil"/>
            </w:tcBorders>
            <w:shd w:val="clear" w:color="DCE6F1" w:fill="DCE6F1"/>
            <w:noWrap/>
            <w:vAlign w:val="bottom"/>
            <w:hideMark/>
          </w:tcPr>
          <w:p w14:paraId="280F005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Turkey</w:t>
            </w:r>
          </w:p>
        </w:tc>
        <w:tc>
          <w:tcPr>
            <w:tcW w:w="4120" w:type="dxa"/>
            <w:tcBorders>
              <w:top w:val="nil"/>
              <w:left w:val="nil"/>
              <w:bottom w:val="nil"/>
              <w:right w:val="nil"/>
            </w:tcBorders>
            <w:shd w:val="clear" w:color="DCE6F1" w:fill="DCE6F1"/>
            <w:noWrap/>
            <w:vAlign w:val="bottom"/>
            <w:hideMark/>
          </w:tcPr>
          <w:p w14:paraId="628C7E70"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 taxation (w/ holding period)</w:t>
            </w:r>
          </w:p>
        </w:tc>
        <w:tc>
          <w:tcPr>
            <w:tcW w:w="1560" w:type="dxa"/>
            <w:tcBorders>
              <w:top w:val="nil"/>
              <w:left w:val="nil"/>
              <w:bottom w:val="nil"/>
              <w:right w:val="nil"/>
            </w:tcBorders>
            <w:shd w:val="clear" w:color="DCE6F1" w:fill="DCE6F1"/>
            <w:noWrap/>
            <w:vAlign w:val="bottom"/>
            <w:hideMark/>
          </w:tcPr>
          <w:p w14:paraId="42DB8C6B"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20%</w:t>
            </w:r>
          </w:p>
        </w:tc>
        <w:tc>
          <w:tcPr>
            <w:tcW w:w="1560" w:type="dxa"/>
            <w:tcBorders>
              <w:top w:val="nil"/>
              <w:left w:val="nil"/>
              <w:bottom w:val="nil"/>
              <w:right w:val="nil"/>
            </w:tcBorders>
            <w:shd w:val="clear" w:color="DCE6F1" w:fill="DCE6F1"/>
            <w:noWrap/>
            <w:vAlign w:val="bottom"/>
            <w:hideMark/>
          </w:tcPr>
          <w:p w14:paraId="7BA6B6C4"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No</w:t>
            </w:r>
          </w:p>
        </w:tc>
      </w:tr>
      <w:tr w:rsidR="00F30F4B" w:rsidRPr="00F30F4B" w14:paraId="6005F7A5" w14:textId="77777777" w:rsidTr="00F30F4B">
        <w:trPr>
          <w:trHeight w:val="300"/>
        </w:trPr>
        <w:tc>
          <w:tcPr>
            <w:tcW w:w="2000" w:type="dxa"/>
            <w:tcBorders>
              <w:top w:val="nil"/>
              <w:left w:val="nil"/>
              <w:bottom w:val="nil"/>
              <w:right w:val="nil"/>
            </w:tcBorders>
            <w:shd w:val="clear" w:color="auto" w:fill="auto"/>
            <w:noWrap/>
            <w:vAlign w:val="bottom"/>
            <w:hideMark/>
          </w:tcPr>
          <w:p w14:paraId="352ECF5D"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United Kingdom</w:t>
            </w:r>
          </w:p>
        </w:tc>
        <w:tc>
          <w:tcPr>
            <w:tcW w:w="4120" w:type="dxa"/>
            <w:tcBorders>
              <w:top w:val="nil"/>
              <w:left w:val="nil"/>
              <w:bottom w:val="nil"/>
              <w:right w:val="nil"/>
            </w:tcBorders>
            <w:shd w:val="clear" w:color="auto" w:fill="auto"/>
            <w:noWrap/>
            <w:vAlign w:val="bottom"/>
            <w:hideMark/>
          </w:tcPr>
          <w:p w14:paraId="5FD5EFA9"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w:t>
            </w:r>
          </w:p>
        </w:tc>
        <w:tc>
          <w:tcPr>
            <w:tcW w:w="1560" w:type="dxa"/>
            <w:tcBorders>
              <w:top w:val="nil"/>
              <w:left w:val="nil"/>
              <w:bottom w:val="nil"/>
              <w:right w:val="nil"/>
            </w:tcBorders>
            <w:shd w:val="clear" w:color="auto" w:fill="auto"/>
            <w:noWrap/>
            <w:vAlign w:val="bottom"/>
            <w:hideMark/>
          </w:tcPr>
          <w:p w14:paraId="2D580E2C"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45%</w:t>
            </w:r>
          </w:p>
        </w:tc>
        <w:tc>
          <w:tcPr>
            <w:tcW w:w="1560" w:type="dxa"/>
            <w:tcBorders>
              <w:top w:val="nil"/>
              <w:left w:val="nil"/>
              <w:bottom w:val="nil"/>
              <w:right w:val="nil"/>
            </w:tcBorders>
            <w:shd w:val="clear" w:color="auto" w:fill="auto"/>
            <w:noWrap/>
            <w:vAlign w:val="bottom"/>
            <w:hideMark/>
          </w:tcPr>
          <w:p w14:paraId="2624776A"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r w:rsidR="00F30F4B" w:rsidRPr="00F30F4B" w14:paraId="7D9E5A19" w14:textId="77777777" w:rsidTr="00F30F4B">
        <w:trPr>
          <w:trHeight w:val="300"/>
        </w:trPr>
        <w:tc>
          <w:tcPr>
            <w:tcW w:w="2000" w:type="dxa"/>
            <w:tcBorders>
              <w:top w:val="nil"/>
              <w:left w:val="nil"/>
              <w:bottom w:val="single" w:sz="4" w:space="0" w:color="4F81BD"/>
              <w:right w:val="nil"/>
            </w:tcBorders>
            <w:shd w:val="clear" w:color="DCE6F1" w:fill="DCE6F1"/>
            <w:noWrap/>
            <w:vAlign w:val="bottom"/>
            <w:hideMark/>
          </w:tcPr>
          <w:p w14:paraId="5FFA627C"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United States</w:t>
            </w:r>
          </w:p>
        </w:tc>
        <w:tc>
          <w:tcPr>
            <w:tcW w:w="4120" w:type="dxa"/>
            <w:tcBorders>
              <w:top w:val="nil"/>
              <w:left w:val="nil"/>
              <w:bottom w:val="single" w:sz="4" w:space="0" w:color="4F81BD"/>
              <w:right w:val="nil"/>
            </w:tcBorders>
            <w:shd w:val="clear" w:color="DCE6F1" w:fill="DCE6F1"/>
            <w:noWrap/>
            <w:vAlign w:val="bottom"/>
            <w:hideMark/>
          </w:tcPr>
          <w:p w14:paraId="23A11E51"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Separate taxation (w/ holding period)</w:t>
            </w:r>
          </w:p>
        </w:tc>
        <w:tc>
          <w:tcPr>
            <w:tcW w:w="1560" w:type="dxa"/>
            <w:tcBorders>
              <w:top w:val="nil"/>
              <w:left w:val="nil"/>
              <w:bottom w:val="single" w:sz="4" w:space="0" w:color="4F81BD"/>
              <w:right w:val="nil"/>
            </w:tcBorders>
            <w:shd w:val="clear" w:color="DCE6F1" w:fill="DCE6F1"/>
            <w:noWrap/>
            <w:vAlign w:val="bottom"/>
            <w:hideMark/>
          </w:tcPr>
          <w:p w14:paraId="7714D925" w14:textId="77777777" w:rsidR="00F30F4B" w:rsidRPr="00F30F4B" w:rsidRDefault="00F30F4B" w:rsidP="00F30F4B">
            <w:pPr>
              <w:jc w:val="right"/>
              <w:rPr>
                <w:rFonts w:ascii="Calibri" w:eastAsia="Times New Roman" w:hAnsi="Calibri" w:cs="Times New Roman"/>
                <w:color w:val="366092"/>
                <w:lang w:val="nl-NL"/>
              </w:rPr>
            </w:pPr>
            <w:r w:rsidRPr="00F30F4B">
              <w:rPr>
                <w:rFonts w:ascii="Calibri" w:eastAsia="Times New Roman" w:hAnsi="Calibri" w:cs="Times New Roman"/>
                <w:color w:val="366092"/>
                <w:lang w:val="nl-NL"/>
              </w:rPr>
              <w:t>52%</w:t>
            </w:r>
          </w:p>
        </w:tc>
        <w:tc>
          <w:tcPr>
            <w:tcW w:w="1560" w:type="dxa"/>
            <w:tcBorders>
              <w:top w:val="nil"/>
              <w:left w:val="nil"/>
              <w:bottom w:val="single" w:sz="4" w:space="0" w:color="4F81BD"/>
              <w:right w:val="nil"/>
            </w:tcBorders>
            <w:shd w:val="clear" w:color="DCE6F1" w:fill="DCE6F1"/>
            <w:noWrap/>
            <w:vAlign w:val="bottom"/>
            <w:hideMark/>
          </w:tcPr>
          <w:p w14:paraId="75DB6AD5" w14:textId="77777777" w:rsidR="00F30F4B" w:rsidRPr="00F30F4B" w:rsidRDefault="00F30F4B" w:rsidP="00F30F4B">
            <w:pPr>
              <w:rPr>
                <w:rFonts w:ascii="Calibri" w:eastAsia="Times New Roman" w:hAnsi="Calibri" w:cs="Times New Roman"/>
                <w:color w:val="366092"/>
                <w:lang w:val="nl-NL"/>
              </w:rPr>
            </w:pPr>
            <w:r w:rsidRPr="00F30F4B">
              <w:rPr>
                <w:rFonts w:ascii="Calibri" w:eastAsia="Times New Roman" w:hAnsi="Calibri" w:cs="Times New Roman"/>
                <w:color w:val="366092"/>
                <w:lang w:val="nl-NL"/>
              </w:rPr>
              <w:t>Yes</w:t>
            </w:r>
          </w:p>
        </w:tc>
      </w:tr>
    </w:tbl>
    <w:p w14:paraId="3EF36080" w14:textId="77777777" w:rsidR="00F30F4B" w:rsidRDefault="00F30F4B" w:rsidP="00CC207B"/>
    <w:p w14:paraId="19C9EC3D" w14:textId="77777777" w:rsidR="00FC1656" w:rsidRDefault="00FC1656" w:rsidP="00FC1656">
      <w:pPr>
        <w:spacing w:line="360" w:lineRule="auto"/>
      </w:pPr>
    </w:p>
    <w:p w14:paraId="72789C8D" w14:textId="77777777" w:rsidR="00FC1656" w:rsidRPr="00AE339B" w:rsidRDefault="00FC1656" w:rsidP="00FC1656">
      <w:pPr>
        <w:spacing w:line="360" w:lineRule="auto"/>
      </w:pPr>
    </w:p>
    <w:p w14:paraId="181AB680" w14:textId="77777777" w:rsidR="00F30F4B" w:rsidRDefault="00FC1656" w:rsidP="00FC1656">
      <w:pPr>
        <w:spacing w:line="360" w:lineRule="auto"/>
      </w:pPr>
      <w:r w:rsidRPr="00AE339B">
        <w:lastRenderedPageBreak/>
        <w:t xml:space="preserve">Many countries tax capital gains, whilst others do not. </w:t>
      </w:r>
      <w:r w:rsidR="00E225D0">
        <w:t xml:space="preserve">The table </w:t>
      </w:r>
      <w:r w:rsidR="00965974">
        <w:t>1</w:t>
      </w:r>
      <w:r w:rsidR="00E225D0">
        <w:t xml:space="preserve"> shows</w:t>
      </w:r>
      <w:r w:rsidRPr="00AE339B">
        <w:t xml:space="preserve"> </w:t>
      </w:r>
      <w:r w:rsidR="00E225D0">
        <w:t xml:space="preserve">the </w:t>
      </w:r>
      <w:r w:rsidRPr="00AE339B">
        <w:t>different rates of capital gains tax on shares for each member country of the OECD</w:t>
      </w:r>
      <w:r w:rsidR="00E225D0">
        <w:t xml:space="preserve">, along with the type of </w:t>
      </w:r>
      <w:r w:rsidR="00B26F7F">
        <w:t xml:space="preserve">tax </w:t>
      </w:r>
      <w:r w:rsidR="00E225D0">
        <w:t>treatment</w:t>
      </w:r>
      <w:r w:rsidR="00B26F7F">
        <w:t xml:space="preserve"> of capital gains</w:t>
      </w:r>
      <w:r w:rsidRPr="00AE339B">
        <w:t xml:space="preserve">. </w:t>
      </w:r>
      <w:r w:rsidRPr="00AE339B">
        <w:rPr>
          <w:lang w:val="nl-NL"/>
        </w:rPr>
        <w:t>These rates concern the combined statutory rates, including both the corporate and individual levels of taxation for shares, and only the individual level for property.</w:t>
      </w:r>
      <w:r w:rsidRPr="00AE339B">
        <w:rPr>
          <w:rStyle w:val="FootnoteReference"/>
        </w:rPr>
        <w:footnoteReference w:id="5"/>
      </w:r>
    </w:p>
    <w:p w14:paraId="53D807EB" w14:textId="77777777" w:rsidR="00FC1656" w:rsidRPr="00AE339B" w:rsidRDefault="00FC1656" w:rsidP="00CC207B"/>
    <w:p w14:paraId="21B49DC9" w14:textId="77777777" w:rsidR="00CC207B" w:rsidRPr="00AE339B" w:rsidRDefault="000D1A4F" w:rsidP="00333697">
      <w:pPr>
        <w:spacing w:line="360" w:lineRule="auto"/>
      </w:pPr>
      <w:r w:rsidRPr="00AE339B">
        <w:t>Combined statutory rates on capital gains</w:t>
      </w:r>
      <w:r w:rsidR="00546293" w:rsidRPr="00AE339B">
        <w:t xml:space="preserve"> from shares</w:t>
      </w:r>
      <w:r w:rsidRPr="00AE339B">
        <w:t xml:space="preserve"> range from 8 percent in Belgium, to 60 percent in France. </w:t>
      </w:r>
      <w:r w:rsidR="00546293" w:rsidRPr="00AE339B">
        <w:t xml:space="preserve">Many countries do not tax capital gains from long-held property; </w:t>
      </w:r>
      <w:r w:rsidR="00DD7306" w:rsidRPr="00AE339B">
        <w:t>the</w:t>
      </w:r>
      <w:r w:rsidR="00546293" w:rsidRPr="00AE339B">
        <w:t xml:space="preserve"> own home is often exempt from capital gains.</w:t>
      </w:r>
      <w:r w:rsidR="00C258D4" w:rsidRPr="00AE339B">
        <w:t xml:space="preserve"> </w:t>
      </w:r>
      <w:r w:rsidR="009167BD" w:rsidRPr="00AE339B">
        <w:t>The highest combined statutory tax rate on property stems from Denmark (45.5 percent).</w:t>
      </w:r>
    </w:p>
    <w:p w14:paraId="2915F293" w14:textId="77777777" w:rsidR="00C948E7" w:rsidRPr="00AE339B" w:rsidRDefault="00C948E7" w:rsidP="00333697">
      <w:pPr>
        <w:spacing w:line="360" w:lineRule="auto"/>
      </w:pPr>
    </w:p>
    <w:p w14:paraId="4A07C0FA" w14:textId="77777777" w:rsidR="007C7623" w:rsidRDefault="00C948E7" w:rsidP="00333697">
      <w:pPr>
        <w:spacing w:line="360" w:lineRule="auto"/>
      </w:pPr>
      <w:r w:rsidRPr="00AE339B">
        <w:t>Considering capital gains on shares, the classical structure takes the pre-tax corporate profit, from which respectively the corporate tax and personal tax are deducted in order to obtain the post tax shareholder income. For some countries imputation, dividend credits and withholding</w:t>
      </w:r>
      <w:r w:rsidR="000750B1">
        <w:t>s</w:t>
      </w:r>
      <w:r w:rsidRPr="00AE339B">
        <w:t xml:space="preserve"> play a role. </w:t>
      </w:r>
      <w:r w:rsidR="007C7623" w:rsidRPr="00AE339B">
        <w:t>Some countries do not tax capital gains on shares at the personal level, such as Greece, Switzerland, New Zealand, Korea and Belgium. Others, such as Australia and Canada, use a system of partial inclusion, in which the capital gains tax is levied only on a certain proportion of the income. Israel adjusts for inflation when it comes to capital gains on shares. Norway maintains a ‘Rate Of Return’ allowance</w:t>
      </w:r>
      <w:r w:rsidR="000C6165" w:rsidRPr="00AE339B">
        <w:t xml:space="preserve">, reducing the amount of capital gains tax paid by a certain allowance rate. This way Norway taxes only the ‘premium’ amount, which exceeds the allowance rate. The amount to be paid in capital gains tax cannot be below zero by means of this measure. </w:t>
      </w:r>
      <w:r w:rsidR="00427CBD">
        <w:t>Belgium</w:t>
      </w:r>
      <w:r w:rsidR="00586ECE">
        <w:t xml:space="preserve"> (and Italy </w:t>
      </w:r>
      <w:r w:rsidR="003F21EC">
        <w:t>for new equity only)</w:t>
      </w:r>
      <w:r w:rsidR="00427CBD">
        <w:t xml:space="preserve"> </w:t>
      </w:r>
      <w:r w:rsidR="00D452CD">
        <w:t>has</w:t>
      </w:r>
      <w:r w:rsidR="00151C4A">
        <w:t xml:space="preserve"> a similar approach, </w:t>
      </w:r>
      <w:r w:rsidR="00ED33F6">
        <w:t>named allowance of corporate equity</w:t>
      </w:r>
      <w:r w:rsidR="0077683A">
        <w:t>.</w:t>
      </w:r>
      <w:r w:rsidR="004A1540">
        <w:t xml:space="preserve"> The allowance approximates the risk-free return on equity, and thus aims towards a structure that only taxes the premium</w:t>
      </w:r>
      <w:r w:rsidR="00BA0A3A">
        <w:t xml:space="preserve"> on risk</w:t>
      </w:r>
      <w:r w:rsidR="004A1540">
        <w:t>.</w:t>
      </w:r>
      <w:r w:rsidR="0085501B">
        <w:t xml:space="preserve"> </w:t>
      </w:r>
      <w:r w:rsidR="000C6165" w:rsidRPr="00AE339B">
        <w:t xml:space="preserve">In some countries, such as the Scandinavian ones, capital gains taxation is included in a </w:t>
      </w:r>
      <w:r w:rsidR="00DC1DC2">
        <w:t xml:space="preserve">capital </w:t>
      </w:r>
      <w:r w:rsidR="000C6165" w:rsidRPr="00AE339B">
        <w:t>income tax</w:t>
      </w:r>
      <w:r w:rsidR="00AA3F8B" w:rsidRPr="00AE339B">
        <w:t xml:space="preserve"> within a system of dual taxation</w:t>
      </w:r>
      <w:r w:rsidR="000C6165" w:rsidRPr="00AE339B">
        <w:t>, whilst in other countries there is a separate tax for capital gains.</w:t>
      </w:r>
    </w:p>
    <w:p w14:paraId="26830CEA" w14:textId="77777777" w:rsidR="00B63DE1" w:rsidRDefault="00B63DE1" w:rsidP="00333697">
      <w:pPr>
        <w:spacing w:line="360" w:lineRule="auto"/>
      </w:pPr>
    </w:p>
    <w:p w14:paraId="0C933B89" w14:textId="77777777" w:rsidR="00B63DE1" w:rsidRPr="00AE339B" w:rsidRDefault="00B63DE1" w:rsidP="00333697">
      <w:pPr>
        <w:spacing w:line="360" w:lineRule="auto"/>
      </w:pPr>
      <w:r>
        <w:t>The combined statutory rate is positive even for the countries that are stated to have ‘no taxation’.</w:t>
      </w:r>
      <w:r w:rsidR="00397A3D">
        <w:t xml:space="preserve"> The reason for this is that even though capital gains are not taxed at the </w:t>
      </w:r>
      <w:r w:rsidR="00397A3D">
        <w:lastRenderedPageBreak/>
        <w:t>personal level, on the corporate level there is still a tax to pay.</w:t>
      </w:r>
      <w:r w:rsidR="00F51A1C">
        <w:t xml:space="preserve"> Separate taxation simply refers to the fact that capital gain income is not included with other income in a base on which it is taxed</w:t>
      </w:r>
      <w:r w:rsidR="00A9170F">
        <w:t>.</w:t>
      </w:r>
      <w:r w:rsidR="007A4279">
        <w:t xml:space="preserve"> </w:t>
      </w:r>
    </w:p>
    <w:p w14:paraId="075FB809" w14:textId="77777777" w:rsidR="007C7623" w:rsidRPr="00AE339B" w:rsidRDefault="007C7623" w:rsidP="00333697">
      <w:pPr>
        <w:spacing w:line="360" w:lineRule="auto"/>
      </w:pPr>
    </w:p>
    <w:p w14:paraId="7E23ECC2" w14:textId="77777777" w:rsidR="002D62C9" w:rsidRPr="00AE339B" w:rsidRDefault="000C6165" w:rsidP="00333697">
      <w:pPr>
        <w:spacing w:line="360" w:lineRule="auto"/>
      </w:pPr>
      <w:r w:rsidRPr="00AE339B">
        <w:t xml:space="preserve">Capital gains on property are only taxed at the individual level. Many countries do not tax capital gains from property. Canada and Sweden use partial inclusion, as do Australia and Korea (albeit with a holding period test). </w:t>
      </w:r>
      <w:r w:rsidR="00DE0DBE" w:rsidRPr="00AE339B">
        <w:t xml:space="preserve">As Harding explains: a </w:t>
      </w:r>
      <w:r w:rsidR="00DE0DBE" w:rsidRPr="00AE339B">
        <w:rPr>
          <w:i/>
        </w:rPr>
        <w:t>‘</w:t>
      </w:r>
      <w:r w:rsidR="00DE0DBE" w:rsidRPr="00AE339B">
        <w:rPr>
          <w:rFonts w:eastAsia="Times New Roman" w:cs="Times New Roman"/>
          <w:i/>
          <w:lang w:val="nl-NL"/>
        </w:rPr>
        <w:t>holding period test reduces or eliminates taxation of capital gains on an asset that has been held for longer than a certain period. The length and nature of these tests differ considerably between countries.</w:t>
      </w:r>
      <w:r w:rsidR="00AA3F8B" w:rsidRPr="00AE339B">
        <w:rPr>
          <w:rFonts w:eastAsia="Times New Roman" w:cs="Times New Roman"/>
          <w:i/>
          <w:lang w:val="nl-NL"/>
        </w:rPr>
        <w:t xml:space="preserve">’. </w:t>
      </w:r>
      <w:r w:rsidR="00AA3F8B" w:rsidRPr="00AE339B">
        <w:rPr>
          <w:rFonts w:eastAsia="Times New Roman" w:cs="Times New Roman"/>
          <w:lang w:val="nl-NL"/>
        </w:rPr>
        <w:t>Holding period test also apply to capital gains on shares in several countries. S</w:t>
      </w:r>
      <w:r w:rsidR="007513CE" w:rsidRPr="00AE339B">
        <w:t>ome countries, such as</w:t>
      </w:r>
      <w:r w:rsidR="00DE0DBE" w:rsidRPr="00AE339B">
        <w:t xml:space="preserve"> Israel </w:t>
      </w:r>
      <w:r w:rsidR="00AA3F8B" w:rsidRPr="00AE339B">
        <w:t>and Spain, adjust for inflation when it comes to capital gains on property.</w:t>
      </w:r>
    </w:p>
    <w:p w14:paraId="433ED739" w14:textId="77777777" w:rsidR="007C7623" w:rsidRPr="00AE339B" w:rsidRDefault="007C7623" w:rsidP="00333697">
      <w:pPr>
        <w:spacing w:line="360" w:lineRule="auto"/>
      </w:pPr>
    </w:p>
    <w:p w14:paraId="5CD36C37" w14:textId="77777777" w:rsidR="00BD1010" w:rsidRPr="00AE339B" w:rsidRDefault="00E77A00" w:rsidP="00333697">
      <w:pPr>
        <w:spacing w:line="360" w:lineRule="auto"/>
      </w:pPr>
      <w:r w:rsidRPr="00AE339B">
        <w:t>All but five OECD member states levy tax on the nominal amount of capital gain. Four countries tax the real amount of capital gains, by adjusting the acquisition price for inflation during the holding period.</w:t>
      </w:r>
      <w:r w:rsidR="003B50BB" w:rsidRPr="00AE339B">
        <w:rPr>
          <w:rStyle w:val="FootnoteReference"/>
        </w:rPr>
        <w:footnoteReference w:id="6"/>
      </w:r>
      <w:r w:rsidR="00E52FB2" w:rsidRPr="00AE339B">
        <w:t xml:space="preserve"> </w:t>
      </w:r>
      <w:r w:rsidR="007C7623" w:rsidRPr="00AE339B">
        <w:t>Denmark allows for an amount of DKK 10.000 in maintenance and improvement costs per year of ownership.</w:t>
      </w:r>
    </w:p>
    <w:p w14:paraId="35EB50E6" w14:textId="77777777" w:rsidR="0011545E" w:rsidRPr="00AE339B" w:rsidRDefault="0011545E" w:rsidP="00333697">
      <w:pPr>
        <w:spacing w:line="360" w:lineRule="auto"/>
      </w:pPr>
    </w:p>
    <w:p w14:paraId="1F8B5602" w14:textId="77777777" w:rsidR="00F22D54" w:rsidRDefault="00E52FB2" w:rsidP="00333697">
      <w:pPr>
        <w:spacing w:line="360" w:lineRule="auto"/>
      </w:pPr>
      <w:r w:rsidRPr="00AE339B">
        <w:t>The Netherlands is the odd one out</w:t>
      </w:r>
      <w:r w:rsidR="001F37F7" w:rsidRPr="00AE339B">
        <w:t xml:space="preserve">. </w:t>
      </w:r>
      <w:r w:rsidR="003967FB">
        <w:t>Effectively, i</w:t>
      </w:r>
      <w:r w:rsidR="00F22D54">
        <w:t xml:space="preserve">t has not been tax capital income at all since the tax reform of 2001. Before that, capital income was included in the general tax base and taxed progressively. Capital gains have always been exempt of taxation in the Netherlands. </w:t>
      </w:r>
      <w:r w:rsidR="00C01BE1">
        <w:t>Since the tax reform of 2001, all assets (besides housing and pension wealth) have been subject to a wealth tax of 1.2 percent</w:t>
      </w:r>
      <w:r w:rsidR="009A14A3">
        <w:t xml:space="preserve">. An amount of about €20.000-25.000 is tax exempt, and the wealth tax that </w:t>
      </w:r>
      <w:r w:rsidR="00410370">
        <w:t>had been</w:t>
      </w:r>
      <w:r w:rsidR="000D1740">
        <w:t xml:space="preserve"> </w:t>
      </w:r>
      <w:r w:rsidR="009A14A3">
        <w:t>used prior to the tax reform is abolished.</w:t>
      </w:r>
      <w:r w:rsidR="004F173F">
        <w:t xml:space="preserve"> The Dutch government assumes </w:t>
      </w:r>
      <w:r w:rsidR="007524D7">
        <w:t xml:space="preserve">all assets yield </w:t>
      </w:r>
      <w:r w:rsidR="004F173F">
        <w:t xml:space="preserve">a </w:t>
      </w:r>
      <w:r w:rsidR="00AF1DE2">
        <w:t>nominal</w:t>
      </w:r>
      <w:r w:rsidR="004F173F">
        <w:t xml:space="preserve"> return </w:t>
      </w:r>
      <w:r w:rsidR="00AF1DE2">
        <w:t xml:space="preserve">of 4 percent, and tax this ‘presumptive return’ </w:t>
      </w:r>
      <w:r w:rsidR="004F173F">
        <w:t>at a rate of 30 percent.</w:t>
      </w:r>
      <w:r w:rsidR="00593258">
        <w:t xml:space="preserve"> This leads to a wealth tax of 1.2 </w:t>
      </w:r>
      <w:r w:rsidR="00593258" w:rsidRPr="00B02FCA">
        <w:rPr>
          <w:rFonts w:ascii="Cambria" w:hAnsi="Cambria"/>
        </w:rPr>
        <w:t>percent</w:t>
      </w:r>
      <w:r w:rsidR="00B02FCA" w:rsidRPr="00B02FCA">
        <w:rPr>
          <w:rFonts w:ascii="Cambria" w:hAnsi="Cambria"/>
        </w:rPr>
        <w:t xml:space="preserve"> </w:t>
      </w:r>
      <w:sdt>
        <w:sdtPr>
          <w:rPr>
            <w:rFonts w:ascii="Cambria" w:hAnsi="Cambria"/>
          </w:rPr>
          <w:id w:val="-2142643777"/>
          <w:citation/>
        </w:sdtPr>
        <w:sdtEndPr/>
        <w:sdtContent>
          <w:r w:rsidR="00C01BE1" w:rsidRPr="00B02FCA">
            <w:rPr>
              <w:rFonts w:ascii="Cambria" w:hAnsi="Cambria"/>
            </w:rPr>
            <w:fldChar w:fldCharType="begin"/>
          </w:r>
          <w:r w:rsidR="00C01BE1" w:rsidRPr="00B02FCA">
            <w:rPr>
              <w:rFonts w:ascii="Cambria" w:hAnsi="Cambria"/>
              <w:lang w:val="nl-NL"/>
            </w:rPr>
            <w:instrText xml:space="preserve"> CITATION Kam05 \l 1043 </w:instrText>
          </w:r>
          <w:r w:rsidR="00C01BE1" w:rsidRPr="00B02FCA">
            <w:rPr>
              <w:rFonts w:ascii="Cambria" w:hAnsi="Cambria"/>
            </w:rPr>
            <w:fldChar w:fldCharType="separate"/>
          </w:r>
          <w:r w:rsidR="00C01BE1" w:rsidRPr="00B02FCA">
            <w:rPr>
              <w:rFonts w:ascii="Cambria" w:hAnsi="Cambria"/>
              <w:noProof/>
              <w:lang w:val="nl-NL"/>
            </w:rPr>
            <w:t>(Kamerstuk, 2005)</w:t>
          </w:r>
          <w:r w:rsidR="00C01BE1" w:rsidRPr="00B02FCA">
            <w:rPr>
              <w:rFonts w:ascii="Cambria" w:hAnsi="Cambria"/>
            </w:rPr>
            <w:fldChar w:fldCharType="end"/>
          </w:r>
        </w:sdtContent>
      </w:sdt>
      <w:r w:rsidR="00B02FCA" w:rsidRPr="00B02FCA">
        <w:rPr>
          <w:rFonts w:ascii="Cambria" w:hAnsi="Cambria"/>
        </w:rPr>
        <w:t>.</w:t>
      </w:r>
      <w:r w:rsidR="00373E36">
        <w:rPr>
          <w:rFonts w:ascii="Cambria" w:hAnsi="Cambria"/>
        </w:rPr>
        <w:t xml:space="preserve"> A wealth tax is</w:t>
      </w:r>
      <w:r w:rsidR="001C0824">
        <w:rPr>
          <w:rFonts w:ascii="Cambria" w:hAnsi="Cambria"/>
        </w:rPr>
        <w:t xml:space="preserve"> regressive and</w:t>
      </w:r>
      <w:r w:rsidR="00373E36">
        <w:rPr>
          <w:rFonts w:ascii="Cambria" w:hAnsi="Cambria"/>
        </w:rPr>
        <w:t xml:space="preserve"> procyclical, as average taxes are lower when the economy is thriving and higher when the economy is stagnating.</w:t>
      </w:r>
    </w:p>
    <w:p w14:paraId="3F6F4505" w14:textId="77777777" w:rsidR="004E4ABB" w:rsidRDefault="004E4ABB" w:rsidP="00333697">
      <w:pPr>
        <w:spacing w:line="360" w:lineRule="auto"/>
      </w:pPr>
    </w:p>
    <w:p w14:paraId="2AB7B6CC" w14:textId="714E6B49" w:rsidR="00F23230" w:rsidRPr="00E145D3" w:rsidRDefault="006625DC" w:rsidP="00333697">
      <w:pPr>
        <w:spacing w:line="360" w:lineRule="auto"/>
        <w:rPr>
          <w:rStyle w:val="Heading1Char"/>
        </w:rPr>
      </w:pPr>
      <w:r>
        <w:t>Th</w:t>
      </w:r>
      <w:r w:rsidR="00BB1B33">
        <w:t xml:space="preserve">e rest of this paper evaluates capital income and capital gains taxes in terms of their </w:t>
      </w:r>
      <w:r w:rsidR="00E511D3">
        <w:t>impact</w:t>
      </w:r>
      <w:r w:rsidR="00BB1B33">
        <w:t xml:space="preserve"> on social welfare.</w:t>
      </w:r>
    </w:p>
    <w:p w14:paraId="005BCF10" w14:textId="2CE83111" w:rsidR="007F63A3" w:rsidRDefault="007F63A3" w:rsidP="007F63A3">
      <w:pPr>
        <w:pStyle w:val="Heading1"/>
      </w:pPr>
      <w:bookmarkStart w:id="7" w:name="_Toc331345787"/>
      <w:r>
        <w:lastRenderedPageBreak/>
        <w:t>Chapter three – The effects of capital income taxation on savings behaviour</w:t>
      </w:r>
      <w:bookmarkEnd w:id="7"/>
    </w:p>
    <w:p w14:paraId="64EC6BC0" w14:textId="3B396943" w:rsidR="00DD0AB2" w:rsidRPr="00AE339B" w:rsidRDefault="00DD0AB2" w:rsidP="00333697">
      <w:pPr>
        <w:spacing w:line="360" w:lineRule="auto"/>
      </w:pPr>
      <w:r w:rsidRPr="00AE339B">
        <w:t xml:space="preserve">This section contains a positive </w:t>
      </w:r>
      <w:r w:rsidR="00846F2C">
        <w:t xml:space="preserve">analysis of the effects of </w:t>
      </w:r>
      <w:r w:rsidRPr="00AE339B">
        <w:t xml:space="preserve">capital </w:t>
      </w:r>
      <w:r w:rsidR="00BF61CF">
        <w:t xml:space="preserve">income taxation </w:t>
      </w:r>
      <w:r w:rsidR="00AF6ADF">
        <w:t>on saving</w:t>
      </w:r>
      <w:r w:rsidR="00F443FB">
        <w:t>s</w:t>
      </w:r>
      <w:r w:rsidRPr="00AE339B">
        <w:t>.</w:t>
      </w:r>
      <w:r w:rsidR="00544470">
        <w:t xml:space="preserve"> The main focus of this paper is the capital gains tax. However, it is relevant to </w:t>
      </w:r>
      <w:r w:rsidR="0036254E">
        <w:t>consider</w:t>
      </w:r>
      <w:r w:rsidR="00544470">
        <w:t xml:space="preserve"> the effect of all capital income taxation on savings behaviour</w:t>
      </w:r>
      <w:r w:rsidR="00CB423D">
        <w:t>, since taxing one form of capital income requires taxing them all, due to arbitrage opportunities.</w:t>
      </w:r>
      <w:r w:rsidR="0053291F">
        <w:rPr>
          <w:rStyle w:val="FootnoteReference"/>
        </w:rPr>
        <w:footnoteReference w:id="7"/>
      </w:r>
      <w:r w:rsidR="00CB423D">
        <w:t xml:space="preserve"> For example, if </w:t>
      </w:r>
      <w:r w:rsidR="00552205">
        <w:t>interest</w:t>
      </w:r>
      <w:r w:rsidR="00CB423D">
        <w:t xml:space="preserve"> and dividends are taxed whilst capital gains are not</w:t>
      </w:r>
      <w:r w:rsidR="00552205">
        <w:t>,</w:t>
      </w:r>
      <w:r w:rsidR="00397DF4">
        <w:t xml:space="preserve"> individuals will convert their savings into untaxed capital gains, leading to a reduction in social welfare.</w:t>
      </w:r>
      <w:r w:rsidR="00E07E46">
        <w:t xml:space="preserve"> Thus, the </w:t>
      </w:r>
      <w:r w:rsidR="000528E6">
        <w:t>effect of capital income taxation in general on savings behaviour is</w:t>
      </w:r>
      <w:r w:rsidR="00E07E46">
        <w:t xml:space="preserve"> analysed.</w:t>
      </w:r>
    </w:p>
    <w:p w14:paraId="5CEE9511" w14:textId="77777777" w:rsidR="00F23230" w:rsidRPr="00106942" w:rsidRDefault="00F23230" w:rsidP="00333697">
      <w:pPr>
        <w:spacing w:line="360" w:lineRule="auto"/>
        <w:rPr>
          <w:b/>
        </w:rPr>
      </w:pPr>
    </w:p>
    <w:p w14:paraId="00B883A3" w14:textId="5E205870" w:rsidR="002D305A" w:rsidRDefault="003B593F" w:rsidP="00333697">
      <w:pPr>
        <w:spacing w:line="360" w:lineRule="auto"/>
      </w:pPr>
      <w:r w:rsidRPr="00AE339B">
        <w:t xml:space="preserve">There are various ways in which capital </w:t>
      </w:r>
      <w:r w:rsidR="00A6116F">
        <w:t xml:space="preserve">income </w:t>
      </w:r>
      <w:r w:rsidR="00281109">
        <w:t xml:space="preserve">taxation influences savings </w:t>
      </w:r>
      <w:r w:rsidR="00AD603A">
        <w:t>behaviour of households</w:t>
      </w:r>
      <w:r w:rsidRPr="00AE339B">
        <w:t>. The studies that research these effects are both theoretical and empirical in nature.</w:t>
      </w:r>
      <w:r w:rsidRPr="00AE339B">
        <w:rPr>
          <w:rStyle w:val="FootnoteReference"/>
        </w:rPr>
        <w:footnoteReference w:id="8"/>
      </w:r>
      <w:r w:rsidR="00482C44" w:rsidRPr="00AE339B">
        <w:t xml:space="preserve"> </w:t>
      </w:r>
    </w:p>
    <w:p w14:paraId="419EA961" w14:textId="77777777" w:rsidR="002D305A" w:rsidRPr="002D305A" w:rsidRDefault="002D305A" w:rsidP="00E145D3">
      <w:pPr>
        <w:pStyle w:val="Heading2"/>
      </w:pPr>
      <w:bookmarkStart w:id="8" w:name="_Toc331344937"/>
      <w:bookmarkStart w:id="9" w:name="_Toc331345788"/>
      <w:r>
        <w:t>Theory</w:t>
      </w:r>
      <w:bookmarkEnd w:id="8"/>
      <w:bookmarkEnd w:id="9"/>
    </w:p>
    <w:p w14:paraId="7ED4CBAC" w14:textId="77777777" w:rsidR="005D5491" w:rsidRPr="00AE339B" w:rsidRDefault="00F229F5" w:rsidP="00333697">
      <w:pPr>
        <w:spacing w:line="360" w:lineRule="auto"/>
      </w:pPr>
      <w:r w:rsidRPr="00AE339B">
        <w:t>Agnar Sandmo</w:t>
      </w:r>
      <w:r w:rsidR="007925DB">
        <w:t xml:space="preserve"> (1985)</w:t>
      </w:r>
      <w:r w:rsidRPr="00AE339B">
        <w:t xml:space="preserve"> presents a two-period theoretical model of consumption with exogenous labour income</w:t>
      </w:r>
      <w:r w:rsidR="00362856" w:rsidRPr="00AE339B">
        <w:t xml:space="preserve"> each period and interest rate </w:t>
      </w:r>
      <w:r w:rsidR="00362856" w:rsidRPr="00AE339B">
        <w:rPr>
          <w:i/>
        </w:rPr>
        <w:t>r</w:t>
      </w:r>
      <w:r w:rsidRPr="00AE339B">
        <w:t xml:space="preserve">. </w:t>
      </w:r>
      <w:r w:rsidR="00BF3363" w:rsidRPr="00AE339B">
        <w:t>Thus</w:t>
      </w:r>
      <w:r w:rsidR="00362856" w:rsidRPr="00AE339B">
        <w:t xml:space="preserve">, savings </w:t>
      </w:r>
      <w:r w:rsidR="00362856" w:rsidRPr="00AE339B">
        <w:rPr>
          <w:i/>
        </w:rPr>
        <w:t>S</w:t>
      </w:r>
      <w:r w:rsidR="00362856" w:rsidRPr="00AE339B">
        <w:t xml:space="preserve"> in period one allow for an extra consumption of </w:t>
      </w:r>
      <w:r w:rsidR="00362856" w:rsidRPr="00AE339B">
        <w:rPr>
          <w:i/>
        </w:rPr>
        <w:t>S</w:t>
      </w:r>
      <w:r w:rsidR="00362856" w:rsidRPr="00AE339B">
        <w:t>(1+</w:t>
      </w:r>
      <w:r w:rsidR="00362856" w:rsidRPr="00AE339B">
        <w:rPr>
          <w:i/>
        </w:rPr>
        <w:t>r</w:t>
      </w:r>
      <w:r w:rsidR="00362856" w:rsidRPr="00AE339B">
        <w:t>) in period two.</w:t>
      </w:r>
      <w:r w:rsidR="004B2CAF" w:rsidRPr="00AE339B">
        <w:rPr>
          <w:rStyle w:val="FootnoteReference"/>
        </w:rPr>
        <w:footnoteReference w:id="9"/>
      </w:r>
      <w:r w:rsidR="00362856" w:rsidRPr="00AE339B">
        <w:t xml:space="preserve"> </w:t>
      </w:r>
      <w:r w:rsidR="00022240">
        <w:t xml:space="preserve">What follows is a linear intertemporal budget constraint. </w:t>
      </w:r>
      <w:r w:rsidRPr="00AE339B">
        <w:t>In the case of perfect markets</w:t>
      </w:r>
      <w:r w:rsidR="007D5F58" w:rsidRPr="00AE339B">
        <w:t xml:space="preserve"> an income tax on interest income induces a substitution effect in favour of </w:t>
      </w:r>
      <w:r w:rsidR="00824038" w:rsidRPr="00AE339B">
        <w:t xml:space="preserve">present versus future consumption. The tax reduces the </w:t>
      </w:r>
      <w:r w:rsidR="00D3079A" w:rsidRPr="00AE339B">
        <w:t xml:space="preserve">amount of </w:t>
      </w:r>
      <w:r w:rsidR="00D9629A">
        <w:t>interest</w:t>
      </w:r>
      <w:r w:rsidR="00A528C9">
        <w:t xml:space="preserve"> on savings</w:t>
      </w:r>
      <w:r w:rsidR="00D3079A" w:rsidRPr="00AE339B">
        <w:t xml:space="preserve"> an</w:t>
      </w:r>
      <w:r w:rsidR="00D9629A">
        <w:t>d a</w:t>
      </w:r>
      <w:r w:rsidR="005342BF">
        <w:t xml:space="preserve">llows for the offsetting of </w:t>
      </w:r>
      <w:r w:rsidR="00A528C9">
        <w:t xml:space="preserve">interest on </w:t>
      </w:r>
      <w:r w:rsidR="005342BF">
        <w:t>borrowings</w:t>
      </w:r>
      <w:r w:rsidR="00D3079A" w:rsidRPr="00AE339B">
        <w:t xml:space="preserve">, which makes saving less attractive. </w:t>
      </w:r>
      <w:r w:rsidR="00BF3363" w:rsidRPr="00AE339B">
        <w:t>Hence</w:t>
      </w:r>
      <w:r w:rsidR="00D3079A" w:rsidRPr="00AE339B">
        <w:t>,</w:t>
      </w:r>
      <w:r w:rsidR="00824038" w:rsidRPr="00AE339B">
        <w:t xml:space="preserve"> present consumption is favoured over future consumption. </w:t>
      </w:r>
      <w:r w:rsidR="00642B43" w:rsidRPr="00AE339B">
        <w:t>Besides the substitution effect of a tax on capital income there is also an income effect: When the interest rate is higher an individual might save less and still be able to consume more in both present and future. Thus, a tax that lowers the interest rate may encourage savings through the inverse of this effect.</w:t>
      </w:r>
    </w:p>
    <w:p w14:paraId="44967E32" w14:textId="77777777" w:rsidR="005D5491" w:rsidRPr="00AE339B" w:rsidRDefault="005D5491" w:rsidP="00333697">
      <w:pPr>
        <w:spacing w:line="360" w:lineRule="auto"/>
      </w:pPr>
    </w:p>
    <w:p w14:paraId="5C740F9E" w14:textId="77777777" w:rsidR="00C817B9" w:rsidRDefault="00320D70" w:rsidP="00C817B9">
      <w:pPr>
        <w:spacing w:line="360" w:lineRule="auto"/>
        <w:rPr>
          <w:color w:val="FF0000"/>
        </w:rPr>
      </w:pPr>
      <w:r>
        <w:t>I</w:t>
      </w:r>
      <w:r w:rsidR="00824038" w:rsidRPr="00AE339B">
        <w:t xml:space="preserve">mperfect markets </w:t>
      </w:r>
      <w:r>
        <w:t xml:space="preserve">restrict </w:t>
      </w:r>
      <w:r w:rsidR="008C6529" w:rsidRPr="00AE339B">
        <w:t xml:space="preserve">households by the difference between </w:t>
      </w:r>
      <w:r>
        <w:t>the borrowing and lending rates, due to the transaction costs of credit institutions.</w:t>
      </w:r>
      <w:r w:rsidR="008C6529" w:rsidRPr="00AE339B">
        <w:t xml:space="preserve"> </w:t>
      </w:r>
      <w:r w:rsidR="00CA67E4">
        <w:t>The result is that h</w:t>
      </w:r>
      <w:r>
        <w:t xml:space="preserve">ouseholds </w:t>
      </w:r>
      <w:r w:rsidR="00D3079A" w:rsidRPr="00AE339B">
        <w:t xml:space="preserve">borrow at a higher rate than at which they lend, whilst the tax </w:t>
      </w:r>
      <w:r w:rsidR="008C6529" w:rsidRPr="00AE339B">
        <w:t>remain</w:t>
      </w:r>
      <w:r w:rsidR="000447EA" w:rsidRPr="00AE339B">
        <w:t xml:space="preserve">s </w:t>
      </w:r>
      <w:r w:rsidR="00D3079A" w:rsidRPr="00AE339B">
        <w:t>symmetrical</w:t>
      </w:r>
      <w:r w:rsidR="000447EA" w:rsidRPr="00AE339B">
        <w:t xml:space="preserve"> for capital gains and losses</w:t>
      </w:r>
      <w:r w:rsidR="00D3079A" w:rsidRPr="00AE339B">
        <w:t xml:space="preserve">. </w:t>
      </w:r>
    </w:p>
    <w:p w14:paraId="6B87F6DD" w14:textId="77777777" w:rsidR="00C817B9" w:rsidRDefault="00C817B9" w:rsidP="00C817B9">
      <w:pPr>
        <w:spacing w:line="360" w:lineRule="auto"/>
        <w:rPr>
          <w:color w:val="FF0000"/>
        </w:rPr>
      </w:pPr>
    </w:p>
    <w:p w14:paraId="5A166DA7" w14:textId="77777777" w:rsidR="00C86BDB" w:rsidRDefault="00C54AC5" w:rsidP="00C817B9">
      <w:pPr>
        <w:spacing w:line="360" w:lineRule="auto"/>
      </w:pPr>
      <w:r w:rsidRPr="00AE339B">
        <w:t>Another feature of imperfect markets is the existence of credit rationing</w:t>
      </w:r>
      <w:r w:rsidR="00EE650F">
        <w:t>. Credit rationing arises when the banks set an interest rate at which the loan demand exceeds the loan supply. Usually in economics when demand exceeds supply, market mechanisms drive up the price and supply increases or demand decreases until the market is in equilibrium. However in the case of credit rationing, the market is in equilibrium. Th</w:t>
      </w:r>
      <w:r w:rsidR="009D0880">
        <w:t xml:space="preserve">is </w:t>
      </w:r>
      <w:r w:rsidR="00EE650F">
        <w:t>paradox finds its origin in two characteristics of the interest rate. On the one hand, the interest rate f</w:t>
      </w:r>
      <w:r w:rsidR="000F39DA">
        <w:t xml:space="preserve">unctions as a screening device: </w:t>
      </w:r>
      <w:r w:rsidR="00EE650F">
        <w:t xml:space="preserve">borrowers that are willing to pay a higher rate may be </w:t>
      </w:r>
      <w:r w:rsidR="00563C78">
        <w:t>more of a liability, since they perceive their chances of repaying to be low</w:t>
      </w:r>
      <w:r w:rsidR="008A03AE">
        <w:t xml:space="preserve">. </w:t>
      </w:r>
      <w:r w:rsidR="000F39DA">
        <w:t>On the other hand, the interest rate functions as an incentive: a higher interest rate stimulates risk-taking by firms (Stiglitz &amp; Weiss, 1981)</w:t>
      </w:r>
      <w:r w:rsidR="009D0880">
        <w:t xml:space="preserve">. </w:t>
      </w:r>
      <w:r w:rsidR="0001067D">
        <w:t xml:space="preserve">Banks want to attract low-risk borrowers, in order to avoid uncertainty about </w:t>
      </w:r>
      <w:r w:rsidR="00881B95">
        <w:t xml:space="preserve">interest payments and loan repayments. </w:t>
      </w:r>
      <w:r w:rsidR="009D0880">
        <w:t xml:space="preserve">Thus, banks set a lower interest rate in order </w:t>
      </w:r>
      <w:r w:rsidR="004C1872">
        <w:t xml:space="preserve">to target low-risk borrowers on the one hand and to </w:t>
      </w:r>
      <w:r w:rsidR="009D0880">
        <w:t xml:space="preserve">suppress </w:t>
      </w:r>
      <w:r w:rsidR="004C1872">
        <w:t xml:space="preserve">risk-taking on the other. </w:t>
      </w:r>
      <w:r w:rsidR="00F8640E">
        <w:t xml:space="preserve">The outcome may very well be </w:t>
      </w:r>
      <w:r w:rsidR="004C1872">
        <w:t>an excess demand of loans.</w:t>
      </w:r>
      <w:r w:rsidR="000A5A49">
        <w:t xml:space="preserve"> </w:t>
      </w:r>
      <w:r w:rsidR="00410842">
        <w:t>In terms of the Sandmo model, t</w:t>
      </w:r>
      <w:r w:rsidR="00681393">
        <w:t>his limits the amount of second period income an individual can allocate towards first period consumption through borrowing.</w:t>
      </w:r>
    </w:p>
    <w:p w14:paraId="297972C4" w14:textId="77777777" w:rsidR="004C4CA2" w:rsidRDefault="004C4CA2" w:rsidP="000148BA">
      <w:pPr>
        <w:spacing w:line="360" w:lineRule="auto"/>
      </w:pPr>
    </w:p>
    <w:p w14:paraId="33348D8A" w14:textId="77777777" w:rsidR="00C54AC5" w:rsidRPr="00BB5BAE" w:rsidRDefault="00E159FE" w:rsidP="007773DD">
      <w:pPr>
        <w:spacing w:line="360" w:lineRule="auto"/>
        <w:rPr>
          <w:color w:val="FF0000"/>
        </w:rPr>
      </w:pPr>
      <w:r>
        <w:t>The</w:t>
      </w:r>
      <w:r w:rsidR="004C4CA2">
        <w:t xml:space="preserve"> </w:t>
      </w:r>
      <w:r w:rsidR="00F8640E">
        <w:t xml:space="preserve">asymmetrical </w:t>
      </w:r>
      <w:r>
        <w:t xml:space="preserve">structure of </w:t>
      </w:r>
      <w:r w:rsidR="00F8640E">
        <w:t xml:space="preserve">borrowing and lending rates </w:t>
      </w:r>
      <w:r>
        <w:t>as well as</w:t>
      </w:r>
      <w:r w:rsidR="00F8640E">
        <w:t xml:space="preserve"> credit rationing </w:t>
      </w:r>
      <w:r w:rsidR="00D97A71">
        <w:t>lead</w:t>
      </w:r>
      <w:r w:rsidR="00477BCC">
        <w:t>s</w:t>
      </w:r>
      <w:r w:rsidR="00D97A71">
        <w:t xml:space="preserve"> to </w:t>
      </w:r>
      <w:r w:rsidR="00F8640E">
        <w:t xml:space="preserve">a kink in the intertemporal budget constraint of the model that </w:t>
      </w:r>
      <w:r w:rsidR="00253BCE">
        <w:t>Sandmo presents</w:t>
      </w:r>
      <w:r w:rsidR="00C817B9">
        <w:t>. Th</w:t>
      </w:r>
      <w:r w:rsidR="000343E2">
        <w:t xml:space="preserve">erefore, </w:t>
      </w:r>
      <w:r w:rsidR="00AF6DE0">
        <w:t>a change in the interest rate is less likely to induce a substitution effect. Hence, there are</w:t>
      </w:r>
      <w:r w:rsidR="004C4CA2" w:rsidRPr="00AE339B">
        <w:t xml:space="preserve"> lower substitution effect</w:t>
      </w:r>
      <w:r w:rsidR="00C419F0">
        <w:t>s</w:t>
      </w:r>
      <w:r w:rsidR="004C4CA2" w:rsidRPr="00AE339B">
        <w:t xml:space="preserve"> in the case of imperfect markets than in the case of perfect markets.</w:t>
      </w:r>
      <w:r w:rsidR="006D7B66" w:rsidRPr="00AE339B">
        <w:t xml:space="preserve"> </w:t>
      </w:r>
    </w:p>
    <w:p w14:paraId="0226B3CA" w14:textId="77777777" w:rsidR="00C10C15" w:rsidRPr="00AE339B" w:rsidRDefault="00C10C15" w:rsidP="00333697">
      <w:pPr>
        <w:spacing w:line="360" w:lineRule="auto"/>
      </w:pPr>
    </w:p>
    <w:p w14:paraId="21CBF8E4" w14:textId="77777777" w:rsidR="003B593F" w:rsidRDefault="006D7B66" w:rsidP="00333697">
      <w:pPr>
        <w:spacing w:line="360" w:lineRule="auto"/>
      </w:pPr>
      <w:r w:rsidRPr="00AE339B">
        <w:t>Further</w:t>
      </w:r>
      <w:r w:rsidR="00C10C15" w:rsidRPr="00AE339B">
        <w:t>, Sandmo introduces uncertainty</w:t>
      </w:r>
      <w:r w:rsidRPr="00AE339B">
        <w:t xml:space="preserve"> into his model</w:t>
      </w:r>
      <w:r w:rsidR="00C10C15" w:rsidRPr="00AE339B">
        <w:t xml:space="preserve">. If the interest rate received in the model is uncertain, the positive substitution effect of the tax </w:t>
      </w:r>
      <w:r w:rsidR="00F23230" w:rsidRPr="00AE339B">
        <w:t xml:space="preserve">on present consumption </w:t>
      </w:r>
      <w:r w:rsidR="00C10C15" w:rsidRPr="00AE339B">
        <w:t>becomes somewhat ambiguous. The reasoning behind this is that the tax on interest not only reduces the expected value of the interest rate. It also reduces the variance of the distribution, and the reduced riskiness is likely to have</w:t>
      </w:r>
      <w:r w:rsidR="00F23230" w:rsidRPr="00AE339B">
        <w:t xml:space="preserve"> a negative substitution effect, as Sandmo has shown in previous research (1970). </w:t>
      </w:r>
    </w:p>
    <w:p w14:paraId="291818A0" w14:textId="77777777" w:rsidR="00221687" w:rsidRDefault="00221687" w:rsidP="00333697">
      <w:pPr>
        <w:spacing w:line="360" w:lineRule="auto"/>
      </w:pPr>
    </w:p>
    <w:p w14:paraId="621A7056" w14:textId="3295D312" w:rsidR="008E2C59" w:rsidRPr="00AE339B" w:rsidRDefault="00CA7EBF" w:rsidP="00333697">
      <w:pPr>
        <w:spacing w:line="360" w:lineRule="auto"/>
      </w:pPr>
      <w:r>
        <w:t>The the</w:t>
      </w:r>
      <w:r w:rsidR="00EA78E2">
        <w:t>o</w:t>
      </w:r>
      <w:r w:rsidR="00E3682A">
        <w:t>ry</w:t>
      </w:r>
      <w:r w:rsidR="00525BCD">
        <w:t xml:space="preserve"> regarding interest rates</w:t>
      </w:r>
      <w:r w:rsidR="00E3682A">
        <w:t xml:space="preserve"> thus states that there is a </w:t>
      </w:r>
      <w:r>
        <w:t>substitution effect</w:t>
      </w:r>
      <w:r w:rsidR="00E3682A">
        <w:t xml:space="preserve"> and an income effect. </w:t>
      </w:r>
      <w:r w:rsidR="0094107D">
        <w:t xml:space="preserve">The substitution effect </w:t>
      </w:r>
      <w:r w:rsidR="00E3682A">
        <w:t>appears i</w:t>
      </w:r>
      <w:r>
        <w:t xml:space="preserve">n reduced form in the case of imperfect </w:t>
      </w:r>
      <w:r>
        <w:lastRenderedPageBreak/>
        <w:t>markets and uncertainty</w:t>
      </w:r>
      <w:r w:rsidR="00EA78E2">
        <w:t xml:space="preserve">. </w:t>
      </w:r>
      <w:r w:rsidR="008E2C59">
        <w:t>Furthermore, wealth effects reinforce the substitution effect (Summers, 1981)</w:t>
      </w:r>
      <w:r w:rsidR="00953F29">
        <w:t xml:space="preserve">. </w:t>
      </w:r>
      <w:r w:rsidR="004B1691">
        <w:t>Considering that the substitution effect outweighs the income effect t</w:t>
      </w:r>
      <w:r w:rsidR="006C7D4E">
        <w:t>he result of a tax on capital would be a decrease in savings.</w:t>
      </w:r>
    </w:p>
    <w:p w14:paraId="2B54746D" w14:textId="77777777" w:rsidR="001E3058" w:rsidRPr="00C90CF6" w:rsidRDefault="0035534A" w:rsidP="00E145D3">
      <w:pPr>
        <w:pStyle w:val="Heading2"/>
      </w:pPr>
      <w:r w:rsidRPr="00AE339B">
        <w:t xml:space="preserve"> </w:t>
      </w:r>
      <w:bookmarkStart w:id="10" w:name="_Toc331344938"/>
      <w:bookmarkStart w:id="11" w:name="_Toc331345789"/>
      <w:r w:rsidR="00C90CF6">
        <w:t>Empirics</w:t>
      </w:r>
      <w:bookmarkEnd w:id="10"/>
      <w:bookmarkEnd w:id="11"/>
    </w:p>
    <w:p w14:paraId="620343A0" w14:textId="77777777" w:rsidR="00311BDA" w:rsidRDefault="00311BDA" w:rsidP="00311BDA">
      <w:pPr>
        <w:spacing w:line="360" w:lineRule="auto"/>
      </w:pPr>
      <w:r>
        <w:t xml:space="preserve">Empirical studies </w:t>
      </w:r>
      <w:r w:rsidR="00525BCD">
        <w:t xml:space="preserve">on interest rates and savings </w:t>
      </w:r>
      <w:r>
        <w:t xml:space="preserve">often make use of the Euler equation in modelling, in order to obtain the elasticity of intertemporal substitution of consumption. This is an important variable for policy considerations, as it puts a number on the substitution effect that interest changes have on savings behaviour </w:t>
      </w:r>
      <w:sdt>
        <w:sdtPr>
          <w:rPr>
            <w:rFonts w:ascii="Cambria" w:hAnsi="Cambria"/>
          </w:rPr>
          <w:id w:val="1961381563"/>
          <w:citation/>
        </w:sdtPr>
        <w:sdtEndPr/>
        <w:sdtContent>
          <w:r w:rsidRPr="00311BDA">
            <w:rPr>
              <w:rFonts w:ascii="Cambria" w:hAnsi="Cambria"/>
            </w:rPr>
            <w:fldChar w:fldCharType="begin"/>
          </w:r>
          <w:r w:rsidRPr="00311BDA">
            <w:rPr>
              <w:rFonts w:ascii="Cambria" w:hAnsi="Cambria"/>
              <w:lang w:val="nl-NL"/>
            </w:rPr>
            <w:instrText xml:space="preserve"> CITATION Ora10 \l 1043 </w:instrText>
          </w:r>
          <w:r w:rsidRPr="00311BDA">
            <w:rPr>
              <w:rFonts w:ascii="Cambria" w:hAnsi="Cambria"/>
            </w:rPr>
            <w:fldChar w:fldCharType="separate"/>
          </w:r>
          <w:r w:rsidRPr="00311BDA">
            <w:rPr>
              <w:rFonts w:ascii="Cambria" w:hAnsi="Cambria"/>
              <w:noProof/>
              <w:lang w:val="nl-NL"/>
            </w:rPr>
            <w:t>(Attanasio &amp; Weber, 2010)</w:t>
          </w:r>
          <w:r w:rsidRPr="00311BDA">
            <w:rPr>
              <w:rFonts w:ascii="Cambria" w:hAnsi="Cambria"/>
            </w:rPr>
            <w:fldChar w:fldCharType="end"/>
          </w:r>
        </w:sdtContent>
      </w:sdt>
      <w:r w:rsidRPr="00311BDA">
        <w:rPr>
          <w:rFonts w:ascii="Cambria" w:hAnsi="Cambria"/>
        </w:rPr>
        <w:t>.</w:t>
      </w:r>
      <w:r w:rsidR="00D87FDD">
        <w:rPr>
          <w:rFonts w:ascii="Cambria" w:hAnsi="Cambria"/>
        </w:rPr>
        <w:t xml:space="preserve"> </w:t>
      </w:r>
    </w:p>
    <w:p w14:paraId="32463CA6" w14:textId="77777777" w:rsidR="00311BDA" w:rsidRDefault="00311BDA" w:rsidP="005A28CF">
      <w:pPr>
        <w:spacing w:line="360" w:lineRule="auto"/>
      </w:pPr>
    </w:p>
    <w:p w14:paraId="4B9178E2" w14:textId="77777777" w:rsidR="001016CF" w:rsidRDefault="003F6435" w:rsidP="005A28CF">
      <w:pPr>
        <w:spacing w:line="360" w:lineRule="auto"/>
        <w:rPr>
          <w:noProof/>
          <w:lang w:val="nl-NL"/>
        </w:rPr>
      </w:pPr>
      <w:r w:rsidRPr="00AE339B">
        <w:t xml:space="preserve">One of </w:t>
      </w:r>
      <w:r w:rsidR="001016CF" w:rsidRPr="00AE339B">
        <w:t xml:space="preserve">the first and influential studies on the relation between the interest rate and </w:t>
      </w:r>
      <w:r w:rsidR="005A28CF" w:rsidRPr="00AE339B">
        <w:t xml:space="preserve">savings </w:t>
      </w:r>
      <w:r w:rsidR="001016CF" w:rsidRPr="00AE339B">
        <w:t xml:space="preserve">was by Wright </w:t>
      </w:r>
      <w:r w:rsidR="001016CF" w:rsidRPr="00AE339B">
        <w:rPr>
          <w:noProof/>
          <w:lang w:val="nl-NL"/>
        </w:rPr>
        <w:t>(1969)</w:t>
      </w:r>
      <w:r w:rsidR="005A28CF" w:rsidRPr="00AE339B">
        <w:rPr>
          <w:noProof/>
          <w:lang w:val="nl-NL"/>
        </w:rPr>
        <w:t>. He</w:t>
      </w:r>
      <w:r w:rsidR="00B43A08" w:rsidRPr="00AE339B">
        <w:rPr>
          <w:noProof/>
          <w:lang w:val="nl-NL"/>
        </w:rPr>
        <w:t xml:space="preserve"> found a negative substitution effect of the rate of interest on present consumption. For example, the study stated implicitly that at an interest rate of </w:t>
      </w:r>
      <w:r w:rsidR="007274A9" w:rsidRPr="00AE339B">
        <w:rPr>
          <w:noProof/>
          <w:lang w:val="nl-NL"/>
        </w:rPr>
        <w:t xml:space="preserve">5 percent, an increase in tax on interest rate of one percentage point would lead to an increase in savings of 0.75 percent. </w:t>
      </w:r>
      <w:r w:rsidR="000030BF" w:rsidRPr="00AE339B">
        <w:rPr>
          <w:noProof/>
          <w:lang w:val="nl-NL"/>
        </w:rPr>
        <w:t>Another study by Blinder (1975), which also took the distribution of income into account, found an effect with the same sign but only one tenth the magnitude.</w:t>
      </w:r>
      <w:r w:rsidR="001D6933">
        <w:rPr>
          <w:noProof/>
          <w:lang w:val="nl-NL"/>
        </w:rPr>
        <w:t xml:space="preserve"> </w:t>
      </w:r>
    </w:p>
    <w:p w14:paraId="26D74201" w14:textId="77777777" w:rsidR="00ED2FC3" w:rsidRDefault="00ED2FC3" w:rsidP="005A28CF">
      <w:pPr>
        <w:spacing w:line="360" w:lineRule="auto"/>
        <w:rPr>
          <w:noProof/>
          <w:lang w:val="nl-NL"/>
        </w:rPr>
      </w:pPr>
    </w:p>
    <w:p w14:paraId="2B0BFA47" w14:textId="77777777" w:rsidR="004117C2" w:rsidRDefault="00ED2FC3" w:rsidP="00650815">
      <w:pPr>
        <w:spacing w:line="360" w:lineRule="auto"/>
        <w:rPr>
          <w:noProof/>
          <w:lang w:val="nl-NL"/>
        </w:rPr>
      </w:pPr>
      <w:r>
        <w:rPr>
          <w:noProof/>
          <w:lang w:val="nl-NL"/>
        </w:rPr>
        <w:t xml:space="preserve">Attanasio and Weber (1993;1995) present </w:t>
      </w:r>
      <w:r w:rsidR="00F5766E">
        <w:rPr>
          <w:noProof/>
          <w:lang w:val="nl-NL"/>
        </w:rPr>
        <w:t xml:space="preserve">empirical evidence using cohort data from the US and the UK. They find an elasticity </w:t>
      </w:r>
      <w:r w:rsidR="00CE7834">
        <w:rPr>
          <w:noProof/>
          <w:lang w:val="nl-NL"/>
        </w:rPr>
        <w:t xml:space="preserve">of intertemporal substitution </w:t>
      </w:r>
      <w:r w:rsidR="00F5766E">
        <w:rPr>
          <w:noProof/>
          <w:lang w:val="nl-NL"/>
        </w:rPr>
        <w:t>of around 0.8</w:t>
      </w:r>
      <w:r w:rsidR="0090640A">
        <w:rPr>
          <w:noProof/>
          <w:lang w:val="nl-NL"/>
        </w:rPr>
        <w:t>, focusing on the cohorts of individuals, which are least likely to be liquidity constrained</w:t>
      </w:r>
      <w:r w:rsidR="00BB1090">
        <w:rPr>
          <w:noProof/>
          <w:lang w:val="nl-NL"/>
        </w:rPr>
        <w:t>.</w:t>
      </w:r>
      <w:r w:rsidR="00D52B49">
        <w:rPr>
          <w:noProof/>
          <w:lang w:val="nl-NL"/>
        </w:rPr>
        <w:t xml:space="preserve"> </w:t>
      </w:r>
      <w:r w:rsidR="002B0770">
        <w:rPr>
          <w:noProof/>
          <w:lang w:val="nl-NL"/>
        </w:rPr>
        <w:t>More recently, Scholz, Seshadri &amp; Khitatrakun (2006)</w:t>
      </w:r>
      <w:r w:rsidR="009860B8">
        <w:rPr>
          <w:noProof/>
          <w:lang w:val="nl-NL"/>
        </w:rPr>
        <w:t xml:space="preserve"> </w:t>
      </w:r>
      <w:r w:rsidR="00560763">
        <w:rPr>
          <w:noProof/>
          <w:lang w:val="nl-NL"/>
        </w:rPr>
        <w:t>research the ability of the life-cycle model of predicting wealth holdings. They show that their model fits best with an elasticity of intertemporal substitution equal to 0.67</w:t>
      </w:r>
      <w:r w:rsidR="00D55032">
        <w:rPr>
          <w:noProof/>
          <w:lang w:val="nl-NL"/>
        </w:rPr>
        <w:t xml:space="preserve">. </w:t>
      </w:r>
      <w:r w:rsidR="00650815">
        <w:rPr>
          <w:noProof/>
          <w:lang w:val="nl-NL"/>
        </w:rPr>
        <w:t>Also</w:t>
      </w:r>
      <w:r w:rsidR="00D55032">
        <w:rPr>
          <w:noProof/>
          <w:lang w:val="nl-NL"/>
        </w:rPr>
        <w:t xml:space="preserve">, Engelhardt &amp; Kumar </w:t>
      </w:r>
      <w:r w:rsidR="00E65E8C">
        <w:rPr>
          <w:noProof/>
          <w:lang w:val="nl-NL"/>
        </w:rPr>
        <w:t xml:space="preserve">(2007) </w:t>
      </w:r>
      <w:r w:rsidR="00D55032">
        <w:rPr>
          <w:noProof/>
          <w:lang w:val="nl-NL"/>
        </w:rPr>
        <w:t>look at the differences in matching rates of employers retirement plans and the effects on participation. In doing so, they obtain a point estimate of the elasticity of intertemporal</w:t>
      </w:r>
      <w:r w:rsidR="00F42F54">
        <w:rPr>
          <w:noProof/>
          <w:lang w:val="nl-NL"/>
        </w:rPr>
        <w:t xml:space="preserve"> substitution at a level of 0.74</w:t>
      </w:r>
      <w:r w:rsidR="00650815">
        <w:rPr>
          <w:noProof/>
          <w:lang w:val="nl-NL"/>
        </w:rPr>
        <w:t xml:space="preserve">. </w:t>
      </w:r>
    </w:p>
    <w:p w14:paraId="058D4E70" w14:textId="77777777" w:rsidR="00B63796" w:rsidRDefault="00B63796" w:rsidP="005A28CF">
      <w:pPr>
        <w:spacing w:line="360" w:lineRule="auto"/>
        <w:rPr>
          <w:noProof/>
          <w:lang w:val="nl-NL"/>
        </w:rPr>
      </w:pPr>
    </w:p>
    <w:p w14:paraId="1906CD98" w14:textId="77777777" w:rsidR="001153CC" w:rsidRDefault="001D47EA" w:rsidP="005A28CF">
      <w:pPr>
        <w:spacing w:line="360" w:lineRule="auto"/>
        <w:rPr>
          <w:noProof/>
          <w:lang w:val="nl-NL"/>
        </w:rPr>
      </w:pPr>
      <w:r>
        <w:rPr>
          <w:noProof/>
          <w:lang w:val="nl-NL"/>
        </w:rPr>
        <w:t xml:space="preserve">The implication of a high elasticity of intertemporal substitution is that a change in the interest rate has a high effect on the amount of savings. </w:t>
      </w:r>
      <w:r w:rsidR="00937C4A">
        <w:rPr>
          <w:noProof/>
          <w:lang w:val="nl-NL"/>
        </w:rPr>
        <w:t>A</w:t>
      </w:r>
      <w:r>
        <w:rPr>
          <w:noProof/>
          <w:lang w:val="nl-NL"/>
        </w:rPr>
        <w:t xml:space="preserve"> decrease in </w:t>
      </w:r>
      <w:r w:rsidR="00402B1A">
        <w:rPr>
          <w:noProof/>
          <w:lang w:val="nl-NL"/>
        </w:rPr>
        <w:t xml:space="preserve">the </w:t>
      </w:r>
      <w:r>
        <w:rPr>
          <w:noProof/>
          <w:lang w:val="nl-NL"/>
        </w:rPr>
        <w:t>interest</w:t>
      </w:r>
      <w:r w:rsidR="0095614F">
        <w:rPr>
          <w:noProof/>
          <w:lang w:val="nl-NL"/>
        </w:rPr>
        <w:t xml:space="preserve"> rate</w:t>
      </w:r>
      <w:r>
        <w:rPr>
          <w:noProof/>
          <w:lang w:val="nl-NL"/>
        </w:rPr>
        <w:t xml:space="preserve"> –or an increase in the tax rate on interest- decreases the amount of savings</w:t>
      </w:r>
      <w:r w:rsidR="00DE45D8">
        <w:rPr>
          <w:noProof/>
          <w:lang w:val="nl-NL"/>
        </w:rPr>
        <w:t>.</w:t>
      </w:r>
      <w:r w:rsidR="000C4301">
        <w:rPr>
          <w:noProof/>
          <w:lang w:val="nl-NL"/>
        </w:rPr>
        <w:t xml:space="preserve"> Attanasio &amp; Wakefield (2008) perform simulations of a life-cycle model, usi</w:t>
      </w:r>
      <w:r w:rsidR="00E7085A">
        <w:rPr>
          <w:noProof/>
          <w:lang w:val="nl-NL"/>
        </w:rPr>
        <w:t xml:space="preserve">ng empirical parameters, </w:t>
      </w:r>
      <w:r w:rsidR="000C4301">
        <w:rPr>
          <w:noProof/>
          <w:lang w:val="nl-NL"/>
        </w:rPr>
        <w:t xml:space="preserve">to </w:t>
      </w:r>
      <w:r w:rsidR="00E7085A">
        <w:rPr>
          <w:noProof/>
          <w:lang w:val="nl-NL"/>
        </w:rPr>
        <w:t xml:space="preserve">point out the importance of the elasticity of intertemporal substitution in determining </w:t>
      </w:r>
      <w:r w:rsidR="00E7085A">
        <w:rPr>
          <w:noProof/>
          <w:lang w:val="nl-NL"/>
        </w:rPr>
        <w:lastRenderedPageBreak/>
        <w:t>the magnitude of the effect of interest rate changes on savings.</w:t>
      </w:r>
      <w:r w:rsidR="008D5C43">
        <w:rPr>
          <w:noProof/>
          <w:lang w:val="nl-NL"/>
        </w:rPr>
        <w:t xml:space="preserve"> They </w:t>
      </w:r>
      <w:r w:rsidR="0077693F">
        <w:rPr>
          <w:noProof/>
          <w:lang w:val="nl-NL"/>
        </w:rPr>
        <w:t>present</w:t>
      </w:r>
      <w:r w:rsidR="008D5C43">
        <w:rPr>
          <w:noProof/>
          <w:lang w:val="nl-NL"/>
        </w:rPr>
        <w:t xml:space="preserve"> the effect</w:t>
      </w:r>
      <w:r w:rsidR="00926048">
        <w:rPr>
          <w:noProof/>
          <w:lang w:val="nl-NL"/>
        </w:rPr>
        <w:t>s</w:t>
      </w:r>
      <w:r w:rsidR="008D5C43">
        <w:rPr>
          <w:noProof/>
          <w:lang w:val="nl-NL"/>
        </w:rPr>
        <w:t xml:space="preserve"> of a 25 percent increase in interest rate (from</w:t>
      </w:r>
      <w:r w:rsidR="00F73214">
        <w:rPr>
          <w:noProof/>
          <w:lang w:val="nl-NL"/>
        </w:rPr>
        <w:t xml:space="preserve"> </w:t>
      </w:r>
      <w:r w:rsidR="002B3FB4">
        <w:rPr>
          <w:noProof/>
          <w:lang w:val="nl-NL"/>
        </w:rPr>
        <w:t>2 percent to 2.5 percent)</w:t>
      </w:r>
      <w:r w:rsidR="00B96CCA">
        <w:rPr>
          <w:noProof/>
          <w:lang w:val="nl-NL"/>
        </w:rPr>
        <w:t xml:space="preserve"> on average change in asset holding</w:t>
      </w:r>
      <w:r w:rsidR="00926048">
        <w:rPr>
          <w:noProof/>
          <w:lang w:val="nl-NL"/>
        </w:rPr>
        <w:t xml:space="preserve"> for different elasticities of intertemporal substitution over lifetime.</w:t>
      </w:r>
      <w:r w:rsidR="0077693F">
        <w:rPr>
          <w:noProof/>
          <w:lang w:val="nl-NL"/>
        </w:rPr>
        <w:t xml:space="preserve"> </w:t>
      </w:r>
      <w:r w:rsidR="007555C2">
        <w:rPr>
          <w:noProof/>
          <w:lang w:val="nl-NL"/>
        </w:rPr>
        <w:t>T</w:t>
      </w:r>
      <w:r w:rsidR="0077693F">
        <w:rPr>
          <w:noProof/>
          <w:lang w:val="nl-NL"/>
        </w:rPr>
        <w:t xml:space="preserve">he results show </w:t>
      </w:r>
      <w:r w:rsidR="007555C2">
        <w:rPr>
          <w:noProof/>
          <w:lang w:val="nl-NL"/>
        </w:rPr>
        <w:t>that the magnitude of the int</w:t>
      </w:r>
      <w:r w:rsidR="00EE77F0">
        <w:rPr>
          <w:noProof/>
          <w:lang w:val="nl-NL"/>
        </w:rPr>
        <w:t>erest rate effect is considerably larger when the elasticity of intertemporal substitution equals 1 (at age 45 the interest rate increase induces an increase in average asset holding of nearly 1.5%</w:t>
      </w:r>
      <w:r w:rsidR="005419A0">
        <w:rPr>
          <w:noProof/>
          <w:lang w:val="nl-NL"/>
        </w:rPr>
        <w:t>) than when the elasticity of intertemporal substitution equals 0.25</w:t>
      </w:r>
      <w:r w:rsidR="00AD05B0">
        <w:rPr>
          <w:noProof/>
          <w:lang w:val="nl-NL"/>
        </w:rPr>
        <w:t xml:space="preserve"> ( at age 45 the interest rate increase has almost zero effect on average asset holding)</w:t>
      </w:r>
      <w:r w:rsidR="005167A2">
        <w:rPr>
          <w:noProof/>
          <w:lang w:val="nl-NL"/>
        </w:rPr>
        <w:t>.</w:t>
      </w:r>
      <w:r w:rsidR="00AB79B2">
        <w:rPr>
          <w:noProof/>
          <w:lang w:val="nl-NL"/>
        </w:rPr>
        <w:t xml:space="preserve"> This </w:t>
      </w:r>
      <w:r w:rsidR="00F64307">
        <w:rPr>
          <w:noProof/>
          <w:lang w:val="nl-NL"/>
        </w:rPr>
        <w:t>finding enforces</w:t>
      </w:r>
      <w:r w:rsidR="00AB79B2">
        <w:rPr>
          <w:noProof/>
          <w:lang w:val="nl-NL"/>
        </w:rPr>
        <w:t xml:space="preserve"> previously referenced articles as empirical evidence </w:t>
      </w:r>
      <w:r w:rsidR="00F1226C">
        <w:rPr>
          <w:noProof/>
          <w:lang w:val="nl-NL"/>
        </w:rPr>
        <w:t xml:space="preserve">that </w:t>
      </w:r>
      <w:r w:rsidR="00CB1CD3">
        <w:rPr>
          <w:noProof/>
          <w:lang w:val="nl-NL"/>
        </w:rPr>
        <w:t>changes in the interest rate induce a substitution effect.</w:t>
      </w:r>
      <w:r w:rsidR="009A114A">
        <w:rPr>
          <w:noProof/>
          <w:lang w:val="nl-NL"/>
        </w:rPr>
        <w:t xml:space="preserve"> From this it is drawn that a tax on </w:t>
      </w:r>
      <w:r w:rsidR="00C4534B">
        <w:rPr>
          <w:noProof/>
          <w:lang w:val="nl-NL"/>
        </w:rPr>
        <w:t>the interest rate</w:t>
      </w:r>
      <w:r w:rsidR="009A114A">
        <w:rPr>
          <w:noProof/>
          <w:lang w:val="nl-NL"/>
        </w:rPr>
        <w:t xml:space="preserve"> has a negative influence on savings.</w:t>
      </w:r>
    </w:p>
    <w:p w14:paraId="350A0ED2" w14:textId="77777777" w:rsidR="00B63796" w:rsidRDefault="00B63796" w:rsidP="005A28CF">
      <w:pPr>
        <w:spacing w:line="360" w:lineRule="auto"/>
        <w:rPr>
          <w:noProof/>
          <w:lang w:val="nl-NL"/>
        </w:rPr>
      </w:pPr>
    </w:p>
    <w:p w14:paraId="5DE75685" w14:textId="77777777" w:rsidR="00DA55D2" w:rsidRDefault="008A4212" w:rsidP="001153CC">
      <w:pPr>
        <w:spacing w:line="360" w:lineRule="auto"/>
        <w:rPr>
          <w:noProof/>
          <w:lang w:val="nl-NL"/>
        </w:rPr>
      </w:pPr>
      <w:r>
        <w:rPr>
          <w:noProof/>
          <w:lang w:val="nl-NL"/>
        </w:rPr>
        <w:t xml:space="preserve">However, not everyone is supportive of the theory and epirics stated above. </w:t>
      </w:r>
      <w:r w:rsidR="00CD62B3" w:rsidRPr="00AE339B">
        <w:rPr>
          <w:noProof/>
          <w:lang w:val="nl-NL"/>
        </w:rPr>
        <w:t xml:space="preserve">Hungerford </w:t>
      </w:r>
      <w:r w:rsidR="00700963" w:rsidRPr="00AE339B">
        <w:rPr>
          <w:noProof/>
          <w:lang w:val="nl-NL"/>
        </w:rPr>
        <w:t>(2010)</w:t>
      </w:r>
      <w:r w:rsidR="00700963">
        <w:rPr>
          <w:noProof/>
          <w:lang w:val="nl-NL"/>
        </w:rPr>
        <w:t xml:space="preserve"> </w:t>
      </w:r>
      <w:r w:rsidR="00363DBE">
        <w:rPr>
          <w:noProof/>
          <w:lang w:val="nl-NL"/>
        </w:rPr>
        <w:t xml:space="preserve">is critical of the life-cycle model though </w:t>
      </w:r>
      <w:r w:rsidR="00CD62B3" w:rsidRPr="00AE339B">
        <w:rPr>
          <w:noProof/>
          <w:lang w:val="nl-NL"/>
        </w:rPr>
        <w:t>in his piece on the economic effects of capital gains taxation</w:t>
      </w:r>
      <w:r w:rsidR="00363DBE">
        <w:rPr>
          <w:noProof/>
          <w:lang w:val="nl-NL"/>
        </w:rPr>
        <w:t>.</w:t>
      </w:r>
      <w:r w:rsidR="00CD62B3" w:rsidRPr="00AE339B">
        <w:rPr>
          <w:noProof/>
          <w:lang w:val="nl-NL"/>
        </w:rPr>
        <w:t xml:space="preserve"> </w:t>
      </w:r>
      <w:r w:rsidR="00363DBE">
        <w:rPr>
          <w:noProof/>
          <w:lang w:val="nl-NL"/>
        </w:rPr>
        <w:t>He states the</w:t>
      </w:r>
      <w:r w:rsidR="00CD62B3" w:rsidRPr="00AE339B">
        <w:rPr>
          <w:noProof/>
          <w:lang w:val="nl-NL"/>
        </w:rPr>
        <w:t xml:space="preserve"> ass</w:t>
      </w:r>
      <w:r w:rsidR="002E2671" w:rsidRPr="00AE339B">
        <w:rPr>
          <w:noProof/>
          <w:lang w:val="nl-NL"/>
        </w:rPr>
        <w:t xml:space="preserve">umptions on the rationality and far-sighted decision making of individuals do not hold in practise, as many individuals use simple rules of thumb and target levels of wealth. </w:t>
      </w:r>
    </w:p>
    <w:p w14:paraId="0EEF0A0E" w14:textId="77777777" w:rsidR="001153CC" w:rsidRDefault="001153CC" w:rsidP="001153CC">
      <w:pPr>
        <w:spacing w:line="360" w:lineRule="auto"/>
        <w:rPr>
          <w:noProof/>
          <w:lang w:val="nl-NL"/>
        </w:rPr>
      </w:pPr>
    </w:p>
    <w:p w14:paraId="0DA19172" w14:textId="60B130EE" w:rsidR="00F32600" w:rsidRPr="00F32600" w:rsidRDefault="00F32600" w:rsidP="00E145D3">
      <w:pPr>
        <w:pStyle w:val="Heading2"/>
        <w:rPr>
          <w:noProof/>
          <w:lang w:val="nl-NL"/>
        </w:rPr>
      </w:pPr>
      <w:bookmarkStart w:id="12" w:name="_Toc331344939"/>
      <w:bookmarkStart w:id="13" w:name="_Toc331345790"/>
      <w:r>
        <w:rPr>
          <w:noProof/>
          <w:lang w:val="nl-NL"/>
        </w:rPr>
        <w:t>Conclusion</w:t>
      </w:r>
      <w:bookmarkEnd w:id="12"/>
      <w:bookmarkEnd w:id="13"/>
      <w:r>
        <w:rPr>
          <w:noProof/>
          <w:lang w:val="nl-NL"/>
        </w:rPr>
        <w:t xml:space="preserve"> </w:t>
      </w:r>
    </w:p>
    <w:p w14:paraId="0361777B" w14:textId="77777777" w:rsidR="00DD7DD6" w:rsidRDefault="00657BC6" w:rsidP="005A28CF">
      <w:pPr>
        <w:spacing w:line="360" w:lineRule="auto"/>
        <w:rPr>
          <w:noProof/>
          <w:lang w:val="nl-NL"/>
        </w:rPr>
      </w:pPr>
      <w:r w:rsidRPr="00AE339B">
        <w:rPr>
          <w:noProof/>
          <w:lang w:val="nl-NL"/>
        </w:rPr>
        <w:t xml:space="preserve">Concluding, </w:t>
      </w:r>
      <w:r w:rsidR="00DD7DD6">
        <w:rPr>
          <w:noProof/>
          <w:lang w:val="nl-NL"/>
        </w:rPr>
        <w:t>t</w:t>
      </w:r>
      <w:r w:rsidR="00283486" w:rsidRPr="00AE339B">
        <w:rPr>
          <w:noProof/>
          <w:lang w:val="nl-NL"/>
        </w:rPr>
        <w:t>heoretical modelling makes it</w:t>
      </w:r>
      <w:r w:rsidRPr="00AE339B">
        <w:rPr>
          <w:noProof/>
          <w:lang w:val="nl-NL"/>
        </w:rPr>
        <w:t xml:space="preserve"> tempting to say that the combined substitution and income effec</w:t>
      </w:r>
      <w:r w:rsidR="00DD7DD6">
        <w:rPr>
          <w:noProof/>
          <w:lang w:val="nl-NL"/>
        </w:rPr>
        <w:t xml:space="preserve">ts </w:t>
      </w:r>
      <w:r w:rsidR="003D1B2F">
        <w:rPr>
          <w:noProof/>
          <w:lang w:val="nl-NL"/>
        </w:rPr>
        <w:t xml:space="preserve">of changes in interest rate on savings </w:t>
      </w:r>
      <w:r w:rsidR="00DD7DD6">
        <w:rPr>
          <w:noProof/>
          <w:lang w:val="nl-NL"/>
        </w:rPr>
        <w:t xml:space="preserve">lean towards a negative sign. </w:t>
      </w:r>
      <w:r w:rsidR="004239E4">
        <w:rPr>
          <w:noProof/>
          <w:lang w:val="nl-NL"/>
        </w:rPr>
        <w:t>Although some assumptions have to be made, t</w:t>
      </w:r>
      <w:r w:rsidR="00DD7DD6">
        <w:rPr>
          <w:noProof/>
          <w:lang w:val="nl-NL"/>
        </w:rPr>
        <w:t xml:space="preserve">he empirical evidence </w:t>
      </w:r>
      <w:r w:rsidR="00FE41F7">
        <w:rPr>
          <w:noProof/>
          <w:lang w:val="nl-NL"/>
        </w:rPr>
        <w:t xml:space="preserve">shows </w:t>
      </w:r>
      <w:r w:rsidR="00556C09">
        <w:rPr>
          <w:noProof/>
          <w:lang w:val="nl-NL"/>
        </w:rPr>
        <w:t>that the substitution effect is prevalent and thus capital income taxation has a negative influence on savings.</w:t>
      </w:r>
      <w:r w:rsidR="008E095A">
        <w:rPr>
          <w:noProof/>
          <w:lang w:val="nl-NL"/>
        </w:rPr>
        <w:t xml:space="preserve"> </w:t>
      </w:r>
    </w:p>
    <w:p w14:paraId="4D316C98" w14:textId="77777777" w:rsidR="00C02878" w:rsidRDefault="00C02878" w:rsidP="005A28CF">
      <w:pPr>
        <w:spacing w:line="360" w:lineRule="auto"/>
        <w:rPr>
          <w:noProof/>
          <w:lang w:val="nl-NL"/>
        </w:rPr>
      </w:pPr>
    </w:p>
    <w:p w14:paraId="7C1FE4EC" w14:textId="49E3D594" w:rsidR="00015EBF" w:rsidRPr="00025C2C" w:rsidRDefault="00BF2854" w:rsidP="00E145D3">
      <w:pPr>
        <w:pStyle w:val="Heading1"/>
        <w:rPr>
          <w:noProof/>
        </w:rPr>
      </w:pPr>
      <w:bookmarkStart w:id="14" w:name="_Toc331344940"/>
      <w:r>
        <w:rPr>
          <w:noProof/>
        </w:rPr>
        <w:br w:type="column"/>
      </w:r>
      <w:bookmarkStart w:id="15" w:name="_Toc331345791"/>
      <w:r w:rsidR="007E7E1A">
        <w:rPr>
          <w:noProof/>
        </w:rPr>
        <w:lastRenderedPageBreak/>
        <w:t>Chapter four</w:t>
      </w:r>
      <w:r w:rsidR="002935AA">
        <w:rPr>
          <w:noProof/>
        </w:rPr>
        <w:t xml:space="preserve"> -</w:t>
      </w:r>
      <w:r w:rsidR="007E7E1A">
        <w:rPr>
          <w:noProof/>
        </w:rPr>
        <w:t xml:space="preserve"> the effect of capital gains taxation on p</w:t>
      </w:r>
      <w:r w:rsidR="00015EBF" w:rsidRPr="00025C2C">
        <w:rPr>
          <w:noProof/>
        </w:rPr>
        <w:t>ortfolio behaviour</w:t>
      </w:r>
      <w:r w:rsidR="007E7E1A">
        <w:rPr>
          <w:noProof/>
        </w:rPr>
        <w:t xml:space="preserve"> &amp; </w:t>
      </w:r>
      <w:r w:rsidR="009D6A14">
        <w:rPr>
          <w:noProof/>
        </w:rPr>
        <w:t>risk taking</w:t>
      </w:r>
      <w:bookmarkEnd w:id="14"/>
      <w:bookmarkEnd w:id="15"/>
    </w:p>
    <w:p w14:paraId="6E9E2C8A" w14:textId="77777777" w:rsidR="002303DE" w:rsidRDefault="002303DE" w:rsidP="005A28CF">
      <w:pPr>
        <w:spacing w:line="360" w:lineRule="auto"/>
        <w:rPr>
          <w:noProof/>
          <w:lang w:val="nl-NL"/>
        </w:rPr>
      </w:pPr>
      <w:r>
        <w:rPr>
          <w:noProof/>
          <w:lang w:val="nl-NL"/>
        </w:rPr>
        <w:t>Taxation influences portfolio behaviour and risk taking</w:t>
      </w:r>
      <w:r w:rsidR="00DA5943">
        <w:rPr>
          <w:noProof/>
          <w:lang w:val="nl-NL"/>
        </w:rPr>
        <w:t xml:space="preserve">. In this </w:t>
      </w:r>
      <w:r w:rsidR="00F362F7">
        <w:rPr>
          <w:noProof/>
          <w:lang w:val="nl-NL"/>
        </w:rPr>
        <w:t>chapter</w:t>
      </w:r>
      <w:r w:rsidR="00DA5943">
        <w:rPr>
          <w:noProof/>
          <w:lang w:val="nl-NL"/>
        </w:rPr>
        <w:t xml:space="preserve"> a positive analysis is presented of the theory behind the</w:t>
      </w:r>
      <w:r w:rsidR="004A0707">
        <w:rPr>
          <w:noProof/>
          <w:lang w:val="nl-NL"/>
        </w:rPr>
        <w:t>se</w:t>
      </w:r>
      <w:r w:rsidR="00DA5943">
        <w:rPr>
          <w:noProof/>
          <w:lang w:val="nl-NL"/>
        </w:rPr>
        <w:t xml:space="preserve"> effects of taxation.</w:t>
      </w:r>
      <w:r w:rsidR="008064E9">
        <w:rPr>
          <w:noProof/>
          <w:lang w:val="nl-NL"/>
        </w:rPr>
        <w:t xml:space="preserve"> The associated empirics will be presented in chapter six</w:t>
      </w:r>
      <w:r w:rsidR="006E05B4">
        <w:rPr>
          <w:noProof/>
          <w:lang w:val="nl-NL"/>
        </w:rPr>
        <w:t>.</w:t>
      </w:r>
    </w:p>
    <w:p w14:paraId="451F9F3F" w14:textId="77777777" w:rsidR="009D5D2C" w:rsidRDefault="009D5D2C" w:rsidP="005A28CF">
      <w:pPr>
        <w:spacing w:line="360" w:lineRule="auto"/>
        <w:rPr>
          <w:i/>
          <w:noProof/>
          <w:lang w:val="nl-NL"/>
        </w:rPr>
      </w:pPr>
    </w:p>
    <w:p w14:paraId="692D0A21" w14:textId="77777777" w:rsidR="00015EBF" w:rsidRPr="00AE339B" w:rsidRDefault="007148D7" w:rsidP="005A28CF">
      <w:pPr>
        <w:spacing w:line="360" w:lineRule="auto"/>
        <w:rPr>
          <w:noProof/>
          <w:lang w:val="nl-NL"/>
        </w:rPr>
      </w:pPr>
      <w:r w:rsidRPr="00AE339B">
        <w:rPr>
          <w:noProof/>
          <w:lang w:val="nl-NL"/>
        </w:rPr>
        <w:t xml:space="preserve">A common approach of analysing </w:t>
      </w:r>
      <w:r w:rsidR="00015EBF" w:rsidRPr="00AE339B">
        <w:rPr>
          <w:noProof/>
          <w:lang w:val="nl-NL"/>
        </w:rPr>
        <w:t>of the effect of taxation on p</w:t>
      </w:r>
      <w:r w:rsidR="00CD62B3" w:rsidRPr="00AE339B">
        <w:rPr>
          <w:noProof/>
          <w:lang w:val="nl-NL"/>
        </w:rPr>
        <w:t xml:space="preserve">ortfolio behaviour </w:t>
      </w:r>
      <w:r w:rsidRPr="00AE339B">
        <w:rPr>
          <w:noProof/>
          <w:lang w:val="nl-NL"/>
        </w:rPr>
        <w:t xml:space="preserve">takes the perspective of risk taking by investors. The traditional view is that </w:t>
      </w:r>
      <w:r w:rsidR="001632B9" w:rsidRPr="00AE339B">
        <w:rPr>
          <w:noProof/>
          <w:lang w:val="nl-NL"/>
        </w:rPr>
        <w:t xml:space="preserve">due to a lower expected rate of return, </w:t>
      </w:r>
      <w:r w:rsidR="00AB79E4" w:rsidRPr="00AE339B">
        <w:rPr>
          <w:noProof/>
          <w:lang w:val="nl-NL"/>
        </w:rPr>
        <w:t xml:space="preserve">a tax reduces risk taking. However, besides lowering the expected return, a capital gains tax also makes the government share in the risk. Loss offset provisions allow for the writing off of losses against other taxable income. The result is that </w:t>
      </w:r>
      <w:r w:rsidR="003A385C" w:rsidRPr="00AE339B">
        <w:rPr>
          <w:noProof/>
          <w:lang w:val="nl-NL"/>
        </w:rPr>
        <w:t xml:space="preserve">individuals may increase risk taking, to enjoy the benefits of this loss sharing by the government. </w:t>
      </w:r>
    </w:p>
    <w:p w14:paraId="7FEA7072" w14:textId="77777777" w:rsidR="003A385C" w:rsidRPr="00AE339B" w:rsidRDefault="003A385C" w:rsidP="005A28CF">
      <w:pPr>
        <w:spacing w:line="360" w:lineRule="auto"/>
        <w:rPr>
          <w:noProof/>
          <w:lang w:val="nl-NL"/>
        </w:rPr>
      </w:pPr>
    </w:p>
    <w:p w14:paraId="5FE8CB29" w14:textId="77777777" w:rsidR="00FB22B6" w:rsidRPr="00AE339B" w:rsidRDefault="003A385C" w:rsidP="005A28CF">
      <w:pPr>
        <w:spacing w:line="360" w:lineRule="auto"/>
        <w:rPr>
          <w:noProof/>
          <w:lang w:val="nl-NL"/>
        </w:rPr>
      </w:pPr>
      <w:r w:rsidRPr="00AE339B">
        <w:rPr>
          <w:noProof/>
          <w:lang w:val="nl-NL"/>
        </w:rPr>
        <w:t xml:space="preserve">Sandmo explains by means of a theoretical model </w:t>
      </w:r>
      <w:r w:rsidR="00AD07DA" w:rsidRPr="00AE339B">
        <w:rPr>
          <w:noProof/>
          <w:lang w:val="nl-NL"/>
        </w:rPr>
        <w:t>with two assets</w:t>
      </w:r>
      <w:r w:rsidR="00AD07DA" w:rsidRPr="00AE339B">
        <w:rPr>
          <w:rStyle w:val="FootnoteReference"/>
          <w:noProof/>
          <w:lang w:val="nl-NL"/>
        </w:rPr>
        <w:footnoteReference w:id="10"/>
      </w:r>
      <w:r w:rsidR="00AD07DA" w:rsidRPr="00AE339B">
        <w:rPr>
          <w:noProof/>
          <w:lang w:val="nl-NL"/>
        </w:rPr>
        <w:t xml:space="preserve"> </w:t>
      </w:r>
      <w:r w:rsidRPr="00AE339B">
        <w:rPr>
          <w:noProof/>
          <w:lang w:val="nl-NL"/>
        </w:rPr>
        <w:t>that without knowing the risk preferences of the investor it is possible to predict the re</w:t>
      </w:r>
      <w:r w:rsidR="00BF62F6" w:rsidRPr="00AE339B">
        <w:rPr>
          <w:noProof/>
          <w:lang w:val="nl-NL"/>
        </w:rPr>
        <w:t xml:space="preserve">sponse to taxation. Individuals are able to avoid changes in their final wealth due to the capital gains tax by </w:t>
      </w:r>
      <w:r w:rsidR="00AD07DA" w:rsidRPr="00AE339B">
        <w:rPr>
          <w:noProof/>
          <w:lang w:val="nl-NL"/>
        </w:rPr>
        <w:t xml:space="preserve">increasing their holding of </w:t>
      </w:r>
      <w:r w:rsidR="00782BDF" w:rsidRPr="00AE339B">
        <w:rPr>
          <w:noProof/>
          <w:lang w:val="nl-NL"/>
        </w:rPr>
        <w:t>the risky asset and decreasing the other holding. The risk subsidization outweighs the lower expected return by taxation</w:t>
      </w:r>
      <w:r w:rsidR="00256E86" w:rsidRPr="00AE339B">
        <w:rPr>
          <w:noProof/>
          <w:lang w:val="nl-NL"/>
        </w:rPr>
        <w:t xml:space="preserve"> in this case</w:t>
      </w:r>
      <w:r w:rsidR="00782BDF" w:rsidRPr="00AE339B">
        <w:rPr>
          <w:noProof/>
          <w:lang w:val="nl-NL"/>
        </w:rPr>
        <w:t>.</w:t>
      </w:r>
      <w:r w:rsidR="00996546" w:rsidRPr="00AE339B">
        <w:rPr>
          <w:noProof/>
          <w:lang w:val="nl-NL"/>
        </w:rPr>
        <w:t xml:space="preserve"> Thus theoretically, an increase in capital gains tax provides a bigger opportunity for risk sharing by the government on the one hand, and a lower expected return on the other hand. This causes individuals to increase their holdings in risky assets with respect to safe assets.</w:t>
      </w:r>
    </w:p>
    <w:p w14:paraId="00C6C694" w14:textId="77777777" w:rsidR="0021728F" w:rsidRPr="00AE339B" w:rsidRDefault="0021728F" w:rsidP="005A28CF">
      <w:pPr>
        <w:spacing w:line="360" w:lineRule="auto"/>
        <w:rPr>
          <w:noProof/>
          <w:lang w:val="nl-NL"/>
        </w:rPr>
      </w:pPr>
    </w:p>
    <w:p w14:paraId="64BCD7B5" w14:textId="77777777" w:rsidR="0021728F" w:rsidRPr="00AE339B" w:rsidRDefault="0021728F" w:rsidP="005A28CF">
      <w:pPr>
        <w:spacing w:line="360" w:lineRule="auto"/>
        <w:rPr>
          <w:noProof/>
          <w:lang w:val="nl-NL"/>
        </w:rPr>
      </w:pPr>
      <w:r w:rsidRPr="00AE339B">
        <w:rPr>
          <w:noProof/>
          <w:lang w:val="nl-NL"/>
        </w:rPr>
        <w:t xml:space="preserve">Following the theory, we observe that the limiting of loss offset </w:t>
      </w:r>
      <w:r w:rsidR="000A7C3D" w:rsidRPr="00AE339B">
        <w:rPr>
          <w:noProof/>
          <w:lang w:val="nl-NL"/>
        </w:rPr>
        <w:t xml:space="preserve">on capital gains </w:t>
      </w:r>
      <w:r w:rsidRPr="00AE339B">
        <w:rPr>
          <w:noProof/>
          <w:lang w:val="nl-NL"/>
        </w:rPr>
        <w:t xml:space="preserve">by the government leads to a decrease in the risk sharing. </w:t>
      </w:r>
      <w:r w:rsidR="00A95316" w:rsidRPr="00AE339B">
        <w:rPr>
          <w:noProof/>
          <w:lang w:val="nl-NL"/>
        </w:rPr>
        <w:t xml:space="preserve">The asymmetric treatment of capital gains and losses limits the extent to which investors are able to reduces their losses through offsetting, whilst the expected rate of return on gains is lowered by the capital gains tax. </w:t>
      </w:r>
      <w:r w:rsidR="00B54C7A" w:rsidRPr="00AE339B">
        <w:rPr>
          <w:noProof/>
          <w:lang w:val="nl-NL"/>
        </w:rPr>
        <w:t xml:space="preserve">This </w:t>
      </w:r>
      <w:r w:rsidR="00A95316" w:rsidRPr="00AE339B">
        <w:rPr>
          <w:noProof/>
          <w:lang w:val="nl-NL"/>
        </w:rPr>
        <w:t>lowers</w:t>
      </w:r>
      <w:r w:rsidR="00B54C7A" w:rsidRPr="00AE339B">
        <w:rPr>
          <w:noProof/>
          <w:lang w:val="nl-NL"/>
        </w:rPr>
        <w:t xml:space="preserve"> the </w:t>
      </w:r>
      <w:r w:rsidR="00A95316" w:rsidRPr="00AE339B">
        <w:rPr>
          <w:noProof/>
          <w:lang w:val="nl-NL"/>
        </w:rPr>
        <w:t>incentive</w:t>
      </w:r>
      <w:r w:rsidR="00B54C7A" w:rsidRPr="00AE339B">
        <w:rPr>
          <w:noProof/>
          <w:lang w:val="nl-NL"/>
        </w:rPr>
        <w:t xml:space="preserve"> for investors to increase their holding positions in risky assets. Moreover, it discourages investment altogether, since the expected rate of return is lower, and there is little to compensate for this fact. </w:t>
      </w:r>
    </w:p>
    <w:p w14:paraId="3BAC2095" w14:textId="77777777" w:rsidR="00937489" w:rsidRDefault="00937489" w:rsidP="008827B9">
      <w:pPr>
        <w:spacing w:line="360" w:lineRule="auto"/>
      </w:pPr>
    </w:p>
    <w:p w14:paraId="556AD3A9" w14:textId="77777777" w:rsidR="00937489" w:rsidRDefault="00937489" w:rsidP="00937489">
      <w:pPr>
        <w:tabs>
          <w:tab w:val="left" w:pos="3312"/>
        </w:tabs>
        <w:spacing w:line="360" w:lineRule="auto"/>
      </w:pPr>
      <w:r w:rsidRPr="00AE339B">
        <w:t xml:space="preserve">Another effect of taxing capital gains on portfolio behaviour arises when the tax level is zero. Exempting capital gains from taxation -whilst taxing other forms of investment at positive rates- may create distortions in portfolio investment decisions of households. They are likely to favour assets that generate capital gains, which are tax-exempt, over other forms of investment, which require a tax fee. As capital gains are usually more risky than other assets, a zero tax on capital gains would imply a distortion that encourages risk taking. </w:t>
      </w:r>
      <w:sdt>
        <w:sdtPr>
          <w:id w:val="1160885457"/>
          <w:citation/>
        </w:sdtPr>
        <w:sdtEndPr/>
        <w:sdtContent>
          <w:r w:rsidRPr="00AE339B">
            <w:fldChar w:fldCharType="begin"/>
          </w:r>
          <w:r w:rsidRPr="00AE339B">
            <w:rPr>
              <w:lang w:val="nl-NL"/>
            </w:rPr>
            <w:instrText xml:space="preserve"> CITATION OEC06 \l 1043 </w:instrText>
          </w:r>
          <w:r w:rsidRPr="00AE339B">
            <w:fldChar w:fldCharType="separate"/>
          </w:r>
          <w:r w:rsidRPr="00937489">
            <w:rPr>
              <w:noProof/>
              <w:lang w:val="nl-NL"/>
            </w:rPr>
            <w:t>(OECD, 2006)</w:t>
          </w:r>
          <w:r w:rsidRPr="00AE339B">
            <w:fldChar w:fldCharType="end"/>
          </w:r>
        </w:sdtContent>
      </w:sdt>
    </w:p>
    <w:p w14:paraId="7E46EAEF" w14:textId="77777777" w:rsidR="00937489" w:rsidRDefault="00937489" w:rsidP="008827B9">
      <w:pPr>
        <w:spacing w:line="360" w:lineRule="auto"/>
      </w:pPr>
    </w:p>
    <w:p w14:paraId="6EA64B39" w14:textId="5AB9C390" w:rsidR="004E4DC1" w:rsidRPr="004E4DC1" w:rsidRDefault="004E4DC1" w:rsidP="00E145D3">
      <w:pPr>
        <w:pStyle w:val="Heading2"/>
      </w:pPr>
      <w:bookmarkStart w:id="16" w:name="_Toc331344941"/>
      <w:bookmarkStart w:id="17" w:name="_Toc331345792"/>
      <w:r>
        <w:t>The taxing of excess returns</w:t>
      </w:r>
      <w:r w:rsidR="00E6008D">
        <w:t xml:space="preserve"> to risk</w:t>
      </w:r>
      <w:bookmarkEnd w:id="16"/>
      <w:bookmarkEnd w:id="17"/>
    </w:p>
    <w:p w14:paraId="01AFCC4A" w14:textId="77777777" w:rsidR="009E21F2" w:rsidRDefault="00FC0106" w:rsidP="008827B9">
      <w:pPr>
        <w:spacing w:line="360" w:lineRule="auto"/>
      </w:pPr>
      <w:r w:rsidRPr="00AE339B">
        <w:t>Auerbach (2009) in his ‘Notes on Taxation and Risk Taking”</w:t>
      </w:r>
      <w:r w:rsidR="000A4A28" w:rsidRPr="00AE339B">
        <w:t xml:space="preserve"> </w:t>
      </w:r>
      <w:r w:rsidR="0021728F" w:rsidRPr="00AE339B">
        <w:t xml:space="preserve">evaluates some research on the </w:t>
      </w:r>
      <w:r w:rsidR="00B57304" w:rsidRPr="00AE339B">
        <w:t>taxation of excess returns to risk taking. Some economists have suggested that distortions capital income taxes stem from the taxation o</w:t>
      </w:r>
      <w:r w:rsidR="00843D86" w:rsidRPr="00AE339B">
        <w:t>f the risk-free rate of return.</w:t>
      </w:r>
      <w:r w:rsidR="00B179FC" w:rsidRPr="00B179FC">
        <w:rPr>
          <w:rStyle w:val="FootnoteReference"/>
        </w:rPr>
        <w:t xml:space="preserve"> </w:t>
      </w:r>
      <w:r w:rsidR="00B179FC" w:rsidRPr="00AE339B">
        <w:rPr>
          <w:rStyle w:val="FootnoteReference"/>
        </w:rPr>
        <w:footnoteReference w:id="11"/>
      </w:r>
      <w:r w:rsidR="00B179FC" w:rsidRPr="00AE339B">
        <w:t xml:space="preserve"> </w:t>
      </w:r>
      <w:r w:rsidR="00843D86" w:rsidRPr="00AE339B">
        <w:t xml:space="preserve"> Moreover, they state that the taxation of excess returns imposes no burden on taxpayers and has no effect on risk taking, under </w:t>
      </w:r>
      <w:r w:rsidR="00E82222">
        <w:t xml:space="preserve">several </w:t>
      </w:r>
      <w:r w:rsidR="00843D86" w:rsidRPr="00AE339B">
        <w:t>assumptions.</w:t>
      </w:r>
      <w:r w:rsidR="00D722FF" w:rsidRPr="00AE339B">
        <w:t xml:space="preserve"> </w:t>
      </w:r>
    </w:p>
    <w:p w14:paraId="503CD0EE" w14:textId="77777777" w:rsidR="009E21F2" w:rsidRDefault="009E21F2" w:rsidP="008827B9">
      <w:pPr>
        <w:spacing w:line="360" w:lineRule="auto"/>
      </w:pPr>
    </w:p>
    <w:p w14:paraId="48280E15" w14:textId="77777777" w:rsidR="009E21F2" w:rsidRDefault="00D722FF" w:rsidP="008827B9">
      <w:pPr>
        <w:spacing w:line="360" w:lineRule="auto"/>
      </w:pPr>
      <w:r w:rsidRPr="00AE339B">
        <w:t xml:space="preserve">First, investment portfolios must be scalable, in order for the investor to be able to adapt to the tax. </w:t>
      </w:r>
      <w:r w:rsidR="00E82222">
        <w:t xml:space="preserve">The intuition behind the taxing of excess returns is the following: imagine a world with two assets, a safe and a risky one. The difference between these assets’ returns is the excess return on the risky asset. Take a tax </w:t>
      </w:r>
      <w:r w:rsidR="00E82222">
        <w:rPr>
          <w:i/>
        </w:rPr>
        <w:t>t</w:t>
      </w:r>
      <w:r w:rsidR="00E82222">
        <w:t xml:space="preserve"> on this excess return</w:t>
      </w:r>
      <w:r w:rsidR="005427AF">
        <w:t>. Now, an investor can counter the direct effects of this tax on his portfolio risk and direct return, by scaling up the risky asset position by a factor 1/(1-</w:t>
      </w:r>
      <w:r w:rsidR="005427AF">
        <w:rPr>
          <w:i/>
        </w:rPr>
        <w:t>t</w:t>
      </w:r>
      <w:r w:rsidR="005427AF">
        <w:t>) and reducing the position in the safe asset by an equal amount</w:t>
      </w:r>
      <w:r w:rsidR="00FE6467">
        <w:t>.</w:t>
      </w:r>
      <w:r w:rsidR="00BC25F5">
        <w:t xml:space="preserve"> However, this can only be accomplished if all investment portfolios are scalable</w:t>
      </w:r>
      <w:r w:rsidR="00CE7BDA">
        <w:t>. As a response to government tax policy, investors should be able to buy and sell the risky and safe asset in order to return to their preferred risk-return trade</w:t>
      </w:r>
      <w:r w:rsidR="006770DB">
        <w:t>-</w:t>
      </w:r>
      <w:r w:rsidR="00CE7BDA">
        <w:t>off.</w:t>
      </w:r>
      <w:r w:rsidR="006770DB">
        <w:t xml:space="preserve"> </w:t>
      </w:r>
      <w:r w:rsidR="007E0675">
        <w:t>Regarding liquid assets that are traded in established markets this assumption is fairly reasonable. For</w:t>
      </w:r>
      <w:r w:rsidR="003401D3">
        <w:t xml:space="preserve"> other assets, such as family businesses, the assumption is not that reasonable</w:t>
      </w:r>
      <w:r w:rsidR="00E51720">
        <w:t>.</w:t>
      </w:r>
    </w:p>
    <w:p w14:paraId="43B12162" w14:textId="77777777" w:rsidR="006C426B" w:rsidRDefault="006C426B" w:rsidP="008827B9">
      <w:pPr>
        <w:spacing w:line="360" w:lineRule="auto"/>
      </w:pPr>
    </w:p>
    <w:p w14:paraId="7D5A79B3" w14:textId="77777777" w:rsidR="006C426B" w:rsidRPr="005427AF" w:rsidRDefault="00E51720" w:rsidP="008827B9">
      <w:pPr>
        <w:spacing w:line="360" w:lineRule="auto"/>
      </w:pPr>
      <w:r>
        <w:t>Then, the tax system must be symmetric, in order for the taxation of excess returns to work out.</w:t>
      </w:r>
      <w:r w:rsidR="001A6F92">
        <w:t xml:space="preserve"> The tax rate for negative excess returns should be the same as for </w:t>
      </w:r>
      <w:r w:rsidR="00606206">
        <w:t xml:space="preserve">positive </w:t>
      </w:r>
      <w:r w:rsidR="00606206">
        <w:lastRenderedPageBreak/>
        <w:t xml:space="preserve">excess returns. </w:t>
      </w:r>
      <w:r w:rsidR="005C3621">
        <w:t>If the tax rate is high for positive excess returns and low f</w:t>
      </w:r>
      <w:r w:rsidR="00ED2589">
        <w:t>or negative excess returns, an investor cannot counter the impact of the tax on risk and return by changing the holdings of safe and risky assets.</w:t>
      </w:r>
      <w:r w:rsidR="00F24FBF">
        <w:t xml:space="preserve"> The government in this case does not share in the losses but does profit from the gains</w:t>
      </w:r>
      <w:r w:rsidR="00B62019">
        <w:t>. The result is that the impact of the policy is not neutral towards investors.</w:t>
      </w:r>
      <w:r w:rsidR="006C73CB">
        <w:t xml:space="preserve"> Investors in this case will </w:t>
      </w:r>
      <w:r w:rsidR="003236F4">
        <w:t xml:space="preserve">more easily </w:t>
      </w:r>
      <w:r w:rsidR="006C73CB">
        <w:t xml:space="preserve">refrain from </w:t>
      </w:r>
      <w:r w:rsidR="003236F4">
        <w:t xml:space="preserve">buying </w:t>
      </w:r>
      <w:r w:rsidR="006C73CB">
        <w:t>risky assets.</w:t>
      </w:r>
      <w:r w:rsidR="00511DB2">
        <w:t xml:space="preserve"> The l</w:t>
      </w:r>
      <w:r w:rsidR="00BE560B">
        <w:t xml:space="preserve">imiting </w:t>
      </w:r>
      <w:r w:rsidR="00DE4296">
        <w:t xml:space="preserve">of </w:t>
      </w:r>
      <w:r w:rsidR="00BE560B">
        <w:t>loss offsets is an example of an asymmetric structure</w:t>
      </w:r>
      <w:r w:rsidR="00511DB2">
        <w:t>.</w:t>
      </w:r>
      <w:r w:rsidR="00CA1865">
        <w:t xml:space="preserve"> </w:t>
      </w:r>
    </w:p>
    <w:p w14:paraId="12FBC4B6" w14:textId="77777777" w:rsidR="009E21F2" w:rsidRDefault="009E21F2" w:rsidP="008827B9">
      <w:pPr>
        <w:spacing w:line="360" w:lineRule="auto"/>
      </w:pPr>
    </w:p>
    <w:p w14:paraId="5FB6372F" w14:textId="77777777" w:rsidR="00EE3057" w:rsidRDefault="00223F15" w:rsidP="00EE3057">
      <w:pPr>
        <w:spacing w:line="360" w:lineRule="auto"/>
      </w:pPr>
      <w:r>
        <w:t>Furthermore</w:t>
      </w:r>
      <w:r w:rsidR="00D6387A">
        <w:t>, Market particip</w:t>
      </w:r>
      <w:r w:rsidR="00AC4453">
        <w:t xml:space="preserve">ation is assumed to be complete. The concept of taxing excess returns only works if all individuals are able to enter in transactions in order to offset risk </w:t>
      </w:r>
      <w:r w:rsidR="00F30224">
        <w:t>that</w:t>
      </w:r>
      <w:r w:rsidR="00AC4453">
        <w:t xml:space="preserve"> has been redistributed by the government.</w:t>
      </w:r>
      <w:r w:rsidR="00822AB4">
        <w:t xml:space="preserve"> The issue regarding this assumption is that not all individuals are investors</w:t>
      </w:r>
      <w:r w:rsidR="003976F2">
        <w:t xml:space="preserve"> that participate in equity markets.</w:t>
      </w:r>
      <w:r w:rsidR="00A76474">
        <w:t xml:space="preserve"> </w:t>
      </w:r>
      <w:r w:rsidR="00EE3057">
        <w:t xml:space="preserve">Therefore, </w:t>
      </w:r>
      <w:r w:rsidR="00D77706">
        <w:t>i</w:t>
      </w:r>
      <w:r w:rsidR="00A76474">
        <w:t>ndividuals do not offset the redistributed risk and thus a distortion arises</w:t>
      </w:r>
      <w:r w:rsidR="0082309D">
        <w:t>.</w:t>
      </w:r>
    </w:p>
    <w:p w14:paraId="6C6FE156" w14:textId="77777777" w:rsidR="00186F90" w:rsidRDefault="009A1C75" w:rsidP="008827B9">
      <w:pPr>
        <w:spacing w:line="360" w:lineRule="auto"/>
      </w:pPr>
      <w:r w:rsidRPr="00AE339B">
        <w:t xml:space="preserve"> </w:t>
      </w:r>
    </w:p>
    <w:p w14:paraId="62CAF999" w14:textId="71EE22E6" w:rsidR="009E5A66" w:rsidRDefault="00EE3057" w:rsidP="00942D11">
      <w:pPr>
        <w:spacing w:line="360" w:lineRule="auto"/>
      </w:pPr>
      <w:r>
        <w:t>Moreover</w:t>
      </w:r>
      <w:r w:rsidR="009A1C75" w:rsidRPr="00AE339B">
        <w:t xml:space="preserve">, </w:t>
      </w:r>
      <w:r w:rsidR="00686733">
        <w:t xml:space="preserve">combining the assumptions about scalable portfolios and market participation, we arrive to a more general assumption, which states </w:t>
      </w:r>
      <w:r w:rsidR="009A1C75" w:rsidRPr="00AE339B">
        <w:t xml:space="preserve">that private markets must pool risk efficiently. </w:t>
      </w:r>
      <w:r w:rsidR="00A37311">
        <w:t xml:space="preserve">With private markets pooling risk efficiently, there is no more idiosyncratic risk. However, if there is limited trading of assets or market participation, an opportunity arises for the government to </w:t>
      </w:r>
      <w:r w:rsidR="005D163E">
        <w:t xml:space="preserve">improve diversification by means of </w:t>
      </w:r>
      <w:r w:rsidR="0018511D">
        <w:t xml:space="preserve">its </w:t>
      </w:r>
      <w:r w:rsidR="005D163E">
        <w:t>tax collection</w:t>
      </w:r>
      <w:r w:rsidR="0018511D">
        <w:t xml:space="preserve"> system</w:t>
      </w:r>
      <w:r w:rsidR="00F747EC">
        <w:t>.</w:t>
      </w:r>
      <w:r w:rsidR="003A3EC8">
        <w:t xml:space="preserve"> The reasoning behind this is the same as in insurance companies: pooling risk otherwise borne by individuals.</w:t>
      </w:r>
      <w:r w:rsidR="00762CD6">
        <w:t xml:space="preserve"> </w:t>
      </w:r>
      <w:r w:rsidR="00EF3AE2">
        <w:t xml:space="preserve">It is important to note though, that </w:t>
      </w:r>
      <w:r w:rsidR="004A2E11">
        <w:t>there are limits to diversification by the government via this mechanism.</w:t>
      </w:r>
      <w:r w:rsidR="00685780">
        <w:t xml:space="preserve"> </w:t>
      </w:r>
    </w:p>
    <w:p w14:paraId="1FD63EE5" w14:textId="77777777" w:rsidR="00716CA4" w:rsidRPr="00AE339B" w:rsidRDefault="00716CA4" w:rsidP="00E145D3">
      <w:pPr>
        <w:pStyle w:val="Heading2"/>
      </w:pPr>
      <w:bookmarkStart w:id="18" w:name="_Toc331344942"/>
      <w:bookmarkStart w:id="19" w:name="_Toc331345793"/>
      <w:r w:rsidRPr="00AE339B">
        <w:t>The lock-in effect</w:t>
      </w:r>
      <w:bookmarkEnd w:id="18"/>
      <w:bookmarkEnd w:id="19"/>
    </w:p>
    <w:p w14:paraId="7937A8A3" w14:textId="77777777" w:rsidR="00090101" w:rsidRPr="00D36AEC" w:rsidRDefault="006740DC" w:rsidP="001A3C4D">
      <w:pPr>
        <w:tabs>
          <w:tab w:val="left" w:pos="3312"/>
        </w:tabs>
        <w:spacing w:line="360" w:lineRule="auto"/>
      </w:pPr>
      <w:r>
        <w:t xml:space="preserve">In the present situation in most countries with a capital gains tax, gains are taxed on realisation. </w:t>
      </w:r>
      <w:r w:rsidR="008C48B0">
        <w:t xml:space="preserve">The lock-in effect </w:t>
      </w:r>
      <w:r>
        <w:t xml:space="preserve">arises when individuals defer the tax liability </w:t>
      </w:r>
      <w:r w:rsidR="00526C4C">
        <w:t xml:space="preserve">on accrued gains by holding on to </w:t>
      </w:r>
      <w:r w:rsidR="00B80374">
        <w:t>appreciated</w:t>
      </w:r>
      <w:r w:rsidR="00526C4C">
        <w:t xml:space="preserve"> assets instead of realising them.</w:t>
      </w:r>
      <w:r w:rsidR="00090101">
        <w:t xml:space="preserve"> Auerbach (1991) e</w:t>
      </w:r>
      <w:r w:rsidR="00FD39CA">
        <w:t>xplains the principle in a simple two-period model</w:t>
      </w:r>
      <w:r w:rsidR="00090101">
        <w:t>:</w:t>
      </w:r>
      <w:r w:rsidR="000E4130">
        <w:t xml:space="preserve"> Consider an investor in possession of assets with accrued gains </w:t>
      </w:r>
      <w:r w:rsidR="00310CD0">
        <w:rPr>
          <w:i/>
        </w:rPr>
        <w:t xml:space="preserve">g </w:t>
      </w:r>
      <w:r w:rsidR="000E4130">
        <w:t>at a given time.</w:t>
      </w:r>
      <w:r w:rsidR="00310CD0">
        <w:t xml:space="preserve"> The investor has two options. One, he realises the gain and pays a tax of </w:t>
      </w:r>
      <w:r w:rsidR="00310CD0">
        <w:rPr>
          <w:i/>
        </w:rPr>
        <w:t>t</w:t>
      </w:r>
      <w:r w:rsidR="00310CD0">
        <w:t>, giving him 1+</w:t>
      </w:r>
      <w:r w:rsidR="00310CD0">
        <w:rPr>
          <w:i/>
        </w:rPr>
        <w:t>g</w:t>
      </w:r>
      <w:r w:rsidR="00310CD0">
        <w:t>(1-</w:t>
      </w:r>
      <w:r w:rsidR="00310CD0">
        <w:rPr>
          <w:i/>
        </w:rPr>
        <w:t>t</w:t>
      </w:r>
      <w:r w:rsidR="00310CD0">
        <w:t xml:space="preserve">) to reinvest against a certain return </w:t>
      </w:r>
      <w:r w:rsidR="00AB35C5">
        <w:rPr>
          <w:i/>
        </w:rPr>
        <w:t>i</w:t>
      </w:r>
      <w:r w:rsidR="00AB35C5">
        <w:t xml:space="preserve"> on a new investment</w:t>
      </w:r>
      <w:r w:rsidR="00310CD0">
        <w:t>.</w:t>
      </w:r>
      <w:r w:rsidR="00FD39CA">
        <w:t xml:space="preserve"> In this case</w:t>
      </w:r>
      <w:r w:rsidR="00F40A18">
        <w:t xml:space="preserve"> of reinvesting</w:t>
      </w:r>
      <w:r w:rsidR="00FD39CA">
        <w:t xml:space="preserve"> his total wealth</w:t>
      </w:r>
      <w:r w:rsidR="00F40A18" w:rsidRPr="00F40A18">
        <w:t xml:space="preserve"> </w:t>
      </w:r>
      <w:r w:rsidR="00F40A18">
        <w:t>after two periods</w:t>
      </w:r>
      <w:r w:rsidR="00DE236D">
        <w:t xml:space="preserve"> </w:t>
      </w:r>
      <w:r w:rsidR="00F40A18">
        <w:t xml:space="preserve">equals </w:t>
      </w:r>
      <w:r w:rsidR="00F40A18" w:rsidRPr="00B07D7D">
        <w:rPr>
          <w:b/>
        </w:rPr>
        <w:t>Wr=[1+</w:t>
      </w:r>
      <w:r w:rsidR="00F40A18" w:rsidRPr="00B07D7D">
        <w:rPr>
          <w:b/>
          <w:i/>
        </w:rPr>
        <w:t>g</w:t>
      </w:r>
      <w:r w:rsidR="00F40A18" w:rsidRPr="00B07D7D">
        <w:rPr>
          <w:b/>
        </w:rPr>
        <w:t>(1-</w:t>
      </w:r>
      <w:r w:rsidR="00F40A18" w:rsidRPr="00B07D7D">
        <w:rPr>
          <w:b/>
          <w:i/>
        </w:rPr>
        <w:t>t</w:t>
      </w:r>
      <w:r w:rsidR="00F40A18" w:rsidRPr="00B07D7D">
        <w:rPr>
          <w:b/>
        </w:rPr>
        <w:t>)]*[ 1+</w:t>
      </w:r>
      <w:r w:rsidR="00F40A18" w:rsidRPr="00B07D7D">
        <w:rPr>
          <w:b/>
          <w:i/>
        </w:rPr>
        <w:t>i</w:t>
      </w:r>
      <w:r w:rsidR="00F40A18" w:rsidRPr="00B07D7D">
        <w:rPr>
          <w:b/>
        </w:rPr>
        <w:t>(1-</w:t>
      </w:r>
      <w:r w:rsidR="00F40A18" w:rsidRPr="00B07D7D">
        <w:rPr>
          <w:b/>
          <w:i/>
        </w:rPr>
        <w:t>t</w:t>
      </w:r>
      <w:r w:rsidR="00F40A18" w:rsidRPr="00B07D7D">
        <w:rPr>
          <w:b/>
        </w:rPr>
        <w:t>)</w:t>
      </w:r>
      <w:r w:rsidR="002419F2" w:rsidRPr="00B07D7D">
        <w:rPr>
          <w:b/>
        </w:rPr>
        <w:t>]</w:t>
      </w:r>
      <w:r w:rsidR="00B07D7D">
        <w:t>.</w:t>
      </w:r>
      <w:r w:rsidR="002419F2">
        <w:t xml:space="preserve"> </w:t>
      </w:r>
      <w:r w:rsidR="008F050C">
        <w:t xml:space="preserve">Two, he holds on the asset with accrued gains for an additional return </w:t>
      </w:r>
      <w:r w:rsidR="008F050C">
        <w:rPr>
          <w:i/>
        </w:rPr>
        <w:t>r</w:t>
      </w:r>
      <w:r w:rsidR="00AB3696">
        <w:t xml:space="preserve">, </w:t>
      </w:r>
      <w:r w:rsidR="002419F2">
        <w:t>yielding (1+</w:t>
      </w:r>
      <w:r w:rsidR="002419F2">
        <w:rPr>
          <w:i/>
        </w:rPr>
        <w:t>g</w:t>
      </w:r>
      <w:r w:rsidR="002419F2">
        <w:t>)*(1+</w:t>
      </w:r>
      <w:r w:rsidR="002419F2">
        <w:rPr>
          <w:i/>
        </w:rPr>
        <w:t>r</w:t>
      </w:r>
      <w:r w:rsidR="002419F2">
        <w:t xml:space="preserve">), and pays a tax in the </w:t>
      </w:r>
      <w:r w:rsidR="00934167">
        <w:t>second period</w:t>
      </w:r>
      <w:r w:rsidR="002419F2">
        <w:t xml:space="preserve"> on the total accrued gains of </w:t>
      </w:r>
      <w:r w:rsidR="002419F2">
        <w:rPr>
          <w:i/>
        </w:rPr>
        <w:t>t</w:t>
      </w:r>
      <w:r w:rsidR="002419F2">
        <w:t>[(1+</w:t>
      </w:r>
      <w:r w:rsidR="002419F2">
        <w:rPr>
          <w:i/>
        </w:rPr>
        <w:t>g</w:t>
      </w:r>
      <w:r w:rsidR="002419F2">
        <w:t>)*(1+</w:t>
      </w:r>
      <w:r w:rsidR="002419F2">
        <w:rPr>
          <w:i/>
        </w:rPr>
        <w:t>r</w:t>
      </w:r>
      <w:r w:rsidR="002419F2">
        <w:t>)-1]</w:t>
      </w:r>
      <w:r w:rsidR="00B07D7D">
        <w:t xml:space="preserve">. The case of holding on to the asset thus </w:t>
      </w:r>
      <w:r w:rsidR="00B07D7D">
        <w:lastRenderedPageBreak/>
        <w:t xml:space="preserve">yields total wealth after two period of </w:t>
      </w:r>
      <w:r w:rsidR="00B07D7D">
        <w:rPr>
          <w:b/>
        </w:rPr>
        <w:t>Wh=</w:t>
      </w:r>
      <w:r w:rsidR="00B07D7D" w:rsidRPr="00B07D7D">
        <w:rPr>
          <w:b/>
        </w:rPr>
        <w:t>(1+</w:t>
      </w:r>
      <w:r w:rsidR="00B07D7D" w:rsidRPr="00B07D7D">
        <w:rPr>
          <w:b/>
          <w:i/>
        </w:rPr>
        <w:t>g</w:t>
      </w:r>
      <w:r w:rsidR="00B07D7D" w:rsidRPr="00B07D7D">
        <w:rPr>
          <w:b/>
        </w:rPr>
        <w:t>)*(1+</w:t>
      </w:r>
      <w:r w:rsidR="00B07D7D" w:rsidRPr="00B07D7D">
        <w:rPr>
          <w:b/>
          <w:i/>
        </w:rPr>
        <w:t>r</w:t>
      </w:r>
      <w:r w:rsidR="00B07D7D" w:rsidRPr="00B07D7D">
        <w:rPr>
          <w:b/>
        </w:rPr>
        <w:t>)-</w:t>
      </w:r>
      <w:r w:rsidR="00B07D7D" w:rsidRPr="00B07D7D">
        <w:rPr>
          <w:b/>
          <w:i/>
        </w:rPr>
        <w:t xml:space="preserve"> t</w:t>
      </w:r>
      <w:r w:rsidR="00B07D7D" w:rsidRPr="00B07D7D">
        <w:rPr>
          <w:b/>
        </w:rPr>
        <w:t>[(1+</w:t>
      </w:r>
      <w:r w:rsidR="00B07D7D" w:rsidRPr="00B07D7D">
        <w:rPr>
          <w:b/>
          <w:i/>
        </w:rPr>
        <w:t>g</w:t>
      </w:r>
      <w:r w:rsidR="00B07D7D" w:rsidRPr="00B07D7D">
        <w:rPr>
          <w:b/>
        </w:rPr>
        <w:t>)*(1+</w:t>
      </w:r>
      <w:r w:rsidR="00B07D7D" w:rsidRPr="00B07D7D">
        <w:rPr>
          <w:b/>
          <w:i/>
        </w:rPr>
        <w:t>r</w:t>
      </w:r>
      <w:r w:rsidR="00B07D7D" w:rsidRPr="00B07D7D">
        <w:rPr>
          <w:b/>
        </w:rPr>
        <w:t>)-1]</w:t>
      </w:r>
      <w:r w:rsidR="00B07D7D">
        <w:t>.</w:t>
      </w:r>
      <w:r w:rsidR="00C80D12">
        <w:t xml:space="preserve"> As you can see from these calculations, in the case of holding on to the asset the tax on the first-period gain is deferred to the second period. If there is no interest charged on this deferred gain</w:t>
      </w:r>
      <w:r w:rsidR="00423AF4">
        <w:t>, investors will hold on to assets with accrued gains even when the return on these assets is lower that for reinvestments</w:t>
      </w:r>
      <w:r w:rsidR="00D61BD1">
        <w:t xml:space="preserve"> (</w:t>
      </w:r>
      <w:r w:rsidR="00423AF4">
        <w:t xml:space="preserve">i.e., if </w:t>
      </w:r>
      <w:r w:rsidR="00423AF4">
        <w:rPr>
          <w:i/>
        </w:rPr>
        <w:t>r</w:t>
      </w:r>
      <w:r w:rsidR="00423AF4">
        <w:t>&lt;</w:t>
      </w:r>
      <w:r w:rsidR="00423AF4">
        <w:rPr>
          <w:i/>
        </w:rPr>
        <w:t>i</w:t>
      </w:r>
      <w:r w:rsidR="00D61BD1">
        <w:t>)</w:t>
      </w:r>
      <w:r w:rsidR="00074BB2">
        <w:t xml:space="preserve">. The larger the previously accrued gain </w:t>
      </w:r>
      <w:r w:rsidR="00074BB2">
        <w:rPr>
          <w:i/>
        </w:rPr>
        <w:t>g</w:t>
      </w:r>
      <w:r w:rsidR="00074BB2">
        <w:t xml:space="preserve">, the larger the deferral advantage, and thus the larger the differential between </w:t>
      </w:r>
      <w:r w:rsidR="00074BB2">
        <w:rPr>
          <w:i/>
        </w:rPr>
        <w:t>i</w:t>
      </w:r>
      <w:r w:rsidR="00074BB2">
        <w:t xml:space="preserve"> and </w:t>
      </w:r>
      <w:r w:rsidR="00074BB2">
        <w:rPr>
          <w:i/>
        </w:rPr>
        <w:t xml:space="preserve">r </w:t>
      </w:r>
      <w:r w:rsidR="00074BB2">
        <w:t>should be in order for the investor to be willing to reinvest.</w:t>
      </w:r>
      <w:r w:rsidR="0084227C">
        <w:t xml:space="preserve"> </w:t>
      </w:r>
      <w:r w:rsidR="004817F5">
        <w:t>The result is a distortion in capital allocation and inefficient portfolio selection.</w:t>
      </w:r>
    </w:p>
    <w:p w14:paraId="674D600F" w14:textId="77777777" w:rsidR="00061398" w:rsidRDefault="00061398" w:rsidP="001A3C4D">
      <w:pPr>
        <w:tabs>
          <w:tab w:val="left" w:pos="3312"/>
        </w:tabs>
        <w:spacing w:line="360" w:lineRule="auto"/>
        <w:rPr>
          <w:color w:val="FF0000"/>
        </w:rPr>
      </w:pPr>
    </w:p>
    <w:p w14:paraId="1E6B208E" w14:textId="77777777" w:rsidR="00A53D54" w:rsidRDefault="00061398" w:rsidP="001A3C4D">
      <w:pPr>
        <w:tabs>
          <w:tab w:val="left" w:pos="3312"/>
        </w:tabs>
        <w:spacing w:line="360" w:lineRule="auto"/>
      </w:pPr>
      <w:r>
        <w:t>Furthermore, because of the symmetrical treatment of gains and losses, opportunities for investors arise to engage in tax arbitrag</w:t>
      </w:r>
      <w:r w:rsidR="00074809">
        <w:t xml:space="preserve">e and tax avoidance. </w:t>
      </w:r>
      <w:r w:rsidR="006641C9">
        <w:t>These purposes are achieved by deferring realisation of gains, which represent tax liabilities, whilst realising losses immediately in order to profit optimally from the associated tax reductions.</w:t>
      </w:r>
      <w:r w:rsidR="00B054CC">
        <w:t xml:space="preserve"> </w:t>
      </w:r>
      <w:r w:rsidR="00897332">
        <w:t>There is an incentive for investors to hold on to appreciated assets and avoid taxes for as long as possible.</w:t>
      </w:r>
      <w:r w:rsidR="007E2BCB">
        <w:t xml:space="preserve"> </w:t>
      </w:r>
      <w:r w:rsidR="008C1961">
        <w:t>If</w:t>
      </w:r>
      <w:r w:rsidR="00986F66">
        <w:t xml:space="preserve"> capital</w:t>
      </w:r>
      <w:r w:rsidR="008C1961">
        <w:t xml:space="preserve"> gains </w:t>
      </w:r>
      <w:r w:rsidR="00EC3DC3">
        <w:t>realisation does not take place</w:t>
      </w:r>
      <w:r w:rsidR="00897332">
        <w:t xml:space="preserve"> at death, </w:t>
      </w:r>
      <w:r w:rsidR="0045378C">
        <w:t xml:space="preserve">this process could </w:t>
      </w:r>
      <w:r w:rsidR="00F04BDD">
        <w:t>persist</w:t>
      </w:r>
      <w:r w:rsidR="0045378C">
        <w:t xml:space="preserve"> across generations.</w:t>
      </w:r>
    </w:p>
    <w:p w14:paraId="0ECC99CB" w14:textId="77777777" w:rsidR="00A06B79" w:rsidRDefault="00A06B79" w:rsidP="001A3C4D">
      <w:pPr>
        <w:tabs>
          <w:tab w:val="left" w:pos="3312"/>
        </w:tabs>
        <w:spacing w:line="360" w:lineRule="auto"/>
      </w:pPr>
    </w:p>
    <w:p w14:paraId="37EB6629" w14:textId="4B009F5A" w:rsidR="00DA0155" w:rsidRPr="00942D11" w:rsidRDefault="000B0609" w:rsidP="0030517B">
      <w:pPr>
        <w:tabs>
          <w:tab w:val="left" w:pos="3312"/>
        </w:tabs>
        <w:spacing w:line="360" w:lineRule="auto"/>
      </w:pPr>
      <w:r>
        <w:t xml:space="preserve">In order to counter arbitrage, many tax systems limit the possibilities to offset losses. This makes it harder to consistently engage in </w:t>
      </w:r>
      <w:r w:rsidR="00D734C0">
        <w:t xml:space="preserve">tax </w:t>
      </w:r>
      <w:r w:rsidR="006C73CB">
        <w:t>arbitrage, and thus d</w:t>
      </w:r>
      <w:r w:rsidR="00604A9D">
        <w:t xml:space="preserve">ecreases lock-in. However, limiting loss offsets violates </w:t>
      </w:r>
      <w:r w:rsidR="00BC62D6">
        <w:t xml:space="preserve">Auerbach’s </w:t>
      </w:r>
      <w:r w:rsidR="00604A9D">
        <w:t>assumption of a symmetric tax system.</w:t>
      </w:r>
      <w:r w:rsidR="00CB2EF9">
        <w:t xml:space="preserve"> As a result, investor behaviour is distorted away from risky assets, as they are more likely to produce losses.</w:t>
      </w:r>
    </w:p>
    <w:p w14:paraId="5CBB09A9" w14:textId="1582C914" w:rsidR="00DA0155" w:rsidRPr="00DA0155" w:rsidRDefault="00DA0155" w:rsidP="00E145D3">
      <w:pPr>
        <w:pStyle w:val="Heading2"/>
      </w:pPr>
      <w:bookmarkStart w:id="20" w:name="_Toc331344943"/>
      <w:bookmarkStart w:id="21" w:name="_Toc331345794"/>
      <w:r>
        <w:t>Government revenue</w:t>
      </w:r>
      <w:bookmarkEnd w:id="20"/>
      <w:bookmarkEnd w:id="21"/>
    </w:p>
    <w:p w14:paraId="4F6F6F77" w14:textId="6173EB1F" w:rsidR="00D43960" w:rsidRPr="00A53D54" w:rsidRDefault="00CE3514" w:rsidP="007545CE">
      <w:pPr>
        <w:widowControl w:val="0"/>
        <w:autoSpaceDE w:val="0"/>
        <w:autoSpaceDN w:val="0"/>
        <w:adjustRightInd w:val="0"/>
        <w:spacing w:after="240" w:line="360" w:lineRule="auto"/>
      </w:pPr>
      <w:r w:rsidRPr="00A53D54">
        <w:t>Arthur Laffer indicated that a decrease in the marginal tax on capital gains could cause an increase in government revenue through an increase of realizations.</w:t>
      </w:r>
      <w:r w:rsidR="0030517B" w:rsidRPr="00A53D54">
        <w:t xml:space="preserve"> This makes sense if one writes </w:t>
      </w:r>
      <w:r w:rsidR="00433C16" w:rsidRPr="00A53D54">
        <w:t>“</w:t>
      </w:r>
      <w:r w:rsidR="0030517B" w:rsidRPr="00A53D54">
        <w:rPr>
          <w:i/>
        </w:rPr>
        <w:t xml:space="preserve">revenue, </w:t>
      </w:r>
      <w:r w:rsidR="0030517B" w:rsidRPr="00A53D54">
        <w:t>R</w:t>
      </w:r>
      <w:r w:rsidR="0030517B" w:rsidRPr="00A53D54">
        <w:rPr>
          <w:i/>
        </w:rPr>
        <w:t xml:space="preserve">, as the product of the tax rate on realized gains, </w:t>
      </w:r>
      <w:r w:rsidR="0030517B" w:rsidRPr="00A53D54">
        <w:rPr>
          <w:rFonts w:cs="Times"/>
          <w:iCs/>
          <w:lang w:val="en-US"/>
        </w:rPr>
        <w:t>Tcg</w:t>
      </w:r>
      <w:r w:rsidR="0030517B" w:rsidRPr="00A53D54">
        <w:rPr>
          <w:rFonts w:cs="Times"/>
          <w:i/>
          <w:iCs/>
          <w:lang w:val="en-US"/>
        </w:rPr>
        <w:t>, and the tax bas</w:t>
      </w:r>
      <w:r w:rsidR="00276C84">
        <w:rPr>
          <w:rFonts w:cs="Times"/>
          <w:i/>
          <w:iCs/>
          <w:lang w:val="en-US"/>
        </w:rPr>
        <w:t>e, which equals realized gains</w:t>
      </w:r>
      <w:r w:rsidR="0030517B" w:rsidRPr="00A53D54">
        <w:rPr>
          <w:rFonts w:cs="Times"/>
          <w:iCs/>
          <w:lang w:val="en-US"/>
        </w:rPr>
        <w:t>: R=</w:t>
      </w:r>
      <w:r w:rsidR="00EC2636" w:rsidRPr="00A53D54">
        <w:rPr>
          <w:rFonts w:cs="Times"/>
          <w:iCs/>
          <w:lang w:val="en-US"/>
        </w:rPr>
        <w:t>Tcg* REALIZATIONS</w:t>
      </w:r>
      <w:r w:rsidR="00AB7C51">
        <w:rPr>
          <w:rFonts w:cs="Times"/>
          <w:i/>
          <w:iCs/>
          <w:lang w:val="en-US"/>
        </w:rPr>
        <w:t>”</w:t>
      </w:r>
      <w:r w:rsidR="0056322D">
        <w:rPr>
          <w:rFonts w:cs="Times"/>
          <w:iCs/>
          <w:lang w:val="en-US"/>
        </w:rPr>
        <w:t xml:space="preserve"> (Poterba, 2002)</w:t>
      </w:r>
      <w:r w:rsidR="00EC2636" w:rsidRPr="00A53D54">
        <w:rPr>
          <w:rFonts w:cs="Times"/>
          <w:iCs/>
          <w:lang w:val="en-US"/>
        </w:rPr>
        <w:t xml:space="preserve">. </w:t>
      </w:r>
      <w:r w:rsidR="00254D47">
        <w:rPr>
          <w:rFonts w:cs="Times"/>
          <w:iCs/>
          <w:lang w:val="en-US"/>
        </w:rPr>
        <w:t>The</w:t>
      </w:r>
      <w:r w:rsidR="00EC2636" w:rsidRPr="00A53D54">
        <w:rPr>
          <w:rFonts w:cs="Times"/>
          <w:iCs/>
          <w:lang w:val="en-US"/>
        </w:rPr>
        <w:t xml:space="preserve"> condition for the “Laffer effect” is [dR/dTcg]&lt;0</w:t>
      </w:r>
      <w:r w:rsidR="00254D47">
        <w:t xml:space="preserve">. Thus, his theory </w:t>
      </w:r>
      <w:r w:rsidR="001D7ABA">
        <w:t>implies</w:t>
      </w:r>
      <w:r w:rsidR="00254D47">
        <w:t xml:space="preserve"> that a lower margin</w:t>
      </w:r>
      <w:r w:rsidR="001D7ABA">
        <w:t>al rate on capital gains reduces</w:t>
      </w:r>
      <w:r w:rsidR="00254D47">
        <w:t xml:space="preserve"> lock-in effect </w:t>
      </w:r>
      <w:r w:rsidR="002821D3">
        <w:t>and increases</w:t>
      </w:r>
      <w:r w:rsidR="008B5D7F">
        <w:t xml:space="preserve"> realisations.</w:t>
      </w:r>
      <w:r w:rsidR="00E92C63">
        <w:t xml:space="preserve"> </w:t>
      </w:r>
      <w:r w:rsidR="0058694E">
        <w:t xml:space="preserve">This, in turn, increases government revenue. </w:t>
      </w:r>
      <w:r w:rsidR="00E92C63">
        <w:t>The drawback to the theory is that it only considers the effect of a change in the marginal capital gains tax rate on current realisations and government revenue, whilst it is also possible that the tax rate influences future realisations and revenue</w:t>
      </w:r>
      <w:r w:rsidR="00874022">
        <w:t xml:space="preserve">. Moreover, the change in the tax rate could </w:t>
      </w:r>
      <w:r w:rsidR="00874022">
        <w:lastRenderedPageBreak/>
        <w:t xml:space="preserve">have other effects in the tax system. The increased realisations may just be the converting of other income to capital gains, in order to benefit from lower </w:t>
      </w:r>
      <w:r w:rsidR="00AF3467">
        <w:t>tax rates</w:t>
      </w:r>
      <w:r w:rsidR="00874022">
        <w:t>.</w:t>
      </w:r>
    </w:p>
    <w:p w14:paraId="69D767E3" w14:textId="07B95106" w:rsidR="00A92094" w:rsidRPr="00A92094" w:rsidRDefault="00A92094" w:rsidP="00E145D3">
      <w:pPr>
        <w:pStyle w:val="Heading2"/>
      </w:pPr>
      <w:bookmarkStart w:id="22" w:name="_Toc331344944"/>
      <w:bookmarkStart w:id="23" w:name="_Toc331345795"/>
      <w:r>
        <w:t>Entrepreneurial risk taking</w:t>
      </w:r>
      <w:bookmarkEnd w:id="22"/>
      <w:bookmarkEnd w:id="23"/>
    </w:p>
    <w:p w14:paraId="78BCD168" w14:textId="6623ECFB" w:rsidR="00DF44B8" w:rsidRDefault="00337330" w:rsidP="00942D11">
      <w:pPr>
        <w:tabs>
          <w:tab w:val="left" w:pos="3312"/>
        </w:tabs>
        <w:spacing w:line="360" w:lineRule="auto"/>
      </w:pPr>
      <w:r>
        <w:t>Also</w:t>
      </w:r>
      <w:r w:rsidR="004A0707" w:rsidRPr="00AE339B">
        <w:t xml:space="preserve">, a capital gains tax reduces the reward for entrepreneurial risk taking, </w:t>
      </w:r>
      <w:r w:rsidR="004A0707">
        <w:t>by cutting directly into their margin of profit. This</w:t>
      </w:r>
      <w:r w:rsidR="004A0707" w:rsidRPr="00AE339B">
        <w:t xml:space="preserve"> </w:t>
      </w:r>
      <w:r w:rsidR="004A0707">
        <w:t>reduces the amount of</w:t>
      </w:r>
      <w:r w:rsidR="004A0707" w:rsidRPr="00AE339B">
        <w:t xml:space="preserve"> entrepreneur</w:t>
      </w:r>
      <w:r w:rsidR="004A0707">
        <w:t>s and investors supporting them.</w:t>
      </w:r>
      <w:r w:rsidR="00D4635E">
        <w:t xml:space="preserve"> Poterba (1989) laid some theoretical groundwork for investigating the relation between capital gains taxes and entrepreneurship.</w:t>
      </w:r>
      <w:r w:rsidR="00362DD6">
        <w:t xml:space="preserve"> He pointed out that entrepreneurs compare compensation from established firms with capital gains compensation at start-ups, concluding that a decreased capital gains tax rate would stimulate more high-quality people to engage in entrepreneurial activity and increase the demand for venture capital.</w:t>
      </w:r>
      <w:r w:rsidR="00DE0DCB">
        <w:t xml:space="preserve"> </w:t>
      </w:r>
    </w:p>
    <w:p w14:paraId="6366B4BB" w14:textId="7CDD55BA" w:rsidR="00105AE9" w:rsidRPr="00105AE9" w:rsidRDefault="00105AE9" w:rsidP="00E145D3">
      <w:pPr>
        <w:pStyle w:val="Heading2"/>
      </w:pPr>
      <w:bookmarkStart w:id="24" w:name="_Toc331344945"/>
      <w:bookmarkStart w:id="25" w:name="_Toc331345796"/>
      <w:r>
        <w:t>Taxing on accrual</w:t>
      </w:r>
      <w:bookmarkEnd w:id="24"/>
      <w:bookmarkEnd w:id="25"/>
    </w:p>
    <w:p w14:paraId="1EB45D06" w14:textId="0B4757D1" w:rsidR="00965BEB" w:rsidRDefault="009D5DDB" w:rsidP="00942D11">
      <w:pPr>
        <w:tabs>
          <w:tab w:val="left" w:pos="2640"/>
        </w:tabs>
        <w:spacing w:line="360" w:lineRule="auto"/>
      </w:pPr>
      <w:r>
        <w:t xml:space="preserve">Taxing capital gains on accrual </w:t>
      </w:r>
      <w:r w:rsidR="00465B07">
        <w:t>presents a solution to the lock-in problem</w:t>
      </w:r>
      <w:r w:rsidR="001E7AE4">
        <w:t>, and hence to the associated distortions in capital allocation and inefficient portfolio selection</w:t>
      </w:r>
      <w:r w:rsidR="00465B07">
        <w:t>. As there is no need for limiting loss offsets</w:t>
      </w:r>
      <w:r w:rsidR="0087117C">
        <w:t xml:space="preserve"> the assumption of symmetric taxation holds and</w:t>
      </w:r>
      <w:r w:rsidR="00465B07">
        <w:t xml:space="preserve"> the arbitrage opportunities </w:t>
      </w:r>
      <w:r w:rsidR="00707722">
        <w:t xml:space="preserve">would </w:t>
      </w:r>
      <w:r w:rsidR="008E25A9">
        <w:t xml:space="preserve">also </w:t>
      </w:r>
      <w:r w:rsidR="00707722">
        <w:t>be taken away.</w:t>
      </w:r>
      <w:r w:rsidR="00E810B4">
        <w:t xml:space="preserve"> However, taxation on accrual</w:t>
      </w:r>
      <w:r w:rsidR="006C6452">
        <w:t xml:space="preserve"> </w:t>
      </w:r>
      <w:r w:rsidR="00A67B9A">
        <w:t>presents some problems of its own</w:t>
      </w:r>
      <w:r w:rsidR="00E810B4">
        <w:t>. First, there are certain annual taxpayer compliance costs related to accrual taxati</w:t>
      </w:r>
      <w:r w:rsidR="001C4BB8">
        <w:t xml:space="preserve">on, although this is not </w:t>
      </w:r>
      <w:r w:rsidR="00867A00">
        <w:t xml:space="preserve">the biggest issue. </w:t>
      </w:r>
      <w:r w:rsidR="00C30031">
        <w:t>Moreover, valuation problems arise regarding assets that difficult to value until the moment that they sold</w:t>
      </w:r>
      <w:r w:rsidR="00203DE0">
        <w:t>. Also, liquidity constraints play a role for individuals that have to pay the accruing taxes. When the taxes concern indivisible asset</w:t>
      </w:r>
      <w:r w:rsidR="00591D89">
        <w:t>s</w:t>
      </w:r>
      <w:r w:rsidR="00203DE0">
        <w:t>, liquidity constrained individuals may be forced to sell prematurely</w:t>
      </w:r>
      <w:r w:rsidR="000A002F">
        <w:t xml:space="preserve"> in order to be able to pay</w:t>
      </w:r>
      <w:r w:rsidR="004712F7">
        <w:t>.</w:t>
      </w:r>
    </w:p>
    <w:p w14:paraId="1F2CD1BB" w14:textId="1912CAEB" w:rsidR="00B8001E" w:rsidRPr="00B8001E" w:rsidRDefault="00050AE4" w:rsidP="00E145D3">
      <w:pPr>
        <w:pStyle w:val="Heading2"/>
      </w:pPr>
      <w:bookmarkStart w:id="26" w:name="_Toc331344946"/>
      <w:bookmarkStart w:id="27" w:name="_Toc331345797"/>
      <w:r>
        <w:t>A r</w:t>
      </w:r>
      <w:r w:rsidR="0076048D">
        <w:t>etr</w:t>
      </w:r>
      <w:r>
        <w:t>ospective capital gains tax</w:t>
      </w:r>
      <w:bookmarkEnd w:id="26"/>
      <w:bookmarkEnd w:id="27"/>
    </w:p>
    <w:p w14:paraId="4E5E0835" w14:textId="59A0DF5F" w:rsidR="00E3223F" w:rsidRDefault="00AE05AA" w:rsidP="00526314">
      <w:pPr>
        <w:tabs>
          <w:tab w:val="left" w:pos="3312"/>
        </w:tabs>
        <w:spacing w:line="360" w:lineRule="auto"/>
      </w:pPr>
      <w:r>
        <w:t>Auerbach (1991) proposes another system of taxation, which he calls a retrospective capital gains tax. As the name implies, this system does tax capital gains on realization. However</w:t>
      </w:r>
      <w:r w:rsidR="001C60CA">
        <w:t>,</w:t>
      </w:r>
      <w:r>
        <w:t xml:space="preserve"> it mimics an accrual tax </w:t>
      </w:r>
      <w:r w:rsidR="00E54888">
        <w:t>on an ex ante base</w:t>
      </w:r>
      <w:r w:rsidR="00383B88">
        <w:t xml:space="preserve">. This means that at each moment in time, an investor is indifferent between an increase in the </w:t>
      </w:r>
      <w:r w:rsidR="00F02251">
        <w:t>retrospective tax and accrual taxation of additional income.</w:t>
      </w:r>
      <w:r w:rsidR="00E25C37">
        <w:t xml:space="preserve"> Therefore, lock-in effects are avoided.</w:t>
      </w:r>
      <w:r w:rsidR="00245CB0">
        <w:t xml:space="preserve"> </w:t>
      </w:r>
      <w:r w:rsidR="00481D3F">
        <w:t xml:space="preserve">In </w:t>
      </w:r>
      <w:r w:rsidR="00595DDD">
        <w:t xml:space="preserve">most of the </w:t>
      </w:r>
      <w:r w:rsidR="00481D3F">
        <w:t>present system</w:t>
      </w:r>
      <w:r w:rsidR="00595DDD">
        <w:t>s</w:t>
      </w:r>
      <w:r w:rsidR="00481D3F">
        <w:t xml:space="preserve"> of taxing capital gains on realisation</w:t>
      </w:r>
      <w:r w:rsidR="00A1630D">
        <w:t>,</w:t>
      </w:r>
      <w:r w:rsidR="00481D3F">
        <w:t xml:space="preserve"> the rate of taxation depends on the magnitude of </w:t>
      </w:r>
      <w:r w:rsidR="00092399">
        <w:t>the asset’s previous</w:t>
      </w:r>
      <w:r w:rsidR="00481D3F">
        <w:t xml:space="preserve"> unrealised gains.</w:t>
      </w:r>
      <w:r w:rsidR="00F87344">
        <w:t xml:space="preserve"> </w:t>
      </w:r>
      <w:r w:rsidR="00E2695C">
        <w:t xml:space="preserve">An accrual tax is not distortionary, because it taxes additional income at a rate </w:t>
      </w:r>
      <w:r w:rsidR="00F10D28">
        <w:t>that</w:t>
      </w:r>
      <w:r w:rsidR="00E2695C">
        <w:t xml:space="preserve"> is not dependent on unrealised appreciation or the holding period</w:t>
      </w:r>
      <w:r w:rsidR="005A0332">
        <w:t>.</w:t>
      </w:r>
      <w:r w:rsidR="008616CA">
        <w:t xml:space="preserve"> Auerbach calls this “holding-period </w:t>
      </w:r>
      <w:r w:rsidR="008616CA">
        <w:lastRenderedPageBreak/>
        <w:t>neutrality”</w:t>
      </w:r>
      <w:r w:rsidR="00B360BB">
        <w:t>.</w:t>
      </w:r>
      <w:r w:rsidR="00224359">
        <w:t xml:space="preserve"> </w:t>
      </w:r>
      <w:r w:rsidR="00B415F5">
        <w:t>Vickrey (1939), a</w:t>
      </w:r>
      <w:r w:rsidR="009F2774">
        <w:t xml:space="preserve"> predecessor of Auerbach, </w:t>
      </w:r>
      <w:r w:rsidR="007E57DF">
        <w:t xml:space="preserve">was the first to devise a realisation-based tax system that satisfies the holding-period neutrality requirement. </w:t>
      </w:r>
      <w:r w:rsidR="003014D7">
        <w:t xml:space="preserve">The </w:t>
      </w:r>
      <w:r w:rsidR="008170EE">
        <w:t>system</w:t>
      </w:r>
      <w:r w:rsidR="00AB38B0">
        <w:t xml:space="preserve"> states</w:t>
      </w:r>
      <w:r w:rsidR="008170EE">
        <w:t xml:space="preserve"> </w:t>
      </w:r>
      <w:r w:rsidR="003014D7">
        <w:t>tha</w:t>
      </w:r>
      <w:r w:rsidR="006207BE">
        <w:t xml:space="preserve">t </w:t>
      </w:r>
      <w:r w:rsidR="003014D7">
        <w:t xml:space="preserve">at </w:t>
      </w:r>
      <w:r w:rsidR="006207BE">
        <w:t>any point in time, the realisa</w:t>
      </w:r>
      <w:r w:rsidR="008170EE">
        <w:t xml:space="preserve">tion-tax liability increases </w:t>
      </w:r>
      <w:r w:rsidR="007F39E6">
        <w:t>two variables:</w:t>
      </w:r>
      <w:r w:rsidR="00DB0700">
        <w:t xml:space="preserve"> </w:t>
      </w:r>
      <w:r w:rsidR="007F39E6">
        <w:t>1) T</w:t>
      </w:r>
      <w:r w:rsidR="006207BE">
        <w:t>he i</w:t>
      </w:r>
      <w:r w:rsidR="00707130">
        <w:t>nterest on the unpaid li</w:t>
      </w:r>
      <w:r w:rsidR="007F39E6">
        <w:t>ability and 2)</w:t>
      </w:r>
      <w:r w:rsidR="007C4468">
        <w:t xml:space="preserve"> </w:t>
      </w:r>
      <w:r w:rsidR="00707130">
        <w:t>t</w:t>
      </w:r>
      <w:r w:rsidR="006207BE">
        <w:t xml:space="preserve">he additional tax on the asset based on </w:t>
      </w:r>
      <w:r w:rsidR="00CF60A9">
        <w:t>the accrued gain</w:t>
      </w:r>
      <w:r w:rsidR="00734DB6">
        <w:t xml:space="preserve">. Thus, </w:t>
      </w:r>
      <w:r w:rsidR="00BF6598">
        <w:t>t</w:t>
      </w:r>
      <w:r w:rsidR="00734DB6">
        <w:t>he investor has to pay i</w:t>
      </w:r>
      <w:r w:rsidR="00BF6598">
        <w:t>nterest on the accrued gains and</w:t>
      </w:r>
      <w:r w:rsidR="00734DB6">
        <w:t xml:space="preserve"> the after-tax return on assets</w:t>
      </w:r>
      <w:r w:rsidR="00DE15E2">
        <w:t xml:space="preserve"> decreases and lock-in is eliminated.</w:t>
      </w:r>
      <w:r w:rsidR="00AE4121">
        <w:t xml:space="preserve"> </w:t>
      </w:r>
      <w:r w:rsidR="000E5BE1">
        <w:t>However, for this system it is necessary to know the pattern of accrual, whilst this information is not always at hand.</w:t>
      </w:r>
      <w:r w:rsidR="00755531">
        <w:t xml:space="preserve"> </w:t>
      </w:r>
      <w:r w:rsidR="003324EB">
        <w:t xml:space="preserve">Auerbach solves this problem </w:t>
      </w:r>
      <w:r w:rsidR="00C6226F">
        <w:t xml:space="preserve">by relying on efficient capital markets, and stating that the </w:t>
      </w:r>
      <w:r w:rsidR="000A32A7">
        <w:t xml:space="preserve">investor’s </w:t>
      </w:r>
      <w:r w:rsidR="00C6226F">
        <w:t xml:space="preserve">certainty-equivalent value of the accrued gain </w:t>
      </w:r>
      <w:r w:rsidR="000A32A7">
        <w:t xml:space="preserve">equals the </w:t>
      </w:r>
      <w:r w:rsidR="006D2472">
        <w:t xml:space="preserve">before-tax opportunity cost, which is </w:t>
      </w:r>
      <w:r w:rsidR="00492819">
        <w:t>the</w:t>
      </w:r>
      <w:r w:rsidR="006D2472">
        <w:t xml:space="preserve"> the risk-free rate of return.</w:t>
      </w:r>
      <w:r w:rsidR="0016265B">
        <w:t xml:space="preserve"> Now, in Auerbach’s system the realisation-tax liability is based on 1) the interest on the unpaid liability, 2) the additional tax on the asset based on a return equal to the risk-free rate, and</w:t>
      </w:r>
      <w:r w:rsidR="002507F2">
        <w:t xml:space="preserve"> </w:t>
      </w:r>
      <w:r w:rsidR="0016265B">
        <w:t xml:space="preserve">3) </w:t>
      </w:r>
      <w:r w:rsidR="002507F2">
        <w:t>a tax on the excess return with a rate that increases from 0 to 1 as the time approaches infinity.</w:t>
      </w:r>
      <w:r w:rsidR="00F8067B">
        <w:t xml:space="preserve"> </w:t>
      </w:r>
      <w:r w:rsidR="0016265B">
        <w:t>In essence, the only difference between his system and Vickrey’s is the taxation of excess returns to risk.</w:t>
      </w:r>
      <w:r w:rsidR="00D02A0F">
        <w:t xml:space="preserve"> As we derived earlier in this chapter, this should not impose any distortions.</w:t>
      </w:r>
      <w:r w:rsidR="00F67E1F">
        <w:t xml:space="preserve"> Thus, Auerbach has devised a system of taxation of capital ga</w:t>
      </w:r>
      <w:r w:rsidR="00324C0F">
        <w:t>ins on a realisations basis that satisfies</w:t>
      </w:r>
      <w:r w:rsidR="00F67E1F">
        <w:t xml:space="preserve"> holding period neutrality. Moreover, the system </w:t>
      </w:r>
      <w:r w:rsidR="00F0771B">
        <w:t xml:space="preserve">has weak informational requirements, as </w:t>
      </w:r>
      <w:r w:rsidR="003B562C">
        <w:t>it uses only the market interest rate and marginal tax rate, and not the pattern of accrued gains on an asset.</w:t>
      </w:r>
      <w:r w:rsidR="0036367E">
        <w:t xml:space="preserve"> </w:t>
      </w:r>
      <w:r w:rsidR="00831738">
        <w:t>On the other hand</w:t>
      </w:r>
      <w:r w:rsidR="008A5A6D">
        <w:t>, a drawback to the system is that it mimics accrual t</w:t>
      </w:r>
      <w:r w:rsidR="00433608">
        <w:t>axation on an ex-ante base, whilst on an ex post basis the tax liabilities are not equal</w:t>
      </w:r>
      <w:r w:rsidR="00CC00FC">
        <w:t>.</w:t>
      </w:r>
      <w:r w:rsidR="007F0D33">
        <w:t xml:space="preserve"> This means that if investors obtain huge gains, the effective tax rate is lower than under a system of accrual taxation, and if investors incur huge losses, the effective tax rate is higher. </w:t>
      </w:r>
      <w:r w:rsidR="0087138C">
        <w:t xml:space="preserve">Menoncin &amp; Panteghini </w:t>
      </w:r>
      <w:r w:rsidR="0000063C">
        <w:t>(2009)</w:t>
      </w:r>
      <w:r w:rsidR="00CA781F">
        <w:t xml:space="preserve"> show, using a continuous-time model with stochastic interest rates, that </w:t>
      </w:r>
      <w:r w:rsidR="005B302F">
        <w:t xml:space="preserve">ex-ante </w:t>
      </w:r>
      <w:r w:rsidR="00CA781F">
        <w:t xml:space="preserve">holding-period neutrality is satisfied </w:t>
      </w:r>
      <w:r w:rsidR="009F7A7B">
        <w:t xml:space="preserve">even </w:t>
      </w:r>
      <w:r w:rsidR="00CA781F">
        <w:t>in a more realistic framework, where the risk-free interest rate and risky asset returns are correlated.</w:t>
      </w:r>
      <w:r w:rsidR="00CA5860">
        <w:t xml:space="preserve"> </w:t>
      </w:r>
      <w:r w:rsidR="006D08A6">
        <w:t>However, they also show that for the ex post holding-period neutrality to hold as well, the informational requirements increase severely</w:t>
      </w:r>
      <w:r w:rsidR="00A60E7E">
        <w:t>.</w:t>
      </w:r>
      <w:r w:rsidR="006D08A6">
        <w:t xml:space="preserve"> </w:t>
      </w:r>
    </w:p>
    <w:p w14:paraId="091387A2" w14:textId="77777777" w:rsidR="007427C1" w:rsidRDefault="007427C1" w:rsidP="00526314">
      <w:pPr>
        <w:tabs>
          <w:tab w:val="left" w:pos="3312"/>
        </w:tabs>
        <w:spacing w:line="360" w:lineRule="auto"/>
      </w:pPr>
    </w:p>
    <w:p w14:paraId="4D46F6DE" w14:textId="36797226" w:rsidR="007427C1" w:rsidRPr="007427C1" w:rsidRDefault="007427C1" w:rsidP="00E145D3">
      <w:pPr>
        <w:pStyle w:val="Heading2"/>
      </w:pPr>
      <w:bookmarkStart w:id="28" w:name="_Toc331344947"/>
      <w:bookmarkStart w:id="29" w:name="_Toc331345798"/>
      <w:r>
        <w:t>Conclusion</w:t>
      </w:r>
      <w:bookmarkEnd w:id="28"/>
      <w:bookmarkEnd w:id="29"/>
    </w:p>
    <w:p w14:paraId="0ECE618A" w14:textId="478CC86A" w:rsidR="0060530A" w:rsidRDefault="00D265AE" w:rsidP="00526314">
      <w:pPr>
        <w:tabs>
          <w:tab w:val="left" w:pos="3312"/>
        </w:tabs>
        <w:spacing w:line="360" w:lineRule="auto"/>
      </w:pPr>
      <w:r w:rsidRPr="00AE339B">
        <w:t xml:space="preserve">Concluding, </w:t>
      </w:r>
      <w:r w:rsidR="00232514">
        <w:t xml:space="preserve">the theory points to several aspects regarding </w:t>
      </w:r>
      <w:r w:rsidRPr="00AE339B">
        <w:t>the effect</w:t>
      </w:r>
      <w:r w:rsidR="004E2EC7">
        <w:t>s</w:t>
      </w:r>
      <w:r w:rsidRPr="00AE339B">
        <w:t xml:space="preserve"> of </w:t>
      </w:r>
      <w:r w:rsidR="00D76307" w:rsidRPr="00AE339B">
        <w:t>a capital gains tax</w:t>
      </w:r>
      <w:r w:rsidRPr="00AE339B">
        <w:t xml:space="preserve"> </w:t>
      </w:r>
      <w:r w:rsidR="00D76307" w:rsidRPr="00AE339B">
        <w:t>on portfolio behaviour</w:t>
      </w:r>
      <w:r w:rsidR="007A7382">
        <w:t xml:space="preserve"> and risk </w:t>
      </w:r>
      <w:r w:rsidR="00232514">
        <w:t>taking</w:t>
      </w:r>
      <w:r w:rsidR="00D76307" w:rsidRPr="00AE339B">
        <w:t xml:space="preserve">. </w:t>
      </w:r>
      <w:r w:rsidR="0078086F">
        <w:t>On the one hand, a</w:t>
      </w:r>
      <w:r w:rsidR="007A7382" w:rsidRPr="00AE339B">
        <w:t xml:space="preserve"> </w:t>
      </w:r>
      <w:r w:rsidR="007A7382">
        <w:t>lower</w:t>
      </w:r>
      <w:r w:rsidR="007A7382" w:rsidRPr="00AE339B">
        <w:t xml:space="preserve"> after-tax expected rate of return </w:t>
      </w:r>
      <w:r w:rsidR="0060530A">
        <w:t>induces a</w:t>
      </w:r>
      <w:r w:rsidR="0078086F">
        <w:t xml:space="preserve"> decrease</w:t>
      </w:r>
      <w:r w:rsidR="001B4F70">
        <w:t xml:space="preserve"> in</w:t>
      </w:r>
      <w:r w:rsidR="0078086F">
        <w:t xml:space="preserve"> risk taking. On the other</w:t>
      </w:r>
      <w:r w:rsidR="001033AD">
        <w:t xml:space="preserve"> hand</w:t>
      </w:r>
      <w:r w:rsidR="0078086F">
        <w:t xml:space="preserve">, </w:t>
      </w:r>
      <w:r w:rsidR="00F1540A">
        <w:t xml:space="preserve">the </w:t>
      </w:r>
      <w:r w:rsidR="0078086F">
        <w:t xml:space="preserve">risk sharing by </w:t>
      </w:r>
      <w:r w:rsidR="0078086F">
        <w:lastRenderedPageBreak/>
        <w:t xml:space="preserve">the government </w:t>
      </w:r>
      <w:r w:rsidR="00F1540A">
        <w:t xml:space="preserve">associated with the tax </w:t>
      </w:r>
      <w:r w:rsidR="0078086F">
        <w:t>stimulates risk taking</w:t>
      </w:r>
      <w:r w:rsidR="00903DD1">
        <w:t>.</w:t>
      </w:r>
      <w:r w:rsidR="004E2397">
        <w:t xml:space="preserve"> </w:t>
      </w:r>
      <w:r w:rsidR="00D67789">
        <w:t>Auerbach and several other economists have presented the view that the taxation of excess returns to risk is not distortionary</w:t>
      </w:r>
      <w:r w:rsidR="00071DA1">
        <w:t>, under several assumptions</w:t>
      </w:r>
      <w:r w:rsidR="00681884">
        <w:t>.</w:t>
      </w:r>
      <w:r w:rsidR="00186970">
        <w:t xml:space="preserve"> First, they require scalable portfolios. Then</w:t>
      </w:r>
      <w:r w:rsidR="00C14F0E">
        <w:t>,</w:t>
      </w:r>
      <w:r w:rsidR="00186970">
        <w:t xml:space="preserve"> </w:t>
      </w:r>
      <w:r w:rsidR="00C710DE">
        <w:t>the treatment of profits and losses should be symmetric</w:t>
      </w:r>
      <w:r w:rsidR="00C14F0E">
        <w:t xml:space="preserve">. </w:t>
      </w:r>
      <w:r w:rsidR="00461884">
        <w:t xml:space="preserve">Further, </w:t>
      </w:r>
      <w:r w:rsidR="007F7B37">
        <w:t xml:space="preserve">market participation should be complete and </w:t>
      </w:r>
      <w:r w:rsidR="0091248E">
        <w:t xml:space="preserve">finally </w:t>
      </w:r>
      <w:r w:rsidR="007F7B37">
        <w:t>private markets should pool risk efficiently. Viola</w:t>
      </w:r>
      <w:r w:rsidR="00BF32CE">
        <w:t>tions of these assumptions lead</w:t>
      </w:r>
      <w:r w:rsidR="007F7B37">
        <w:t xml:space="preserve"> to distortions</w:t>
      </w:r>
      <w:r w:rsidR="00B97A24">
        <w:t>.</w:t>
      </w:r>
      <w:r w:rsidR="00982B9A">
        <w:t xml:space="preserve"> </w:t>
      </w:r>
    </w:p>
    <w:p w14:paraId="410E3B30" w14:textId="77777777" w:rsidR="00BF32CE" w:rsidRDefault="00BF32CE" w:rsidP="00526314">
      <w:pPr>
        <w:tabs>
          <w:tab w:val="left" w:pos="3312"/>
        </w:tabs>
        <w:spacing w:line="360" w:lineRule="auto"/>
      </w:pPr>
    </w:p>
    <w:p w14:paraId="5A0174F5" w14:textId="0EC2591D" w:rsidR="00BF32CE" w:rsidRDefault="00BF32CE" w:rsidP="00526314">
      <w:pPr>
        <w:tabs>
          <w:tab w:val="left" w:pos="3312"/>
        </w:tabs>
        <w:spacing w:line="360" w:lineRule="auto"/>
      </w:pPr>
      <w:r>
        <w:t xml:space="preserve">In the </w:t>
      </w:r>
      <w:r w:rsidR="00FB2515">
        <w:t>present situation in most countries, capital gains are taxed on realisat</w:t>
      </w:r>
      <w:r w:rsidR="009508FD">
        <w:t>ion without any interest charged on accrued gains</w:t>
      </w:r>
      <w:r w:rsidR="00FB2515">
        <w:t xml:space="preserve"> and with limited loss offsets.</w:t>
      </w:r>
      <w:r w:rsidR="009F543D">
        <w:t xml:space="preserve"> This leads to a lock-in effect. Individuals defer the tax liability on accrued gains by holding on to appreciated assets</w:t>
      </w:r>
      <w:r w:rsidR="00A1672C">
        <w:t>, whilst realising losses immediately</w:t>
      </w:r>
      <w:r w:rsidR="00496D0E">
        <w:t>.</w:t>
      </w:r>
      <w:r w:rsidR="00324928">
        <w:t xml:space="preserve"> The result is a distortion in capital allocation and inefficient portfolio selection. The arbitrage activities allow individ</w:t>
      </w:r>
      <w:r w:rsidR="0045160C">
        <w:t xml:space="preserve">uals to avoid </w:t>
      </w:r>
      <w:r w:rsidR="00AF1223">
        <w:t xml:space="preserve">a proportion of </w:t>
      </w:r>
      <w:r w:rsidR="0045160C">
        <w:t>taxes.</w:t>
      </w:r>
      <w:r w:rsidR="00301725">
        <w:t xml:space="preserve"> </w:t>
      </w:r>
      <w:r w:rsidR="00324928">
        <w:t>If capital gains realisation does not take place at death, this process could persist across generations.</w:t>
      </w:r>
      <w:r w:rsidR="00982B9A">
        <w:t xml:space="preserve"> </w:t>
      </w:r>
      <w:r w:rsidR="005D0B06">
        <w:t>Besides, a</w:t>
      </w:r>
      <w:r w:rsidR="00982B9A">
        <w:t xml:space="preserve">s Laffer indicated, </w:t>
      </w:r>
      <w:r w:rsidR="00982B9A" w:rsidRPr="00A53D54">
        <w:t xml:space="preserve">a decrease in the marginal tax on capital gains could cause an increase </w:t>
      </w:r>
      <w:r w:rsidR="00982B9A">
        <w:t xml:space="preserve">in government revenue through a </w:t>
      </w:r>
      <w:r w:rsidR="001C3224">
        <w:t>reduced</w:t>
      </w:r>
      <w:r w:rsidR="00982B9A">
        <w:t xml:space="preserve"> lock-in</w:t>
      </w:r>
      <w:r w:rsidR="001C3224">
        <w:t xml:space="preserve"> effect</w:t>
      </w:r>
      <w:r w:rsidR="00982B9A">
        <w:t>, and hence an</w:t>
      </w:r>
      <w:r w:rsidR="00982B9A" w:rsidRPr="00A53D54">
        <w:t xml:space="preserve"> increase of realizations.</w:t>
      </w:r>
      <w:r w:rsidR="00232514">
        <w:t xml:space="preserve"> Further, a capital </w:t>
      </w:r>
      <w:r w:rsidR="0088310A">
        <w:t>gains tax influence</w:t>
      </w:r>
      <w:r w:rsidR="00BE2BC7">
        <w:t>s</w:t>
      </w:r>
      <w:r w:rsidR="0088310A">
        <w:t xml:space="preserve"> the decision of individuals to en</w:t>
      </w:r>
      <w:r w:rsidR="00F6476C">
        <w:t>gage in entrepreneurial activity</w:t>
      </w:r>
      <w:r w:rsidR="00037085">
        <w:t>.</w:t>
      </w:r>
      <w:r w:rsidR="00F233EF">
        <w:t xml:space="preserve"> </w:t>
      </w:r>
    </w:p>
    <w:p w14:paraId="227DCA69" w14:textId="77777777" w:rsidR="00BE2BC7" w:rsidRDefault="00BE2BC7" w:rsidP="00526314">
      <w:pPr>
        <w:tabs>
          <w:tab w:val="left" w:pos="3312"/>
        </w:tabs>
        <w:spacing w:line="360" w:lineRule="auto"/>
      </w:pPr>
    </w:p>
    <w:p w14:paraId="57FE1B89" w14:textId="77777777" w:rsidR="00ED42BC" w:rsidRDefault="0016184D" w:rsidP="001903F3">
      <w:pPr>
        <w:tabs>
          <w:tab w:val="left" w:pos="3312"/>
        </w:tabs>
        <w:spacing w:line="360" w:lineRule="auto"/>
      </w:pPr>
      <w:r>
        <w:t xml:space="preserve">Capital gains taxation on accrual could solve the lock in problem. However, accrual taxation </w:t>
      </w:r>
      <w:r w:rsidR="00DD79F6">
        <w:t>brin</w:t>
      </w:r>
      <w:r w:rsidR="00D12168">
        <w:t xml:space="preserve">gs along issues regarding </w:t>
      </w:r>
      <w:r w:rsidR="00CE48F6">
        <w:t>liquidity and asset valuation.</w:t>
      </w:r>
      <w:r w:rsidR="00222754">
        <w:t xml:space="preserve"> Auerbach proposes a retrospective capital gains tax that taxes on realisation, but mimics an accrual tax on an ex</w:t>
      </w:r>
      <w:r w:rsidR="00D95E2B">
        <w:t xml:space="preserve"> ante basis. </w:t>
      </w:r>
      <w:r w:rsidR="009B6B81">
        <w:t>Interest is imputed on the accrued gains and</w:t>
      </w:r>
      <w:r w:rsidR="00D95E2B">
        <w:t xml:space="preserve"> lock-in is avoided.</w:t>
      </w:r>
      <w:r w:rsidR="00F53075">
        <w:t xml:space="preserve"> </w:t>
      </w:r>
      <w:r w:rsidR="00E076DF">
        <w:t xml:space="preserve">A drawback to his tax system is that </w:t>
      </w:r>
      <w:r w:rsidR="009F0D5B">
        <w:t>on an ex-post basis</w:t>
      </w:r>
      <w:r w:rsidR="00923D6B">
        <w:t xml:space="preserve">, the </w:t>
      </w:r>
      <w:r w:rsidR="009F0D5B">
        <w:t>equivalence does not hold</w:t>
      </w:r>
      <w:r w:rsidR="00923D6B">
        <w:t>, and effective rates differ between</w:t>
      </w:r>
      <w:r w:rsidR="00270913">
        <w:t xml:space="preserve"> retrospective and accrual taxation.</w:t>
      </w:r>
    </w:p>
    <w:p w14:paraId="40C91A96" w14:textId="77777777" w:rsidR="00ED42BC" w:rsidRDefault="00ED42BC" w:rsidP="001903F3">
      <w:pPr>
        <w:tabs>
          <w:tab w:val="left" w:pos="3312"/>
        </w:tabs>
        <w:spacing w:line="360" w:lineRule="auto"/>
      </w:pPr>
    </w:p>
    <w:p w14:paraId="7C36709A" w14:textId="4F8ABD67" w:rsidR="009B1BE4" w:rsidRDefault="00ED42BC" w:rsidP="009B1BE4">
      <w:pPr>
        <w:tabs>
          <w:tab w:val="left" w:pos="3312"/>
        </w:tabs>
        <w:spacing w:line="360" w:lineRule="auto"/>
      </w:pPr>
      <w:r>
        <w:t>Before the empirics and implications regarding the arguments in this chapter are presented in chapter six</w:t>
      </w:r>
      <w:r w:rsidR="008A519B">
        <w:t xml:space="preserve"> and the concluding remarks</w:t>
      </w:r>
      <w:r>
        <w:t xml:space="preserve">, chapter five will </w:t>
      </w:r>
      <w:r w:rsidR="00906738">
        <w:t>treat</w:t>
      </w:r>
      <w:r>
        <w:t xml:space="preserve"> the </w:t>
      </w:r>
      <w:r w:rsidR="002850FF">
        <w:t xml:space="preserve">theory and empirics in the </w:t>
      </w:r>
      <w:r>
        <w:t xml:space="preserve">arguments </w:t>
      </w:r>
      <w:r w:rsidR="00F71121">
        <w:t xml:space="preserve">that plead </w:t>
      </w:r>
      <w:r>
        <w:t>for capital income taxation.</w:t>
      </w:r>
    </w:p>
    <w:p w14:paraId="24F2E731" w14:textId="448576EA" w:rsidR="009B1BE4" w:rsidRDefault="00BF2854" w:rsidP="009B1BE4">
      <w:pPr>
        <w:pStyle w:val="Heading1"/>
      </w:pPr>
      <w:r>
        <w:br w:type="column"/>
      </w:r>
      <w:bookmarkStart w:id="30" w:name="_Toc331345799"/>
      <w:r w:rsidR="009B1BE4">
        <w:lastRenderedPageBreak/>
        <w:t>Chapter five – Arguments for capital income taxation</w:t>
      </w:r>
      <w:bookmarkEnd w:id="30"/>
    </w:p>
    <w:p w14:paraId="5B9F803A" w14:textId="1BAE49DA" w:rsidR="008D501F" w:rsidRPr="002E47E2" w:rsidRDefault="005C752F" w:rsidP="0052072B">
      <w:pPr>
        <w:spacing w:line="360" w:lineRule="auto"/>
      </w:pPr>
      <w:r>
        <w:t>In the beginning of this paper</w:t>
      </w:r>
      <w:r w:rsidR="000F5B82" w:rsidRPr="00AE339B">
        <w:t xml:space="preserve"> the capital gains tax has been introduced, along with several approaches in OECD countries to levying one. Then, </w:t>
      </w:r>
      <w:r w:rsidR="0044041B">
        <w:t>chapter three showed</w:t>
      </w:r>
      <w:r w:rsidR="007E08C5">
        <w:t xml:space="preserve"> </w:t>
      </w:r>
      <w:r w:rsidR="009C18C0">
        <w:t xml:space="preserve">in a positive analysis </w:t>
      </w:r>
      <w:r w:rsidR="007E08C5">
        <w:t>that capital taxation presents distortion</w:t>
      </w:r>
      <w:r w:rsidR="00A83FD5">
        <w:t>s</w:t>
      </w:r>
      <w:r w:rsidR="009C18C0">
        <w:t xml:space="preserve"> in savings behaviour. </w:t>
      </w:r>
      <w:r w:rsidR="00195EC5">
        <w:t xml:space="preserve">These distortions are unwanted from a </w:t>
      </w:r>
      <w:r w:rsidR="00304FAB">
        <w:t>perspective of optimal taxation</w:t>
      </w:r>
      <w:r w:rsidR="000E1A4F">
        <w:t xml:space="preserve">. However, there is a range of arguments for capital taxation, regarding its power to </w:t>
      </w:r>
      <w:r w:rsidR="007C44A8">
        <w:t>improve social welfar</w:t>
      </w:r>
      <w:r w:rsidR="00BC45A9">
        <w:t>e through efficiency and equity</w:t>
      </w:r>
      <w:r w:rsidR="007C7F50">
        <w:t>.</w:t>
      </w:r>
      <w:r w:rsidR="00401AB0" w:rsidRPr="00AE339B">
        <w:t xml:space="preserve"> </w:t>
      </w:r>
      <w:r w:rsidR="001B13B2">
        <w:t>The arguments are presented in this chapter.</w:t>
      </w:r>
      <w:r w:rsidR="00915C34">
        <w:t xml:space="preserve"> This chapter focuses on capital income taxation in general. As stated in chapter 3, it should be noted that arguments for capital taxation in general are important for the evaluation of a capital gains tax, as arbitrage opportunities arise, when there is a difference in the tax treatment of several forms of capital income.</w:t>
      </w:r>
      <w:r w:rsidR="007D36E8">
        <w:t xml:space="preserve"> </w:t>
      </w:r>
      <w:r w:rsidR="00DD311A">
        <w:t>Per argument</w:t>
      </w:r>
      <w:r w:rsidR="004A01D8">
        <w:t>,</w:t>
      </w:r>
      <w:r w:rsidR="00DD311A">
        <w:t xml:space="preserve"> the theoretical and empirical literature is reviewed. Furthermore, in a table the empir</w:t>
      </w:r>
      <w:r w:rsidR="007A2BED">
        <w:t xml:space="preserve">ical evidence is summed up with a brief </w:t>
      </w:r>
      <w:r w:rsidR="00E24AB8">
        <w:t>description of the data</w:t>
      </w:r>
      <w:r w:rsidR="000461CB">
        <w:t>/sample</w:t>
      </w:r>
      <w:r w:rsidR="00E24AB8">
        <w:t xml:space="preserve">, the </w:t>
      </w:r>
      <w:r w:rsidR="000461CB">
        <w:t xml:space="preserve">variables and </w:t>
      </w:r>
      <w:r w:rsidR="00E24AB8">
        <w:t>model(s) used and the results</w:t>
      </w:r>
      <w:r w:rsidR="005F6835">
        <w:t>.</w:t>
      </w:r>
      <w:r w:rsidR="008D501F" w:rsidRPr="00AE339B">
        <w:t xml:space="preserve"> </w:t>
      </w:r>
    </w:p>
    <w:p w14:paraId="11071E9E" w14:textId="77777777" w:rsidR="00446CBA" w:rsidRDefault="00446CBA" w:rsidP="00843611">
      <w:pPr>
        <w:spacing w:line="360" w:lineRule="auto"/>
        <w:rPr>
          <w:b/>
        </w:rPr>
      </w:pPr>
    </w:p>
    <w:p w14:paraId="592E5C4D" w14:textId="77777777" w:rsidR="00843611" w:rsidRPr="00AE339B" w:rsidRDefault="00843611" w:rsidP="00E145D3">
      <w:pPr>
        <w:pStyle w:val="Heading2"/>
      </w:pPr>
      <w:bookmarkStart w:id="31" w:name="_Toc331344948"/>
      <w:bookmarkStart w:id="32" w:name="_Toc331345800"/>
      <w:r w:rsidRPr="00AE339B">
        <w:t>The Atkinson-Stiglitz theorem and Chamley &amp; Judd</w:t>
      </w:r>
      <w:bookmarkEnd w:id="31"/>
      <w:bookmarkEnd w:id="32"/>
    </w:p>
    <w:p w14:paraId="6297EC0F" w14:textId="5E23468F" w:rsidR="00843611" w:rsidRPr="00AE339B" w:rsidRDefault="00843611" w:rsidP="00843611">
      <w:pPr>
        <w:spacing w:line="360" w:lineRule="auto"/>
      </w:pPr>
      <w:r w:rsidRPr="00AE339B">
        <w:t xml:space="preserve">According to </w:t>
      </w:r>
      <w:r w:rsidR="00E64311">
        <w:t xml:space="preserve">the theorem derived by </w:t>
      </w:r>
      <w:r w:rsidRPr="00AE339B">
        <w:t xml:space="preserve">Atkinson &amp; Stiglitz (1976), taxing income from capital is unnecessary and distorting. In a two-period model they investigate the effects of direct versus indirect taxation, where capital taxation can be viewed as the latter.  They state that both means of taxation have distortionary effects. However, according to the model, optimal taxation can be achieved using just a non-linear income tax. Imposing capital taxation would only unnecessarily distort savings behaviour of individuals. Considering the </w:t>
      </w:r>
      <w:r w:rsidR="00AE0AD3">
        <w:t>associated cost in terms of social welfare</w:t>
      </w:r>
      <w:r w:rsidRPr="00AE339B">
        <w:t xml:space="preserve"> this is something that should be avoided. </w:t>
      </w:r>
    </w:p>
    <w:p w14:paraId="7947DF7A" w14:textId="77777777" w:rsidR="00843611" w:rsidRPr="00AE339B" w:rsidRDefault="00843611" w:rsidP="00843611">
      <w:pPr>
        <w:spacing w:line="360" w:lineRule="auto"/>
      </w:pPr>
    </w:p>
    <w:p w14:paraId="555537F7" w14:textId="77777777" w:rsidR="00843611" w:rsidRPr="00AE339B" w:rsidRDefault="00843611" w:rsidP="00843611">
      <w:pPr>
        <w:spacing w:line="360" w:lineRule="auto"/>
      </w:pPr>
      <w:r w:rsidRPr="00AE339B">
        <w:t xml:space="preserve">The key to the failure of this argument lies in the assumptions of the research. It assumes separability in households’ utility functions between leisure and consumption, as well as equal sub-utility functions for consumption amongst households. This implies that the propensity to save does not vary with labour supply. However, the opposite is true. Empirical evidence shows us that the labour supply does vary with households’ propensity to save. This means that a tax on capital can be used to counter the distortions that are created by the tax on labour income. </w:t>
      </w:r>
      <w:r>
        <w:t xml:space="preserve">Jacobs &amp; Boadway (2014) </w:t>
      </w:r>
      <w:r>
        <w:lastRenderedPageBreak/>
        <w:t xml:space="preserve">review the Atkinson-Stiglitz theorem and analyse the optimal linear commodity tax, given a non-linear income tax. Assuming commodities to be consumption levels at different dates in an intertemporal, life cycle setting, they derive that it is desirable to tax capital income if doing so stimulates labour supply. </w:t>
      </w:r>
    </w:p>
    <w:p w14:paraId="4150E741" w14:textId="77777777" w:rsidR="00843611" w:rsidRPr="00AE339B" w:rsidRDefault="00843611" w:rsidP="00843611">
      <w:pPr>
        <w:spacing w:line="360" w:lineRule="auto"/>
      </w:pPr>
    </w:p>
    <w:p w14:paraId="57C4915D" w14:textId="77777777" w:rsidR="00843611" w:rsidRPr="00AE339B" w:rsidRDefault="00843611" w:rsidP="00843611">
      <w:pPr>
        <w:spacing w:line="360" w:lineRule="auto"/>
      </w:pPr>
      <w:r w:rsidRPr="00AE339B">
        <w:t>Chamley (1986) and Judd (1985) also claim that a capital income tax should go to zero in the long run: it causes an exponentially growing distortion on consumption further in the future. Besides, the infinite elasticity of capital supply would cause all tax levied on capital income to be passed on to the production factor labour. Hence, it would be better to directly levy taxes on labour and none at all on capital.</w:t>
      </w:r>
    </w:p>
    <w:p w14:paraId="2B097414" w14:textId="77777777" w:rsidR="00843611" w:rsidRPr="00AE339B" w:rsidRDefault="00843611" w:rsidP="00843611">
      <w:pPr>
        <w:spacing w:line="360" w:lineRule="auto"/>
      </w:pPr>
    </w:p>
    <w:p w14:paraId="18DCC038" w14:textId="318C158F" w:rsidR="00843611" w:rsidRDefault="00843611" w:rsidP="00843611">
      <w:pPr>
        <w:spacing w:line="360" w:lineRule="auto"/>
      </w:pPr>
      <w:r w:rsidRPr="00AE339B">
        <w:t>Jacobs and Rusu</w:t>
      </w:r>
      <w:r w:rsidRPr="00AE339B">
        <w:rPr>
          <w:noProof/>
          <w:lang w:val="nl-NL"/>
        </w:rPr>
        <w:t xml:space="preserve"> (2016)</w:t>
      </w:r>
      <w:r w:rsidRPr="00AE339B">
        <w:t xml:space="preserve"> show that </w:t>
      </w:r>
      <w:r>
        <w:t>the results of Chamley and Judd</w:t>
      </w:r>
      <w:r w:rsidRPr="00AE339B">
        <w:t xml:space="preserve"> are in essence an application o</w:t>
      </w:r>
      <w:r>
        <w:t>f the Atkinson-Stiglitz theorem. Because of the steady-state assumption, the consumption Engel curves become linear in labour earnings: savings become a constant fraction of labour earnings.  They show that following this reasoning</w:t>
      </w:r>
      <w:r w:rsidRPr="00AE339B">
        <w:t xml:space="preserve"> the long run labour supply becomes independent of savings behaviour. </w:t>
      </w:r>
      <w:r>
        <w:t xml:space="preserve">This is the exact assumption that Atkinson &amp; Stiglitz make in their analysis of commodity taxation. Capital taxation should be zero, because it does not contribute in diminishing distortions from labour income taxation. This however, as stated above, is not true. Thus, </w:t>
      </w:r>
      <w:r w:rsidR="00897262">
        <w:t>this</w:t>
      </w:r>
      <w:r>
        <w:t xml:space="preserve"> argument against capital </w:t>
      </w:r>
      <w:r w:rsidR="007E4769">
        <w:t>income</w:t>
      </w:r>
      <w:r>
        <w:t xml:space="preserve"> taxation is negated and countered by an argument for capital </w:t>
      </w:r>
      <w:r w:rsidR="007E4769">
        <w:t>income</w:t>
      </w:r>
      <w:r>
        <w:t xml:space="preserve"> taxation.</w:t>
      </w:r>
    </w:p>
    <w:p w14:paraId="67C6E5D4" w14:textId="77777777" w:rsidR="00843611" w:rsidRPr="004A5E3E" w:rsidRDefault="00836528" w:rsidP="00E145D3">
      <w:pPr>
        <w:pStyle w:val="Heading2"/>
      </w:pPr>
      <w:bookmarkStart w:id="33" w:name="_Toc331344949"/>
      <w:bookmarkStart w:id="34" w:name="_Toc331345801"/>
      <w:r>
        <w:t>Countering distortions in labour supply</w:t>
      </w:r>
      <w:bookmarkEnd w:id="33"/>
      <w:bookmarkEnd w:id="34"/>
    </w:p>
    <w:p w14:paraId="546BECC7" w14:textId="77777777" w:rsidR="00843611" w:rsidRDefault="00843611" w:rsidP="00843611">
      <w:pPr>
        <w:spacing w:line="360" w:lineRule="auto"/>
      </w:pPr>
      <w:r>
        <w:t>Empirical evidence shows the relation between capital income and labour supply, and how it is optimal to counter distortions created by the tax on labour income with a tax on capital income.</w:t>
      </w:r>
      <w:r>
        <w:rPr>
          <w:rStyle w:val="FootnoteReference"/>
        </w:rPr>
        <w:footnoteReference w:id="12"/>
      </w:r>
      <w:r>
        <w:t xml:space="preserve"> </w:t>
      </w:r>
    </w:p>
    <w:p w14:paraId="4B67644F" w14:textId="77777777" w:rsidR="00843611" w:rsidRPr="009B6DAF" w:rsidRDefault="00843611" w:rsidP="00843611">
      <w:pPr>
        <w:spacing w:line="360" w:lineRule="auto"/>
        <w:rPr>
          <w:rFonts w:cs="Times"/>
          <w:lang w:val="en-US"/>
        </w:rPr>
      </w:pPr>
    </w:p>
    <w:p w14:paraId="5880189E" w14:textId="07B4BE44" w:rsidR="00843611" w:rsidRDefault="00843611" w:rsidP="00843611">
      <w:pPr>
        <w:spacing w:line="360" w:lineRule="auto"/>
        <w:rPr>
          <w:rFonts w:cs="Times"/>
          <w:lang w:val="en-US"/>
        </w:rPr>
      </w:pPr>
      <w:r w:rsidRPr="009B6DAF">
        <w:rPr>
          <w:rFonts w:cs="Times"/>
          <w:lang w:val="en-US"/>
        </w:rPr>
        <w:t>Meghir and Philips</w:t>
      </w:r>
      <w:r w:rsidR="008C4AB0">
        <w:rPr>
          <w:rFonts w:cs="Times"/>
          <w:lang w:val="en-US"/>
        </w:rPr>
        <w:t xml:space="preserve"> (2010)</w:t>
      </w:r>
      <w:r>
        <w:rPr>
          <w:rFonts w:cs="Times"/>
          <w:lang w:val="en-US"/>
        </w:rPr>
        <w:t xml:space="preserve"> discuss the effects of taxes on labour supply using various models and empirical studies. They distinguish between hours worked, the choice to have a job or not and taxable income as measurements of labour supply. The method is one of “difference-in-differences”, where variations in tax schedules over time for different individuals are used to identify tax effects. Using data on numerous reforms from the period of 1990-2010 in the UK, they provide estimates of the responsiveness in </w:t>
      </w:r>
      <w:r>
        <w:rPr>
          <w:rFonts w:cs="Times"/>
          <w:lang w:val="en-US"/>
        </w:rPr>
        <w:lastRenderedPageBreak/>
        <w:t xml:space="preserve">labour supply to tax incentives. They conclude that the hours worked are not particularly responsive to the financial incentives created by changes in tax for men, whilst the results show slightly higher responsiveness for married women and lone mothers. The responsiveness to incentives of the choice to have a job or not is not very strong for low educated men. For highly educated –and thus on average wealthier- men the job decision is highly unresponsive. These results are not particularly supportive of the argument of a capital </w:t>
      </w:r>
      <w:r w:rsidR="00DA3A98">
        <w:rPr>
          <w:rFonts w:cs="Times"/>
          <w:lang w:val="en-US"/>
        </w:rPr>
        <w:t>income</w:t>
      </w:r>
      <w:r>
        <w:rPr>
          <w:rFonts w:cs="Times"/>
          <w:lang w:val="en-US"/>
        </w:rPr>
        <w:t xml:space="preserve"> tax that stimulates labour supply, as a higher tax does not seem to incentivize labour supply. Especially the results of a low responsiveness to tax incentives for highly educated individuals is a bad sign for the argument, as the highly educated and thus wealthier receive the greatest part of the capital </w:t>
      </w:r>
      <w:r w:rsidR="00DA3A98">
        <w:rPr>
          <w:rFonts w:cs="Times"/>
          <w:lang w:val="en-US"/>
        </w:rPr>
        <w:t>income</w:t>
      </w:r>
      <w:r>
        <w:rPr>
          <w:rFonts w:cs="Times"/>
          <w:lang w:val="en-US"/>
        </w:rPr>
        <w:t>.</w:t>
      </w:r>
      <w:r>
        <w:rPr>
          <w:rStyle w:val="FootnoteReference"/>
          <w:rFonts w:cs="Times"/>
          <w:lang w:val="en-US"/>
        </w:rPr>
        <w:footnoteReference w:id="13"/>
      </w:r>
    </w:p>
    <w:p w14:paraId="453D5125" w14:textId="77777777" w:rsidR="00843611" w:rsidRDefault="00843611" w:rsidP="00843611">
      <w:pPr>
        <w:spacing w:line="360" w:lineRule="auto"/>
        <w:rPr>
          <w:rFonts w:cs="Times"/>
          <w:lang w:val="en-US"/>
        </w:rPr>
      </w:pPr>
    </w:p>
    <w:p w14:paraId="5C5ED9EC" w14:textId="77777777" w:rsidR="00843611" w:rsidRDefault="00843611" w:rsidP="00843611">
      <w:pPr>
        <w:spacing w:line="360" w:lineRule="auto"/>
        <w:rPr>
          <w:rFonts w:cs="Times"/>
          <w:lang w:val="en-US"/>
        </w:rPr>
      </w:pPr>
      <w:r>
        <w:rPr>
          <w:rFonts w:cs="Times"/>
          <w:lang w:val="en-US"/>
        </w:rPr>
        <w:t>An empirically study focusing specifically on the wealthy regarding effect of taxation on labour supply is performed by Moffit &amp; Wilhelm (2000). The methodology is similar to the study by Meghir and Philips, using US panel data on high-income men from the 1983 and 1989 Survey of Consumer Finances. The 1986 tax reform, which increased the capital gains taxes, took place right in between these observations. The results imply that there is no response to the marginal wage tax rate changes in the hours worked by wealthy men. Partly, this may be explained by the fact that these men already worked long hours and that there was little room for response.</w:t>
      </w:r>
    </w:p>
    <w:p w14:paraId="3DDB18A3" w14:textId="77777777" w:rsidR="00843611" w:rsidRDefault="00843611" w:rsidP="00843611">
      <w:pPr>
        <w:spacing w:line="360" w:lineRule="auto"/>
        <w:rPr>
          <w:rFonts w:cs="Times"/>
          <w:lang w:val="en-US"/>
        </w:rPr>
      </w:pPr>
    </w:p>
    <w:p w14:paraId="194D0041" w14:textId="77777777" w:rsidR="00843611" w:rsidRDefault="00843611" w:rsidP="00843611">
      <w:pPr>
        <w:spacing w:line="360" w:lineRule="auto"/>
        <w:rPr>
          <w:rFonts w:cs="Times"/>
          <w:lang w:val="en-US"/>
        </w:rPr>
      </w:pPr>
      <w:r>
        <w:rPr>
          <w:rFonts w:cs="Times"/>
          <w:lang w:val="en-US"/>
        </w:rPr>
        <w:t xml:space="preserve">Gordon and </w:t>
      </w:r>
      <w:r w:rsidR="00F96E3A">
        <w:rPr>
          <w:rFonts w:cs="Times"/>
          <w:lang w:val="en-US"/>
        </w:rPr>
        <w:t>Kopczuk</w:t>
      </w:r>
      <w:r>
        <w:rPr>
          <w:rFonts w:cs="Times"/>
          <w:lang w:val="en-US"/>
        </w:rPr>
        <w:t xml:space="preserve"> (2014) empirically investigate the optimal tax base on equity and efficiency grounds using a self-derived theorem. Their data, containing various categories of variables, stems from the Panel Study of Income Dynamics of 1968-1997, 1999 and 2001. The study tries to find empirical partial correlations between earning ability and items in the tax base. As follows from this, the study mainly has an equity perspective. However, the results can be applied to the argument that a tax on capital income should be used for efficiency reasons. The empirical results show that: “</w:t>
      </w:r>
      <w:r>
        <w:rPr>
          <w:rFonts w:cs="Times"/>
          <w:i/>
          <w:lang w:val="en-US"/>
        </w:rPr>
        <w:t>those with the same labour income but higher capital income tend to have higher wage rates”</w:t>
      </w:r>
      <w:r>
        <w:rPr>
          <w:rFonts w:cs="Times"/>
          <w:lang w:val="en-US"/>
        </w:rPr>
        <w:t xml:space="preserve">. This can only be the case if the ones earning a lower capital income supply more labour. </w:t>
      </w:r>
    </w:p>
    <w:p w14:paraId="3A0F8BB0" w14:textId="77777777" w:rsidR="00843611" w:rsidRDefault="00843611" w:rsidP="00843611">
      <w:pPr>
        <w:spacing w:line="360" w:lineRule="auto"/>
        <w:rPr>
          <w:rFonts w:cs="Times"/>
          <w:lang w:val="en-US"/>
        </w:rPr>
      </w:pPr>
    </w:p>
    <w:p w14:paraId="016EC31F" w14:textId="77777777" w:rsidR="00843611" w:rsidRPr="00931F52" w:rsidRDefault="00843611" w:rsidP="00843611">
      <w:pPr>
        <w:spacing w:line="360" w:lineRule="auto"/>
        <w:rPr>
          <w:noProof/>
          <w:lang w:val="nl-NL"/>
        </w:rPr>
      </w:pPr>
      <w:r w:rsidRPr="00800CC0">
        <w:rPr>
          <w:noProof/>
          <w:lang w:val="nl-NL"/>
        </w:rPr>
        <w:t>Pirttilä &amp; Suoniemi</w:t>
      </w:r>
      <w:r>
        <w:rPr>
          <w:noProof/>
          <w:lang w:val="nl-NL"/>
        </w:rPr>
        <w:t xml:space="preserve"> (2014) research Finnish consumption data, in order to find a relation between commodity demand and hours worked. They include capital income in their </w:t>
      </w:r>
      <w:r>
        <w:rPr>
          <w:noProof/>
          <w:lang w:val="nl-NL"/>
        </w:rPr>
        <w:lastRenderedPageBreak/>
        <w:t>model, comprised of capital gains, rental income, dividens and interest income. Data is used from the Statistics Finland’s Household Budget Survey in 2006, with a sample of 4.006 households. In the models, labour income is controlled for in a non-parametric way. They find estimates for commodity demand from a partially linear model that show a significant negative coefficient for capital income. Thus, a decrease in capital income constitutes an increase in hours worked. From a perspective of efficiency, this validates the use of a capital gains tax to counter distortions from labour income taxation.</w:t>
      </w:r>
    </w:p>
    <w:p w14:paraId="11402A1F" w14:textId="77777777" w:rsidR="00843611" w:rsidRDefault="00843611" w:rsidP="00843611">
      <w:pPr>
        <w:spacing w:line="360" w:lineRule="auto"/>
        <w:rPr>
          <w:rFonts w:ascii="Times" w:hAnsi="Times" w:cs="Times"/>
          <w:lang w:val="en-US"/>
        </w:rPr>
      </w:pPr>
    </w:p>
    <w:p w14:paraId="659CA108" w14:textId="59483234" w:rsidR="00843611" w:rsidRDefault="00843611" w:rsidP="00843611">
      <w:pPr>
        <w:spacing w:line="360" w:lineRule="auto"/>
        <w:rPr>
          <w:rFonts w:cs="Times"/>
          <w:lang w:val="en-US"/>
        </w:rPr>
      </w:pPr>
      <w:r>
        <w:rPr>
          <w:rFonts w:cs="Times"/>
          <w:lang w:val="en-US"/>
        </w:rPr>
        <w:t>Erosa &amp; Gervais (2002) show that it is optimal to tax capital income in order to stimulate labour supply at a higher age. They study an overlapping generations economy. A tax on capital income serves as a tax on leisure.</w:t>
      </w:r>
      <w:r w:rsidR="00BA2DE6">
        <w:rPr>
          <w:rFonts w:cs="Times"/>
          <w:lang w:val="en-US"/>
        </w:rPr>
        <w:t xml:space="preserve"> </w:t>
      </w:r>
      <w:r>
        <w:rPr>
          <w:rFonts w:cs="Times"/>
          <w:lang w:val="en-US"/>
        </w:rPr>
        <w:t xml:space="preserve">Conesa </w:t>
      </w:r>
      <w:r>
        <w:rPr>
          <w:rFonts w:cs="Times"/>
          <w:i/>
          <w:lang w:val="en-US"/>
        </w:rPr>
        <w:t>et al.</w:t>
      </w:r>
      <w:r>
        <w:rPr>
          <w:rFonts w:cs="Times"/>
          <w:lang w:val="en-US"/>
        </w:rPr>
        <w:t xml:space="preserve"> (2009) build on these results also constructing an overlapping generations model, introducing among other factors idiosyncratic risk and type heterogeneity. The life cycle structure is key in explaining the result of a capital income tax, together with the elasticity of labour supply on capital income. </w:t>
      </w:r>
      <w:r w:rsidR="00D61972">
        <w:rPr>
          <w:rFonts w:cs="Times"/>
          <w:lang w:val="en-US"/>
        </w:rPr>
        <w:t xml:space="preserve">They show that taxing capital income is optimal to encourage labour supply at a higher age. </w:t>
      </w:r>
      <w:r>
        <w:rPr>
          <w:rFonts w:cs="Times"/>
          <w:lang w:val="en-US"/>
        </w:rPr>
        <w:t>Their quantified results take the shape of an optimal capital and labour income tax: the optimal capital income tax rate being significant and at a level of 36 percent.</w:t>
      </w:r>
    </w:p>
    <w:p w14:paraId="3EE7D9D2" w14:textId="77777777" w:rsidR="00357324" w:rsidRDefault="00357324" w:rsidP="00843611">
      <w:pPr>
        <w:spacing w:line="360" w:lineRule="auto"/>
        <w:rPr>
          <w:rFonts w:cs="Times"/>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
        <w:gridCol w:w="1373"/>
        <w:gridCol w:w="1665"/>
        <w:gridCol w:w="2175"/>
        <w:gridCol w:w="1507"/>
        <w:gridCol w:w="2062"/>
      </w:tblGrid>
      <w:tr w:rsidR="00A32612" w:rsidRPr="00AE339B" w14:paraId="64755871" w14:textId="77777777" w:rsidTr="00245689">
        <w:trPr>
          <w:trHeight w:val="559"/>
          <w:jc w:val="center"/>
        </w:trPr>
        <w:tc>
          <w:tcPr>
            <w:tcW w:w="1424" w:type="dxa"/>
          </w:tcPr>
          <w:p w14:paraId="558D81A3" w14:textId="77777777" w:rsidR="00357324" w:rsidRPr="00AE339B" w:rsidRDefault="00357324" w:rsidP="00357324">
            <w:pPr>
              <w:spacing w:line="360" w:lineRule="auto"/>
            </w:pPr>
            <w:r w:rsidRPr="00AE339B">
              <w:t>Argument</w:t>
            </w:r>
          </w:p>
        </w:tc>
        <w:tc>
          <w:tcPr>
            <w:tcW w:w="1373" w:type="dxa"/>
          </w:tcPr>
          <w:p w14:paraId="30B31BAA" w14:textId="77777777" w:rsidR="00357324" w:rsidRPr="00AE339B" w:rsidRDefault="00357324" w:rsidP="00357324">
            <w:pPr>
              <w:spacing w:line="360" w:lineRule="auto"/>
            </w:pPr>
            <w:r w:rsidRPr="00AE339B">
              <w:t>Empirical studies</w:t>
            </w:r>
          </w:p>
        </w:tc>
        <w:tc>
          <w:tcPr>
            <w:tcW w:w="1665" w:type="dxa"/>
          </w:tcPr>
          <w:p w14:paraId="62390D3E" w14:textId="77777777" w:rsidR="00357324" w:rsidRPr="00AE339B" w:rsidRDefault="00357324" w:rsidP="00357324">
            <w:pPr>
              <w:spacing w:line="360" w:lineRule="auto"/>
            </w:pPr>
            <w:r w:rsidRPr="00AE339B">
              <w:t>Data</w:t>
            </w:r>
            <w:r>
              <w:t>/Sample</w:t>
            </w:r>
          </w:p>
        </w:tc>
        <w:tc>
          <w:tcPr>
            <w:tcW w:w="2175" w:type="dxa"/>
          </w:tcPr>
          <w:p w14:paraId="41BDDE1D" w14:textId="77777777" w:rsidR="00357324" w:rsidRPr="00AE339B" w:rsidRDefault="00357324" w:rsidP="00357324">
            <w:pPr>
              <w:spacing w:line="360" w:lineRule="auto"/>
            </w:pPr>
            <w:r>
              <w:t>Variables Used</w:t>
            </w:r>
          </w:p>
        </w:tc>
        <w:tc>
          <w:tcPr>
            <w:tcW w:w="1507" w:type="dxa"/>
          </w:tcPr>
          <w:p w14:paraId="2BFEC92A" w14:textId="77777777" w:rsidR="00357324" w:rsidRPr="00AE339B" w:rsidRDefault="00357324" w:rsidP="00357324">
            <w:pPr>
              <w:spacing w:line="360" w:lineRule="auto"/>
            </w:pPr>
            <w:r>
              <w:t>Model</w:t>
            </w:r>
          </w:p>
        </w:tc>
        <w:tc>
          <w:tcPr>
            <w:tcW w:w="2062" w:type="dxa"/>
          </w:tcPr>
          <w:p w14:paraId="687826CC" w14:textId="77777777" w:rsidR="00357324" w:rsidRPr="00AE339B" w:rsidRDefault="00357324" w:rsidP="00357324">
            <w:pPr>
              <w:spacing w:line="360" w:lineRule="auto"/>
            </w:pPr>
            <w:r>
              <w:t>Results</w:t>
            </w:r>
          </w:p>
        </w:tc>
      </w:tr>
      <w:tr w:rsidR="00A32612" w:rsidRPr="0079233E" w14:paraId="52D595F7" w14:textId="77777777" w:rsidTr="00245689">
        <w:trPr>
          <w:trHeight w:val="1440"/>
          <w:jc w:val="center"/>
        </w:trPr>
        <w:tc>
          <w:tcPr>
            <w:tcW w:w="1424" w:type="dxa"/>
            <w:vMerge w:val="restart"/>
          </w:tcPr>
          <w:p w14:paraId="04CEDC51" w14:textId="77777777" w:rsidR="00357324" w:rsidRPr="00BC5382" w:rsidRDefault="00357324" w:rsidP="00F71C8D">
            <w:pPr>
              <w:spacing w:line="276" w:lineRule="auto"/>
              <w:rPr>
                <w:i/>
                <w:sz w:val="20"/>
                <w:szCs w:val="20"/>
              </w:rPr>
            </w:pPr>
            <w:r w:rsidRPr="00BC5382">
              <w:rPr>
                <w:i/>
                <w:sz w:val="20"/>
                <w:szCs w:val="20"/>
              </w:rPr>
              <w:t>Countering distortions in labour supply</w:t>
            </w:r>
          </w:p>
          <w:p w14:paraId="0EE6CD2C" w14:textId="77777777" w:rsidR="00357324" w:rsidRPr="00BC5382" w:rsidRDefault="00357324" w:rsidP="00F71C8D">
            <w:pPr>
              <w:spacing w:line="276" w:lineRule="auto"/>
              <w:rPr>
                <w:i/>
                <w:sz w:val="20"/>
                <w:szCs w:val="20"/>
              </w:rPr>
            </w:pPr>
          </w:p>
        </w:tc>
        <w:tc>
          <w:tcPr>
            <w:tcW w:w="1373" w:type="dxa"/>
          </w:tcPr>
          <w:p w14:paraId="4759B7DF" w14:textId="77777777" w:rsidR="00357324" w:rsidRPr="00BC5382" w:rsidRDefault="00357324" w:rsidP="00F71C8D">
            <w:pPr>
              <w:spacing w:line="276" w:lineRule="auto"/>
              <w:rPr>
                <w:sz w:val="20"/>
                <w:szCs w:val="20"/>
              </w:rPr>
            </w:pPr>
            <w:r w:rsidRPr="00BC5382">
              <w:rPr>
                <w:rFonts w:cs="Times"/>
                <w:sz w:val="20"/>
                <w:szCs w:val="20"/>
                <w:lang w:val="en-US"/>
              </w:rPr>
              <w:t>Meghir and Philips (2010)</w:t>
            </w:r>
          </w:p>
        </w:tc>
        <w:tc>
          <w:tcPr>
            <w:tcW w:w="1665" w:type="dxa"/>
          </w:tcPr>
          <w:p w14:paraId="57EFCA44" w14:textId="5374A527" w:rsidR="00357324" w:rsidRPr="001430C5" w:rsidRDefault="00357324" w:rsidP="00F71C8D">
            <w:pPr>
              <w:spacing w:line="276" w:lineRule="auto"/>
              <w:rPr>
                <w:sz w:val="20"/>
                <w:szCs w:val="20"/>
              </w:rPr>
            </w:pPr>
            <w:r>
              <w:rPr>
                <w:sz w:val="20"/>
                <w:szCs w:val="20"/>
              </w:rPr>
              <w:t>1990-2010</w:t>
            </w:r>
            <w:r w:rsidR="00174AC6">
              <w:rPr>
                <w:sz w:val="20"/>
                <w:szCs w:val="20"/>
              </w:rPr>
              <w:t xml:space="preserve">, UK data </w:t>
            </w:r>
          </w:p>
        </w:tc>
        <w:tc>
          <w:tcPr>
            <w:tcW w:w="2175" w:type="dxa"/>
          </w:tcPr>
          <w:p w14:paraId="252F6DE5" w14:textId="7BD8716B" w:rsidR="00357324" w:rsidRPr="00174AC6" w:rsidRDefault="00174AC6" w:rsidP="00F71C8D">
            <w:pPr>
              <w:spacing w:line="276" w:lineRule="auto"/>
              <w:rPr>
                <w:sz w:val="20"/>
                <w:szCs w:val="20"/>
              </w:rPr>
            </w:pPr>
            <w:r>
              <w:rPr>
                <w:sz w:val="20"/>
                <w:szCs w:val="20"/>
              </w:rPr>
              <w:t>To have a job or not – hours worked – capital gains tax rate</w:t>
            </w:r>
          </w:p>
        </w:tc>
        <w:tc>
          <w:tcPr>
            <w:tcW w:w="1507" w:type="dxa"/>
          </w:tcPr>
          <w:p w14:paraId="27979FD8" w14:textId="77777777" w:rsidR="00357324" w:rsidRPr="001430C5" w:rsidRDefault="00357324" w:rsidP="00F71C8D">
            <w:pPr>
              <w:spacing w:line="276" w:lineRule="auto"/>
              <w:rPr>
                <w:sz w:val="20"/>
                <w:szCs w:val="20"/>
              </w:rPr>
            </w:pPr>
            <w:r>
              <w:rPr>
                <w:sz w:val="20"/>
                <w:szCs w:val="20"/>
              </w:rPr>
              <w:t>Difference-in-differences</w:t>
            </w:r>
          </w:p>
        </w:tc>
        <w:tc>
          <w:tcPr>
            <w:tcW w:w="2062" w:type="dxa"/>
          </w:tcPr>
          <w:p w14:paraId="7EDBD70A" w14:textId="5821E627" w:rsidR="00357324" w:rsidRPr="00174AC6" w:rsidRDefault="00174AC6" w:rsidP="00F71C8D">
            <w:pPr>
              <w:spacing w:line="276" w:lineRule="auto"/>
              <w:rPr>
                <w:sz w:val="20"/>
                <w:szCs w:val="20"/>
              </w:rPr>
            </w:pPr>
            <w:r>
              <w:rPr>
                <w:sz w:val="20"/>
                <w:szCs w:val="20"/>
              </w:rPr>
              <w:t>Low response in hours worked for men, slightly more for married women and lone mothers. Job decision not very responsive to tax changes.</w:t>
            </w:r>
          </w:p>
        </w:tc>
      </w:tr>
      <w:tr w:rsidR="00A32612" w:rsidRPr="001430C5" w14:paraId="2BDEFB91" w14:textId="77777777" w:rsidTr="00245689">
        <w:trPr>
          <w:trHeight w:val="1248"/>
          <w:jc w:val="center"/>
        </w:trPr>
        <w:tc>
          <w:tcPr>
            <w:tcW w:w="1424" w:type="dxa"/>
            <w:vMerge/>
          </w:tcPr>
          <w:p w14:paraId="66E6FDF8" w14:textId="77777777" w:rsidR="00357324" w:rsidRPr="00BC5382" w:rsidRDefault="00357324" w:rsidP="00F71C8D">
            <w:pPr>
              <w:spacing w:line="276" w:lineRule="auto"/>
              <w:rPr>
                <w:sz w:val="20"/>
                <w:szCs w:val="20"/>
              </w:rPr>
            </w:pPr>
          </w:p>
        </w:tc>
        <w:tc>
          <w:tcPr>
            <w:tcW w:w="1373" w:type="dxa"/>
          </w:tcPr>
          <w:p w14:paraId="46A9F9BF" w14:textId="77777777" w:rsidR="00357324" w:rsidRPr="00BC5382" w:rsidRDefault="00357324" w:rsidP="00F71C8D">
            <w:pPr>
              <w:spacing w:line="276" w:lineRule="auto"/>
              <w:rPr>
                <w:sz w:val="20"/>
                <w:szCs w:val="20"/>
              </w:rPr>
            </w:pPr>
            <w:r w:rsidRPr="00BC5382">
              <w:rPr>
                <w:rFonts w:cs="Times"/>
                <w:sz w:val="20"/>
                <w:szCs w:val="20"/>
                <w:lang w:val="en-US"/>
              </w:rPr>
              <w:t>Moffit &amp; Wilhelm (2000)</w:t>
            </w:r>
          </w:p>
        </w:tc>
        <w:tc>
          <w:tcPr>
            <w:tcW w:w="1665" w:type="dxa"/>
          </w:tcPr>
          <w:p w14:paraId="01DEE863" w14:textId="77777777" w:rsidR="00357324" w:rsidRPr="001430C5" w:rsidRDefault="00357324" w:rsidP="00F71C8D">
            <w:pPr>
              <w:spacing w:line="276" w:lineRule="auto"/>
              <w:rPr>
                <w:sz w:val="20"/>
                <w:szCs w:val="20"/>
              </w:rPr>
            </w:pPr>
            <w:r>
              <w:rPr>
                <w:sz w:val="20"/>
                <w:szCs w:val="20"/>
              </w:rPr>
              <w:t>Survey of Consumer Finances 1983, 1989 (tax reform occurred in1986)</w:t>
            </w:r>
          </w:p>
        </w:tc>
        <w:tc>
          <w:tcPr>
            <w:tcW w:w="2175" w:type="dxa"/>
          </w:tcPr>
          <w:p w14:paraId="5F85C2D4" w14:textId="77777777" w:rsidR="00357324" w:rsidRPr="001430C5" w:rsidRDefault="00357324" w:rsidP="00F71C8D">
            <w:pPr>
              <w:spacing w:line="276" w:lineRule="auto"/>
              <w:rPr>
                <w:sz w:val="20"/>
                <w:szCs w:val="20"/>
              </w:rPr>
            </w:pPr>
            <w:r>
              <w:rPr>
                <w:sz w:val="20"/>
                <w:szCs w:val="20"/>
              </w:rPr>
              <w:t>Marginal wage tax rate – annual hours worked – taxable/total income</w:t>
            </w:r>
          </w:p>
        </w:tc>
        <w:tc>
          <w:tcPr>
            <w:tcW w:w="1507" w:type="dxa"/>
          </w:tcPr>
          <w:p w14:paraId="299026F2" w14:textId="77777777" w:rsidR="00357324" w:rsidRPr="001430C5" w:rsidRDefault="00357324" w:rsidP="00F71C8D">
            <w:pPr>
              <w:spacing w:line="276" w:lineRule="auto"/>
              <w:rPr>
                <w:sz w:val="20"/>
                <w:szCs w:val="20"/>
              </w:rPr>
            </w:pPr>
            <w:r>
              <w:rPr>
                <w:sz w:val="20"/>
                <w:szCs w:val="20"/>
              </w:rPr>
              <w:t>Difference-in-differences</w:t>
            </w:r>
          </w:p>
        </w:tc>
        <w:tc>
          <w:tcPr>
            <w:tcW w:w="2062" w:type="dxa"/>
          </w:tcPr>
          <w:p w14:paraId="1A32D9EC" w14:textId="77777777" w:rsidR="00357324" w:rsidRPr="001430C5" w:rsidRDefault="00357324" w:rsidP="00F71C8D">
            <w:pPr>
              <w:spacing w:line="276" w:lineRule="auto"/>
              <w:rPr>
                <w:sz w:val="20"/>
                <w:szCs w:val="20"/>
              </w:rPr>
            </w:pPr>
            <w:r>
              <w:rPr>
                <w:sz w:val="20"/>
                <w:szCs w:val="20"/>
              </w:rPr>
              <w:t xml:space="preserve">Adjusted gross income elasticity of 2, but elasticity for hours worked of 0.2 for middle income and zero for rich individuals </w:t>
            </w:r>
          </w:p>
        </w:tc>
      </w:tr>
      <w:tr w:rsidR="00A32612" w:rsidRPr="001430C5" w14:paraId="11038D33" w14:textId="77777777" w:rsidTr="00245689">
        <w:trPr>
          <w:trHeight w:val="1424"/>
          <w:jc w:val="center"/>
        </w:trPr>
        <w:tc>
          <w:tcPr>
            <w:tcW w:w="1424" w:type="dxa"/>
            <w:vMerge/>
          </w:tcPr>
          <w:p w14:paraId="2465B26F" w14:textId="77777777" w:rsidR="00357324" w:rsidRPr="00BC5382" w:rsidRDefault="00357324" w:rsidP="00F71C8D">
            <w:pPr>
              <w:spacing w:line="276" w:lineRule="auto"/>
              <w:rPr>
                <w:sz w:val="20"/>
                <w:szCs w:val="20"/>
              </w:rPr>
            </w:pPr>
          </w:p>
        </w:tc>
        <w:tc>
          <w:tcPr>
            <w:tcW w:w="1373" w:type="dxa"/>
          </w:tcPr>
          <w:p w14:paraId="6C7B0E1C" w14:textId="77777777" w:rsidR="00357324" w:rsidRPr="00BC5382" w:rsidRDefault="00357324" w:rsidP="00F71C8D">
            <w:pPr>
              <w:spacing w:line="276" w:lineRule="auto"/>
              <w:rPr>
                <w:sz w:val="20"/>
                <w:szCs w:val="20"/>
              </w:rPr>
            </w:pPr>
            <w:r w:rsidRPr="00BC5382">
              <w:rPr>
                <w:rFonts w:cs="Times"/>
                <w:sz w:val="20"/>
                <w:szCs w:val="20"/>
                <w:lang w:val="en-US"/>
              </w:rPr>
              <w:t>Gordon and Kopczuk (2014)</w:t>
            </w:r>
          </w:p>
        </w:tc>
        <w:tc>
          <w:tcPr>
            <w:tcW w:w="1665" w:type="dxa"/>
          </w:tcPr>
          <w:p w14:paraId="47D93471" w14:textId="77777777" w:rsidR="00357324" w:rsidRPr="001430C5" w:rsidRDefault="00357324" w:rsidP="00F71C8D">
            <w:pPr>
              <w:spacing w:line="276" w:lineRule="auto"/>
              <w:rPr>
                <w:sz w:val="20"/>
                <w:szCs w:val="20"/>
              </w:rPr>
            </w:pPr>
            <w:r>
              <w:rPr>
                <w:sz w:val="20"/>
                <w:szCs w:val="20"/>
              </w:rPr>
              <w:t>Panel Study of Income Dynamics 1968-1997, 1999, 2001</w:t>
            </w:r>
          </w:p>
        </w:tc>
        <w:tc>
          <w:tcPr>
            <w:tcW w:w="2175" w:type="dxa"/>
          </w:tcPr>
          <w:p w14:paraId="72BDBF05" w14:textId="77777777" w:rsidR="00357324" w:rsidRPr="001430C5" w:rsidRDefault="00357324" w:rsidP="00F71C8D">
            <w:pPr>
              <w:spacing w:line="276" w:lineRule="auto"/>
              <w:rPr>
                <w:sz w:val="20"/>
                <w:szCs w:val="20"/>
              </w:rPr>
            </w:pPr>
            <w:r>
              <w:rPr>
                <w:sz w:val="20"/>
                <w:szCs w:val="20"/>
              </w:rPr>
              <w:t>Earning ability – items in the tax base</w:t>
            </w:r>
          </w:p>
        </w:tc>
        <w:tc>
          <w:tcPr>
            <w:tcW w:w="1507" w:type="dxa"/>
          </w:tcPr>
          <w:p w14:paraId="74561933" w14:textId="77777777" w:rsidR="00357324" w:rsidRPr="001430C5" w:rsidRDefault="00357324" w:rsidP="00F71C8D">
            <w:pPr>
              <w:spacing w:line="276" w:lineRule="auto"/>
              <w:rPr>
                <w:sz w:val="20"/>
                <w:szCs w:val="20"/>
              </w:rPr>
            </w:pPr>
            <w:r>
              <w:rPr>
                <w:sz w:val="20"/>
                <w:szCs w:val="20"/>
              </w:rPr>
              <w:t>Semiparametric Regression analysis</w:t>
            </w:r>
          </w:p>
        </w:tc>
        <w:tc>
          <w:tcPr>
            <w:tcW w:w="2062" w:type="dxa"/>
          </w:tcPr>
          <w:p w14:paraId="2611B96F" w14:textId="77777777" w:rsidR="00357324" w:rsidRPr="001430C5" w:rsidRDefault="00357324" w:rsidP="00F71C8D">
            <w:pPr>
              <w:spacing w:line="276" w:lineRule="auto"/>
              <w:rPr>
                <w:sz w:val="20"/>
                <w:szCs w:val="20"/>
              </w:rPr>
            </w:pPr>
            <w:r>
              <w:rPr>
                <w:sz w:val="20"/>
                <w:szCs w:val="20"/>
              </w:rPr>
              <w:t>Those with the same labour income but higher capital income tend to have higher wage rates</w:t>
            </w:r>
          </w:p>
        </w:tc>
      </w:tr>
      <w:tr w:rsidR="00A32612" w:rsidRPr="001430C5" w14:paraId="748570C2" w14:textId="77777777" w:rsidTr="00245689">
        <w:trPr>
          <w:trHeight w:val="1376"/>
          <w:jc w:val="center"/>
        </w:trPr>
        <w:tc>
          <w:tcPr>
            <w:tcW w:w="1424" w:type="dxa"/>
            <w:vMerge/>
          </w:tcPr>
          <w:p w14:paraId="504CA801" w14:textId="77777777" w:rsidR="00357324" w:rsidRPr="00BC5382" w:rsidRDefault="00357324" w:rsidP="00F71C8D">
            <w:pPr>
              <w:spacing w:line="276" w:lineRule="auto"/>
              <w:rPr>
                <w:sz w:val="20"/>
                <w:szCs w:val="20"/>
              </w:rPr>
            </w:pPr>
          </w:p>
        </w:tc>
        <w:tc>
          <w:tcPr>
            <w:tcW w:w="1373" w:type="dxa"/>
          </w:tcPr>
          <w:p w14:paraId="27D61D55" w14:textId="77777777" w:rsidR="00357324" w:rsidRPr="00BC5382" w:rsidRDefault="00357324" w:rsidP="00F71C8D">
            <w:pPr>
              <w:spacing w:line="276" w:lineRule="auto"/>
              <w:rPr>
                <w:sz w:val="20"/>
                <w:szCs w:val="20"/>
              </w:rPr>
            </w:pPr>
            <w:r w:rsidRPr="00BC5382">
              <w:rPr>
                <w:noProof/>
                <w:sz w:val="20"/>
                <w:szCs w:val="20"/>
                <w:lang w:val="nl-NL"/>
              </w:rPr>
              <w:t>Pirttilä &amp; Suoniemi (2014)</w:t>
            </w:r>
          </w:p>
        </w:tc>
        <w:tc>
          <w:tcPr>
            <w:tcW w:w="1665" w:type="dxa"/>
          </w:tcPr>
          <w:p w14:paraId="5C302017" w14:textId="77777777" w:rsidR="00357324" w:rsidRPr="001430C5" w:rsidRDefault="00357324" w:rsidP="00F71C8D">
            <w:pPr>
              <w:spacing w:line="276" w:lineRule="auto"/>
              <w:rPr>
                <w:sz w:val="20"/>
                <w:szCs w:val="20"/>
              </w:rPr>
            </w:pPr>
            <w:r>
              <w:rPr>
                <w:sz w:val="20"/>
                <w:szCs w:val="20"/>
              </w:rPr>
              <w:t>Statistics Finland’s Household Budget Survey 2006, sample size 4.006</w:t>
            </w:r>
          </w:p>
        </w:tc>
        <w:tc>
          <w:tcPr>
            <w:tcW w:w="2175" w:type="dxa"/>
          </w:tcPr>
          <w:p w14:paraId="3D4C06DF" w14:textId="23DD5343" w:rsidR="00357324" w:rsidRPr="001430C5" w:rsidRDefault="00357324" w:rsidP="00F71C8D">
            <w:pPr>
              <w:spacing w:line="276" w:lineRule="auto"/>
              <w:rPr>
                <w:sz w:val="20"/>
                <w:szCs w:val="20"/>
              </w:rPr>
            </w:pPr>
            <w:r>
              <w:rPr>
                <w:sz w:val="20"/>
                <w:szCs w:val="20"/>
              </w:rPr>
              <w:t xml:space="preserve">Joint hours </w:t>
            </w:r>
            <w:r w:rsidR="0008493A">
              <w:rPr>
                <w:sz w:val="20"/>
                <w:szCs w:val="20"/>
              </w:rPr>
              <w:t xml:space="preserve">worked </w:t>
            </w:r>
            <w:r>
              <w:rPr>
                <w:sz w:val="20"/>
                <w:szCs w:val="20"/>
              </w:rPr>
              <w:t>of a couple – commodity demands (various, among which capital income) – several control variables</w:t>
            </w:r>
          </w:p>
        </w:tc>
        <w:tc>
          <w:tcPr>
            <w:tcW w:w="1507" w:type="dxa"/>
          </w:tcPr>
          <w:p w14:paraId="28B05DCC" w14:textId="77777777" w:rsidR="00357324" w:rsidRPr="001430C5" w:rsidRDefault="00357324" w:rsidP="00F71C8D">
            <w:pPr>
              <w:spacing w:line="276" w:lineRule="auto"/>
              <w:rPr>
                <w:sz w:val="20"/>
                <w:szCs w:val="20"/>
              </w:rPr>
            </w:pPr>
            <w:r>
              <w:rPr>
                <w:sz w:val="20"/>
                <w:szCs w:val="20"/>
              </w:rPr>
              <w:t>Semiparametric Regression analysis</w:t>
            </w:r>
          </w:p>
        </w:tc>
        <w:tc>
          <w:tcPr>
            <w:tcW w:w="2062" w:type="dxa"/>
          </w:tcPr>
          <w:p w14:paraId="110B2B36" w14:textId="77777777" w:rsidR="00357324" w:rsidRPr="001430C5" w:rsidRDefault="00357324" w:rsidP="00F71C8D">
            <w:pPr>
              <w:spacing w:line="276" w:lineRule="auto"/>
              <w:rPr>
                <w:sz w:val="20"/>
                <w:szCs w:val="20"/>
              </w:rPr>
            </w:pPr>
            <w:r>
              <w:rPr>
                <w:sz w:val="20"/>
                <w:szCs w:val="20"/>
              </w:rPr>
              <w:t>Coefficient of capital income=      -0.07 with significance at the 99% confidence level</w:t>
            </w:r>
          </w:p>
        </w:tc>
      </w:tr>
      <w:tr w:rsidR="00A32612" w:rsidRPr="001430C5" w14:paraId="5978AA70" w14:textId="77777777" w:rsidTr="00245689">
        <w:trPr>
          <w:trHeight w:val="1216"/>
          <w:jc w:val="center"/>
        </w:trPr>
        <w:tc>
          <w:tcPr>
            <w:tcW w:w="1424" w:type="dxa"/>
            <w:vMerge/>
          </w:tcPr>
          <w:p w14:paraId="3E43C0E2" w14:textId="77777777" w:rsidR="00357324" w:rsidRPr="00406071" w:rsidRDefault="00357324" w:rsidP="00F71C8D">
            <w:pPr>
              <w:spacing w:line="276" w:lineRule="auto"/>
              <w:rPr>
                <w:sz w:val="20"/>
                <w:szCs w:val="20"/>
              </w:rPr>
            </w:pPr>
          </w:p>
        </w:tc>
        <w:tc>
          <w:tcPr>
            <w:tcW w:w="1373" w:type="dxa"/>
          </w:tcPr>
          <w:p w14:paraId="484B6210" w14:textId="77777777" w:rsidR="00357324" w:rsidRPr="00406071" w:rsidRDefault="00357324" w:rsidP="00F71C8D">
            <w:pPr>
              <w:spacing w:line="276" w:lineRule="auto"/>
              <w:rPr>
                <w:sz w:val="20"/>
                <w:szCs w:val="20"/>
              </w:rPr>
            </w:pPr>
            <w:r w:rsidRPr="00406071">
              <w:rPr>
                <w:rFonts w:cs="Times"/>
                <w:sz w:val="20"/>
                <w:szCs w:val="20"/>
                <w:lang w:val="en-US"/>
              </w:rPr>
              <w:t>Erosa &amp; Gervais (2002)</w:t>
            </w:r>
          </w:p>
        </w:tc>
        <w:tc>
          <w:tcPr>
            <w:tcW w:w="1665" w:type="dxa"/>
          </w:tcPr>
          <w:p w14:paraId="0EFDCFFD" w14:textId="77777777" w:rsidR="00357324" w:rsidRPr="001430C5" w:rsidRDefault="00357324" w:rsidP="00F71C8D">
            <w:pPr>
              <w:spacing w:line="276" w:lineRule="auto"/>
              <w:rPr>
                <w:sz w:val="20"/>
                <w:szCs w:val="20"/>
              </w:rPr>
            </w:pPr>
            <w:r>
              <w:rPr>
                <w:sz w:val="20"/>
                <w:szCs w:val="20"/>
              </w:rPr>
              <w:t>Simulated data from a paper by Auerbach, Kotlikoff and Skinner</w:t>
            </w:r>
          </w:p>
        </w:tc>
        <w:tc>
          <w:tcPr>
            <w:tcW w:w="2175" w:type="dxa"/>
          </w:tcPr>
          <w:p w14:paraId="3A20DE06" w14:textId="77777777" w:rsidR="00357324" w:rsidRPr="001430C5" w:rsidRDefault="00357324" w:rsidP="00F71C8D">
            <w:pPr>
              <w:spacing w:line="276" w:lineRule="auto"/>
              <w:rPr>
                <w:sz w:val="20"/>
                <w:szCs w:val="20"/>
              </w:rPr>
            </w:pPr>
            <w:r>
              <w:rPr>
                <w:sz w:val="20"/>
                <w:szCs w:val="20"/>
              </w:rPr>
              <w:t>Labour supply – labour tax rate – productivity – capital income – and more</w:t>
            </w:r>
          </w:p>
        </w:tc>
        <w:tc>
          <w:tcPr>
            <w:tcW w:w="1507" w:type="dxa"/>
          </w:tcPr>
          <w:p w14:paraId="19F2601A" w14:textId="77777777" w:rsidR="00357324" w:rsidRPr="001430C5" w:rsidRDefault="00357324" w:rsidP="00F71C8D">
            <w:pPr>
              <w:spacing w:line="276" w:lineRule="auto"/>
              <w:rPr>
                <w:sz w:val="20"/>
                <w:szCs w:val="20"/>
              </w:rPr>
            </w:pPr>
            <w:r>
              <w:rPr>
                <w:sz w:val="20"/>
                <w:szCs w:val="20"/>
              </w:rPr>
              <w:t>Life-cycle growth model</w:t>
            </w:r>
          </w:p>
        </w:tc>
        <w:tc>
          <w:tcPr>
            <w:tcW w:w="2062" w:type="dxa"/>
          </w:tcPr>
          <w:p w14:paraId="025D89B6" w14:textId="77777777" w:rsidR="00357324" w:rsidRPr="001430C5" w:rsidRDefault="00357324" w:rsidP="00F71C8D">
            <w:pPr>
              <w:spacing w:line="276" w:lineRule="auto"/>
              <w:rPr>
                <w:sz w:val="20"/>
                <w:szCs w:val="20"/>
              </w:rPr>
            </w:pPr>
            <w:r>
              <w:rPr>
                <w:sz w:val="20"/>
                <w:szCs w:val="20"/>
              </w:rPr>
              <w:t>If an tax that varies with age is not feasible, a nonzero tax on capital income is optimal</w:t>
            </w:r>
          </w:p>
        </w:tc>
      </w:tr>
      <w:tr w:rsidR="00A32612" w:rsidRPr="001430C5" w14:paraId="0AD23FD7" w14:textId="77777777" w:rsidTr="00245689">
        <w:trPr>
          <w:trHeight w:val="1424"/>
          <w:jc w:val="center"/>
        </w:trPr>
        <w:tc>
          <w:tcPr>
            <w:tcW w:w="1424" w:type="dxa"/>
            <w:vMerge/>
          </w:tcPr>
          <w:p w14:paraId="052F61AF" w14:textId="77777777" w:rsidR="00357324" w:rsidRPr="00406071" w:rsidRDefault="00357324" w:rsidP="00F71C8D">
            <w:pPr>
              <w:spacing w:line="276" w:lineRule="auto"/>
              <w:rPr>
                <w:sz w:val="20"/>
                <w:szCs w:val="20"/>
              </w:rPr>
            </w:pPr>
          </w:p>
        </w:tc>
        <w:tc>
          <w:tcPr>
            <w:tcW w:w="1373" w:type="dxa"/>
          </w:tcPr>
          <w:p w14:paraId="05C33CA3" w14:textId="77777777" w:rsidR="00357324" w:rsidRPr="00406071" w:rsidRDefault="00357324" w:rsidP="00F71C8D">
            <w:pPr>
              <w:spacing w:line="276" w:lineRule="auto"/>
              <w:rPr>
                <w:sz w:val="20"/>
                <w:szCs w:val="20"/>
              </w:rPr>
            </w:pPr>
            <w:r w:rsidRPr="00406071">
              <w:rPr>
                <w:rFonts w:cs="Times"/>
                <w:sz w:val="20"/>
                <w:szCs w:val="20"/>
                <w:lang w:val="en-US"/>
              </w:rPr>
              <w:t xml:space="preserve">Conesa </w:t>
            </w:r>
            <w:r w:rsidRPr="00406071">
              <w:rPr>
                <w:rFonts w:cs="Times"/>
                <w:i/>
                <w:sz w:val="20"/>
                <w:szCs w:val="20"/>
                <w:lang w:val="en-US"/>
              </w:rPr>
              <w:t>et al.</w:t>
            </w:r>
            <w:r w:rsidRPr="00406071">
              <w:rPr>
                <w:rFonts w:cs="Times"/>
                <w:sz w:val="20"/>
                <w:szCs w:val="20"/>
                <w:lang w:val="en-US"/>
              </w:rPr>
              <w:t xml:space="preserve"> (2009)</w:t>
            </w:r>
          </w:p>
        </w:tc>
        <w:tc>
          <w:tcPr>
            <w:tcW w:w="1665" w:type="dxa"/>
          </w:tcPr>
          <w:p w14:paraId="2DF9E653" w14:textId="77777777" w:rsidR="00357324" w:rsidRPr="001430C5" w:rsidRDefault="00357324" w:rsidP="00F71C8D">
            <w:pPr>
              <w:spacing w:line="276" w:lineRule="auto"/>
              <w:rPr>
                <w:sz w:val="20"/>
                <w:szCs w:val="20"/>
              </w:rPr>
            </w:pPr>
            <w:r>
              <w:rPr>
                <w:sz w:val="20"/>
                <w:szCs w:val="20"/>
              </w:rPr>
              <w:t>Data from various articles by others. Some assumed values.</w:t>
            </w:r>
          </w:p>
        </w:tc>
        <w:tc>
          <w:tcPr>
            <w:tcW w:w="2175" w:type="dxa"/>
          </w:tcPr>
          <w:p w14:paraId="6705BEF7" w14:textId="77777777" w:rsidR="00357324" w:rsidRPr="001430C5" w:rsidRDefault="00357324" w:rsidP="00F71C8D">
            <w:pPr>
              <w:spacing w:line="276" w:lineRule="auto"/>
              <w:rPr>
                <w:sz w:val="20"/>
                <w:szCs w:val="20"/>
              </w:rPr>
            </w:pPr>
            <w:r>
              <w:rPr>
                <w:sz w:val="20"/>
                <w:szCs w:val="20"/>
              </w:rPr>
              <w:t>Capital income – labour supply – idiosyncratic risk – type heterogeneity – productivity – and more</w:t>
            </w:r>
          </w:p>
        </w:tc>
        <w:tc>
          <w:tcPr>
            <w:tcW w:w="1507" w:type="dxa"/>
          </w:tcPr>
          <w:p w14:paraId="627BE823" w14:textId="77777777" w:rsidR="00357324" w:rsidRPr="001430C5" w:rsidRDefault="00357324" w:rsidP="00F71C8D">
            <w:pPr>
              <w:spacing w:line="276" w:lineRule="auto"/>
              <w:rPr>
                <w:sz w:val="20"/>
                <w:szCs w:val="20"/>
              </w:rPr>
            </w:pPr>
            <w:r>
              <w:rPr>
                <w:sz w:val="20"/>
                <w:szCs w:val="20"/>
              </w:rPr>
              <w:t>Overlapping Generations Model</w:t>
            </w:r>
          </w:p>
        </w:tc>
        <w:tc>
          <w:tcPr>
            <w:tcW w:w="2062" w:type="dxa"/>
          </w:tcPr>
          <w:p w14:paraId="468581D2" w14:textId="77777777" w:rsidR="00357324" w:rsidRPr="001430C5" w:rsidRDefault="00357324" w:rsidP="00F71C8D">
            <w:pPr>
              <w:spacing w:line="276" w:lineRule="auto"/>
              <w:rPr>
                <w:sz w:val="20"/>
                <w:szCs w:val="20"/>
              </w:rPr>
            </w:pPr>
            <w:r>
              <w:rPr>
                <w:sz w:val="20"/>
                <w:szCs w:val="20"/>
              </w:rPr>
              <w:t xml:space="preserve">Optimal capital income tax rate= 36%, the value is significant </w:t>
            </w:r>
          </w:p>
        </w:tc>
      </w:tr>
    </w:tbl>
    <w:p w14:paraId="4BA646C6" w14:textId="77777777" w:rsidR="008121B1" w:rsidRPr="00945E36" w:rsidRDefault="008121B1" w:rsidP="00945E36">
      <w:pPr>
        <w:spacing w:line="360" w:lineRule="auto"/>
        <w:rPr>
          <w:b/>
        </w:rPr>
      </w:pPr>
    </w:p>
    <w:p w14:paraId="10DE8F33" w14:textId="77777777" w:rsidR="00945E36" w:rsidRPr="00945E36" w:rsidRDefault="00945E36" w:rsidP="00E145D3">
      <w:pPr>
        <w:pStyle w:val="Heading2"/>
      </w:pPr>
      <w:bookmarkStart w:id="35" w:name="_Toc331344950"/>
      <w:bookmarkStart w:id="36" w:name="_Toc331345802"/>
      <w:r>
        <w:t>Arbitrage and income shifting</w:t>
      </w:r>
      <w:bookmarkEnd w:id="35"/>
      <w:bookmarkEnd w:id="36"/>
    </w:p>
    <w:p w14:paraId="35763B2D" w14:textId="7CC7A8BA" w:rsidR="00232B9A" w:rsidRDefault="000D7B77" w:rsidP="00945E36">
      <w:pPr>
        <w:spacing w:line="360" w:lineRule="auto"/>
      </w:pPr>
      <w:r>
        <w:t xml:space="preserve">The first argument for capital </w:t>
      </w:r>
      <w:r w:rsidR="004B0D1C">
        <w:t>income</w:t>
      </w:r>
      <w:r>
        <w:t xml:space="preserve"> taxation concerns arbitrage and income shifting. </w:t>
      </w:r>
      <w:r w:rsidR="00B41170">
        <w:t xml:space="preserve">An increased capital </w:t>
      </w:r>
      <w:r w:rsidR="004B0D1C">
        <w:t>income</w:t>
      </w:r>
      <w:r w:rsidR="00B41170">
        <w:t xml:space="preserve"> tax rate has an income and a substitution effect on savings</w:t>
      </w:r>
      <w:r w:rsidR="000332EE">
        <w:t xml:space="preserve"> behaviour</w:t>
      </w:r>
      <w:r w:rsidR="00B41170">
        <w:t>, as explained in chapter 3</w:t>
      </w:r>
      <w:r w:rsidR="00950C1F">
        <w:t xml:space="preserve">. The theory </w:t>
      </w:r>
      <w:r w:rsidR="00C6104F">
        <w:t>behind</w:t>
      </w:r>
      <w:r w:rsidR="00950C1F">
        <w:t xml:space="preserve"> income shifting implies that when a tax increases on one base of income, taxpaying entities will try to shift their income to other –lower taxed- bases of income. </w:t>
      </w:r>
      <w:r w:rsidR="002E2EFD">
        <w:t xml:space="preserve">A tax on labour income works distortionary, since individuals convert their income into capital </w:t>
      </w:r>
      <w:r w:rsidR="004B0D1C">
        <w:t>income</w:t>
      </w:r>
      <w:r w:rsidR="002E2EFD">
        <w:t xml:space="preserve">, which </w:t>
      </w:r>
      <w:r w:rsidR="004B0D1C">
        <w:t>is</w:t>
      </w:r>
      <w:r w:rsidR="002E2EFD">
        <w:t xml:space="preserve"> taxed at a low level, if they are </w:t>
      </w:r>
      <w:r w:rsidR="00EF3F54">
        <w:t>realised</w:t>
      </w:r>
      <w:r w:rsidR="002E2EFD">
        <w:t xml:space="preserve"> at all (and not postponed for an indefinite period). </w:t>
      </w:r>
      <w:r w:rsidR="00D82403">
        <w:t xml:space="preserve">Thus, tax revenue </w:t>
      </w:r>
      <w:r w:rsidR="0000325E">
        <w:t>is lost due to the s</w:t>
      </w:r>
      <w:r w:rsidR="00445D80">
        <w:t>h</w:t>
      </w:r>
      <w:r w:rsidR="0000325E">
        <w:t xml:space="preserve">ifting activity. </w:t>
      </w:r>
      <w:r w:rsidR="000C46B1">
        <w:t xml:space="preserve">It </w:t>
      </w:r>
      <w:r w:rsidR="00942D9F">
        <w:t>is mostly</w:t>
      </w:r>
      <w:r w:rsidR="000C46B1">
        <w:t xml:space="preserve"> the</w:t>
      </w:r>
      <w:r w:rsidR="00F17E8B">
        <w:t xml:space="preserve"> wealthy</w:t>
      </w:r>
      <w:r w:rsidR="000C46B1">
        <w:t xml:space="preserve"> that </w:t>
      </w:r>
      <w:r w:rsidR="00212151">
        <w:t xml:space="preserve">engage in </w:t>
      </w:r>
      <w:r w:rsidR="00DE3FC2">
        <w:t>the practice of income shifting;</w:t>
      </w:r>
      <w:r w:rsidR="000C46B1">
        <w:t xml:space="preserve"> </w:t>
      </w:r>
      <w:r w:rsidR="00F17E8B">
        <w:t>On the one hand</w:t>
      </w:r>
      <w:r w:rsidR="000C46B1">
        <w:t xml:space="preserve"> they have the means</w:t>
      </w:r>
      <w:r w:rsidR="0000325E">
        <w:t xml:space="preserve"> to do so</w:t>
      </w:r>
      <w:r w:rsidR="000C46B1">
        <w:t xml:space="preserve">, and </w:t>
      </w:r>
      <w:r w:rsidR="00F17E8B">
        <w:t>on the other</w:t>
      </w:r>
      <w:r w:rsidR="000C46B1">
        <w:t xml:space="preserve"> </w:t>
      </w:r>
      <w:r w:rsidR="00F17E8B">
        <w:t xml:space="preserve">hand </w:t>
      </w:r>
      <w:r w:rsidR="000C46B1">
        <w:t>they can afford to postpone profits. Therefore</w:t>
      </w:r>
      <w:r w:rsidR="00D82403">
        <w:t>, not only from a</w:t>
      </w:r>
      <w:r w:rsidR="003B1430">
        <w:t>n</w:t>
      </w:r>
      <w:r w:rsidR="00D82403">
        <w:t xml:space="preserve"> efficiency perspectiv</w:t>
      </w:r>
      <w:r w:rsidR="00323F90">
        <w:t xml:space="preserve">e, but also from an equity perspective it is desirable to tax capital </w:t>
      </w:r>
      <w:r w:rsidR="004B0D1C">
        <w:t>income</w:t>
      </w:r>
      <w:r w:rsidR="00323F90">
        <w:t>, in order to counter distortions that arise due to arbitrage between labour and capital income.</w:t>
      </w:r>
      <w:r w:rsidR="00037AB5">
        <w:t xml:space="preserve"> </w:t>
      </w:r>
      <w:r w:rsidR="00232B9A">
        <w:t>Gordon and MacKie-Mason (1994) prove theoretically that it is sensible to have corporate taxes as a backstop to labour taxes</w:t>
      </w:r>
      <w:r w:rsidR="00554FF7">
        <w:t xml:space="preserve">. </w:t>
      </w:r>
      <w:r w:rsidR="009057E9">
        <w:t>Moreover, Christiansen and Tuomala (2008) stress that a capital income tax is optimal to counter distortionary effects on labour.</w:t>
      </w:r>
    </w:p>
    <w:p w14:paraId="13C8F129" w14:textId="77777777" w:rsidR="00655D4E" w:rsidRPr="00413D80" w:rsidRDefault="00655D4E" w:rsidP="00945E36">
      <w:pPr>
        <w:spacing w:line="360" w:lineRule="auto"/>
      </w:pPr>
      <w:r>
        <w:lastRenderedPageBreak/>
        <w:t>Empirical evidence shows that arbitrage and income shifting is an important factor.</w:t>
      </w:r>
      <w:r w:rsidR="00D405B0">
        <w:t xml:space="preserve"> Gordon &amp; Slemrod (1998) present evidence in their paper based on time-series regression analyses that</w:t>
      </w:r>
      <w:r w:rsidR="00413D80">
        <w:t xml:space="preserve"> a relative increase in corporate tax rates with respect to personal tax rates leads to a decrease in reported corporate income and an increase in reported personal income. Using </w:t>
      </w:r>
      <w:r w:rsidR="00125568">
        <w:t xml:space="preserve">US </w:t>
      </w:r>
      <w:r w:rsidR="00413D80">
        <w:t xml:space="preserve">data </w:t>
      </w:r>
      <w:r w:rsidR="00735D19">
        <w:t xml:space="preserve">from 1965 onwards they </w:t>
      </w:r>
      <w:r w:rsidR="00413D80">
        <w:t>find estimates that a ‘</w:t>
      </w:r>
      <w:r w:rsidR="00413D80">
        <w:rPr>
          <w:i/>
        </w:rPr>
        <w:t>one point increase in the tax differential raises reported personal labour income by 3.2 percent, and results in a fall of the reported corporate rate of return of 0.147 percent.’</w:t>
      </w:r>
      <w:r w:rsidR="00413D80">
        <w:t xml:space="preserve"> Both estimates are highly significant.</w:t>
      </w:r>
      <w:r w:rsidR="00735D19">
        <w:t xml:space="preserve"> </w:t>
      </w:r>
      <w:r w:rsidR="00D27DBF">
        <w:t xml:space="preserve"> </w:t>
      </w:r>
      <w:r w:rsidR="000411C0">
        <w:t>Although the results are straightforward, it should be</w:t>
      </w:r>
      <w:r w:rsidR="00D27DBF">
        <w:t xml:space="preserve"> note</w:t>
      </w:r>
      <w:r w:rsidR="000411C0">
        <w:t>d</w:t>
      </w:r>
      <w:r w:rsidR="00D27DBF">
        <w:t xml:space="preserve"> that their evidence is only indirect, and that a more definite way to observe income shifting would be to use research firm changes and employer income receipts following a tax change.</w:t>
      </w:r>
      <w:r w:rsidR="00AB47C0">
        <w:t xml:space="preserve"> </w:t>
      </w:r>
      <w:r w:rsidR="00125568">
        <w:t>De Mooij and Nicodème</w:t>
      </w:r>
      <w:r w:rsidR="008C4301">
        <w:t xml:space="preserve"> (2008)</w:t>
      </w:r>
      <w:r w:rsidR="00125568">
        <w:t xml:space="preserve"> also present empirical evidence on the relation between taxation and income shifting. Using a similar method, they analyse data from 17 countries over six years</w:t>
      </w:r>
      <w:r w:rsidR="0047411F">
        <w:t xml:space="preserve">, and </w:t>
      </w:r>
      <w:r w:rsidR="00ED3418">
        <w:t xml:space="preserve">their estimates imply that a </w:t>
      </w:r>
      <w:r w:rsidR="00B02293">
        <w:t>one-percentage</w:t>
      </w:r>
      <w:r w:rsidR="00ED3418">
        <w:t xml:space="preserve"> </w:t>
      </w:r>
      <w:r w:rsidR="00517D40">
        <w:t xml:space="preserve">point </w:t>
      </w:r>
      <w:r w:rsidR="00ED3418">
        <w:t xml:space="preserve">increase </w:t>
      </w:r>
      <w:r w:rsidR="00D90922">
        <w:t>of</w:t>
      </w:r>
      <w:r w:rsidR="00ED3418">
        <w:t xml:space="preserve"> the personal </w:t>
      </w:r>
      <w:r w:rsidR="00D90922">
        <w:t xml:space="preserve">income tax rate, relative to the </w:t>
      </w:r>
      <w:r w:rsidR="00ED3418">
        <w:t>corporate rate</w:t>
      </w:r>
      <w:r w:rsidR="00D90922">
        <w:t>,</w:t>
      </w:r>
      <w:r w:rsidR="00ED3418">
        <w:t xml:space="preserve"> leads to a one percent increase in the share of companies taxed at the corporate income tax.</w:t>
      </w:r>
    </w:p>
    <w:p w14:paraId="1ED87422" w14:textId="77777777" w:rsidR="00655D4E" w:rsidRDefault="00655D4E" w:rsidP="00945E36">
      <w:pPr>
        <w:spacing w:line="360" w:lineRule="auto"/>
      </w:pPr>
    </w:p>
    <w:p w14:paraId="70EC05B4" w14:textId="41BECD73" w:rsidR="00655D4E" w:rsidRPr="002A49B6" w:rsidRDefault="00445D80" w:rsidP="00CD7972">
      <w:pPr>
        <w:spacing w:line="360" w:lineRule="auto"/>
        <w:rPr>
          <w:rFonts w:eastAsia="Times New Roman" w:cs="Times New Roman"/>
          <w:noProof/>
          <w:lang w:val="nl-NL"/>
        </w:rPr>
      </w:pPr>
      <w:r>
        <w:t xml:space="preserve">In a review of the Finnish Tax Reform of 1993 </w:t>
      </w:r>
      <w:r w:rsidRPr="000D6637">
        <w:rPr>
          <w:rFonts w:eastAsia="Times New Roman" w:cs="Times New Roman"/>
          <w:noProof/>
          <w:lang w:val="nl-NL"/>
        </w:rPr>
        <w:t>Pirttilä &amp; Selin</w:t>
      </w:r>
      <w:r>
        <w:rPr>
          <w:rFonts w:eastAsia="Times New Roman" w:cs="Times New Roman"/>
          <w:noProof/>
          <w:lang w:val="nl-NL"/>
        </w:rPr>
        <w:t xml:space="preserve"> (2011) analyse the impact </w:t>
      </w:r>
      <w:r w:rsidR="008E5521">
        <w:rPr>
          <w:rFonts w:eastAsia="Times New Roman" w:cs="Times New Roman"/>
          <w:noProof/>
          <w:lang w:val="nl-NL"/>
        </w:rPr>
        <w:t xml:space="preserve">of a change in the capital income tax </w:t>
      </w:r>
      <w:r>
        <w:rPr>
          <w:rFonts w:eastAsia="Times New Roman" w:cs="Times New Roman"/>
          <w:noProof/>
          <w:lang w:val="nl-NL"/>
        </w:rPr>
        <w:t>on overall taxable income and relative shares of capital income and labour income</w:t>
      </w:r>
      <w:r w:rsidR="009A31EC">
        <w:rPr>
          <w:rFonts w:eastAsia="Times New Roman" w:cs="Times New Roman"/>
          <w:noProof/>
          <w:lang w:val="nl-NL"/>
        </w:rPr>
        <w:t>, using data at the individual level from 1992 and 1995</w:t>
      </w:r>
      <w:r>
        <w:rPr>
          <w:rFonts w:eastAsia="Times New Roman" w:cs="Times New Roman"/>
          <w:noProof/>
          <w:lang w:val="nl-NL"/>
        </w:rPr>
        <w:t>. Labour income is taxed progressively and income from capital (</w:t>
      </w:r>
      <w:r w:rsidR="00AF251F">
        <w:rPr>
          <w:rFonts w:eastAsia="Times New Roman" w:cs="Times New Roman"/>
          <w:noProof/>
          <w:lang w:val="nl-NL"/>
        </w:rPr>
        <w:t xml:space="preserve">including </w:t>
      </w:r>
      <w:r>
        <w:rPr>
          <w:rFonts w:eastAsia="Times New Roman" w:cs="Times New Roman"/>
          <w:noProof/>
          <w:lang w:val="nl-NL"/>
        </w:rPr>
        <w:t>interest, dividends, capital gains)</w:t>
      </w:r>
      <w:r w:rsidR="00AF251F">
        <w:rPr>
          <w:rFonts w:eastAsia="Times New Roman" w:cs="Times New Roman"/>
          <w:noProof/>
          <w:lang w:val="nl-NL"/>
        </w:rPr>
        <w:t xml:space="preserve"> is taxed at a flat rate. The tax reform reduced the marginal rates on capital income for some taxpayers. The theory suggests a reaction to this would be income shifting from labour income to capital income.</w:t>
      </w:r>
      <w:r w:rsidR="004871D2">
        <w:rPr>
          <w:rFonts w:eastAsia="Times New Roman" w:cs="Times New Roman"/>
          <w:noProof/>
          <w:lang w:val="nl-NL"/>
        </w:rPr>
        <w:t xml:space="preserve"> </w:t>
      </w:r>
      <w:r w:rsidR="009A31EC">
        <w:rPr>
          <w:rFonts w:eastAsia="Times New Roman" w:cs="Times New Roman"/>
          <w:noProof/>
          <w:lang w:val="nl-NL"/>
        </w:rPr>
        <w:t xml:space="preserve">The regression analysis </w:t>
      </w:r>
      <w:r w:rsidR="00130060">
        <w:rPr>
          <w:rFonts w:eastAsia="Times New Roman" w:cs="Times New Roman"/>
          <w:noProof/>
          <w:lang w:val="nl-NL"/>
        </w:rPr>
        <w:t xml:space="preserve">provides some interesting results. For employees the reform does not lead to an increase in capital income, whilst for self-emplyed the reform </w:t>
      </w:r>
      <w:r w:rsidR="00E35ECB">
        <w:rPr>
          <w:rFonts w:eastAsia="Times New Roman" w:cs="Times New Roman"/>
          <w:noProof/>
          <w:lang w:val="nl-NL"/>
        </w:rPr>
        <w:t>lead</w:t>
      </w:r>
      <w:r w:rsidR="00130060">
        <w:rPr>
          <w:rFonts w:eastAsia="Times New Roman" w:cs="Times New Roman"/>
          <w:noProof/>
          <w:lang w:val="nl-NL"/>
        </w:rPr>
        <w:t xml:space="preserve"> a significant increase in capital income. This is a </w:t>
      </w:r>
      <w:r w:rsidR="00F63DD8">
        <w:rPr>
          <w:rFonts w:eastAsia="Times New Roman" w:cs="Times New Roman"/>
          <w:noProof/>
          <w:lang w:val="nl-NL"/>
        </w:rPr>
        <w:t>plausible</w:t>
      </w:r>
      <w:r w:rsidR="00130060">
        <w:rPr>
          <w:rFonts w:eastAsia="Times New Roman" w:cs="Times New Roman"/>
          <w:noProof/>
          <w:lang w:val="nl-NL"/>
        </w:rPr>
        <w:t xml:space="preserve"> difference: as it is easier for the self-employed to manipulate the tax base.</w:t>
      </w:r>
      <w:r w:rsidR="002B2567">
        <w:rPr>
          <w:rFonts w:eastAsia="Times New Roman" w:cs="Times New Roman"/>
          <w:noProof/>
          <w:lang w:val="nl-NL"/>
        </w:rPr>
        <w:t xml:space="preserve"> </w:t>
      </w:r>
      <w:r w:rsidR="00E35ECB">
        <w:rPr>
          <w:rFonts w:eastAsia="Times New Roman" w:cs="Times New Roman"/>
          <w:noProof/>
          <w:lang w:val="nl-NL"/>
        </w:rPr>
        <w:t>Thus, the result could be induced by income shifting. However, they did not find</w:t>
      </w:r>
      <w:r w:rsidR="002B2567">
        <w:rPr>
          <w:rFonts w:eastAsia="Times New Roman" w:cs="Times New Roman"/>
          <w:noProof/>
          <w:lang w:val="nl-NL"/>
        </w:rPr>
        <w:t xml:space="preserve"> </w:t>
      </w:r>
      <w:r w:rsidR="00E35ECB">
        <w:rPr>
          <w:rFonts w:eastAsia="Times New Roman" w:cs="Times New Roman"/>
          <w:noProof/>
          <w:lang w:val="nl-NL"/>
        </w:rPr>
        <w:t>a drop in</w:t>
      </w:r>
      <w:r w:rsidR="002B2567">
        <w:rPr>
          <w:rFonts w:eastAsia="Times New Roman" w:cs="Times New Roman"/>
          <w:noProof/>
          <w:lang w:val="nl-NL"/>
        </w:rPr>
        <w:t xml:space="preserve"> labour income </w:t>
      </w:r>
      <w:r w:rsidR="00E35ECB">
        <w:rPr>
          <w:rFonts w:eastAsia="Times New Roman" w:cs="Times New Roman"/>
          <w:noProof/>
          <w:lang w:val="nl-NL"/>
        </w:rPr>
        <w:t>for</w:t>
      </w:r>
      <w:r w:rsidR="002B2567">
        <w:rPr>
          <w:rFonts w:eastAsia="Times New Roman" w:cs="Times New Roman"/>
          <w:noProof/>
          <w:lang w:val="nl-NL"/>
        </w:rPr>
        <w:t xml:space="preserve"> the self-employed </w:t>
      </w:r>
      <w:r w:rsidR="00E35ECB">
        <w:rPr>
          <w:rFonts w:eastAsia="Times New Roman" w:cs="Times New Roman"/>
          <w:noProof/>
          <w:lang w:val="nl-NL"/>
        </w:rPr>
        <w:t>with respect to employees that was statistically significant.</w:t>
      </w:r>
      <w:r w:rsidR="002B1441">
        <w:rPr>
          <w:rFonts w:eastAsia="Times New Roman" w:cs="Times New Roman"/>
          <w:noProof/>
          <w:lang w:val="nl-NL"/>
        </w:rPr>
        <w:t xml:space="preserve"> A possible explanation is that in the period prior to the tax change, the self employed tended to allocate less wages to themselves</w:t>
      </w:r>
      <w:r w:rsidR="00DF2767">
        <w:rPr>
          <w:rFonts w:eastAsia="Times New Roman" w:cs="Times New Roman"/>
          <w:noProof/>
          <w:lang w:val="nl-NL"/>
        </w:rPr>
        <w:t xml:space="preserve"> –which are taxed at a high and progressive rate-</w:t>
      </w:r>
      <w:r w:rsidR="002B1441">
        <w:rPr>
          <w:rFonts w:eastAsia="Times New Roman" w:cs="Times New Roman"/>
          <w:noProof/>
          <w:lang w:val="nl-NL"/>
        </w:rPr>
        <w:t xml:space="preserve"> and </w:t>
      </w:r>
      <w:r w:rsidR="00DF2767">
        <w:rPr>
          <w:rFonts w:eastAsia="Times New Roman" w:cs="Times New Roman"/>
          <w:noProof/>
          <w:lang w:val="nl-NL"/>
        </w:rPr>
        <w:t>invest more in their businesses. These investments lead</w:t>
      </w:r>
      <w:r w:rsidR="002B1441">
        <w:rPr>
          <w:rFonts w:eastAsia="Times New Roman" w:cs="Times New Roman"/>
          <w:noProof/>
          <w:lang w:val="nl-NL"/>
        </w:rPr>
        <w:t xml:space="preserve"> to a st</w:t>
      </w:r>
      <w:r w:rsidR="00CD7972">
        <w:rPr>
          <w:rFonts w:eastAsia="Times New Roman" w:cs="Times New Roman"/>
          <w:noProof/>
          <w:lang w:val="nl-NL"/>
        </w:rPr>
        <w:t>ock of unrealised capital gains</w:t>
      </w:r>
      <w:r w:rsidR="00DF2767">
        <w:rPr>
          <w:rFonts w:eastAsia="Times New Roman" w:cs="Times New Roman"/>
          <w:noProof/>
          <w:lang w:val="nl-NL"/>
        </w:rPr>
        <w:t xml:space="preserve">, which formed a potential source of future </w:t>
      </w:r>
      <w:r w:rsidR="00DF2767">
        <w:rPr>
          <w:rFonts w:eastAsia="Times New Roman" w:cs="Times New Roman"/>
          <w:noProof/>
          <w:lang w:val="nl-NL"/>
        </w:rPr>
        <w:lastRenderedPageBreak/>
        <w:t>income</w:t>
      </w:r>
      <w:r w:rsidR="00CD7972">
        <w:rPr>
          <w:rFonts w:eastAsia="Times New Roman" w:cs="Times New Roman"/>
          <w:noProof/>
          <w:lang w:val="nl-NL"/>
        </w:rPr>
        <w:t>. Then, when the tax reform had made it more profitable to realise those capital gains, they decided to do so. By this reasoning, there would have to be no explicit drop in taxable labour income after the tax reform to validate the argument that income shifting had been apparent.</w:t>
      </w:r>
      <w:r w:rsidR="00DF2767">
        <w:rPr>
          <w:rFonts w:eastAsia="Times New Roman" w:cs="Times New Roman"/>
          <w:noProof/>
          <w:lang w:val="nl-NL"/>
        </w:rPr>
        <w:t xml:space="preserve"> </w:t>
      </w:r>
      <w:r w:rsidR="0065199C">
        <w:rPr>
          <w:rFonts w:eastAsia="Times New Roman" w:cs="Times New Roman"/>
          <w:noProof/>
          <w:lang w:val="nl-NL"/>
        </w:rPr>
        <w:t xml:space="preserve">The trouble with this reasoning is that it is </w:t>
      </w:r>
      <w:r w:rsidR="00050086">
        <w:rPr>
          <w:rFonts w:eastAsia="Times New Roman" w:cs="Times New Roman"/>
          <w:noProof/>
          <w:lang w:val="nl-NL"/>
        </w:rPr>
        <w:t>difficult</w:t>
      </w:r>
      <w:r w:rsidR="0065199C">
        <w:rPr>
          <w:rFonts w:eastAsia="Times New Roman" w:cs="Times New Roman"/>
          <w:noProof/>
          <w:lang w:val="nl-NL"/>
        </w:rPr>
        <w:t xml:space="preserve"> to directly prove it empirically</w:t>
      </w:r>
      <w:r w:rsidR="00050086">
        <w:rPr>
          <w:rFonts w:eastAsia="Times New Roman" w:cs="Times New Roman"/>
          <w:noProof/>
          <w:lang w:val="nl-NL"/>
        </w:rPr>
        <w:t>.</w:t>
      </w:r>
      <w:r w:rsidR="002A49B6">
        <w:rPr>
          <w:rFonts w:eastAsia="Times New Roman" w:cs="Times New Roman"/>
          <w:noProof/>
          <w:lang w:val="nl-NL"/>
        </w:rPr>
        <w:t xml:space="preserve"> As Reis states concludes her theoretical analysis of entrepreneurial labour an capital taxation: ‘</w:t>
      </w:r>
      <w:r w:rsidR="002A49B6">
        <w:rPr>
          <w:rFonts w:eastAsia="Times New Roman" w:cs="Times New Roman"/>
          <w:i/>
          <w:noProof/>
          <w:lang w:val="nl-NL"/>
        </w:rPr>
        <w:t>When entrepreneurs work in their own business, it is hard to disentangle which part of the firm’s profits is due to their effort and which is a pure return on capital.’</w:t>
      </w:r>
      <w:r w:rsidR="005B6585">
        <w:rPr>
          <w:rFonts w:eastAsia="Times New Roman" w:cs="Times New Roman"/>
          <w:noProof/>
          <w:lang w:val="nl-NL"/>
        </w:rPr>
        <w:t xml:space="preserve"> This statement illustrates the fact that there is a fine line between return on capital and return on labour for the self-employed. Thus, there is a high probability of arbitrage</w:t>
      </w:r>
      <w:r w:rsidR="00CD393D">
        <w:rPr>
          <w:rFonts w:eastAsia="Times New Roman" w:cs="Times New Roman"/>
          <w:noProof/>
          <w:lang w:val="nl-NL"/>
        </w:rPr>
        <w:t>.</w:t>
      </w:r>
    </w:p>
    <w:p w14:paraId="29A3C3ED" w14:textId="77777777" w:rsidR="00032320" w:rsidRDefault="00032320" w:rsidP="00945E36">
      <w:pPr>
        <w:spacing w:line="360" w:lineRule="auto"/>
      </w:pPr>
    </w:p>
    <w:p w14:paraId="1B87EA74" w14:textId="2A5CFA50" w:rsidR="005B053D" w:rsidRDefault="00945E36" w:rsidP="00B74C4A">
      <w:pPr>
        <w:spacing w:line="360" w:lineRule="auto"/>
      </w:pPr>
      <w:r w:rsidRPr="00F57A4A">
        <w:t xml:space="preserve">Hungerford (2012) provides an analysis of tax rates in the United States since 1945. </w:t>
      </w:r>
      <w:r w:rsidR="00B14DF4">
        <w:t>He</w:t>
      </w:r>
      <w:r w:rsidRPr="00F57A4A">
        <w:t xml:space="preserve"> </w:t>
      </w:r>
      <w:r w:rsidR="00B14DF4">
        <w:t>shows</w:t>
      </w:r>
      <w:r w:rsidRPr="00F57A4A">
        <w:t xml:space="preserve"> a positive relation between the </w:t>
      </w:r>
      <w:r w:rsidR="00346EE1">
        <w:t>top</w:t>
      </w:r>
      <w:r w:rsidRPr="00F57A4A">
        <w:t xml:space="preserve"> levels of capital gains tax and the l</w:t>
      </w:r>
      <w:r w:rsidR="001E78B7">
        <w:t>abour share of national income</w:t>
      </w:r>
      <w:r w:rsidR="007E337D">
        <w:t>. An explanation for this relation is that</w:t>
      </w:r>
      <w:r w:rsidRPr="00F57A4A">
        <w:t xml:space="preserve"> </w:t>
      </w:r>
      <w:r w:rsidR="007E337D">
        <w:t xml:space="preserve">when the capital gains tax rate is higher, </w:t>
      </w:r>
      <w:r w:rsidRPr="00F57A4A">
        <w:t xml:space="preserve">income from capital </w:t>
      </w:r>
      <w:r w:rsidR="00F57A4A">
        <w:t>is shifted towards the labour base, as the tax burden is relatively lower here</w:t>
      </w:r>
      <w:r w:rsidR="009B3955">
        <w:t>.</w:t>
      </w:r>
      <w:r w:rsidR="00066C97">
        <w:t xml:space="preserve"> Although this is </w:t>
      </w:r>
      <w:r w:rsidR="00E93491">
        <w:t xml:space="preserve">no </w:t>
      </w:r>
      <w:r w:rsidR="00066C97">
        <w:t xml:space="preserve">direct evidence, it </w:t>
      </w:r>
      <w:r w:rsidR="004D2620">
        <w:t>is</w:t>
      </w:r>
      <w:r w:rsidR="00066C97">
        <w:t xml:space="preserve"> </w:t>
      </w:r>
      <w:r w:rsidR="00E93491">
        <w:t xml:space="preserve">probable </w:t>
      </w:r>
      <w:r w:rsidR="00D947A7">
        <w:t xml:space="preserve">that </w:t>
      </w:r>
      <w:r w:rsidR="002A11AF">
        <w:t>a</w:t>
      </w:r>
      <w:r w:rsidR="00D947A7">
        <w:t xml:space="preserve"> capital gains tax could be used to counter arbitrage in labour income taxes.</w:t>
      </w:r>
      <w:r w:rsidR="002A11AF">
        <w:t xml:space="preserve"> </w:t>
      </w:r>
    </w:p>
    <w:p w14:paraId="4BFB8DC7" w14:textId="77777777" w:rsidR="003F589C" w:rsidRDefault="003F589C" w:rsidP="00B74C4A">
      <w:pPr>
        <w:spacing w:line="360" w:lineRule="auto"/>
      </w:pPr>
    </w:p>
    <w:tbl>
      <w:tblPr>
        <w:tblpPr w:leftFromText="141" w:rightFromText="141" w:vertAnchor="text" w:horzAnchor="page" w:tblpXSpec="center" w:tblpY="13"/>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2552"/>
        <w:gridCol w:w="1842"/>
        <w:gridCol w:w="1134"/>
        <w:gridCol w:w="2765"/>
      </w:tblGrid>
      <w:tr w:rsidR="003F589C" w:rsidRPr="00AE339B" w14:paraId="23E3BF58" w14:textId="77777777" w:rsidTr="007D5365">
        <w:trPr>
          <w:trHeight w:val="704"/>
          <w:jc w:val="center"/>
        </w:trPr>
        <w:tc>
          <w:tcPr>
            <w:tcW w:w="1204" w:type="dxa"/>
          </w:tcPr>
          <w:p w14:paraId="3BE10DE7" w14:textId="77777777" w:rsidR="005B053D" w:rsidRPr="00AE339B" w:rsidRDefault="005B053D" w:rsidP="005B053D">
            <w:pPr>
              <w:spacing w:line="360" w:lineRule="auto"/>
            </w:pPr>
            <w:r w:rsidRPr="00AE339B">
              <w:t>Argument</w:t>
            </w:r>
          </w:p>
        </w:tc>
        <w:tc>
          <w:tcPr>
            <w:tcW w:w="1276" w:type="dxa"/>
          </w:tcPr>
          <w:p w14:paraId="43DF2B5D" w14:textId="77777777" w:rsidR="005B053D" w:rsidRPr="00AE339B" w:rsidRDefault="005B053D" w:rsidP="005B053D">
            <w:pPr>
              <w:spacing w:line="360" w:lineRule="auto"/>
            </w:pPr>
            <w:r w:rsidRPr="00AE339B">
              <w:t>Empirical studies</w:t>
            </w:r>
          </w:p>
        </w:tc>
        <w:tc>
          <w:tcPr>
            <w:tcW w:w="2552" w:type="dxa"/>
          </w:tcPr>
          <w:p w14:paraId="638F5D75" w14:textId="77777777" w:rsidR="005B053D" w:rsidRPr="00AE339B" w:rsidRDefault="005B053D" w:rsidP="005B053D">
            <w:pPr>
              <w:spacing w:line="360" w:lineRule="auto"/>
            </w:pPr>
            <w:r w:rsidRPr="00AE339B">
              <w:t>Data</w:t>
            </w:r>
            <w:r>
              <w:t>/Sample</w:t>
            </w:r>
          </w:p>
        </w:tc>
        <w:tc>
          <w:tcPr>
            <w:tcW w:w="1842" w:type="dxa"/>
          </w:tcPr>
          <w:p w14:paraId="0E014712" w14:textId="77777777" w:rsidR="005B053D" w:rsidRPr="00AE339B" w:rsidRDefault="005B053D" w:rsidP="005B053D">
            <w:pPr>
              <w:spacing w:line="360" w:lineRule="auto"/>
            </w:pPr>
            <w:r>
              <w:t>Variables Used</w:t>
            </w:r>
          </w:p>
        </w:tc>
        <w:tc>
          <w:tcPr>
            <w:tcW w:w="1134" w:type="dxa"/>
          </w:tcPr>
          <w:p w14:paraId="621030CA" w14:textId="77777777" w:rsidR="005B053D" w:rsidRPr="00AE339B" w:rsidRDefault="005B053D" w:rsidP="005B053D">
            <w:pPr>
              <w:spacing w:line="360" w:lineRule="auto"/>
            </w:pPr>
            <w:r>
              <w:t>Model</w:t>
            </w:r>
          </w:p>
        </w:tc>
        <w:tc>
          <w:tcPr>
            <w:tcW w:w="2765" w:type="dxa"/>
          </w:tcPr>
          <w:p w14:paraId="222C9884" w14:textId="77777777" w:rsidR="005B053D" w:rsidRPr="00AE339B" w:rsidRDefault="005B053D" w:rsidP="005B053D">
            <w:pPr>
              <w:spacing w:line="360" w:lineRule="auto"/>
            </w:pPr>
            <w:r>
              <w:t>Results</w:t>
            </w:r>
          </w:p>
        </w:tc>
      </w:tr>
      <w:tr w:rsidR="007D5365" w:rsidRPr="00FA61D6" w14:paraId="74942675" w14:textId="77777777" w:rsidTr="007D5365">
        <w:trPr>
          <w:trHeight w:val="1440"/>
          <w:jc w:val="center"/>
        </w:trPr>
        <w:tc>
          <w:tcPr>
            <w:tcW w:w="1204" w:type="dxa"/>
            <w:vMerge w:val="restart"/>
          </w:tcPr>
          <w:p w14:paraId="73306011" w14:textId="77777777" w:rsidR="005B053D" w:rsidRPr="00406071" w:rsidRDefault="005B053D" w:rsidP="00043642">
            <w:pPr>
              <w:spacing w:line="276" w:lineRule="auto"/>
              <w:rPr>
                <w:i/>
                <w:sz w:val="20"/>
                <w:szCs w:val="20"/>
              </w:rPr>
            </w:pPr>
            <w:r w:rsidRPr="00406071">
              <w:rPr>
                <w:i/>
                <w:sz w:val="20"/>
                <w:szCs w:val="20"/>
              </w:rPr>
              <w:t>Arbitrage and income shifting</w:t>
            </w:r>
          </w:p>
          <w:p w14:paraId="21E268DC" w14:textId="77777777" w:rsidR="005B053D" w:rsidRPr="00406071" w:rsidRDefault="005B053D" w:rsidP="00043642">
            <w:pPr>
              <w:spacing w:line="276" w:lineRule="auto"/>
              <w:rPr>
                <w:sz w:val="20"/>
                <w:szCs w:val="20"/>
              </w:rPr>
            </w:pPr>
          </w:p>
        </w:tc>
        <w:tc>
          <w:tcPr>
            <w:tcW w:w="1276" w:type="dxa"/>
          </w:tcPr>
          <w:p w14:paraId="05DD7CFE" w14:textId="77777777" w:rsidR="005B053D" w:rsidRPr="00406071" w:rsidRDefault="005B053D" w:rsidP="00043642">
            <w:pPr>
              <w:spacing w:line="276" w:lineRule="auto"/>
              <w:rPr>
                <w:sz w:val="20"/>
                <w:szCs w:val="20"/>
              </w:rPr>
            </w:pPr>
            <w:r w:rsidRPr="00406071">
              <w:rPr>
                <w:sz w:val="20"/>
                <w:szCs w:val="20"/>
              </w:rPr>
              <w:t>Gordon &amp; Slemrod (1998)</w:t>
            </w:r>
          </w:p>
        </w:tc>
        <w:tc>
          <w:tcPr>
            <w:tcW w:w="2552" w:type="dxa"/>
          </w:tcPr>
          <w:p w14:paraId="1D10D12D" w14:textId="483A25ED" w:rsidR="005B053D" w:rsidRPr="001430C5" w:rsidRDefault="005B053D" w:rsidP="00043642">
            <w:pPr>
              <w:spacing w:line="276" w:lineRule="auto"/>
              <w:rPr>
                <w:sz w:val="20"/>
                <w:szCs w:val="20"/>
              </w:rPr>
            </w:pPr>
            <w:r>
              <w:rPr>
                <w:sz w:val="20"/>
                <w:szCs w:val="20"/>
              </w:rPr>
              <w:t>SOI Corporation Income, Statisticss of income, 1955-1993, Pechman (1987), Statistics of Income Division of the IRS: Individual Model File, public-use tax returns</w:t>
            </w:r>
          </w:p>
        </w:tc>
        <w:tc>
          <w:tcPr>
            <w:tcW w:w="1842" w:type="dxa"/>
          </w:tcPr>
          <w:p w14:paraId="293567F7" w14:textId="77777777" w:rsidR="005B053D" w:rsidRPr="001430C5" w:rsidRDefault="005B053D" w:rsidP="00043642">
            <w:pPr>
              <w:spacing w:line="276" w:lineRule="auto"/>
              <w:rPr>
                <w:sz w:val="20"/>
                <w:szCs w:val="20"/>
              </w:rPr>
            </w:pPr>
            <w:r>
              <w:rPr>
                <w:sz w:val="20"/>
                <w:szCs w:val="20"/>
              </w:rPr>
              <w:t>Tax differential labour income capital income – reported labour income – reported corporate rate of return</w:t>
            </w:r>
          </w:p>
        </w:tc>
        <w:tc>
          <w:tcPr>
            <w:tcW w:w="1134" w:type="dxa"/>
          </w:tcPr>
          <w:p w14:paraId="00E2468D" w14:textId="77777777" w:rsidR="005B053D" w:rsidRPr="001430C5" w:rsidRDefault="005B053D" w:rsidP="00043642">
            <w:pPr>
              <w:spacing w:line="276" w:lineRule="auto"/>
              <w:rPr>
                <w:sz w:val="20"/>
                <w:szCs w:val="20"/>
              </w:rPr>
            </w:pPr>
            <w:r>
              <w:rPr>
                <w:sz w:val="20"/>
                <w:szCs w:val="20"/>
              </w:rPr>
              <w:t>Time-series regression analyses</w:t>
            </w:r>
          </w:p>
        </w:tc>
        <w:tc>
          <w:tcPr>
            <w:tcW w:w="2765" w:type="dxa"/>
          </w:tcPr>
          <w:p w14:paraId="03B93E35" w14:textId="77777777" w:rsidR="005B053D" w:rsidRPr="00FA61D6" w:rsidRDefault="005B053D" w:rsidP="00043642">
            <w:pPr>
              <w:spacing w:line="276" w:lineRule="auto"/>
              <w:rPr>
                <w:i/>
                <w:sz w:val="20"/>
                <w:szCs w:val="20"/>
              </w:rPr>
            </w:pPr>
            <w:r>
              <w:rPr>
                <w:sz w:val="20"/>
                <w:szCs w:val="20"/>
              </w:rPr>
              <w:t>‘</w:t>
            </w:r>
            <w:r>
              <w:rPr>
                <w:i/>
                <w:sz w:val="20"/>
                <w:szCs w:val="20"/>
              </w:rPr>
              <w:t>A one point increase in the tax differential raises reported personal labour income by 3.2%, and results in a fall of the reported corporate rate of return of 0.147%</w:t>
            </w:r>
          </w:p>
        </w:tc>
      </w:tr>
      <w:tr w:rsidR="003F589C" w:rsidRPr="000655B0" w14:paraId="5830DE03" w14:textId="77777777" w:rsidTr="007D5365">
        <w:trPr>
          <w:trHeight w:val="2764"/>
          <w:jc w:val="center"/>
        </w:trPr>
        <w:tc>
          <w:tcPr>
            <w:tcW w:w="1204" w:type="dxa"/>
            <w:vMerge/>
          </w:tcPr>
          <w:p w14:paraId="72944C79" w14:textId="77777777" w:rsidR="005B053D" w:rsidRPr="00406071" w:rsidRDefault="005B053D" w:rsidP="00043642">
            <w:pPr>
              <w:spacing w:line="276" w:lineRule="auto"/>
              <w:rPr>
                <w:sz w:val="20"/>
                <w:szCs w:val="20"/>
              </w:rPr>
            </w:pPr>
          </w:p>
        </w:tc>
        <w:tc>
          <w:tcPr>
            <w:tcW w:w="1276" w:type="dxa"/>
          </w:tcPr>
          <w:p w14:paraId="3E46A330" w14:textId="77777777" w:rsidR="005B053D" w:rsidRPr="00406071" w:rsidRDefault="005B053D" w:rsidP="00043642">
            <w:pPr>
              <w:spacing w:line="276" w:lineRule="auto"/>
              <w:rPr>
                <w:sz w:val="20"/>
                <w:szCs w:val="20"/>
              </w:rPr>
            </w:pPr>
            <w:r w:rsidRPr="00406071">
              <w:rPr>
                <w:sz w:val="20"/>
                <w:szCs w:val="20"/>
              </w:rPr>
              <w:t>De Mooij and Nicodème (2008)</w:t>
            </w:r>
          </w:p>
        </w:tc>
        <w:tc>
          <w:tcPr>
            <w:tcW w:w="2552" w:type="dxa"/>
          </w:tcPr>
          <w:p w14:paraId="36EF2B33" w14:textId="77777777" w:rsidR="005B053D" w:rsidRPr="001430C5" w:rsidRDefault="005B053D" w:rsidP="00043642">
            <w:pPr>
              <w:spacing w:line="276" w:lineRule="auto"/>
              <w:rPr>
                <w:sz w:val="20"/>
                <w:szCs w:val="20"/>
              </w:rPr>
            </w:pPr>
            <w:r>
              <w:rPr>
                <w:sz w:val="20"/>
                <w:szCs w:val="20"/>
              </w:rPr>
              <w:t>Eurostat 1997-2003, 17 european countries, 60 sectors</w:t>
            </w:r>
          </w:p>
        </w:tc>
        <w:tc>
          <w:tcPr>
            <w:tcW w:w="1842" w:type="dxa"/>
          </w:tcPr>
          <w:p w14:paraId="1059174D" w14:textId="77777777" w:rsidR="005B053D" w:rsidRPr="001430C5" w:rsidRDefault="005B053D" w:rsidP="00043642">
            <w:pPr>
              <w:spacing w:line="276" w:lineRule="auto"/>
              <w:rPr>
                <w:sz w:val="20"/>
                <w:szCs w:val="20"/>
              </w:rPr>
            </w:pPr>
            <w:r>
              <w:rPr>
                <w:sz w:val="20"/>
                <w:szCs w:val="20"/>
              </w:rPr>
              <w:t>Difference in taxes – degree of incorporporation of active firms</w:t>
            </w:r>
          </w:p>
        </w:tc>
        <w:tc>
          <w:tcPr>
            <w:tcW w:w="1134" w:type="dxa"/>
          </w:tcPr>
          <w:p w14:paraId="44DF9B4C" w14:textId="77777777" w:rsidR="005B053D" w:rsidRPr="001430C5" w:rsidRDefault="005B053D" w:rsidP="00043642">
            <w:pPr>
              <w:spacing w:line="276" w:lineRule="auto"/>
              <w:rPr>
                <w:sz w:val="20"/>
                <w:szCs w:val="20"/>
              </w:rPr>
            </w:pPr>
            <w:r>
              <w:rPr>
                <w:sz w:val="20"/>
                <w:szCs w:val="20"/>
              </w:rPr>
              <w:t>Time-series regression analyses</w:t>
            </w:r>
          </w:p>
        </w:tc>
        <w:tc>
          <w:tcPr>
            <w:tcW w:w="2765" w:type="dxa"/>
          </w:tcPr>
          <w:p w14:paraId="51558089" w14:textId="63BAFA5C" w:rsidR="005B053D" w:rsidRPr="000655B0" w:rsidRDefault="005B053D" w:rsidP="00043642">
            <w:pPr>
              <w:spacing w:line="276" w:lineRule="auto"/>
              <w:rPr>
                <w:sz w:val="20"/>
                <w:szCs w:val="20"/>
              </w:rPr>
            </w:pPr>
            <w:r w:rsidRPr="000655B0">
              <w:rPr>
                <w:sz w:val="20"/>
                <w:szCs w:val="20"/>
              </w:rPr>
              <w:t>a one-percentage point increase of the personal income tax rate, relative to the corporate rate, leads to a one percent increase in the shar</w:t>
            </w:r>
            <w:r w:rsidR="003F589C">
              <w:rPr>
                <w:sz w:val="20"/>
                <w:szCs w:val="20"/>
              </w:rPr>
              <w:t>e of companies taxed at the CIT</w:t>
            </w:r>
            <w:r>
              <w:rPr>
                <w:sz w:val="20"/>
                <w:szCs w:val="20"/>
              </w:rPr>
              <w:t>. Significant at 99% confidence level.</w:t>
            </w:r>
          </w:p>
        </w:tc>
      </w:tr>
      <w:tr w:rsidR="007D5365" w:rsidRPr="001430C5" w14:paraId="62A166E4" w14:textId="77777777" w:rsidTr="007D5365">
        <w:trPr>
          <w:trHeight w:val="1216"/>
          <w:jc w:val="center"/>
        </w:trPr>
        <w:tc>
          <w:tcPr>
            <w:tcW w:w="1204" w:type="dxa"/>
            <w:vMerge/>
          </w:tcPr>
          <w:p w14:paraId="65C1F58D" w14:textId="77777777" w:rsidR="005B053D" w:rsidRPr="0098141F" w:rsidRDefault="005B053D" w:rsidP="00043642">
            <w:pPr>
              <w:spacing w:line="276" w:lineRule="auto"/>
              <w:rPr>
                <w:sz w:val="20"/>
                <w:szCs w:val="20"/>
              </w:rPr>
            </w:pPr>
          </w:p>
        </w:tc>
        <w:tc>
          <w:tcPr>
            <w:tcW w:w="1276" w:type="dxa"/>
          </w:tcPr>
          <w:p w14:paraId="5CF6019B" w14:textId="77777777" w:rsidR="005B053D" w:rsidRPr="0098141F" w:rsidRDefault="005B053D" w:rsidP="00043642">
            <w:pPr>
              <w:spacing w:line="276" w:lineRule="auto"/>
              <w:rPr>
                <w:sz w:val="20"/>
                <w:szCs w:val="20"/>
              </w:rPr>
            </w:pPr>
            <w:r w:rsidRPr="0098141F">
              <w:rPr>
                <w:rFonts w:eastAsia="Times New Roman" w:cs="Times New Roman"/>
                <w:noProof/>
                <w:sz w:val="20"/>
                <w:szCs w:val="20"/>
                <w:lang w:val="nl-NL"/>
              </w:rPr>
              <w:t>Pirttilä &amp; Selin (2011)</w:t>
            </w:r>
          </w:p>
        </w:tc>
        <w:tc>
          <w:tcPr>
            <w:tcW w:w="2552" w:type="dxa"/>
          </w:tcPr>
          <w:p w14:paraId="64A879EA" w14:textId="77777777" w:rsidR="005B053D" w:rsidRPr="001430C5" w:rsidRDefault="005B053D" w:rsidP="00043642">
            <w:pPr>
              <w:spacing w:line="276" w:lineRule="auto"/>
              <w:rPr>
                <w:sz w:val="20"/>
                <w:szCs w:val="20"/>
              </w:rPr>
            </w:pPr>
            <w:r>
              <w:rPr>
                <w:sz w:val="20"/>
                <w:szCs w:val="20"/>
              </w:rPr>
              <w:t xml:space="preserve">Income Distribution Survey, individual level data from Finland in 1992 and 1995 (before and after </w:t>
            </w:r>
            <w:r w:rsidRPr="00C43BB5">
              <w:rPr>
                <w:sz w:val="20"/>
                <w:szCs w:val="20"/>
              </w:rPr>
              <w:t>Finnish Tax Reform of 1993</w:t>
            </w:r>
            <w:r>
              <w:rPr>
                <w:sz w:val="20"/>
                <w:szCs w:val="20"/>
              </w:rPr>
              <w:t>)</w:t>
            </w:r>
          </w:p>
        </w:tc>
        <w:tc>
          <w:tcPr>
            <w:tcW w:w="1842" w:type="dxa"/>
          </w:tcPr>
          <w:p w14:paraId="2E59E159" w14:textId="77777777" w:rsidR="005B053D" w:rsidRPr="001430C5" w:rsidRDefault="005B053D" w:rsidP="00043642">
            <w:pPr>
              <w:spacing w:line="276" w:lineRule="auto"/>
              <w:rPr>
                <w:sz w:val="20"/>
                <w:szCs w:val="20"/>
              </w:rPr>
            </w:pPr>
            <w:r>
              <w:rPr>
                <w:sz w:val="20"/>
                <w:szCs w:val="20"/>
              </w:rPr>
              <w:t>Marginal tax rate on capital income – total taxable income – relative share of labour income/capital income in total income.</w:t>
            </w:r>
          </w:p>
        </w:tc>
        <w:tc>
          <w:tcPr>
            <w:tcW w:w="1134" w:type="dxa"/>
          </w:tcPr>
          <w:p w14:paraId="4926D6EB" w14:textId="77777777" w:rsidR="005B053D" w:rsidRPr="001430C5" w:rsidRDefault="005B053D" w:rsidP="00043642">
            <w:pPr>
              <w:spacing w:line="276" w:lineRule="auto"/>
              <w:rPr>
                <w:sz w:val="20"/>
                <w:szCs w:val="20"/>
              </w:rPr>
            </w:pPr>
            <w:r>
              <w:rPr>
                <w:sz w:val="20"/>
                <w:szCs w:val="20"/>
              </w:rPr>
              <w:t>Two-stage-least-squares regression</w:t>
            </w:r>
          </w:p>
        </w:tc>
        <w:tc>
          <w:tcPr>
            <w:tcW w:w="2765" w:type="dxa"/>
          </w:tcPr>
          <w:p w14:paraId="720FC910" w14:textId="77777777" w:rsidR="005B053D" w:rsidRPr="001430C5" w:rsidRDefault="005B053D" w:rsidP="00043642">
            <w:pPr>
              <w:spacing w:line="276" w:lineRule="auto"/>
              <w:rPr>
                <w:sz w:val="20"/>
                <w:szCs w:val="20"/>
              </w:rPr>
            </w:pPr>
            <w:r>
              <w:rPr>
                <w:sz w:val="20"/>
                <w:szCs w:val="20"/>
              </w:rPr>
              <w:t>Reduced marginal tax rates are correlated with an increase capital income for self-employed, but not for employees. Share of labour income did not drop for self-employed with respect to employees.</w:t>
            </w:r>
          </w:p>
        </w:tc>
      </w:tr>
      <w:tr w:rsidR="007D5365" w:rsidRPr="001430C5" w14:paraId="46D8E9D5" w14:textId="77777777" w:rsidTr="007D5365">
        <w:trPr>
          <w:trHeight w:val="1424"/>
          <w:jc w:val="center"/>
        </w:trPr>
        <w:tc>
          <w:tcPr>
            <w:tcW w:w="1204" w:type="dxa"/>
            <w:vMerge/>
          </w:tcPr>
          <w:p w14:paraId="64F5313C" w14:textId="77777777" w:rsidR="005B053D" w:rsidRPr="0098141F" w:rsidRDefault="005B053D" w:rsidP="00043642">
            <w:pPr>
              <w:spacing w:line="276" w:lineRule="auto"/>
              <w:rPr>
                <w:sz w:val="20"/>
                <w:szCs w:val="20"/>
              </w:rPr>
            </w:pPr>
          </w:p>
        </w:tc>
        <w:tc>
          <w:tcPr>
            <w:tcW w:w="1276" w:type="dxa"/>
          </w:tcPr>
          <w:p w14:paraId="2D6EC708" w14:textId="77777777" w:rsidR="005B053D" w:rsidRPr="0098141F" w:rsidRDefault="005B053D" w:rsidP="00043642">
            <w:pPr>
              <w:spacing w:line="276" w:lineRule="auto"/>
              <w:rPr>
                <w:sz w:val="20"/>
                <w:szCs w:val="20"/>
              </w:rPr>
            </w:pPr>
            <w:r w:rsidRPr="0098141F">
              <w:rPr>
                <w:sz w:val="20"/>
                <w:szCs w:val="20"/>
              </w:rPr>
              <w:t>Hungerford (2012)</w:t>
            </w:r>
          </w:p>
        </w:tc>
        <w:tc>
          <w:tcPr>
            <w:tcW w:w="2552" w:type="dxa"/>
          </w:tcPr>
          <w:p w14:paraId="0DD63788" w14:textId="77777777" w:rsidR="005B053D" w:rsidRPr="001430C5" w:rsidRDefault="005B053D" w:rsidP="00043642">
            <w:pPr>
              <w:spacing w:line="276" w:lineRule="auto"/>
              <w:rPr>
                <w:sz w:val="20"/>
                <w:szCs w:val="20"/>
              </w:rPr>
            </w:pPr>
            <w:r>
              <w:rPr>
                <w:sz w:val="20"/>
                <w:szCs w:val="20"/>
              </w:rPr>
              <w:t>US, 1945-2010, IRS, National Income and Product Account tables</w:t>
            </w:r>
          </w:p>
        </w:tc>
        <w:tc>
          <w:tcPr>
            <w:tcW w:w="1842" w:type="dxa"/>
          </w:tcPr>
          <w:p w14:paraId="6E1D03AB" w14:textId="77777777" w:rsidR="005B053D" w:rsidRPr="001430C5" w:rsidRDefault="005B053D" w:rsidP="00043642">
            <w:pPr>
              <w:spacing w:line="276" w:lineRule="auto"/>
              <w:rPr>
                <w:sz w:val="20"/>
                <w:szCs w:val="20"/>
              </w:rPr>
            </w:pPr>
            <w:r>
              <w:rPr>
                <w:sz w:val="20"/>
                <w:szCs w:val="20"/>
              </w:rPr>
              <w:t>Top capital gains tax rate – labour share of national income</w:t>
            </w:r>
          </w:p>
        </w:tc>
        <w:tc>
          <w:tcPr>
            <w:tcW w:w="1134" w:type="dxa"/>
          </w:tcPr>
          <w:p w14:paraId="6A2297DA" w14:textId="77777777" w:rsidR="005B053D" w:rsidRPr="001430C5" w:rsidRDefault="005B053D" w:rsidP="00043642">
            <w:pPr>
              <w:spacing w:line="276" w:lineRule="auto"/>
              <w:rPr>
                <w:sz w:val="20"/>
                <w:szCs w:val="20"/>
              </w:rPr>
            </w:pPr>
            <w:r>
              <w:rPr>
                <w:sz w:val="20"/>
                <w:szCs w:val="20"/>
              </w:rPr>
              <w:t>Regression analysis</w:t>
            </w:r>
          </w:p>
        </w:tc>
        <w:tc>
          <w:tcPr>
            <w:tcW w:w="2765" w:type="dxa"/>
          </w:tcPr>
          <w:p w14:paraId="4C287337" w14:textId="77777777" w:rsidR="005B053D" w:rsidRPr="001430C5" w:rsidRDefault="005B053D" w:rsidP="00043642">
            <w:pPr>
              <w:spacing w:line="276" w:lineRule="auto"/>
              <w:rPr>
                <w:sz w:val="20"/>
                <w:szCs w:val="20"/>
              </w:rPr>
            </w:pPr>
            <w:r>
              <w:rPr>
                <w:sz w:val="20"/>
                <w:szCs w:val="20"/>
              </w:rPr>
              <w:t>Significant positive relation between top capital gains tax rate and labour share of national income.</w:t>
            </w:r>
          </w:p>
        </w:tc>
      </w:tr>
    </w:tbl>
    <w:p w14:paraId="3D7EFC6A" w14:textId="77777777" w:rsidR="008121B1" w:rsidRDefault="008121B1" w:rsidP="00B74C4A">
      <w:pPr>
        <w:spacing w:line="360" w:lineRule="auto"/>
      </w:pPr>
    </w:p>
    <w:p w14:paraId="78FB0927" w14:textId="77777777" w:rsidR="00C15786" w:rsidRPr="003765F1" w:rsidRDefault="003765F1" w:rsidP="00E145D3">
      <w:pPr>
        <w:pStyle w:val="Heading2"/>
      </w:pPr>
      <w:bookmarkStart w:id="37" w:name="_Toc331344951"/>
      <w:bookmarkStart w:id="38" w:name="_Toc331345803"/>
      <w:r>
        <w:t>Earning ability</w:t>
      </w:r>
      <w:bookmarkEnd w:id="37"/>
      <w:bookmarkEnd w:id="38"/>
    </w:p>
    <w:p w14:paraId="519B1607" w14:textId="084E6186" w:rsidR="00C2777B" w:rsidRDefault="002A2DD2" w:rsidP="00B74C4A">
      <w:pPr>
        <w:spacing w:line="360" w:lineRule="auto"/>
      </w:pPr>
      <w:r>
        <w:t>The t</w:t>
      </w:r>
      <w:r w:rsidR="009F4F22">
        <w:t>heory of optimal taxation prescribes</w:t>
      </w:r>
      <w:r w:rsidR="00982A68">
        <w:t xml:space="preserve"> </w:t>
      </w:r>
      <w:r w:rsidR="00B74C4A" w:rsidRPr="00AE339B">
        <w:t xml:space="preserve">that individuals with a higher talent for earning </w:t>
      </w:r>
      <w:r w:rsidR="00982A68">
        <w:t xml:space="preserve">should </w:t>
      </w:r>
      <w:r w:rsidR="00B74C4A" w:rsidRPr="00AE339B">
        <w:t xml:space="preserve">pay more taxes. If we can distinguish between individuals with higher and lower talent for earning by taxing capital </w:t>
      </w:r>
      <w:r w:rsidR="004B4B6F">
        <w:t>income</w:t>
      </w:r>
      <w:r w:rsidR="00063204" w:rsidRPr="00AE339B">
        <w:t xml:space="preserve"> </w:t>
      </w:r>
      <w:r w:rsidR="00407417">
        <w:t xml:space="preserve">then </w:t>
      </w:r>
      <w:r w:rsidR="00B74C4A" w:rsidRPr="00AE339B">
        <w:t>it is optimal to do</w:t>
      </w:r>
      <w:r w:rsidR="008168D1" w:rsidRPr="00AE339B">
        <w:t xml:space="preserve"> so. </w:t>
      </w:r>
      <w:r w:rsidR="000C29F9">
        <w:t xml:space="preserve">There are </w:t>
      </w:r>
      <w:r w:rsidR="00C2777B">
        <w:t xml:space="preserve">several ways in which </w:t>
      </w:r>
      <w:r w:rsidR="000C29F9">
        <w:t xml:space="preserve">earning ability and capital </w:t>
      </w:r>
      <w:r w:rsidR="004B4B6F">
        <w:t>income</w:t>
      </w:r>
      <w:r w:rsidR="000C29F9">
        <w:t xml:space="preserve"> are positively related, which pleads for the use of a capital </w:t>
      </w:r>
      <w:r w:rsidR="004B4B6F">
        <w:t>income</w:t>
      </w:r>
      <w:r w:rsidR="000C29F9">
        <w:t xml:space="preserve"> tax. Below,</w:t>
      </w:r>
      <w:r w:rsidR="00B964BA">
        <w:t xml:space="preserve"> I will review the theory and empirics </w:t>
      </w:r>
      <w:r w:rsidR="008D176D">
        <w:t xml:space="preserve">regarding this argument. </w:t>
      </w:r>
    </w:p>
    <w:p w14:paraId="45A8E3EF" w14:textId="77777777" w:rsidR="00C2777B" w:rsidRDefault="00C2777B" w:rsidP="00B74C4A">
      <w:pPr>
        <w:spacing w:line="360" w:lineRule="auto"/>
      </w:pPr>
    </w:p>
    <w:p w14:paraId="7B3D160C" w14:textId="5984350D" w:rsidR="0035158E" w:rsidRDefault="009A0EBC" w:rsidP="00DC697D">
      <w:pPr>
        <w:spacing w:line="360" w:lineRule="auto"/>
      </w:pPr>
      <w:r>
        <w:t>The first aspect of this argument finds its nature in savings.</w:t>
      </w:r>
      <w:r w:rsidR="00FC1377">
        <w:t xml:space="preserve"> </w:t>
      </w:r>
      <w:r w:rsidR="00696463">
        <w:t>The idea is that conditional on income, the propensity to save is positively cor</w:t>
      </w:r>
      <w:r w:rsidR="00B072E5">
        <w:t>related with earning abilities</w:t>
      </w:r>
      <w:r w:rsidR="00407FEB">
        <w:t>.</w:t>
      </w:r>
      <w:r w:rsidR="00B072E5">
        <w:t xml:space="preserve"> Carroll</w:t>
      </w:r>
      <w:r w:rsidR="00AA237A">
        <w:t xml:space="preserve"> (2000) points out that it is not possible to explain the difference in savings behaviour between the rich and the poor by mea</w:t>
      </w:r>
      <w:r w:rsidR="008E6E4C">
        <w:t>ns of income differences alone. Besides, he states that if preference heterogeneity is ruled out, models that take the sole purpose of wealth accumulation to be the financing of future consumption are not sufficient in explaining the observed differences in savings.</w:t>
      </w:r>
      <w:r w:rsidR="00407FEB">
        <w:t xml:space="preserve"> Hence, there must be another factor that explains why some save more than others. </w:t>
      </w:r>
    </w:p>
    <w:p w14:paraId="2C4CD2A2" w14:textId="77777777" w:rsidR="0022363E" w:rsidRDefault="0022363E" w:rsidP="00DC697D">
      <w:pPr>
        <w:spacing w:line="360" w:lineRule="auto"/>
      </w:pPr>
    </w:p>
    <w:p w14:paraId="00E12EFD" w14:textId="301DDAB2" w:rsidR="009F2A53" w:rsidRPr="00651A39" w:rsidRDefault="00AA237A" w:rsidP="005322F5">
      <w:pPr>
        <w:spacing w:line="360" w:lineRule="auto"/>
      </w:pPr>
      <w:r w:rsidRPr="005322F5">
        <w:t xml:space="preserve">Golosov </w:t>
      </w:r>
      <w:r w:rsidRPr="005322F5">
        <w:rPr>
          <w:i/>
        </w:rPr>
        <w:t xml:space="preserve">et al. </w:t>
      </w:r>
      <w:r w:rsidRPr="005322F5">
        <w:t>(2013) construct a model that determines an optimal form of non-linear commodity taxation. In the process, they provide empirical evidence of the relation between savings preference and ability.</w:t>
      </w:r>
      <w:r w:rsidR="005322F5" w:rsidRPr="005322F5">
        <w:t xml:space="preserve"> The data</w:t>
      </w:r>
      <w:r w:rsidR="005322F5">
        <w:t>set</w:t>
      </w:r>
      <w:r w:rsidR="005322F5" w:rsidRPr="005322F5">
        <w:t xml:space="preserve"> </w:t>
      </w:r>
      <w:r w:rsidR="001215CA">
        <w:t>used is</w:t>
      </w:r>
      <w:r w:rsidR="005322F5" w:rsidRPr="005322F5">
        <w:t xml:space="preserve"> from the </w:t>
      </w:r>
      <w:r w:rsidR="005322F5" w:rsidRPr="005322F5">
        <w:rPr>
          <w:rFonts w:eastAsia="Times New Roman" w:cs="Times New Roman"/>
          <w:lang w:val="nl-NL"/>
        </w:rPr>
        <w:t>National Longitudinal Survey of Youth</w:t>
      </w:r>
      <w:r w:rsidR="005322F5">
        <w:rPr>
          <w:rFonts w:eastAsia="Times New Roman" w:cs="Times New Roman"/>
          <w:lang w:val="nl-NL"/>
        </w:rPr>
        <w:t xml:space="preserve">, which also contains a widely-used </w:t>
      </w:r>
      <w:r w:rsidR="009F2A53">
        <w:rPr>
          <w:rFonts w:eastAsia="Times New Roman" w:cs="Times New Roman"/>
          <w:lang w:val="nl-NL"/>
        </w:rPr>
        <w:t>cognitive ablility test</w:t>
      </w:r>
      <w:r w:rsidR="00BF6D7D">
        <w:rPr>
          <w:rFonts w:eastAsia="Times New Roman" w:cs="Times New Roman"/>
          <w:lang w:val="nl-NL"/>
        </w:rPr>
        <w:t xml:space="preserve"> called AFQT</w:t>
      </w:r>
      <w:r w:rsidR="005322F5">
        <w:rPr>
          <w:rFonts w:eastAsia="Times New Roman" w:cs="Times New Roman"/>
          <w:lang w:val="nl-NL"/>
        </w:rPr>
        <w:t xml:space="preserve">. </w:t>
      </w:r>
      <w:r w:rsidR="005322F5" w:rsidRPr="005322F5">
        <w:t xml:space="preserve">Combining a standard model of intertemporal utility maximization </w:t>
      </w:r>
      <w:r w:rsidR="005322F5">
        <w:t xml:space="preserve">with data on income and net worth, the authors compute a discount factor for each individual </w:t>
      </w:r>
      <w:r w:rsidR="005322F5">
        <w:lastRenderedPageBreak/>
        <w:t xml:space="preserve">in the sample. </w:t>
      </w:r>
      <w:r w:rsidR="009F2A53">
        <w:t>Regressing the discount factor on the log of ability</w:t>
      </w:r>
      <w:r w:rsidR="00BF6D7D">
        <w:t xml:space="preserve"> and other characteristics allows them to predict the influence of level of abil</w:t>
      </w:r>
      <w:r w:rsidR="00104C15">
        <w:t xml:space="preserve">ity on the discount factor. Their </w:t>
      </w:r>
      <w:r w:rsidR="009F70D7">
        <w:t>estimates show</w:t>
      </w:r>
      <w:r w:rsidR="00BF6D7D">
        <w:t xml:space="preserve"> a coefficient </w:t>
      </w:r>
      <w:r w:rsidR="00197D38">
        <w:t xml:space="preserve">of 0.026 </w:t>
      </w:r>
      <w:r w:rsidR="00BF6D7D">
        <w:t>for the log of AFQT</w:t>
      </w:r>
      <w:r w:rsidR="00197D38">
        <w:t>, which is highly significant (at the 1% level). T</w:t>
      </w:r>
      <w:r w:rsidR="0026660C">
        <w:t>hus</w:t>
      </w:r>
      <w:r w:rsidR="00197D38">
        <w:t>, if the ability increases by 20 percent, the discount facto</w:t>
      </w:r>
      <w:r w:rsidR="005C64FB">
        <w:t>r</w:t>
      </w:r>
      <w:r w:rsidR="00197D38">
        <w:t xml:space="preserve"> would increase by approximately 0.47 percent.</w:t>
      </w:r>
      <w:r w:rsidR="0026660C">
        <w:t xml:space="preserve"> </w:t>
      </w:r>
      <w:r w:rsidR="00197D38">
        <w:t xml:space="preserve">Thus, </w:t>
      </w:r>
      <w:r w:rsidR="0026660C">
        <w:t xml:space="preserve">the propensity to save </w:t>
      </w:r>
      <w:r w:rsidR="00D648C8">
        <w:t xml:space="preserve">is larger for </w:t>
      </w:r>
      <w:r w:rsidR="007565C0">
        <w:t>higher ability individuals</w:t>
      </w:r>
      <w:r w:rsidR="00197D38">
        <w:t xml:space="preserve"> than for lower ability individuals.</w:t>
      </w:r>
      <w:r w:rsidR="00213195">
        <w:rPr>
          <w:rStyle w:val="FootnoteReference"/>
        </w:rPr>
        <w:footnoteReference w:id="14"/>
      </w:r>
      <w:r w:rsidR="00651A39">
        <w:t xml:space="preserve"> </w:t>
      </w:r>
      <w:r w:rsidR="00865EE4">
        <w:rPr>
          <w:rFonts w:eastAsia="Times New Roman" w:cs="Times New Roman"/>
          <w:lang w:val="nl-NL"/>
        </w:rPr>
        <w:t>Further on in their pape</w:t>
      </w:r>
      <w:r w:rsidR="007446A3">
        <w:rPr>
          <w:rFonts w:eastAsia="Times New Roman" w:cs="Times New Roman"/>
          <w:lang w:val="nl-NL"/>
        </w:rPr>
        <w:t xml:space="preserve">r, </w:t>
      </w:r>
      <w:r w:rsidR="00CF1724">
        <w:rPr>
          <w:rFonts w:eastAsia="Times New Roman" w:cs="Times New Roman"/>
          <w:lang w:val="nl-NL"/>
        </w:rPr>
        <w:t xml:space="preserve">they </w:t>
      </w:r>
      <w:r w:rsidR="000F5ED6">
        <w:rPr>
          <w:rFonts w:eastAsia="Times New Roman" w:cs="Times New Roman"/>
          <w:lang w:val="nl-NL"/>
        </w:rPr>
        <w:t>calculate the o</w:t>
      </w:r>
      <w:r w:rsidR="007446A3">
        <w:rPr>
          <w:rFonts w:eastAsia="Times New Roman" w:cs="Times New Roman"/>
          <w:lang w:val="nl-NL"/>
        </w:rPr>
        <w:t>ptimal rate of capital taxation, so as to reach the distributional goals of the government at th</w:t>
      </w:r>
      <w:r w:rsidR="00E008ED">
        <w:rPr>
          <w:rFonts w:eastAsia="Times New Roman" w:cs="Times New Roman"/>
          <w:lang w:val="nl-NL"/>
        </w:rPr>
        <w:t>e lowest possible efficiency costs</w:t>
      </w:r>
      <w:r w:rsidR="007446A3">
        <w:rPr>
          <w:rFonts w:eastAsia="Times New Roman" w:cs="Times New Roman"/>
          <w:lang w:val="nl-NL"/>
        </w:rPr>
        <w:t>.</w:t>
      </w:r>
      <w:r w:rsidR="00E7465F">
        <w:rPr>
          <w:rFonts w:eastAsia="Times New Roman" w:cs="Times New Roman"/>
          <w:lang w:val="nl-NL"/>
        </w:rPr>
        <w:t xml:space="preserve"> </w:t>
      </w:r>
      <w:r w:rsidR="00E85735">
        <w:rPr>
          <w:rFonts w:eastAsia="Times New Roman" w:cs="Times New Roman"/>
          <w:lang w:val="nl-NL"/>
        </w:rPr>
        <w:t xml:space="preserve">This shows a capital </w:t>
      </w:r>
      <w:r w:rsidR="008B331B">
        <w:rPr>
          <w:rFonts w:eastAsia="Times New Roman" w:cs="Times New Roman"/>
          <w:lang w:val="nl-NL"/>
        </w:rPr>
        <w:t>income</w:t>
      </w:r>
      <w:r w:rsidR="00E85735">
        <w:rPr>
          <w:rFonts w:eastAsia="Times New Roman" w:cs="Times New Roman"/>
          <w:lang w:val="nl-NL"/>
        </w:rPr>
        <w:t xml:space="preserve"> tax can contribute to the governments equity goals.</w:t>
      </w:r>
    </w:p>
    <w:p w14:paraId="59D4417A" w14:textId="77777777" w:rsidR="00E7465F" w:rsidRDefault="00E7465F" w:rsidP="005322F5">
      <w:pPr>
        <w:spacing w:line="360" w:lineRule="auto"/>
        <w:rPr>
          <w:rFonts w:eastAsia="Times New Roman" w:cs="Times New Roman"/>
          <w:lang w:val="nl-NL"/>
        </w:rPr>
      </w:pPr>
    </w:p>
    <w:p w14:paraId="3EE0CD8C" w14:textId="77777777" w:rsidR="00213195" w:rsidRDefault="00E7465F" w:rsidP="005322F5">
      <w:pPr>
        <w:spacing w:line="360" w:lineRule="auto"/>
        <w:rPr>
          <w:rFonts w:eastAsia="Times New Roman" w:cs="Times New Roman"/>
          <w:lang w:val="nl-NL"/>
        </w:rPr>
      </w:pPr>
      <w:r>
        <w:rPr>
          <w:rFonts w:eastAsia="Times New Roman" w:cs="Times New Roman"/>
          <w:lang w:val="nl-NL"/>
        </w:rPr>
        <w:t xml:space="preserve">As Golosov </w:t>
      </w:r>
      <w:r>
        <w:rPr>
          <w:rFonts w:eastAsia="Times New Roman" w:cs="Times New Roman"/>
          <w:i/>
          <w:lang w:val="nl-NL"/>
        </w:rPr>
        <w:t>et al.</w:t>
      </w:r>
      <w:r>
        <w:rPr>
          <w:rFonts w:eastAsia="Times New Roman" w:cs="Times New Roman"/>
          <w:lang w:val="nl-NL"/>
        </w:rPr>
        <w:t xml:space="preserve"> study how preferences change on average for individuals with different abilities, Diamond &amp; Spinnewijn (2009) research individuals with equal abilities in terms of </w:t>
      </w:r>
      <w:r w:rsidR="005E6279">
        <w:rPr>
          <w:rFonts w:eastAsia="Times New Roman" w:cs="Times New Roman"/>
          <w:lang w:val="nl-NL"/>
        </w:rPr>
        <w:t>heterogeneity of preferences</w:t>
      </w:r>
      <w:r w:rsidR="008F00D0">
        <w:rPr>
          <w:rFonts w:eastAsia="Times New Roman" w:cs="Times New Roman"/>
          <w:lang w:val="nl-NL"/>
        </w:rPr>
        <w:t>.</w:t>
      </w:r>
      <w:r w:rsidR="00EC4B29">
        <w:rPr>
          <w:rFonts w:eastAsia="Times New Roman" w:cs="Times New Roman"/>
          <w:lang w:val="nl-NL"/>
        </w:rPr>
        <w:t xml:space="preserve"> More specifically, they look for differences in labour supply between individuals that have equal abilities</w:t>
      </w:r>
      <w:r w:rsidR="00195522">
        <w:rPr>
          <w:rFonts w:eastAsia="Times New Roman" w:cs="Times New Roman"/>
          <w:lang w:val="nl-NL"/>
        </w:rPr>
        <w:t xml:space="preserve">. If such differences exist, the use of a labour income tax alone is not sufficient according to the principles of horizontal equity. Individuals with the same earning ability should be paying </w:t>
      </w:r>
      <w:r w:rsidR="00540321">
        <w:rPr>
          <w:rFonts w:eastAsia="Times New Roman" w:cs="Times New Roman"/>
          <w:lang w:val="nl-NL"/>
        </w:rPr>
        <w:t>the same amount of taxes.</w:t>
      </w:r>
      <w:r w:rsidR="001C1CD3">
        <w:rPr>
          <w:rFonts w:eastAsia="Times New Roman" w:cs="Times New Roman"/>
          <w:lang w:val="nl-NL"/>
        </w:rPr>
        <w:t xml:space="preserve"> A capital income tax could be a supplement to a labour income tax</w:t>
      </w:r>
      <w:r w:rsidR="003E57F3">
        <w:rPr>
          <w:rFonts w:eastAsia="Times New Roman" w:cs="Times New Roman"/>
          <w:lang w:val="nl-NL"/>
        </w:rPr>
        <w:t xml:space="preserve"> to achieve this, if the correlation between discount level and ability is sufficiently high.</w:t>
      </w:r>
      <w:r w:rsidR="001C1CD3">
        <w:rPr>
          <w:rFonts w:eastAsia="Times New Roman" w:cs="Times New Roman"/>
          <w:lang w:val="nl-NL"/>
        </w:rPr>
        <w:t xml:space="preserve"> </w:t>
      </w:r>
      <w:r w:rsidR="003E57F3">
        <w:rPr>
          <w:rFonts w:eastAsia="Times New Roman" w:cs="Times New Roman"/>
          <w:lang w:val="nl-NL"/>
        </w:rPr>
        <w:t xml:space="preserve">Diamond &amp; Spinnewijn </w:t>
      </w:r>
      <w:r w:rsidR="006E6CA7">
        <w:rPr>
          <w:rFonts w:eastAsia="Times New Roman" w:cs="Times New Roman"/>
          <w:lang w:val="nl-NL"/>
        </w:rPr>
        <w:t>look at levels of education and savings propensities to find that these are related. Further, they observe that for a given skill level the earnings and savings are correlated</w:t>
      </w:r>
      <w:r w:rsidR="00A52275">
        <w:rPr>
          <w:rFonts w:eastAsia="Times New Roman" w:cs="Times New Roman"/>
          <w:lang w:val="nl-NL"/>
        </w:rPr>
        <w:t>.</w:t>
      </w:r>
      <w:r w:rsidR="006E6CA7">
        <w:rPr>
          <w:rFonts w:eastAsia="Times New Roman" w:cs="Times New Roman"/>
          <w:lang w:val="nl-NL"/>
        </w:rPr>
        <w:t xml:space="preserve"> </w:t>
      </w:r>
      <w:r w:rsidR="00A52275">
        <w:rPr>
          <w:rFonts w:eastAsia="Times New Roman" w:cs="Times New Roman"/>
          <w:lang w:val="nl-NL"/>
        </w:rPr>
        <w:t xml:space="preserve">According tot heir theoretical analysis, this validates the </w:t>
      </w:r>
      <w:r w:rsidR="007A7AE7">
        <w:rPr>
          <w:rFonts w:eastAsia="Times New Roman" w:cs="Times New Roman"/>
          <w:lang w:val="nl-NL"/>
        </w:rPr>
        <w:t xml:space="preserve">taxation of savings in </w:t>
      </w:r>
      <w:r w:rsidR="00E9119D">
        <w:rPr>
          <w:rFonts w:eastAsia="Times New Roman" w:cs="Times New Roman"/>
          <w:lang w:val="nl-NL"/>
        </w:rPr>
        <w:t xml:space="preserve">addition to labour income taxes. </w:t>
      </w:r>
      <w:r w:rsidR="00EF261D">
        <w:rPr>
          <w:rFonts w:eastAsia="Times New Roman" w:cs="Times New Roman"/>
          <w:lang w:val="nl-NL"/>
        </w:rPr>
        <w:t>However, this study is somewhat limited due to omitted variables that affect savings and work as well as the use of education level as sole proxy for ability.</w:t>
      </w:r>
      <w:r w:rsidR="00715B90">
        <w:rPr>
          <w:rStyle w:val="FootnoteReference"/>
          <w:rFonts w:eastAsia="Times New Roman" w:cs="Times New Roman"/>
          <w:lang w:val="nl-NL"/>
        </w:rPr>
        <w:footnoteReference w:id="15"/>
      </w:r>
      <w:r w:rsidR="00E9119D">
        <w:rPr>
          <w:rFonts w:eastAsia="Times New Roman" w:cs="Times New Roman"/>
          <w:lang w:val="nl-NL"/>
        </w:rPr>
        <w:t xml:space="preserve"> </w:t>
      </w:r>
    </w:p>
    <w:p w14:paraId="513A4C33" w14:textId="77777777" w:rsidR="00D351AA" w:rsidRDefault="00D351AA" w:rsidP="005322F5">
      <w:pPr>
        <w:spacing w:line="360" w:lineRule="auto"/>
        <w:rPr>
          <w:rFonts w:eastAsia="Times New Roman" w:cs="Times New Roman"/>
          <w:lang w:val="nl-NL"/>
        </w:rPr>
      </w:pPr>
    </w:p>
    <w:p w14:paraId="448A2049" w14:textId="408F7BCF" w:rsidR="00D351AA" w:rsidRPr="00367BF7" w:rsidRDefault="00D351AA" w:rsidP="0039638B">
      <w:pPr>
        <w:spacing w:line="360" w:lineRule="auto"/>
        <w:rPr>
          <w:rFonts w:eastAsia="Times New Roman" w:cs="Times New Roman"/>
          <w:color w:val="FF0000"/>
          <w:lang w:val="nl-NL"/>
        </w:rPr>
      </w:pPr>
      <w:r>
        <w:rPr>
          <w:rFonts w:eastAsia="Times New Roman" w:cs="Times New Roman"/>
          <w:lang w:val="nl-NL"/>
        </w:rPr>
        <w:t xml:space="preserve">The </w:t>
      </w:r>
      <w:r w:rsidR="00E813DA">
        <w:rPr>
          <w:rFonts w:eastAsia="Times New Roman" w:cs="Times New Roman"/>
          <w:lang w:val="nl-NL"/>
        </w:rPr>
        <w:t xml:space="preserve">previously cited </w:t>
      </w:r>
      <w:r>
        <w:rPr>
          <w:rFonts w:eastAsia="Times New Roman" w:cs="Times New Roman"/>
          <w:lang w:val="nl-NL"/>
        </w:rPr>
        <w:t>arti</w:t>
      </w:r>
      <w:r w:rsidR="00E813DA">
        <w:rPr>
          <w:rFonts w:eastAsia="Times New Roman" w:cs="Times New Roman"/>
          <w:lang w:val="nl-NL"/>
        </w:rPr>
        <w:t xml:space="preserve">cle by Gordon &amp; Kopczuk (2014) also shines some light the matter of </w:t>
      </w:r>
      <w:r w:rsidR="00C56CD8">
        <w:rPr>
          <w:rFonts w:eastAsia="Times New Roman" w:cs="Times New Roman"/>
          <w:lang w:val="nl-NL"/>
        </w:rPr>
        <w:t>what to include</w:t>
      </w:r>
      <w:r w:rsidR="00E813DA">
        <w:rPr>
          <w:rFonts w:eastAsia="Times New Roman" w:cs="Times New Roman"/>
          <w:lang w:val="nl-NL"/>
        </w:rPr>
        <w:t xml:space="preserve"> in the tax base. </w:t>
      </w:r>
      <w:r w:rsidR="00C56CD8">
        <w:rPr>
          <w:rFonts w:eastAsia="Times New Roman" w:cs="Times New Roman"/>
          <w:lang w:val="nl-NL"/>
        </w:rPr>
        <w:t>Among other things, the empirical work suggests that the taxation of interest should b</w:t>
      </w:r>
      <w:r w:rsidR="002B096C">
        <w:rPr>
          <w:rFonts w:eastAsia="Times New Roman" w:cs="Times New Roman"/>
          <w:lang w:val="nl-NL"/>
        </w:rPr>
        <w:t>e included from an equity perspective.</w:t>
      </w:r>
      <w:r w:rsidR="001E28AF">
        <w:rPr>
          <w:rFonts w:eastAsia="Times New Roman" w:cs="Times New Roman"/>
          <w:lang w:val="nl-NL"/>
        </w:rPr>
        <w:t xml:space="preserve"> </w:t>
      </w:r>
      <w:r w:rsidR="003620D5">
        <w:rPr>
          <w:rFonts w:eastAsia="Times New Roman" w:cs="Times New Roman"/>
          <w:lang w:val="nl-NL"/>
        </w:rPr>
        <w:t>Using data from the PSID</w:t>
      </w:r>
      <w:r w:rsidR="00233772">
        <w:rPr>
          <w:rStyle w:val="FootnoteReference"/>
          <w:rFonts w:eastAsia="Times New Roman" w:cs="Times New Roman"/>
          <w:lang w:val="nl-NL"/>
        </w:rPr>
        <w:footnoteReference w:id="16"/>
      </w:r>
      <w:r w:rsidR="003620D5">
        <w:rPr>
          <w:rFonts w:eastAsia="Times New Roman" w:cs="Times New Roman"/>
          <w:lang w:val="nl-NL"/>
        </w:rPr>
        <w:t xml:space="preserve"> </w:t>
      </w:r>
      <w:r w:rsidR="003F3F8B">
        <w:rPr>
          <w:rFonts w:eastAsia="Times New Roman" w:cs="Times New Roman"/>
          <w:lang w:val="nl-NL"/>
        </w:rPr>
        <w:t xml:space="preserve">they compare wage rates with joint labour income of married couples. Taking wage rates as a proxy for ability, they find that especially </w:t>
      </w:r>
      <w:r w:rsidR="003F3F8B">
        <w:rPr>
          <w:rFonts w:eastAsia="Times New Roman" w:cs="Times New Roman"/>
          <w:lang w:val="nl-NL"/>
        </w:rPr>
        <w:lastRenderedPageBreak/>
        <w:t xml:space="preserve">amongst those with lower labour income the relationship between ability and labour income is remarkably weak. This calls for the thought of expanding the tax base to other </w:t>
      </w:r>
      <w:r w:rsidR="00BD2445">
        <w:rPr>
          <w:rFonts w:eastAsia="Times New Roman" w:cs="Times New Roman"/>
          <w:lang w:val="nl-NL"/>
        </w:rPr>
        <w:t xml:space="preserve">factors such as capital income </w:t>
      </w:r>
      <w:r w:rsidR="003F3F8B">
        <w:rPr>
          <w:rFonts w:eastAsia="Times New Roman" w:cs="Times New Roman"/>
          <w:lang w:val="nl-NL"/>
        </w:rPr>
        <w:t>incom</w:t>
      </w:r>
      <w:r w:rsidR="00BD2445">
        <w:rPr>
          <w:rFonts w:eastAsia="Times New Roman" w:cs="Times New Roman"/>
          <w:lang w:val="nl-NL"/>
        </w:rPr>
        <w:t>e, that might grasp ability as well.</w:t>
      </w:r>
      <w:r w:rsidR="003F3F8B">
        <w:rPr>
          <w:rFonts w:eastAsia="Times New Roman" w:cs="Times New Roman"/>
          <w:lang w:val="nl-NL"/>
        </w:rPr>
        <w:t xml:space="preserve"> </w:t>
      </w:r>
      <w:r w:rsidR="00032BA5">
        <w:rPr>
          <w:rFonts w:eastAsia="Times New Roman" w:cs="Times New Roman"/>
          <w:lang w:val="nl-NL"/>
        </w:rPr>
        <w:t>The</w:t>
      </w:r>
      <w:r w:rsidR="005D438D">
        <w:rPr>
          <w:rFonts w:eastAsia="Times New Roman" w:cs="Times New Roman"/>
          <w:lang w:val="nl-NL"/>
        </w:rPr>
        <w:t xml:space="preserve"> authors construct a complicated </w:t>
      </w:r>
      <w:r w:rsidR="00032BA5">
        <w:rPr>
          <w:rFonts w:eastAsia="Times New Roman" w:cs="Times New Roman"/>
          <w:lang w:val="nl-NL"/>
        </w:rPr>
        <w:t xml:space="preserve">one-period </w:t>
      </w:r>
      <w:r w:rsidR="005D438D">
        <w:rPr>
          <w:rFonts w:eastAsia="Times New Roman" w:cs="Times New Roman"/>
          <w:lang w:val="nl-NL"/>
        </w:rPr>
        <w:t xml:space="preserve">model that derives the </w:t>
      </w:r>
      <w:r w:rsidR="00032BA5">
        <w:rPr>
          <w:rFonts w:eastAsia="Times New Roman" w:cs="Times New Roman"/>
          <w:lang w:val="nl-NL"/>
        </w:rPr>
        <w:t>conditions that characterize an optimal tax base, which solely depends on the earning ability of couples</w:t>
      </w:r>
      <w:r w:rsidR="009E1560">
        <w:rPr>
          <w:rFonts w:eastAsia="Times New Roman" w:cs="Times New Roman"/>
          <w:lang w:val="nl-NL"/>
        </w:rPr>
        <w:t>. As ability is not directly observable, they use other observable variables as proxies</w:t>
      </w:r>
      <w:r w:rsidR="00CB1380">
        <w:rPr>
          <w:rFonts w:eastAsia="Times New Roman" w:cs="Times New Roman"/>
          <w:lang w:val="nl-NL"/>
        </w:rPr>
        <w:t xml:space="preserve">. </w:t>
      </w:r>
      <w:r w:rsidR="0039638B">
        <w:rPr>
          <w:rFonts w:eastAsia="Times New Roman" w:cs="Times New Roman"/>
          <w:lang w:val="nl-NL"/>
        </w:rPr>
        <w:t xml:space="preserve">The tax base is </w:t>
      </w:r>
      <w:r w:rsidR="00757880">
        <w:rPr>
          <w:rFonts w:eastAsia="Times New Roman" w:cs="Times New Roman"/>
          <w:lang w:val="nl-NL"/>
        </w:rPr>
        <w:t>expressed</w:t>
      </w:r>
      <w:r w:rsidR="0039638B">
        <w:rPr>
          <w:rFonts w:eastAsia="Times New Roman" w:cs="Times New Roman"/>
          <w:lang w:val="nl-NL"/>
        </w:rPr>
        <w:t xml:space="preserve"> as a function of labour income </w:t>
      </w:r>
      <w:r w:rsidR="0068101E">
        <w:rPr>
          <w:rFonts w:eastAsia="Times New Roman" w:cs="Times New Roman"/>
          <w:lang w:val="nl-NL"/>
        </w:rPr>
        <w:t>plus</w:t>
      </w:r>
      <w:r w:rsidR="0039638B">
        <w:rPr>
          <w:rFonts w:eastAsia="Times New Roman" w:cs="Times New Roman"/>
          <w:lang w:val="nl-NL"/>
        </w:rPr>
        <w:t xml:space="preserve"> a vector </w:t>
      </w:r>
      <w:r w:rsidR="0039638B" w:rsidRPr="0039638B">
        <w:rPr>
          <w:rFonts w:eastAsia="Times New Roman" w:cs="Times New Roman"/>
          <w:i/>
          <w:lang w:val="nl-NL"/>
        </w:rPr>
        <w:t>Xh</w:t>
      </w:r>
      <w:r w:rsidR="0039638B">
        <w:rPr>
          <w:rFonts w:eastAsia="Times New Roman" w:cs="Times New Roman"/>
          <w:lang w:val="nl-NL"/>
        </w:rPr>
        <w:t xml:space="preserve"> of other observable characteristics, which is multiplied by a coefficient alpha. The model </w:t>
      </w:r>
      <w:r w:rsidR="003620D5">
        <w:rPr>
          <w:rFonts w:eastAsia="Times New Roman" w:cs="Times New Roman"/>
          <w:lang w:val="nl-NL"/>
        </w:rPr>
        <w:t>derive</w:t>
      </w:r>
      <w:r w:rsidR="0039638B">
        <w:rPr>
          <w:rFonts w:eastAsia="Times New Roman" w:cs="Times New Roman"/>
          <w:lang w:val="nl-NL"/>
        </w:rPr>
        <w:t>s</w:t>
      </w:r>
      <w:r w:rsidR="003620D5">
        <w:rPr>
          <w:rFonts w:eastAsia="Times New Roman" w:cs="Times New Roman"/>
          <w:lang w:val="nl-NL"/>
        </w:rPr>
        <w:t xml:space="preserve"> estimates </w:t>
      </w:r>
      <w:r w:rsidR="00DD7AA6">
        <w:rPr>
          <w:rFonts w:eastAsia="Times New Roman" w:cs="Times New Roman"/>
          <w:lang w:val="nl-NL"/>
        </w:rPr>
        <w:t>of alpha</w:t>
      </w:r>
      <w:r w:rsidR="00DF0029">
        <w:rPr>
          <w:rFonts w:eastAsia="Times New Roman" w:cs="Times New Roman"/>
          <w:lang w:val="nl-NL"/>
        </w:rPr>
        <w:t>.</w:t>
      </w:r>
      <w:r w:rsidR="00DD7AA6">
        <w:rPr>
          <w:rFonts w:eastAsia="Times New Roman" w:cs="Times New Roman"/>
          <w:lang w:val="nl-NL"/>
        </w:rPr>
        <w:t xml:space="preserve"> The value of alpha represents the similarity between the current system of taxation and the optimal system.</w:t>
      </w:r>
      <w:r w:rsidR="00DF0029">
        <w:rPr>
          <w:rFonts w:eastAsia="Times New Roman" w:cs="Times New Roman"/>
          <w:lang w:val="nl-NL"/>
        </w:rPr>
        <w:t xml:space="preserve"> The closer </w:t>
      </w:r>
      <w:r w:rsidR="00851CAE">
        <w:rPr>
          <w:rFonts w:eastAsia="Times New Roman" w:cs="Times New Roman"/>
          <w:lang w:val="nl-NL"/>
        </w:rPr>
        <w:t xml:space="preserve">the estimate of </w:t>
      </w:r>
      <w:r w:rsidR="00DF0029">
        <w:rPr>
          <w:rFonts w:eastAsia="Times New Roman" w:cs="Times New Roman"/>
          <w:lang w:val="nl-NL"/>
        </w:rPr>
        <w:t xml:space="preserve">this alpha is to zero the </w:t>
      </w:r>
      <w:r w:rsidR="00851CAE">
        <w:rPr>
          <w:rFonts w:eastAsia="Times New Roman" w:cs="Times New Roman"/>
          <w:lang w:val="nl-NL"/>
        </w:rPr>
        <w:t xml:space="preserve">more </w:t>
      </w:r>
      <w:r w:rsidR="00DF0029">
        <w:rPr>
          <w:rFonts w:eastAsia="Times New Roman" w:cs="Times New Roman"/>
          <w:lang w:val="nl-NL"/>
        </w:rPr>
        <w:t>current law regarding the</w:t>
      </w:r>
      <w:r w:rsidR="00851CAE">
        <w:rPr>
          <w:rFonts w:eastAsia="Times New Roman" w:cs="Times New Roman"/>
          <w:lang w:val="nl-NL"/>
        </w:rPr>
        <w:t xml:space="preserve"> taxation of interest is consistent with the optimal level according to the model.</w:t>
      </w:r>
      <w:r w:rsidR="000250DE">
        <w:rPr>
          <w:rFonts w:eastAsia="Times New Roman" w:cs="Times New Roman"/>
          <w:lang w:val="nl-NL"/>
        </w:rPr>
        <w:t xml:space="preserve"> The estimate they found for interest was 0.240, which is very close to zero compared to </w:t>
      </w:r>
      <w:r w:rsidR="00E37658">
        <w:rPr>
          <w:rFonts w:eastAsia="Times New Roman" w:cs="Times New Roman"/>
          <w:lang w:val="nl-NL"/>
        </w:rPr>
        <w:t xml:space="preserve">the </w:t>
      </w:r>
      <w:r w:rsidR="000250DE">
        <w:rPr>
          <w:rFonts w:eastAsia="Times New Roman" w:cs="Times New Roman"/>
          <w:lang w:val="nl-NL"/>
        </w:rPr>
        <w:t>other variables.</w:t>
      </w:r>
      <w:r w:rsidR="00A93ED4">
        <w:rPr>
          <w:rFonts w:eastAsia="Times New Roman" w:cs="Times New Roman"/>
          <w:lang w:val="nl-NL"/>
        </w:rPr>
        <w:t xml:space="preserve"> This implies that </w:t>
      </w:r>
      <w:r w:rsidR="009D16C1">
        <w:rPr>
          <w:rFonts w:eastAsia="Times New Roman" w:cs="Times New Roman"/>
          <w:lang w:val="nl-NL"/>
        </w:rPr>
        <w:t>taxing interest is wanted for from an equity perspective.</w:t>
      </w:r>
      <w:r w:rsidR="009F4590">
        <w:rPr>
          <w:rFonts w:eastAsia="Times New Roman" w:cs="Times New Roman"/>
          <w:lang w:val="nl-NL"/>
        </w:rPr>
        <w:t xml:space="preserve"> </w:t>
      </w:r>
    </w:p>
    <w:p w14:paraId="02056F9C" w14:textId="77777777" w:rsidR="009F4590" w:rsidRDefault="009F4590" w:rsidP="005322F5">
      <w:pPr>
        <w:spacing w:line="360" w:lineRule="auto"/>
        <w:rPr>
          <w:rFonts w:eastAsia="Times New Roman" w:cs="Times New Roman"/>
          <w:lang w:val="nl-NL"/>
        </w:rPr>
      </w:pPr>
    </w:p>
    <w:p w14:paraId="2597540B" w14:textId="0839BDEE" w:rsidR="00D648C8" w:rsidRDefault="00C10F92" w:rsidP="00B624E4">
      <w:pPr>
        <w:spacing w:line="360" w:lineRule="auto"/>
        <w:rPr>
          <w:rFonts w:eastAsia="Times New Roman" w:cs="Times New Roman"/>
          <w:lang w:val="nl-NL"/>
        </w:rPr>
      </w:pPr>
      <w:r>
        <w:rPr>
          <w:rFonts w:eastAsia="Times New Roman" w:cs="Times New Roman"/>
          <w:lang w:val="nl-NL"/>
        </w:rPr>
        <w:t xml:space="preserve">Another piece of evidence that pleads for the use of a </w:t>
      </w:r>
      <w:r w:rsidR="00D864D9">
        <w:rPr>
          <w:rFonts w:eastAsia="Times New Roman" w:cs="Times New Roman"/>
          <w:lang w:val="nl-NL"/>
        </w:rPr>
        <w:t>capital income</w:t>
      </w:r>
      <w:r>
        <w:rPr>
          <w:rFonts w:eastAsia="Times New Roman" w:cs="Times New Roman"/>
          <w:lang w:val="nl-NL"/>
        </w:rPr>
        <w:t xml:space="preserve"> tax is presented by Benjamin </w:t>
      </w:r>
      <w:r>
        <w:rPr>
          <w:rFonts w:eastAsia="Times New Roman" w:cs="Times New Roman"/>
          <w:i/>
          <w:lang w:val="nl-NL"/>
        </w:rPr>
        <w:t>et al.</w:t>
      </w:r>
      <w:r>
        <w:rPr>
          <w:rFonts w:eastAsia="Times New Roman" w:cs="Times New Roman"/>
          <w:lang w:val="nl-NL"/>
        </w:rPr>
        <w:t xml:space="preserve"> (2006</w:t>
      </w:r>
      <w:r w:rsidR="00F2075C">
        <w:rPr>
          <w:rFonts w:eastAsia="Times New Roman" w:cs="Times New Roman"/>
          <w:lang w:val="nl-NL"/>
        </w:rPr>
        <w:t xml:space="preserve">). In this paper, the authors </w:t>
      </w:r>
      <w:r w:rsidR="00AA1DBD">
        <w:rPr>
          <w:rFonts w:eastAsia="Times New Roman" w:cs="Times New Roman"/>
          <w:lang w:val="nl-NL"/>
        </w:rPr>
        <w:t>have taken</w:t>
      </w:r>
      <w:r w:rsidR="00F2075C">
        <w:rPr>
          <w:rFonts w:eastAsia="Times New Roman" w:cs="Times New Roman"/>
          <w:lang w:val="nl-NL"/>
        </w:rPr>
        <w:t xml:space="preserve"> the previously mentioned Na</w:t>
      </w:r>
      <w:r w:rsidR="00954FB6">
        <w:rPr>
          <w:rFonts w:eastAsia="Times New Roman" w:cs="Times New Roman"/>
          <w:lang w:val="nl-NL"/>
        </w:rPr>
        <w:t>tional Longitudinal Survey of Youth</w:t>
      </w:r>
      <w:r w:rsidR="00954FB6">
        <w:rPr>
          <w:rStyle w:val="FootnoteReference"/>
          <w:rFonts w:eastAsia="Times New Roman" w:cs="Times New Roman"/>
          <w:lang w:val="nl-NL"/>
        </w:rPr>
        <w:footnoteReference w:id="17"/>
      </w:r>
      <w:r w:rsidR="00954FB6">
        <w:rPr>
          <w:rFonts w:eastAsia="Times New Roman" w:cs="Times New Roman"/>
          <w:lang w:val="nl-NL"/>
        </w:rPr>
        <w:t xml:space="preserve"> </w:t>
      </w:r>
      <w:r w:rsidR="00AA1DBD">
        <w:rPr>
          <w:rFonts w:eastAsia="Times New Roman" w:cs="Times New Roman"/>
          <w:lang w:val="nl-NL"/>
        </w:rPr>
        <w:t xml:space="preserve">and used linear probability models </w:t>
      </w:r>
      <w:r w:rsidR="00954FB6">
        <w:rPr>
          <w:rFonts w:eastAsia="Times New Roman" w:cs="Times New Roman"/>
          <w:lang w:val="nl-NL"/>
        </w:rPr>
        <w:t xml:space="preserve">to estimate the relationship </w:t>
      </w:r>
      <w:r w:rsidR="00AC159C">
        <w:rPr>
          <w:rFonts w:eastAsia="Times New Roman" w:cs="Times New Roman"/>
          <w:lang w:val="nl-NL"/>
        </w:rPr>
        <w:t xml:space="preserve">between </w:t>
      </w:r>
      <w:r w:rsidR="00954FB6">
        <w:rPr>
          <w:rFonts w:eastAsia="Times New Roman" w:cs="Times New Roman"/>
          <w:lang w:val="nl-NL"/>
        </w:rPr>
        <w:t xml:space="preserve">the </w:t>
      </w:r>
      <w:r w:rsidR="00AC159C">
        <w:rPr>
          <w:rFonts w:eastAsia="Times New Roman" w:cs="Times New Roman"/>
          <w:lang w:val="nl-NL"/>
        </w:rPr>
        <w:t>integrated</w:t>
      </w:r>
      <w:r w:rsidR="00954FB6">
        <w:rPr>
          <w:rFonts w:eastAsia="Times New Roman" w:cs="Times New Roman"/>
          <w:lang w:val="nl-NL"/>
        </w:rPr>
        <w:t xml:space="preserve"> AFQT cognitive ability scores </w:t>
      </w:r>
      <w:r w:rsidR="00AA1DBD">
        <w:rPr>
          <w:rFonts w:eastAsia="Times New Roman" w:cs="Times New Roman"/>
          <w:lang w:val="nl-NL"/>
        </w:rPr>
        <w:t>and severa</w:t>
      </w:r>
      <w:r w:rsidR="00E51B6E">
        <w:rPr>
          <w:rFonts w:eastAsia="Times New Roman" w:cs="Times New Roman"/>
          <w:lang w:val="nl-NL"/>
        </w:rPr>
        <w:t>l depende</w:t>
      </w:r>
      <w:r w:rsidR="00E51F78">
        <w:rPr>
          <w:rFonts w:eastAsia="Times New Roman" w:cs="Times New Roman"/>
          <w:lang w:val="nl-NL"/>
        </w:rPr>
        <w:t>nt variables. One of the variables was th</w:t>
      </w:r>
      <w:r w:rsidR="00857D04">
        <w:rPr>
          <w:rFonts w:eastAsia="Times New Roman" w:cs="Times New Roman"/>
          <w:lang w:val="nl-NL"/>
        </w:rPr>
        <w:t>e propensity to have net assets</w:t>
      </w:r>
      <w:r w:rsidR="009E40B4">
        <w:rPr>
          <w:rFonts w:eastAsia="Times New Roman" w:cs="Times New Roman"/>
          <w:lang w:val="nl-NL"/>
        </w:rPr>
        <w:t>. A</w:t>
      </w:r>
      <w:r w:rsidR="00A405F7">
        <w:rPr>
          <w:rFonts w:eastAsia="Times New Roman" w:cs="Times New Roman"/>
          <w:lang w:val="nl-NL"/>
        </w:rPr>
        <w:t xml:space="preserve">fter controlling for </w:t>
      </w:r>
      <w:r w:rsidR="009E40B4">
        <w:rPr>
          <w:rFonts w:eastAsia="Times New Roman" w:cs="Times New Roman"/>
          <w:lang w:val="nl-NL"/>
        </w:rPr>
        <w:t>social background and family income, an increased score of 10 percentile points for the AFQT is related to an increase of about 1.5 percentage points in the propensity to have net assets.</w:t>
      </w:r>
      <w:r w:rsidR="0072545A">
        <w:rPr>
          <w:rFonts w:eastAsia="Times New Roman" w:cs="Times New Roman"/>
          <w:lang w:val="nl-NL"/>
        </w:rPr>
        <w:t xml:space="preserve"> </w:t>
      </w:r>
      <w:r w:rsidR="00375348">
        <w:rPr>
          <w:rFonts w:eastAsia="Times New Roman" w:cs="Times New Roman"/>
          <w:lang w:val="nl-NL"/>
        </w:rPr>
        <w:t xml:space="preserve">Thus, the propensity to have net assets increases in ability. A </w:t>
      </w:r>
      <w:r w:rsidR="00D864D9">
        <w:rPr>
          <w:rFonts w:eastAsia="Times New Roman" w:cs="Times New Roman"/>
          <w:lang w:val="nl-NL"/>
        </w:rPr>
        <w:t>capital income</w:t>
      </w:r>
      <w:r w:rsidR="00375348">
        <w:rPr>
          <w:rFonts w:eastAsia="Times New Roman" w:cs="Times New Roman"/>
          <w:lang w:val="nl-NL"/>
        </w:rPr>
        <w:t xml:space="preserve"> tax targets individuals that have net assets. Individuals that have net assets are more likely to pay </w:t>
      </w:r>
      <w:r w:rsidR="00D864D9">
        <w:rPr>
          <w:rFonts w:eastAsia="Times New Roman" w:cs="Times New Roman"/>
          <w:lang w:val="nl-NL"/>
        </w:rPr>
        <w:t>capital income</w:t>
      </w:r>
      <w:r w:rsidR="00375348">
        <w:rPr>
          <w:rFonts w:eastAsia="Times New Roman" w:cs="Times New Roman"/>
          <w:lang w:val="nl-NL"/>
        </w:rPr>
        <w:t xml:space="preserve"> taxes than individuals that do not</w:t>
      </w:r>
      <w:r w:rsidR="00D05316">
        <w:rPr>
          <w:rFonts w:eastAsia="Times New Roman" w:cs="Times New Roman"/>
          <w:lang w:val="nl-NL"/>
        </w:rPr>
        <w:t xml:space="preserve">, as assets generally tend to produce </w:t>
      </w:r>
      <w:r w:rsidR="00417454">
        <w:rPr>
          <w:rFonts w:eastAsia="Times New Roman" w:cs="Times New Roman"/>
          <w:lang w:val="nl-NL"/>
        </w:rPr>
        <w:t xml:space="preserve">more </w:t>
      </w:r>
      <w:r w:rsidR="00D05316">
        <w:rPr>
          <w:rFonts w:eastAsia="Times New Roman" w:cs="Times New Roman"/>
          <w:lang w:val="nl-NL"/>
        </w:rPr>
        <w:t>gains</w:t>
      </w:r>
      <w:r w:rsidR="00417454">
        <w:rPr>
          <w:rFonts w:eastAsia="Times New Roman" w:cs="Times New Roman"/>
          <w:lang w:val="nl-NL"/>
        </w:rPr>
        <w:t xml:space="preserve"> than losses</w:t>
      </w:r>
      <w:r w:rsidR="00375348">
        <w:rPr>
          <w:rFonts w:eastAsia="Times New Roman" w:cs="Times New Roman"/>
          <w:lang w:val="nl-NL"/>
        </w:rPr>
        <w:t xml:space="preserve">. </w:t>
      </w:r>
      <w:r w:rsidR="00B02DF7">
        <w:rPr>
          <w:rFonts w:eastAsia="Times New Roman" w:cs="Times New Roman"/>
          <w:lang w:val="nl-NL"/>
        </w:rPr>
        <w:t xml:space="preserve">This implies that </w:t>
      </w:r>
      <w:r w:rsidR="00D864D9">
        <w:rPr>
          <w:rFonts w:eastAsia="Times New Roman" w:cs="Times New Roman"/>
          <w:lang w:val="nl-NL"/>
        </w:rPr>
        <w:t>capital income</w:t>
      </w:r>
      <w:r w:rsidR="00375348">
        <w:rPr>
          <w:rFonts w:eastAsia="Times New Roman" w:cs="Times New Roman"/>
          <w:lang w:val="nl-NL"/>
        </w:rPr>
        <w:t xml:space="preserve"> </w:t>
      </w:r>
      <w:r w:rsidR="00F91069">
        <w:rPr>
          <w:rFonts w:eastAsia="Times New Roman" w:cs="Times New Roman"/>
          <w:lang w:val="nl-NL"/>
        </w:rPr>
        <w:t>tax aims at individuals with higher ability, and therefore is wanted for from an equity perspective.</w:t>
      </w:r>
      <w:r w:rsidR="00B02DF7">
        <w:rPr>
          <w:rFonts w:eastAsia="Times New Roman" w:cs="Times New Roman"/>
          <w:lang w:val="nl-NL"/>
        </w:rPr>
        <w:t xml:space="preserve"> However, the drawback in this argument is that the </w:t>
      </w:r>
      <w:r w:rsidR="009A4459">
        <w:rPr>
          <w:rFonts w:eastAsia="Times New Roman" w:cs="Times New Roman"/>
          <w:lang w:val="nl-NL"/>
        </w:rPr>
        <w:t>variable ‘</w:t>
      </w:r>
      <w:r w:rsidR="00B02DF7">
        <w:rPr>
          <w:rFonts w:eastAsia="Times New Roman" w:cs="Times New Roman"/>
          <w:lang w:val="nl-NL"/>
        </w:rPr>
        <w:t>propensity to have net assets</w:t>
      </w:r>
      <w:r w:rsidR="009A4459">
        <w:rPr>
          <w:rFonts w:eastAsia="Times New Roman" w:cs="Times New Roman"/>
          <w:lang w:val="nl-NL"/>
        </w:rPr>
        <w:t>’ does not specify any magnitude</w:t>
      </w:r>
      <w:r w:rsidR="00FD4D92">
        <w:rPr>
          <w:rFonts w:eastAsia="Times New Roman" w:cs="Times New Roman"/>
          <w:lang w:val="nl-NL"/>
        </w:rPr>
        <w:t>, but merely a yes or no statement. This is a rather vague expression to base policy on.</w:t>
      </w:r>
      <w:r w:rsidR="00B67A31">
        <w:rPr>
          <w:rFonts w:eastAsia="Times New Roman" w:cs="Times New Roman"/>
          <w:lang w:val="nl-NL"/>
        </w:rPr>
        <w:t xml:space="preserve"> </w:t>
      </w:r>
      <w:r w:rsidR="00B67A31" w:rsidRPr="00A30FE9">
        <w:rPr>
          <w:rFonts w:eastAsia="Times New Roman" w:cs="Times New Roman"/>
          <w:lang w:val="nl-NL"/>
        </w:rPr>
        <w:t>Anot</w:t>
      </w:r>
      <w:r w:rsidR="00A30FE9">
        <w:rPr>
          <w:rFonts w:eastAsia="Times New Roman" w:cs="Times New Roman"/>
          <w:lang w:val="nl-NL"/>
        </w:rPr>
        <w:t>her drawback is the data sample, which contained only 14-22 year old individuals</w:t>
      </w:r>
      <w:r w:rsidR="00B67A31" w:rsidRPr="00A30FE9">
        <w:rPr>
          <w:rFonts w:eastAsia="Times New Roman" w:cs="Times New Roman"/>
          <w:lang w:val="nl-NL"/>
        </w:rPr>
        <w:t>. They might have</w:t>
      </w:r>
      <w:r w:rsidR="008F3990">
        <w:rPr>
          <w:rFonts w:eastAsia="Times New Roman" w:cs="Times New Roman"/>
          <w:lang w:val="nl-NL"/>
        </w:rPr>
        <w:t xml:space="preserve"> net </w:t>
      </w:r>
      <w:r w:rsidR="008F3990">
        <w:rPr>
          <w:rFonts w:eastAsia="Times New Roman" w:cs="Times New Roman"/>
          <w:lang w:val="nl-NL"/>
        </w:rPr>
        <w:lastRenderedPageBreak/>
        <w:t>assets now, but that does no</w:t>
      </w:r>
      <w:r w:rsidR="00B67A31" w:rsidRPr="00A30FE9">
        <w:rPr>
          <w:rFonts w:eastAsia="Times New Roman" w:cs="Times New Roman"/>
          <w:lang w:val="nl-NL"/>
        </w:rPr>
        <w:t>t necessarily say that they will do so later on in their careeers, when the tax on capital gain would actually have an impact.</w:t>
      </w:r>
    </w:p>
    <w:p w14:paraId="1264E535" w14:textId="77777777" w:rsidR="009152C5" w:rsidRDefault="009152C5" w:rsidP="00B624E4">
      <w:pPr>
        <w:spacing w:line="360" w:lineRule="auto"/>
        <w:rPr>
          <w:rFonts w:eastAsia="Times New Roman" w:cs="Times New Roman"/>
          <w:lang w:val="nl-NL"/>
        </w:rPr>
      </w:pP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985"/>
        <w:gridCol w:w="1559"/>
        <w:gridCol w:w="1701"/>
        <w:gridCol w:w="2056"/>
      </w:tblGrid>
      <w:tr w:rsidR="009152C5" w:rsidRPr="00AE339B" w14:paraId="2EA73C8C" w14:textId="77777777" w:rsidTr="0083515A">
        <w:trPr>
          <w:trHeight w:val="559"/>
          <w:jc w:val="center"/>
        </w:trPr>
        <w:tc>
          <w:tcPr>
            <w:tcW w:w="1346" w:type="dxa"/>
          </w:tcPr>
          <w:p w14:paraId="5909E963" w14:textId="77777777" w:rsidR="009152C5" w:rsidRPr="00AE339B" w:rsidRDefault="009152C5" w:rsidP="009152C5">
            <w:pPr>
              <w:spacing w:line="360" w:lineRule="auto"/>
            </w:pPr>
            <w:r w:rsidRPr="00AE339B">
              <w:t>Argument</w:t>
            </w:r>
          </w:p>
        </w:tc>
        <w:tc>
          <w:tcPr>
            <w:tcW w:w="1559" w:type="dxa"/>
          </w:tcPr>
          <w:p w14:paraId="6C4B67AF" w14:textId="77777777" w:rsidR="009152C5" w:rsidRPr="00AE339B" w:rsidRDefault="009152C5" w:rsidP="009152C5">
            <w:pPr>
              <w:spacing w:line="360" w:lineRule="auto"/>
            </w:pPr>
            <w:r w:rsidRPr="00AE339B">
              <w:t>Empirical studies</w:t>
            </w:r>
          </w:p>
        </w:tc>
        <w:tc>
          <w:tcPr>
            <w:tcW w:w="1985" w:type="dxa"/>
          </w:tcPr>
          <w:p w14:paraId="23D593EB" w14:textId="77777777" w:rsidR="009152C5" w:rsidRPr="00AE339B" w:rsidRDefault="009152C5" w:rsidP="009152C5">
            <w:pPr>
              <w:spacing w:line="360" w:lineRule="auto"/>
            </w:pPr>
            <w:r w:rsidRPr="00AE339B">
              <w:t>Data</w:t>
            </w:r>
            <w:r>
              <w:t>/Sample</w:t>
            </w:r>
          </w:p>
        </w:tc>
        <w:tc>
          <w:tcPr>
            <w:tcW w:w="1559" w:type="dxa"/>
          </w:tcPr>
          <w:p w14:paraId="53987536" w14:textId="77777777" w:rsidR="009152C5" w:rsidRPr="00AE339B" w:rsidRDefault="009152C5" w:rsidP="009152C5">
            <w:pPr>
              <w:spacing w:line="360" w:lineRule="auto"/>
            </w:pPr>
            <w:r>
              <w:t>Variables Used</w:t>
            </w:r>
          </w:p>
        </w:tc>
        <w:tc>
          <w:tcPr>
            <w:tcW w:w="1701" w:type="dxa"/>
          </w:tcPr>
          <w:p w14:paraId="1AD58677" w14:textId="77777777" w:rsidR="009152C5" w:rsidRPr="00AE339B" w:rsidRDefault="009152C5" w:rsidP="009152C5">
            <w:pPr>
              <w:spacing w:line="360" w:lineRule="auto"/>
            </w:pPr>
            <w:r>
              <w:t>Model</w:t>
            </w:r>
          </w:p>
        </w:tc>
        <w:tc>
          <w:tcPr>
            <w:tcW w:w="2056" w:type="dxa"/>
          </w:tcPr>
          <w:p w14:paraId="0C9441A6" w14:textId="77777777" w:rsidR="009152C5" w:rsidRPr="00AE339B" w:rsidRDefault="009152C5" w:rsidP="009152C5">
            <w:pPr>
              <w:spacing w:line="360" w:lineRule="auto"/>
            </w:pPr>
            <w:r>
              <w:t>Results</w:t>
            </w:r>
          </w:p>
        </w:tc>
      </w:tr>
      <w:tr w:rsidR="009152C5" w:rsidRPr="001430C5" w14:paraId="74DA2076" w14:textId="77777777" w:rsidTr="0083515A">
        <w:trPr>
          <w:trHeight w:val="1440"/>
          <w:jc w:val="center"/>
        </w:trPr>
        <w:tc>
          <w:tcPr>
            <w:tcW w:w="1346" w:type="dxa"/>
            <w:vMerge w:val="restart"/>
          </w:tcPr>
          <w:p w14:paraId="60CA8606" w14:textId="77777777" w:rsidR="009152C5" w:rsidRPr="0098141F" w:rsidRDefault="009152C5" w:rsidP="00043642">
            <w:pPr>
              <w:spacing w:line="276" w:lineRule="auto"/>
              <w:rPr>
                <w:sz w:val="20"/>
                <w:szCs w:val="20"/>
              </w:rPr>
            </w:pPr>
            <w:r w:rsidRPr="0098141F">
              <w:rPr>
                <w:i/>
                <w:sz w:val="20"/>
                <w:szCs w:val="20"/>
              </w:rPr>
              <w:t>Earning ability</w:t>
            </w:r>
          </w:p>
          <w:p w14:paraId="548472BD" w14:textId="77777777" w:rsidR="009152C5" w:rsidRPr="0098141F" w:rsidRDefault="009152C5" w:rsidP="00043642">
            <w:pPr>
              <w:spacing w:line="276" w:lineRule="auto"/>
              <w:rPr>
                <w:sz w:val="20"/>
                <w:szCs w:val="20"/>
              </w:rPr>
            </w:pPr>
          </w:p>
        </w:tc>
        <w:tc>
          <w:tcPr>
            <w:tcW w:w="1559" w:type="dxa"/>
          </w:tcPr>
          <w:p w14:paraId="78329F56" w14:textId="77777777" w:rsidR="009152C5" w:rsidRPr="0098141F" w:rsidRDefault="009152C5" w:rsidP="00043642">
            <w:pPr>
              <w:spacing w:line="276" w:lineRule="auto"/>
              <w:rPr>
                <w:sz w:val="20"/>
                <w:szCs w:val="20"/>
              </w:rPr>
            </w:pPr>
            <w:r w:rsidRPr="0098141F">
              <w:rPr>
                <w:sz w:val="20"/>
                <w:szCs w:val="20"/>
              </w:rPr>
              <w:t>Carroll (2000)</w:t>
            </w:r>
          </w:p>
        </w:tc>
        <w:tc>
          <w:tcPr>
            <w:tcW w:w="1985" w:type="dxa"/>
          </w:tcPr>
          <w:p w14:paraId="4917AEE9" w14:textId="77777777" w:rsidR="009152C5" w:rsidRPr="001430C5" w:rsidRDefault="009152C5" w:rsidP="00043642">
            <w:pPr>
              <w:spacing w:line="276" w:lineRule="auto"/>
              <w:rPr>
                <w:sz w:val="20"/>
                <w:szCs w:val="20"/>
              </w:rPr>
            </w:pPr>
            <w:r>
              <w:rPr>
                <w:sz w:val="20"/>
                <w:szCs w:val="20"/>
              </w:rPr>
              <w:t>Survey of Consumer Finances, 1983, 1985, 1992, 1995, several unorthodox data sources, such as forbes</w:t>
            </w:r>
          </w:p>
        </w:tc>
        <w:tc>
          <w:tcPr>
            <w:tcW w:w="1559" w:type="dxa"/>
          </w:tcPr>
          <w:p w14:paraId="2C9E0679" w14:textId="77777777" w:rsidR="009152C5" w:rsidRPr="001430C5" w:rsidRDefault="009152C5" w:rsidP="00043642">
            <w:pPr>
              <w:spacing w:line="276" w:lineRule="auto"/>
              <w:rPr>
                <w:sz w:val="20"/>
                <w:szCs w:val="20"/>
              </w:rPr>
            </w:pPr>
            <w:r>
              <w:rPr>
                <w:sz w:val="20"/>
                <w:szCs w:val="20"/>
              </w:rPr>
              <w:t xml:space="preserve">Savings propensity – income – wealth </w:t>
            </w:r>
          </w:p>
        </w:tc>
        <w:tc>
          <w:tcPr>
            <w:tcW w:w="1701" w:type="dxa"/>
          </w:tcPr>
          <w:p w14:paraId="456B2407" w14:textId="77777777" w:rsidR="009152C5" w:rsidRPr="001430C5" w:rsidRDefault="009152C5" w:rsidP="00043642">
            <w:pPr>
              <w:spacing w:line="276" w:lineRule="auto"/>
              <w:rPr>
                <w:sz w:val="20"/>
                <w:szCs w:val="20"/>
              </w:rPr>
            </w:pPr>
            <w:r>
              <w:rPr>
                <w:sz w:val="20"/>
                <w:szCs w:val="20"/>
              </w:rPr>
              <w:t>Life-cycle model, dynastic model</w:t>
            </w:r>
          </w:p>
        </w:tc>
        <w:tc>
          <w:tcPr>
            <w:tcW w:w="2056" w:type="dxa"/>
          </w:tcPr>
          <w:p w14:paraId="3A51F2BD" w14:textId="77777777" w:rsidR="009152C5" w:rsidRPr="00A94D64" w:rsidRDefault="009152C5" w:rsidP="00043642">
            <w:pPr>
              <w:spacing w:line="276" w:lineRule="auto"/>
              <w:rPr>
                <w:sz w:val="20"/>
                <w:szCs w:val="20"/>
              </w:rPr>
            </w:pPr>
            <w:r>
              <w:rPr>
                <w:sz w:val="20"/>
                <w:szCs w:val="20"/>
              </w:rPr>
              <w:t>I</w:t>
            </w:r>
            <w:r w:rsidRPr="00A94D64">
              <w:rPr>
                <w:sz w:val="20"/>
                <w:szCs w:val="20"/>
              </w:rPr>
              <w:t>t is not possible to explain the difference in savings behaviour between the rich and the poor by means of income differences alone</w:t>
            </w:r>
          </w:p>
        </w:tc>
      </w:tr>
      <w:tr w:rsidR="009152C5" w:rsidRPr="001430C5" w14:paraId="2C6D512C" w14:textId="77777777" w:rsidTr="0083515A">
        <w:trPr>
          <w:trHeight w:val="1248"/>
          <w:jc w:val="center"/>
        </w:trPr>
        <w:tc>
          <w:tcPr>
            <w:tcW w:w="1346" w:type="dxa"/>
            <w:vMerge/>
          </w:tcPr>
          <w:p w14:paraId="6F1C4CF8" w14:textId="77777777" w:rsidR="009152C5" w:rsidRPr="0098141F" w:rsidRDefault="009152C5" w:rsidP="00043642">
            <w:pPr>
              <w:spacing w:line="276" w:lineRule="auto"/>
              <w:rPr>
                <w:sz w:val="20"/>
                <w:szCs w:val="20"/>
              </w:rPr>
            </w:pPr>
          </w:p>
        </w:tc>
        <w:tc>
          <w:tcPr>
            <w:tcW w:w="1559" w:type="dxa"/>
          </w:tcPr>
          <w:p w14:paraId="2BC1BAE9" w14:textId="77777777" w:rsidR="009152C5" w:rsidRPr="0098141F" w:rsidRDefault="009152C5" w:rsidP="00043642">
            <w:pPr>
              <w:spacing w:line="276" w:lineRule="auto"/>
              <w:rPr>
                <w:sz w:val="20"/>
                <w:szCs w:val="20"/>
              </w:rPr>
            </w:pPr>
            <w:r w:rsidRPr="0098141F">
              <w:rPr>
                <w:sz w:val="20"/>
                <w:szCs w:val="20"/>
              </w:rPr>
              <w:t xml:space="preserve">Golosov </w:t>
            </w:r>
            <w:r w:rsidRPr="0098141F">
              <w:rPr>
                <w:i/>
                <w:sz w:val="20"/>
                <w:szCs w:val="20"/>
              </w:rPr>
              <w:t xml:space="preserve">et al. </w:t>
            </w:r>
            <w:r w:rsidRPr="0098141F">
              <w:rPr>
                <w:sz w:val="20"/>
                <w:szCs w:val="20"/>
              </w:rPr>
              <w:t>(2013)</w:t>
            </w:r>
          </w:p>
        </w:tc>
        <w:tc>
          <w:tcPr>
            <w:tcW w:w="1985" w:type="dxa"/>
          </w:tcPr>
          <w:p w14:paraId="422C3704" w14:textId="77777777" w:rsidR="009152C5" w:rsidRPr="001430C5" w:rsidRDefault="009152C5" w:rsidP="00043642">
            <w:pPr>
              <w:spacing w:line="276" w:lineRule="auto"/>
              <w:rPr>
                <w:sz w:val="20"/>
                <w:szCs w:val="20"/>
              </w:rPr>
            </w:pPr>
            <w:r>
              <w:rPr>
                <w:sz w:val="20"/>
                <w:szCs w:val="20"/>
              </w:rPr>
              <w:t>National Longitudinal Survey of Youth</w:t>
            </w:r>
          </w:p>
        </w:tc>
        <w:tc>
          <w:tcPr>
            <w:tcW w:w="1559" w:type="dxa"/>
          </w:tcPr>
          <w:p w14:paraId="35475B09" w14:textId="77777777" w:rsidR="009152C5" w:rsidRPr="00115B57" w:rsidRDefault="009152C5" w:rsidP="00043642">
            <w:pPr>
              <w:spacing w:line="276" w:lineRule="auto"/>
              <w:rPr>
                <w:sz w:val="20"/>
                <w:szCs w:val="20"/>
              </w:rPr>
            </w:pPr>
            <w:r>
              <w:rPr>
                <w:sz w:val="20"/>
                <w:szCs w:val="20"/>
              </w:rPr>
              <w:t>D</w:t>
            </w:r>
            <w:r w:rsidRPr="00115B57">
              <w:rPr>
                <w:sz w:val="20"/>
                <w:szCs w:val="20"/>
              </w:rPr>
              <w:t xml:space="preserve">iscount factor </w:t>
            </w:r>
            <w:r>
              <w:rPr>
                <w:sz w:val="20"/>
                <w:szCs w:val="20"/>
              </w:rPr>
              <w:t xml:space="preserve">– </w:t>
            </w:r>
            <w:r w:rsidRPr="00115B57">
              <w:rPr>
                <w:sz w:val="20"/>
                <w:szCs w:val="20"/>
              </w:rPr>
              <w:t>AFQT score– interest rate</w:t>
            </w:r>
          </w:p>
        </w:tc>
        <w:tc>
          <w:tcPr>
            <w:tcW w:w="1701" w:type="dxa"/>
          </w:tcPr>
          <w:p w14:paraId="0D7C4628" w14:textId="77777777" w:rsidR="009152C5" w:rsidRPr="00115B57" w:rsidRDefault="009152C5" w:rsidP="00043642">
            <w:pPr>
              <w:spacing w:line="276" w:lineRule="auto"/>
              <w:rPr>
                <w:sz w:val="20"/>
                <w:szCs w:val="20"/>
              </w:rPr>
            </w:pPr>
            <w:r>
              <w:rPr>
                <w:sz w:val="20"/>
                <w:szCs w:val="20"/>
              </w:rPr>
              <w:t>S</w:t>
            </w:r>
            <w:r w:rsidRPr="00115B57">
              <w:rPr>
                <w:sz w:val="20"/>
                <w:szCs w:val="20"/>
              </w:rPr>
              <w:t>tandard model of intertemporal utility maximization, Regression analysis</w:t>
            </w:r>
          </w:p>
        </w:tc>
        <w:tc>
          <w:tcPr>
            <w:tcW w:w="2056" w:type="dxa"/>
          </w:tcPr>
          <w:p w14:paraId="739C36DB" w14:textId="77777777" w:rsidR="009152C5" w:rsidRDefault="009152C5" w:rsidP="00043642">
            <w:pPr>
              <w:spacing w:line="276" w:lineRule="auto"/>
              <w:rPr>
                <w:sz w:val="20"/>
                <w:szCs w:val="20"/>
              </w:rPr>
            </w:pPr>
            <w:r>
              <w:rPr>
                <w:sz w:val="20"/>
                <w:szCs w:val="20"/>
              </w:rPr>
              <w:t xml:space="preserve">A </w:t>
            </w:r>
            <w:r w:rsidRPr="00BF6138">
              <w:rPr>
                <w:sz w:val="20"/>
                <w:szCs w:val="20"/>
              </w:rPr>
              <w:t xml:space="preserve">coefficient of 0.026 </w:t>
            </w:r>
            <w:r>
              <w:rPr>
                <w:sz w:val="20"/>
                <w:szCs w:val="20"/>
              </w:rPr>
              <w:t>for the log of AFQT in explaining the discount factor,</w:t>
            </w:r>
          </w:p>
          <w:p w14:paraId="4AF176F4" w14:textId="77777777" w:rsidR="009152C5" w:rsidRPr="00BF6138" w:rsidRDefault="009152C5" w:rsidP="00043642">
            <w:pPr>
              <w:spacing w:line="276" w:lineRule="auto"/>
              <w:rPr>
                <w:sz w:val="20"/>
                <w:szCs w:val="20"/>
              </w:rPr>
            </w:pPr>
            <w:r>
              <w:rPr>
                <w:sz w:val="20"/>
                <w:szCs w:val="20"/>
              </w:rPr>
              <w:t>Significant at the 99</w:t>
            </w:r>
            <w:r w:rsidRPr="00BF6138">
              <w:rPr>
                <w:sz w:val="20"/>
                <w:szCs w:val="20"/>
              </w:rPr>
              <w:t xml:space="preserve">% </w:t>
            </w:r>
            <w:r>
              <w:rPr>
                <w:sz w:val="20"/>
                <w:szCs w:val="20"/>
              </w:rPr>
              <w:t>confidence-</w:t>
            </w:r>
            <w:r w:rsidRPr="00BF6138">
              <w:rPr>
                <w:sz w:val="20"/>
                <w:szCs w:val="20"/>
              </w:rPr>
              <w:t>level</w:t>
            </w:r>
          </w:p>
        </w:tc>
      </w:tr>
      <w:tr w:rsidR="009152C5" w:rsidRPr="001430C5" w14:paraId="7E3444F9" w14:textId="77777777" w:rsidTr="0083515A">
        <w:trPr>
          <w:trHeight w:val="1424"/>
          <w:jc w:val="center"/>
        </w:trPr>
        <w:tc>
          <w:tcPr>
            <w:tcW w:w="1346" w:type="dxa"/>
            <w:vMerge/>
          </w:tcPr>
          <w:p w14:paraId="78CFD95A" w14:textId="77777777" w:rsidR="009152C5" w:rsidRPr="0098141F" w:rsidRDefault="009152C5" w:rsidP="00043642">
            <w:pPr>
              <w:spacing w:line="276" w:lineRule="auto"/>
              <w:rPr>
                <w:sz w:val="20"/>
                <w:szCs w:val="20"/>
              </w:rPr>
            </w:pPr>
          </w:p>
        </w:tc>
        <w:tc>
          <w:tcPr>
            <w:tcW w:w="1559" w:type="dxa"/>
          </w:tcPr>
          <w:p w14:paraId="58D23FC4" w14:textId="77777777" w:rsidR="009152C5" w:rsidRPr="0098141F" w:rsidRDefault="009152C5" w:rsidP="00043642">
            <w:pPr>
              <w:spacing w:line="276" w:lineRule="auto"/>
              <w:rPr>
                <w:sz w:val="20"/>
                <w:szCs w:val="20"/>
              </w:rPr>
            </w:pPr>
            <w:r w:rsidRPr="0098141F">
              <w:rPr>
                <w:rFonts w:eastAsia="Times New Roman" w:cs="Times New Roman"/>
                <w:sz w:val="20"/>
                <w:szCs w:val="20"/>
                <w:lang w:val="nl-NL"/>
              </w:rPr>
              <w:t>Diamond &amp; Spinnewijn (2009)</w:t>
            </w:r>
          </w:p>
        </w:tc>
        <w:tc>
          <w:tcPr>
            <w:tcW w:w="1985" w:type="dxa"/>
          </w:tcPr>
          <w:p w14:paraId="14E5159A" w14:textId="77777777" w:rsidR="009152C5" w:rsidRPr="001430C5" w:rsidRDefault="009152C5" w:rsidP="00043642">
            <w:pPr>
              <w:spacing w:line="276" w:lineRule="auto"/>
              <w:rPr>
                <w:sz w:val="20"/>
                <w:szCs w:val="20"/>
              </w:rPr>
            </w:pPr>
            <w:r>
              <w:rPr>
                <w:sz w:val="20"/>
                <w:szCs w:val="20"/>
              </w:rPr>
              <w:t>Survey of Consumer Finances, 1998, 2001, 2004</w:t>
            </w:r>
          </w:p>
        </w:tc>
        <w:tc>
          <w:tcPr>
            <w:tcW w:w="1559" w:type="dxa"/>
          </w:tcPr>
          <w:p w14:paraId="337A6ECB" w14:textId="77777777" w:rsidR="009152C5" w:rsidRPr="001430C5" w:rsidRDefault="009152C5" w:rsidP="00043642">
            <w:pPr>
              <w:spacing w:line="276" w:lineRule="auto"/>
              <w:rPr>
                <w:sz w:val="20"/>
                <w:szCs w:val="20"/>
              </w:rPr>
            </w:pPr>
            <w:r>
              <w:rPr>
                <w:sz w:val="20"/>
                <w:szCs w:val="20"/>
              </w:rPr>
              <w:t>Education level – savings propensities</w:t>
            </w:r>
          </w:p>
        </w:tc>
        <w:tc>
          <w:tcPr>
            <w:tcW w:w="1701" w:type="dxa"/>
          </w:tcPr>
          <w:p w14:paraId="7AF91DE9" w14:textId="77777777" w:rsidR="009152C5" w:rsidRPr="001430C5" w:rsidRDefault="009152C5" w:rsidP="00043642">
            <w:pPr>
              <w:spacing w:line="276" w:lineRule="auto"/>
              <w:rPr>
                <w:sz w:val="20"/>
                <w:szCs w:val="20"/>
              </w:rPr>
            </w:pPr>
            <w:r>
              <w:rPr>
                <w:sz w:val="20"/>
                <w:szCs w:val="20"/>
              </w:rPr>
              <w:t>Two-period model with heterogeneity of preferences</w:t>
            </w:r>
          </w:p>
        </w:tc>
        <w:tc>
          <w:tcPr>
            <w:tcW w:w="2056" w:type="dxa"/>
          </w:tcPr>
          <w:p w14:paraId="41FD6E61" w14:textId="77777777" w:rsidR="009152C5" w:rsidRDefault="009152C5" w:rsidP="00043642">
            <w:pPr>
              <w:spacing w:line="276" w:lineRule="auto"/>
              <w:rPr>
                <w:sz w:val="20"/>
                <w:szCs w:val="20"/>
              </w:rPr>
            </w:pPr>
            <w:r>
              <w:rPr>
                <w:sz w:val="20"/>
                <w:szCs w:val="20"/>
              </w:rPr>
              <w:t xml:space="preserve">Education level and savings propensities are correlated, </w:t>
            </w:r>
          </w:p>
          <w:p w14:paraId="32804718" w14:textId="77777777" w:rsidR="009152C5" w:rsidRPr="001430C5" w:rsidRDefault="009152C5" w:rsidP="00043642">
            <w:pPr>
              <w:spacing w:line="276" w:lineRule="auto"/>
              <w:rPr>
                <w:sz w:val="20"/>
                <w:szCs w:val="20"/>
              </w:rPr>
            </w:pPr>
            <w:r>
              <w:rPr>
                <w:sz w:val="20"/>
                <w:szCs w:val="20"/>
              </w:rPr>
              <w:t>For a given skill level, earnings and savings are significantly correlated (95% confidence level)</w:t>
            </w:r>
          </w:p>
        </w:tc>
      </w:tr>
      <w:tr w:rsidR="009152C5" w:rsidRPr="001430C5" w14:paraId="22A20B7E" w14:textId="77777777" w:rsidTr="0083515A">
        <w:trPr>
          <w:trHeight w:val="1376"/>
          <w:jc w:val="center"/>
        </w:trPr>
        <w:tc>
          <w:tcPr>
            <w:tcW w:w="1346" w:type="dxa"/>
            <w:vMerge/>
          </w:tcPr>
          <w:p w14:paraId="3646FBD2" w14:textId="77777777" w:rsidR="009152C5" w:rsidRPr="0098141F" w:rsidRDefault="009152C5" w:rsidP="00043642">
            <w:pPr>
              <w:spacing w:line="276" w:lineRule="auto"/>
              <w:rPr>
                <w:sz w:val="20"/>
                <w:szCs w:val="20"/>
              </w:rPr>
            </w:pPr>
          </w:p>
        </w:tc>
        <w:tc>
          <w:tcPr>
            <w:tcW w:w="1559" w:type="dxa"/>
          </w:tcPr>
          <w:p w14:paraId="5C376866" w14:textId="77777777" w:rsidR="009152C5" w:rsidRPr="0098141F" w:rsidRDefault="009152C5" w:rsidP="00043642">
            <w:pPr>
              <w:spacing w:line="276" w:lineRule="auto"/>
              <w:rPr>
                <w:sz w:val="20"/>
                <w:szCs w:val="20"/>
              </w:rPr>
            </w:pPr>
            <w:r w:rsidRPr="0098141F">
              <w:rPr>
                <w:rFonts w:eastAsia="Times New Roman" w:cs="Times New Roman"/>
                <w:sz w:val="20"/>
                <w:szCs w:val="20"/>
                <w:lang w:val="nl-NL"/>
              </w:rPr>
              <w:t>Gordon &amp; Kopczuk (2014)</w:t>
            </w:r>
          </w:p>
        </w:tc>
        <w:tc>
          <w:tcPr>
            <w:tcW w:w="1985" w:type="dxa"/>
          </w:tcPr>
          <w:p w14:paraId="54AD0B56" w14:textId="77777777" w:rsidR="009152C5" w:rsidRPr="001430C5" w:rsidRDefault="009152C5" w:rsidP="00043642">
            <w:pPr>
              <w:spacing w:line="276" w:lineRule="auto"/>
              <w:rPr>
                <w:sz w:val="20"/>
                <w:szCs w:val="20"/>
              </w:rPr>
            </w:pPr>
            <w:r>
              <w:rPr>
                <w:sz w:val="20"/>
                <w:szCs w:val="20"/>
              </w:rPr>
              <w:t xml:space="preserve">Panel Study of Income Dynamics, </w:t>
            </w:r>
            <w:r w:rsidRPr="00F71093">
              <w:rPr>
                <w:sz w:val="20"/>
                <w:szCs w:val="20"/>
                <w:lang w:val="nl-NL"/>
              </w:rPr>
              <w:t>Mostly from 1995-2000, some from 1986-1993</w:t>
            </w:r>
            <w:r>
              <w:rPr>
                <w:sz w:val="20"/>
                <w:szCs w:val="20"/>
                <w:lang w:val="nl-NL"/>
              </w:rPr>
              <w:t>, N=+-11.350</w:t>
            </w:r>
          </w:p>
        </w:tc>
        <w:tc>
          <w:tcPr>
            <w:tcW w:w="1559" w:type="dxa"/>
          </w:tcPr>
          <w:p w14:paraId="0D98CCDE" w14:textId="77777777" w:rsidR="009152C5" w:rsidRPr="001430C5" w:rsidRDefault="009152C5" w:rsidP="00043642">
            <w:pPr>
              <w:spacing w:line="276" w:lineRule="auto"/>
              <w:rPr>
                <w:sz w:val="20"/>
                <w:szCs w:val="20"/>
              </w:rPr>
            </w:pPr>
            <w:r>
              <w:rPr>
                <w:sz w:val="20"/>
                <w:szCs w:val="20"/>
              </w:rPr>
              <w:t>Tax base – wage rates – joint labour income – interest – and more</w:t>
            </w:r>
          </w:p>
        </w:tc>
        <w:tc>
          <w:tcPr>
            <w:tcW w:w="1701" w:type="dxa"/>
          </w:tcPr>
          <w:p w14:paraId="39F82655" w14:textId="77777777" w:rsidR="009152C5" w:rsidRPr="001430C5" w:rsidRDefault="009152C5" w:rsidP="00043642">
            <w:pPr>
              <w:spacing w:line="276" w:lineRule="auto"/>
              <w:rPr>
                <w:sz w:val="20"/>
                <w:szCs w:val="20"/>
              </w:rPr>
            </w:pPr>
            <w:r>
              <w:rPr>
                <w:sz w:val="20"/>
                <w:szCs w:val="20"/>
              </w:rPr>
              <w:t>Generalized method of moments – OLS</w:t>
            </w:r>
          </w:p>
        </w:tc>
        <w:tc>
          <w:tcPr>
            <w:tcW w:w="2056" w:type="dxa"/>
          </w:tcPr>
          <w:p w14:paraId="7FE361DE" w14:textId="77777777" w:rsidR="009152C5" w:rsidRDefault="009152C5" w:rsidP="00043642">
            <w:pPr>
              <w:spacing w:line="276" w:lineRule="auto"/>
              <w:rPr>
                <w:sz w:val="20"/>
                <w:szCs w:val="20"/>
              </w:rPr>
            </w:pPr>
            <w:r>
              <w:rPr>
                <w:sz w:val="20"/>
                <w:szCs w:val="20"/>
              </w:rPr>
              <w:t>Alpha estimation for interest rate=0.240</w:t>
            </w:r>
          </w:p>
          <w:p w14:paraId="512E7D6E" w14:textId="77777777" w:rsidR="009152C5" w:rsidRDefault="009152C5" w:rsidP="00043642">
            <w:pPr>
              <w:spacing w:line="276" w:lineRule="auto"/>
              <w:rPr>
                <w:sz w:val="20"/>
                <w:szCs w:val="20"/>
              </w:rPr>
            </w:pPr>
            <w:r>
              <w:rPr>
                <w:sz w:val="20"/>
                <w:szCs w:val="20"/>
              </w:rPr>
              <w:t>Rsqrd=0.584</w:t>
            </w:r>
          </w:p>
          <w:p w14:paraId="7F8EC17E" w14:textId="77777777" w:rsidR="009152C5" w:rsidRPr="001430C5" w:rsidRDefault="009152C5" w:rsidP="00043642">
            <w:pPr>
              <w:spacing w:line="276" w:lineRule="auto"/>
              <w:rPr>
                <w:sz w:val="20"/>
                <w:szCs w:val="20"/>
              </w:rPr>
            </w:pPr>
          </w:p>
        </w:tc>
      </w:tr>
      <w:tr w:rsidR="009152C5" w:rsidRPr="00955FEE" w14:paraId="4AB8117A" w14:textId="77777777" w:rsidTr="0083515A">
        <w:trPr>
          <w:trHeight w:val="1216"/>
          <w:jc w:val="center"/>
        </w:trPr>
        <w:tc>
          <w:tcPr>
            <w:tcW w:w="1346" w:type="dxa"/>
            <w:vMerge/>
          </w:tcPr>
          <w:p w14:paraId="3D9F990C" w14:textId="77777777" w:rsidR="009152C5" w:rsidRPr="0098141F" w:rsidRDefault="009152C5" w:rsidP="00043642">
            <w:pPr>
              <w:spacing w:line="276" w:lineRule="auto"/>
              <w:rPr>
                <w:sz w:val="20"/>
                <w:szCs w:val="20"/>
              </w:rPr>
            </w:pPr>
          </w:p>
        </w:tc>
        <w:tc>
          <w:tcPr>
            <w:tcW w:w="1559" w:type="dxa"/>
          </w:tcPr>
          <w:p w14:paraId="2EBF24A5" w14:textId="77777777" w:rsidR="009152C5" w:rsidRPr="0098141F" w:rsidRDefault="009152C5" w:rsidP="00043642">
            <w:pPr>
              <w:spacing w:line="276" w:lineRule="auto"/>
              <w:rPr>
                <w:sz w:val="20"/>
                <w:szCs w:val="20"/>
              </w:rPr>
            </w:pPr>
            <w:r w:rsidRPr="0098141F">
              <w:rPr>
                <w:rFonts w:eastAsia="Times New Roman" w:cs="Times New Roman"/>
                <w:sz w:val="20"/>
                <w:szCs w:val="20"/>
                <w:lang w:val="nl-NL"/>
              </w:rPr>
              <w:t xml:space="preserve">Benjamin </w:t>
            </w:r>
            <w:r w:rsidRPr="0098141F">
              <w:rPr>
                <w:rFonts w:eastAsia="Times New Roman" w:cs="Times New Roman"/>
                <w:i/>
                <w:sz w:val="20"/>
                <w:szCs w:val="20"/>
                <w:lang w:val="nl-NL"/>
              </w:rPr>
              <w:t>et al.</w:t>
            </w:r>
            <w:r w:rsidRPr="0098141F">
              <w:rPr>
                <w:rFonts w:eastAsia="Times New Roman" w:cs="Times New Roman"/>
                <w:sz w:val="20"/>
                <w:szCs w:val="20"/>
                <w:lang w:val="nl-NL"/>
              </w:rPr>
              <w:t xml:space="preserve"> (2006)</w:t>
            </w:r>
          </w:p>
        </w:tc>
        <w:tc>
          <w:tcPr>
            <w:tcW w:w="1985" w:type="dxa"/>
          </w:tcPr>
          <w:p w14:paraId="75EDAC20" w14:textId="77777777" w:rsidR="009152C5" w:rsidRDefault="009152C5" w:rsidP="00043642">
            <w:pPr>
              <w:spacing w:line="276" w:lineRule="auto"/>
              <w:rPr>
                <w:sz w:val="20"/>
                <w:szCs w:val="20"/>
              </w:rPr>
            </w:pPr>
            <w:r>
              <w:rPr>
                <w:sz w:val="20"/>
                <w:szCs w:val="20"/>
              </w:rPr>
              <w:t>National Longitudinal Survey of Youth, 1979</w:t>
            </w:r>
          </w:p>
          <w:p w14:paraId="39F12DD4" w14:textId="77777777" w:rsidR="009152C5" w:rsidRPr="001430C5" w:rsidRDefault="009152C5" w:rsidP="00043642">
            <w:pPr>
              <w:spacing w:line="276" w:lineRule="auto"/>
              <w:rPr>
                <w:sz w:val="20"/>
                <w:szCs w:val="20"/>
              </w:rPr>
            </w:pPr>
            <w:r>
              <w:rPr>
                <w:sz w:val="20"/>
                <w:szCs w:val="20"/>
              </w:rPr>
              <w:t>Sample of 12.686 Americans</w:t>
            </w:r>
          </w:p>
        </w:tc>
        <w:tc>
          <w:tcPr>
            <w:tcW w:w="1559" w:type="dxa"/>
          </w:tcPr>
          <w:p w14:paraId="7477EE90" w14:textId="77777777" w:rsidR="009152C5" w:rsidRPr="001430C5" w:rsidRDefault="009152C5" w:rsidP="00043642">
            <w:pPr>
              <w:spacing w:line="276" w:lineRule="auto"/>
              <w:rPr>
                <w:sz w:val="20"/>
                <w:szCs w:val="20"/>
              </w:rPr>
            </w:pPr>
            <w:r>
              <w:rPr>
                <w:sz w:val="20"/>
                <w:szCs w:val="20"/>
              </w:rPr>
              <w:t>Propensity to have net assets – AFQT score (percentile). Controls: Social background – family income – and more</w:t>
            </w:r>
          </w:p>
        </w:tc>
        <w:tc>
          <w:tcPr>
            <w:tcW w:w="1701" w:type="dxa"/>
          </w:tcPr>
          <w:p w14:paraId="3807EE45" w14:textId="77777777" w:rsidR="009152C5" w:rsidRPr="001430C5" w:rsidRDefault="009152C5" w:rsidP="00905973">
            <w:pPr>
              <w:spacing w:line="276" w:lineRule="auto"/>
              <w:rPr>
                <w:sz w:val="20"/>
                <w:szCs w:val="20"/>
              </w:rPr>
            </w:pPr>
            <w:r>
              <w:rPr>
                <w:sz w:val="20"/>
                <w:szCs w:val="20"/>
              </w:rPr>
              <w:t>Linear probability models</w:t>
            </w:r>
          </w:p>
        </w:tc>
        <w:tc>
          <w:tcPr>
            <w:tcW w:w="2056" w:type="dxa"/>
          </w:tcPr>
          <w:p w14:paraId="234C8C88" w14:textId="77777777" w:rsidR="009152C5" w:rsidRPr="00955FEE" w:rsidRDefault="009152C5" w:rsidP="00905973">
            <w:pPr>
              <w:spacing w:line="276" w:lineRule="auto"/>
              <w:rPr>
                <w:sz w:val="20"/>
                <w:szCs w:val="20"/>
              </w:rPr>
            </w:pPr>
            <w:r>
              <w:rPr>
                <w:rFonts w:eastAsia="Times New Roman" w:cs="Times New Roman"/>
                <w:sz w:val="20"/>
                <w:szCs w:val="20"/>
                <w:lang w:val="nl-NL"/>
              </w:rPr>
              <w:t>A</w:t>
            </w:r>
            <w:r w:rsidRPr="00955FEE">
              <w:rPr>
                <w:rFonts w:eastAsia="Times New Roman" w:cs="Times New Roman"/>
                <w:sz w:val="20"/>
                <w:szCs w:val="20"/>
                <w:lang w:val="nl-NL"/>
              </w:rPr>
              <w:t>n increased score of 10 percentile points for the AFQT is related to an increase of about 1.5 percentage points in the propensity to have net assets</w:t>
            </w:r>
          </w:p>
        </w:tc>
      </w:tr>
    </w:tbl>
    <w:p w14:paraId="6DCC7DFB" w14:textId="77777777" w:rsidR="009152C5" w:rsidRPr="00B67A31" w:rsidRDefault="009152C5" w:rsidP="00B624E4">
      <w:pPr>
        <w:spacing w:line="360" w:lineRule="auto"/>
        <w:rPr>
          <w:color w:val="FF0000"/>
        </w:rPr>
      </w:pPr>
    </w:p>
    <w:p w14:paraId="397FEF75" w14:textId="77777777" w:rsidR="00D648C8" w:rsidRDefault="00D648C8" w:rsidP="00B74C4A">
      <w:pPr>
        <w:spacing w:line="360" w:lineRule="auto"/>
      </w:pPr>
    </w:p>
    <w:p w14:paraId="5FC88AF8" w14:textId="77777777" w:rsidR="00262D2A" w:rsidRDefault="00262D2A" w:rsidP="00B74C4A">
      <w:pPr>
        <w:spacing w:line="360" w:lineRule="auto"/>
      </w:pPr>
    </w:p>
    <w:p w14:paraId="12A0D0FF" w14:textId="77777777" w:rsidR="00E145D3" w:rsidRDefault="00E145D3" w:rsidP="00B74C4A">
      <w:pPr>
        <w:spacing w:line="360" w:lineRule="auto"/>
      </w:pPr>
    </w:p>
    <w:p w14:paraId="3E7E8FFE" w14:textId="77777777" w:rsidR="00E145D3" w:rsidRDefault="00E145D3" w:rsidP="00B74C4A">
      <w:pPr>
        <w:spacing w:line="360" w:lineRule="auto"/>
      </w:pPr>
    </w:p>
    <w:p w14:paraId="7C123497" w14:textId="77777777" w:rsidR="00F70F32" w:rsidRPr="009A5722" w:rsidRDefault="00F70F32" w:rsidP="00E145D3">
      <w:pPr>
        <w:pStyle w:val="Heading2"/>
      </w:pPr>
      <w:bookmarkStart w:id="39" w:name="_Toc331344952"/>
      <w:bookmarkStart w:id="40" w:name="_Toc331345804"/>
      <w:r>
        <w:lastRenderedPageBreak/>
        <w:t>Inheritances</w:t>
      </w:r>
      <w:bookmarkEnd w:id="39"/>
      <w:bookmarkEnd w:id="40"/>
    </w:p>
    <w:p w14:paraId="2CF575EC" w14:textId="77777777" w:rsidR="00630EE9" w:rsidRDefault="00FB495E" w:rsidP="00B74C4A">
      <w:pPr>
        <w:spacing w:line="360" w:lineRule="auto"/>
      </w:pPr>
      <w:r>
        <w:t xml:space="preserve">Furthermore, </w:t>
      </w:r>
      <w:r w:rsidR="007D798A">
        <w:t>capital income</w:t>
      </w:r>
      <w:r>
        <w:t xml:space="preserve"> and earning ability are related through the receiving of inheritances. </w:t>
      </w:r>
      <w:r w:rsidR="00D105D8">
        <w:t>Piketty (2013</w:t>
      </w:r>
      <w:r w:rsidR="006A5CC3">
        <w:t>) devotes</w:t>
      </w:r>
      <w:r w:rsidR="00D105D8">
        <w:t xml:space="preserve"> his book on capital in the 21</w:t>
      </w:r>
      <w:r w:rsidR="00D105D8" w:rsidRPr="00D105D8">
        <w:rPr>
          <w:vertAlign w:val="superscript"/>
        </w:rPr>
        <w:t>st</w:t>
      </w:r>
      <w:r w:rsidR="00D105D8">
        <w:t xml:space="preserve"> century </w:t>
      </w:r>
      <w:r w:rsidR="006A5CC3">
        <w:t>to the distribution of wealth throughout society. Gathering and analysing empirical data on capital and inheritances, he explains that</w:t>
      </w:r>
      <w:r w:rsidR="007141D3">
        <w:t xml:space="preserve"> the very wealthy have an ability to earn money through the accumulation of wealth. The income generated from inherited capital is immense. However, the labour income tax is not sufficie</w:t>
      </w:r>
      <w:r w:rsidR="00BD4D06">
        <w:t xml:space="preserve">nt in capturing this magnitude. Piketty and Saez provide an elaborate study on the optimal taxation of inheritances (2013). </w:t>
      </w:r>
      <w:r w:rsidR="00A5306B">
        <w:t>They use dynamic stochastic models to compare heterogeneous preferences for bequests and ability</w:t>
      </w:r>
      <w:r w:rsidR="00F711F1">
        <w:t xml:space="preserve"> and derive optimal inheritance tax formulas in terms of ‘sufficient statistics’</w:t>
      </w:r>
      <w:r w:rsidR="00627572">
        <w:t>.</w:t>
      </w:r>
      <w:r w:rsidR="00AF4174">
        <w:t xml:space="preserve"> </w:t>
      </w:r>
      <w:r w:rsidR="000D6749">
        <w:t xml:space="preserve">They point to the relation between bequest preferences and ability, and </w:t>
      </w:r>
      <w:r w:rsidR="0084452E">
        <w:t xml:space="preserve">using realistic parameters they </w:t>
      </w:r>
      <w:r w:rsidR="000D6749">
        <w:t>derive optimal tax rates for inheritances in the range of 50%-60%</w:t>
      </w:r>
      <w:r w:rsidR="00775923">
        <w:t xml:space="preserve">. </w:t>
      </w:r>
    </w:p>
    <w:p w14:paraId="6FFC72D3" w14:textId="77777777" w:rsidR="00630EE9" w:rsidRDefault="00630EE9" w:rsidP="00B74C4A">
      <w:pPr>
        <w:spacing w:line="360" w:lineRule="auto"/>
      </w:pPr>
    </w:p>
    <w:p w14:paraId="617883EF" w14:textId="5FB9A504" w:rsidR="00FB495E" w:rsidRDefault="007141D3" w:rsidP="00B74C4A">
      <w:pPr>
        <w:spacing w:line="360" w:lineRule="auto"/>
      </w:pPr>
      <w:r>
        <w:t>Piketty provides an anecdote on Liliane Bettencourt, the heiress of L’Oréal as well as the wealthiest person in Fr</w:t>
      </w:r>
      <w:r w:rsidR="00A3796C">
        <w:t xml:space="preserve">ance. Her </w:t>
      </w:r>
      <w:r>
        <w:t xml:space="preserve">reported income has never </w:t>
      </w:r>
      <w:r w:rsidR="00A3796C">
        <w:t>been more than 5 million a year, although she has wealth exceeding 30 billion euros. All this wealth produces capital income through for example dividends and capital gains.</w:t>
      </w:r>
      <w:r w:rsidR="00716BAA">
        <w:t xml:space="preserve"> Much of the </w:t>
      </w:r>
      <w:r w:rsidR="006F3A64">
        <w:t>assets producing capital gains are concentrated among the affluent. Burman</w:t>
      </w:r>
      <w:r w:rsidR="00416020">
        <w:t xml:space="preserve"> (1999) used ten-year </w:t>
      </w:r>
      <w:r w:rsidR="006F3A64">
        <w:t xml:space="preserve">panel data from the </w:t>
      </w:r>
      <w:r w:rsidR="00416020">
        <w:t>US to sho</w:t>
      </w:r>
      <w:r w:rsidR="00281BEB">
        <w:t>w that 3 percent of taxpayers w</w:t>
      </w:r>
      <w:r w:rsidR="00416020">
        <w:t>ith incomes averaging over $100.000 or more received nearly three quarters of the capital gains.</w:t>
      </w:r>
      <w:r w:rsidR="009B2CA8">
        <w:t xml:space="preserve"> </w:t>
      </w:r>
      <w:r w:rsidR="006C2F0E">
        <w:t>Inheritances provide</w:t>
      </w:r>
      <w:r w:rsidR="001B4251">
        <w:t xml:space="preserve"> a significant source of income. A</w:t>
      </w:r>
      <w:r w:rsidR="006C2F0E">
        <w:t>s Piketty points out</w:t>
      </w:r>
      <w:r w:rsidR="001B4251">
        <w:t>, the value of inheritance and gifts in France in 2010 amounted to about 15</w:t>
      </w:r>
      <w:r w:rsidR="00E87628">
        <w:t xml:space="preserve"> percent </w:t>
      </w:r>
      <w:r w:rsidR="00D528A8">
        <w:t>of national income</w:t>
      </w:r>
      <w:r w:rsidR="006C2F0E">
        <w:t xml:space="preserve">. </w:t>
      </w:r>
      <w:r w:rsidR="00121320">
        <w:t>The</w:t>
      </w:r>
      <w:r w:rsidR="0049792B">
        <w:t xml:space="preserve"> capital </w:t>
      </w:r>
      <w:r w:rsidR="00D741EE">
        <w:t>income</w:t>
      </w:r>
      <w:r w:rsidR="00BE26BF">
        <w:t xml:space="preserve"> flowing from such large sources of wealth</w:t>
      </w:r>
      <w:r w:rsidR="0049792B">
        <w:t xml:space="preserve"> should be taxed appropriately</w:t>
      </w:r>
      <w:r w:rsidR="002A19A6">
        <w:t xml:space="preserve">. </w:t>
      </w:r>
    </w:p>
    <w:p w14:paraId="676A440F" w14:textId="77777777" w:rsidR="00B02FCB" w:rsidRDefault="00B02FCB" w:rsidP="00B74C4A">
      <w:pPr>
        <w:spacing w:line="360" w:lineRule="auto"/>
      </w:pP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1"/>
        <w:gridCol w:w="1644"/>
        <w:gridCol w:w="1910"/>
        <w:gridCol w:w="1821"/>
        <w:gridCol w:w="1211"/>
        <w:gridCol w:w="1979"/>
      </w:tblGrid>
      <w:tr w:rsidR="00043642" w:rsidRPr="00AE339B" w14:paraId="7B935D21" w14:textId="77777777" w:rsidTr="00EF3744">
        <w:trPr>
          <w:trHeight w:val="559"/>
          <w:jc w:val="center"/>
        </w:trPr>
        <w:tc>
          <w:tcPr>
            <w:tcW w:w="1641" w:type="dxa"/>
          </w:tcPr>
          <w:p w14:paraId="27594254" w14:textId="77777777" w:rsidR="00043642" w:rsidRPr="00AE339B" w:rsidRDefault="00043642" w:rsidP="00043642">
            <w:pPr>
              <w:spacing w:line="360" w:lineRule="auto"/>
            </w:pPr>
            <w:r w:rsidRPr="00AE339B">
              <w:t>Argument</w:t>
            </w:r>
          </w:p>
        </w:tc>
        <w:tc>
          <w:tcPr>
            <w:tcW w:w="1644" w:type="dxa"/>
          </w:tcPr>
          <w:p w14:paraId="26525407" w14:textId="77777777" w:rsidR="00043642" w:rsidRPr="00AE339B" w:rsidRDefault="00043642" w:rsidP="00043642">
            <w:pPr>
              <w:spacing w:line="360" w:lineRule="auto"/>
            </w:pPr>
            <w:r w:rsidRPr="00AE339B">
              <w:t>Empirical studies</w:t>
            </w:r>
          </w:p>
        </w:tc>
        <w:tc>
          <w:tcPr>
            <w:tcW w:w="1910" w:type="dxa"/>
          </w:tcPr>
          <w:p w14:paraId="3F6E5D45" w14:textId="77777777" w:rsidR="00043642" w:rsidRPr="00AE339B" w:rsidRDefault="00043642" w:rsidP="00043642">
            <w:pPr>
              <w:spacing w:line="360" w:lineRule="auto"/>
            </w:pPr>
            <w:r w:rsidRPr="00AE339B">
              <w:t>Data</w:t>
            </w:r>
            <w:r>
              <w:t>/Sample</w:t>
            </w:r>
          </w:p>
        </w:tc>
        <w:tc>
          <w:tcPr>
            <w:tcW w:w="1821" w:type="dxa"/>
          </w:tcPr>
          <w:p w14:paraId="07FCF9E9" w14:textId="77777777" w:rsidR="00043642" w:rsidRPr="00AE339B" w:rsidRDefault="00043642" w:rsidP="00043642">
            <w:pPr>
              <w:spacing w:line="360" w:lineRule="auto"/>
            </w:pPr>
            <w:r>
              <w:t>Variables Used</w:t>
            </w:r>
          </w:p>
        </w:tc>
        <w:tc>
          <w:tcPr>
            <w:tcW w:w="1211" w:type="dxa"/>
          </w:tcPr>
          <w:p w14:paraId="0F0C0AF5" w14:textId="77777777" w:rsidR="00043642" w:rsidRPr="00AE339B" w:rsidRDefault="00043642" w:rsidP="00043642">
            <w:pPr>
              <w:spacing w:line="360" w:lineRule="auto"/>
            </w:pPr>
            <w:r>
              <w:t>Model</w:t>
            </w:r>
          </w:p>
        </w:tc>
        <w:tc>
          <w:tcPr>
            <w:tcW w:w="1979" w:type="dxa"/>
          </w:tcPr>
          <w:p w14:paraId="5C0D0C07" w14:textId="77777777" w:rsidR="00043642" w:rsidRPr="00AE339B" w:rsidRDefault="00043642" w:rsidP="00043642">
            <w:pPr>
              <w:spacing w:line="360" w:lineRule="auto"/>
            </w:pPr>
            <w:r>
              <w:t>Results</w:t>
            </w:r>
          </w:p>
        </w:tc>
      </w:tr>
      <w:tr w:rsidR="00043642" w:rsidRPr="001430C5" w14:paraId="4C5D6A09" w14:textId="77777777" w:rsidTr="00EF3744">
        <w:trPr>
          <w:trHeight w:val="1424"/>
          <w:jc w:val="center"/>
        </w:trPr>
        <w:tc>
          <w:tcPr>
            <w:tcW w:w="1641" w:type="dxa"/>
            <w:vMerge w:val="restart"/>
          </w:tcPr>
          <w:p w14:paraId="5F68AD1A" w14:textId="77777777" w:rsidR="00043642" w:rsidRPr="0098141F" w:rsidRDefault="00043642" w:rsidP="00905973">
            <w:pPr>
              <w:spacing w:line="276" w:lineRule="auto"/>
              <w:rPr>
                <w:sz w:val="20"/>
                <w:szCs w:val="20"/>
              </w:rPr>
            </w:pPr>
            <w:r w:rsidRPr="0098141F">
              <w:rPr>
                <w:i/>
                <w:sz w:val="20"/>
                <w:szCs w:val="20"/>
              </w:rPr>
              <w:t>Inheritances</w:t>
            </w:r>
          </w:p>
          <w:p w14:paraId="4DC5B0DC" w14:textId="77777777" w:rsidR="00043642" w:rsidRPr="0098141F" w:rsidRDefault="00043642" w:rsidP="00905973">
            <w:pPr>
              <w:spacing w:line="276" w:lineRule="auto"/>
              <w:rPr>
                <w:sz w:val="20"/>
                <w:szCs w:val="20"/>
              </w:rPr>
            </w:pPr>
          </w:p>
        </w:tc>
        <w:tc>
          <w:tcPr>
            <w:tcW w:w="1644" w:type="dxa"/>
          </w:tcPr>
          <w:p w14:paraId="341ECFC6" w14:textId="77777777" w:rsidR="00043642" w:rsidRPr="0098141F" w:rsidRDefault="00043642" w:rsidP="00905973">
            <w:pPr>
              <w:spacing w:line="276" w:lineRule="auto"/>
              <w:rPr>
                <w:sz w:val="20"/>
                <w:szCs w:val="20"/>
              </w:rPr>
            </w:pPr>
            <w:r w:rsidRPr="0098141F">
              <w:rPr>
                <w:sz w:val="20"/>
                <w:szCs w:val="20"/>
              </w:rPr>
              <w:t>Piketty (2013)</w:t>
            </w:r>
          </w:p>
        </w:tc>
        <w:tc>
          <w:tcPr>
            <w:tcW w:w="1910" w:type="dxa"/>
          </w:tcPr>
          <w:p w14:paraId="1D15AF55" w14:textId="77777777" w:rsidR="00043642" w:rsidRPr="001430C5" w:rsidRDefault="00043642" w:rsidP="00905973">
            <w:pPr>
              <w:spacing w:line="276" w:lineRule="auto"/>
              <w:rPr>
                <w:sz w:val="20"/>
                <w:szCs w:val="20"/>
              </w:rPr>
            </w:pPr>
            <w:r>
              <w:rPr>
                <w:sz w:val="20"/>
                <w:szCs w:val="20"/>
              </w:rPr>
              <w:t>Aggregate data on inheritances in France dating back to the 1800’s, self-assembled</w:t>
            </w:r>
          </w:p>
        </w:tc>
        <w:tc>
          <w:tcPr>
            <w:tcW w:w="1821" w:type="dxa"/>
          </w:tcPr>
          <w:p w14:paraId="63F3FF88" w14:textId="77777777" w:rsidR="00043642" w:rsidRPr="001430C5" w:rsidRDefault="00043642" w:rsidP="00905973">
            <w:pPr>
              <w:spacing w:line="276" w:lineRule="auto"/>
              <w:rPr>
                <w:sz w:val="20"/>
                <w:szCs w:val="20"/>
              </w:rPr>
            </w:pPr>
            <w:r>
              <w:rPr>
                <w:sz w:val="20"/>
                <w:szCs w:val="20"/>
              </w:rPr>
              <w:t>Annual Inheritance flow – mortality rate – share of inherited wealth – age-wealth profile – and more</w:t>
            </w:r>
          </w:p>
        </w:tc>
        <w:tc>
          <w:tcPr>
            <w:tcW w:w="1211" w:type="dxa"/>
          </w:tcPr>
          <w:p w14:paraId="229EF254" w14:textId="77777777" w:rsidR="00043642" w:rsidRPr="001430C5" w:rsidRDefault="00043642" w:rsidP="00905973">
            <w:pPr>
              <w:spacing w:line="276" w:lineRule="auto"/>
              <w:rPr>
                <w:sz w:val="20"/>
                <w:szCs w:val="20"/>
              </w:rPr>
            </w:pPr>
            <w:r>
              <w:rPr>
                <w:sz w:val="20"/>
                <w:szCs w:val="20"/>
              </w:rPr>
              <w:t>Various</w:t>
            </w:r>
          </w:p>
        </w:tc>
        <w:tc>
          <w:tcPr>
            <w:tcW w:w="1979" w:type="dxa"/>
          </w:tcPr>
          <w:p w14:paraId="46C345E6" w14:textId="77777777" w:rsidR="00043642" w:rsidRPr="001430C5" w:rsidRDefault="00043642" w:rsidP="00905973">
            <w:pPr>
              <w:spacing w:line="276" w:lineRule="auto"/>
              <w:rPr>
                <w:sz w:val="20"/>
                <w:szCs w:val="20"/>
              </w:rPr>
            </w:pPr>
            <w:r>
              <w:rPr>
                <w:sz w:val="20"/>
                <w:szCs w:val="20"/>
              </w:rPr>
              <w:t>E.g. t</w:t>
            </w:r>
            <w:r w:rsidRPr="00A2753A">
              <w:rPr>
                <w:sz w:val="20"/>
                <w:szCs w:val="20"/>
              </w:rPr>
              <w:t>he value of inheritance and gifts in France in 2010 amounted to about 15</w:t>
            </w:r>
            <w:r>
              <w:rPr>
                <w:sz w:val="20"/>
                <w:szCs w:val="20"/>
              </w:rPr>
              <w:t xml:space="preserve">% </w:t>
            </w:r>
            <w:r w:rsidRPr="00A2753A">
              <w:rPr>
                <w:sz w:val="20"/>
                <w:szCs w:val="20"/>
              </w:rPr>
              <w:t>of national income</w:t>
            </w:r>
          </w:p>
        </w:tc>
      </w:tr>
      <w:tr w:rsidR="00043642" w:rsidRPr="001E22F2" w14:paraId="24FBBABE" w14:textId="77777777" w:rsidTr="00EF3744">
        <w:trPr>
          <w:trHeight w:val="1440"/>
          <w:jc w:val="center"/>
        </w:trPr>
        <w:tc>
          <w:tcPr>
            <w:tcW w:w="1641" w:type="dxa"/>
            <w:vMerge/>
            <w:tcBorders>
              <w:bottom w:val="nil"/>
            </w:tcBorders>
          </w:tcPr>
          <w:p w14:paraId="36B9C12C" w14:textId="77777777" w:rsidR="00043642" w:rsidRPr="0098141F" w:rsidRDefault="00043642" w:rsidP="00905973">
            <w:pPr>
              <w:spacing w:line="276" w:lineRule="auto"/>
              <w:rPr>
                <w:sz w:val="20"/>
                <w:szCs w:val="20"/>
              </w:rPr>
            </w:pPr>
          </w:p>
        </w:tc>
        <w:tc>
          <w:tcPr>
            <w:tcW w:w="1644" w:type="dxa"/>
          </w:tcPr>
          <w:p w14:paraId="0F349007" w14:textId="77777777" w:rsidR="00043642" w:rsidRPr="0098141F" w:rsidRDefault="00043642" w:rsidP="00905973">
            <w:pPr>
              <w:spacing w:line="276" w:lineRule="auto"/>
              <w:rPr>
                <w:sz w:val="20"/>
                <w:szCs w:val="20"/>
              </w:rPr>
            </w:pPr>
            <w:r>
              <w:rPr>
                <w:sz w:val="20"/>
                <w:szCs w:val="20"/>
              </w:rPr>
              <w:t>Piketty &amp; Saez (2013)</w:t>
            </w:r>
          </w:p>
        </w:tc>
        <w:tc>
          <w:tcPr>
            <w:tcW w:w="1910" w:type="dxa"/>
          </w:tcPr>
          <w:p w14:paraId="6E860441" w14:textId="77777777" w:rsidR="00043642" w:rsidRPr="001430C5" w:rsidRDefault="00043642" w:rsidP="00905973">
            <w:pPr>
              <w:spacing w:line="276" w:lineRule="auto"/>
              <w:rPr>
                <w:sz w:val="20"/>
                <w:szCs w:val="20"/>
              </w:rPr>
            </w:pPr>
            <w:r>
              <w:rPr>
                <w:sz w:val="20"/>
                <w:szCs w:val="20"/>
              </w:rPr>
              <w:t>Micro data from France and the US. Estimates from other studies.</w:t>
            </w:r>
          </w:p>
        </w:tc>
        <w:tc>
          <w:tcPr>
            <w:tcW w:w="1821" w:type="dxa"/>
          </w:tcPr>
          <w:p w14:paraId="265E15CB" w14:textId="77777777" w:rsidR="00043642" w:rsidRPr="001430C5" w:rsidRDefault="00043642" w:rsidP="00905973">
            <w:pPr>
              <w:spacing w:line="276" w:lineRule="auto"/>
              <w:rPr>
                <w:sz w:val="20"/>
                <w:szCs w:val="20"/>
              </w:rPr>
            </w:pPr>
            <w:r>
              <w:rPr>
                <w:sz w:val="20"/>
                <w:szCs w:val="20"/>
              </w:rPr>
              <w:t>Inheritance tax rates – long run elasticities of bequests and labour supply – taxes on bequests and labour supply</w:t>
            </w:r>
          </w:p>
        </w:tc>
        <w:tc>
          <w:tcPr>
            <w:tcW w:w="1211" w:type="dxa"/>
          </w:tcPr>
          <w:p w14:paraId="0276E10B" w14:textId="77777777" w:rsidR="00043642" w:rsidRPr="001430C5" w:rsidRDefault="00043642" w:rsidP="00905973">
            <w:pPr>
              <w:spacing w:line="276" w:lineRule="auto"/>
              <w:rPr>
                <w:sz w:val="20"/>
                <w:szCs w:val="20"/>
              </w:rPr>
            </w:pPr>
            <w:r>
              <w:rPr>
                <w:sz w:val="20"/>
                <w:szCs w:val="20"/>
              </w:rPr>
              <w:t xml:space="preserve">Dynamic stochastic models of </w:t>
            </w:r>
          </w:p>
        </w:tc>
        <w:tc>
          <w:tcPr>
            <w:tcW w:w="1979" w:type="dxa"/>
          </w:tcPr>
          <w:p w14:paraId="25A423BC" w14:textId="77777777" w:rsidR="00043642" w:rsidRPr="001E22F2" w:rsidRDefault="00043642" w:rsidP="00905973">
            <w:pPr>
              <w:spacing w:line="276" w:lineRule="auto"/>
              <w:rPr>
                <w:sz w:val="20"/>
                <w:szCs w:val="20"/>
              </w:rPr>
            </w:pPr>
            <w:r>
              <w:rPr>
                <w:sz w:val="20"/>
                <w:szCs w:val="20"/>
              </w:rPr>
              <w:t>Realistic parameters suggest an optimal inheritance tax at a rate as high as 50%-60%</w:t>
            </w:r>
          </w:p>
        </w:tc>
      </w:tr>
      <w:tr w:rsidR="00043642" w14:paraId="76615027" w14:textId="77777777" w:rsidTr="00EF3744">
        <w:trPr>
          <w:trHeight w:val="1648"/>
          <w:jc w:val="center"/>
        </w:trPr>
        <w:tc>
          <w:tcPr>
            <w:tcW w:w="1641" w:type="dxa"/>
            <w:tcBorders>
              <w:top w:val="nil"/>
            </w:tcBorders>
          </w:tcPr>
          <w:p w14:paraId="6837D487" w14:textId="77777777" w:rsidR="00043642" w:rsidRDefault="00043642" w:rsidP="00905973">
            <w:pPr>
              <w:spacing w:line="276" w:lineRule="auto"/>
            </w:pPr>
          </w:p>
        </w:tc>
        <w:tc>
          <w:tcPr>
            <w:tcW w:w="1644" w:type="dxa"/>
            <w:tcBorders>
              <w:top w:val="nil"/>
            </w:tcBorders>
          </w:tcPr>
          <w:p w14:paraId="40E12026" w14:textId="77777777" w:rsidR="00043642" w:rsidRDefault="00043642" w:rsidP="00905973">
            <w:pPr>
              <w:spacing w:line="276" w:lineRule="auto"/>
            </w:pPr>
            <w:r w:rsidRPr="0098141F">
              <w:rPr>
                <w:sz w:val="20"/>
                <w:szCs w:val="20"/>
              </w:rPr>
              <w:t>Burman (1999)</w:t>
            </w:r>
          </w:p>
        </w:tc>
        <w:tc>
          <w:tcPr>
            <w:tcW w:w="1910" w:type="dxa"/>
            <w:tcBorders>
              <w:top w:val="nil"/>
            </w:tcBorders>
          </w:tcPr>
          <w:p w14:paraId="179B3B3B" w14:textId="77777777" w:rsidR="00043642" w:rsidRDefault="00043642" w:rsidP="00905973">
            <w:pPr>
              <w:spacing w:line="276" w:lineRule="auto"/>
            </w:pPr>
            <w:r>
              <w:rPr>
                <w:sz w:val="20"/>
                <w:szCs w:val="20"/>
              </w:rPr>
              <w:t>10 year panel data from the US</w:t>
            </w:r>
          </w:p>
        </w:tc>
        <w:tc>
          <w:tcPr>
            <w:tcW w:w="1821" w:type="dxa"/>
            <w:tcBorders>
              <w:top w:val="nil"/>
            </w:tcBorders>
          </w:tcPr>
          <w:p w14:paraId="393C0FB7" w14:textId="77777777" w:rsidR="00043642" w:rsidRDefault="00043642" w:rsidP="00905973">
            <w:pPr>
              <w:spacing w:line="276" w:lineRule="auto"/>
            </w:pPr>
            <w:r>
              <w:rPr>
                <w:sz w:val="20"/>
                <w:szCs w:val="20"/>
              </w:rPr>
              <w:t>Average income – amount of capital gains realised</w:t>
            </w:r>
          </w:p>
        </w:tc>
        <w:tc>
          <w:tcPr>
            <w:tcW w:w="1211" w:type="dxa"/>
            <w:tcBorders>
              <w:top w:val="nil"/>
            </w:tcBorders>
          </w:tcPr>
          <w:p w14:paraId="5033ABAF" w14:textId="77777777" w:rsidR="00043642" w:rsidRDefault="00043642" w:rsidP="00905973">
            <w:pPr>
              <w:spacing w:line="276" w:lineRule="auto"/>
            </w:pPr>
            <w:r>
              <w:rPr>
                <w:sz w:val="20"/>
                <w:szCs w:val="20"/>
              </w:rPr>
              <w:t>Unknown</w:t>
            </w:r>
          </w:p>
        </w:tc>
        <w:tc>
          <w:tcPr>
            <w:tcW w:w="1979" w:type="dxa"/>
            <w:tcBorders>
              <w:top w:val="nil"/>
            </w:tcBorders>
          </w:tcPr>
          <w:p w14:paraId="694E27FF" w14:textId="77777777" w:rsidR="00043642" w:rsidRDefault="00043642" w:rsidP="00905973">
            <w:pPr>
              <w:spacing w:line="276" w:lineRule="auto"/>
            </w:pPr>
            <w:r w:rsidRPr="001E22F2">
              <w:rPr>
                <w:sz w:val="20"/>
                <w:szCs w:val="20"/>
              </w:rPr>
              <w:t>3 percent of taxpayers with incomes averaging over $100.000 or more received nearly three quarters of the capital gains</w:t>
            </w:r>
          </w:p>
        </w:tc>
      </w:tr>
    </w:tbl>
    <w:p w14:paraId="3DD46DE8" w14:textId="77777777" w:rsidR="00345A20" w:rsidRDefault="00345A20" w:rsidP="00B74C4A">
      <w:pPr>
        <w:spacing w:line="360" w:lineRule="auto"/>
      </w:pPr>
    </w:p>
    <w:p w14:paraId="72C1E44A" w14:textId="77777777" w:rsidR="009A5722" w:rsidRPr="009A5722" w:rsidRDefault="009A5722" w:rsidP="00E145D3">
      <w:pPr>
        <w:pStyle w:val="Heading2"/>
      </w:pPr>
      <w:bookmarkStart w:id="41" w:name="_Toc331344953"/>
      <w:bookmarkStart w:id="42" w:name="_Toc331345805"/>
      <w:r>
        <w:t>Uncertainty and luck</w:t>
      </w:r>
      <w:bookmarkEnd w:id="41"/>
      <w:bookmarkEnd w:id="42"/>
    </w:p>
    <w:p w14:paraId="135FD9DB" w14:textId="6E777BAD" w:rsidR="00981B63" w:rsidRDefault="002046B1" w:rsidP="00B74C4A">
      <w:pPr>
        <w:spacing w:line="360" w:lineRule="auto"/>
      </w:pPr>
      <w:r w:rsidRPr="00AE339B">
        <w:t xml:space="preserve"> </w:t>
      </w:r>
      <w:r w:rsidR="00BB4225">
        <w:t>Moreover</w:t>
      </w:r>
      <w:r w:rsidRPr="00AE339B">
        <w:t>,</w:t>
      </w:r>
      <w:r w:rsidR="00245A02">
        <w:t xml:space="preserve"> </w:t>
      </w:r>
      <w:r w:rsidRPr="00AE339B">
        <w:t xml:space="preserve">individuals with higher capital </w:t>
      </w:r>
      <w:r w:rsidR="00D741EE">
        <w:t>income</w:t>
      </w:r>
      <w:r w:rsidRPr="00AE339B">
        <w:t xml:space="preserve"> </w:t>
      </w:r>
      <w:r w:rsidR="00245A02">
        <w:t xml:space="preserve">on average probably </w:t>
      </w:r>
      <w:r w:rsidRPr="00AE339B">
        <w:t xml:space="preserve">have had more luck. Thus, a capital </w:t>
      </w:r>
      <w:r w:rsidR="00D741EE">
        <w:t>income</w:t>
      </w:r>
      <w:r w:rsidRPr="00AE339B">
        <w:t xml:space="preserve"> tax </w:t>
      </w:r>
      <w:r w:rsidR="00245A02">
        <w:t>could be</w:t>
      </w:r>
      <w:r w:rsidRPr="00AE339B">
        <w:t xml:space="preserve"> a proper measure to redistribute income from those with luck to those without it. </w:t>
      </w:r>
      <w:r w:rsidR="006027E3">
        <w:t>As the theory on income taxation goes, in a two period model the result of the Atkinson-Stiglitz theorem of zero taxation on capital income does not hold if skill levels influence the discount factor or</w:t>
      </w:r>
      <w:r w:rsidR="00981B63">
        <w:t xml:space="preserve"> if there is uncertainty about second period earnings.</w:t>
      </w:r>
      <w:r w:rsidR="002639B6">
        <w:rPr>
          <w:rStyle w:val="FootnoteReference"/>
        </w:rPr>
        <w:footnoteReference w:id="18"/>
      </w:r>
      <w:r w:rsidR="00F31AF1">
        <w:t xml:space="preserve"> This uncertainty can be countered with a positive capital income tax.</w:t>
      </w:r>
      <w:r w:rsidR="00F70F32">
        <w:rPr>
          <w:rStyle w:val="FootnoteReference"/>
        </w:rPr>
        <w:footnoteReference w:id="19"/>
      </w:r>
      <w:r w:rsidR="005561DF">
        <w:t xml:space="preserve"> </w:t>
      </w:r>
      <w:r w:rsidR="001844BF">
        <w:t>From the</w:t>
      </w:r>
      <w:r w:rsidR="005561DF">
        <w:t xml:space="preserve"> </w:t>
      </w:r>
      <w:r w:rsidR="000A3362">
        <w:t xml:space="preserve">previously cited </w:t>
      </w:r>
      <w:r w:rsidR="005561DF">
        <w:t>empirical work b</w:t>
      </w:r>
      <w:r w:rsidR="000A3362">
        <w:t xml:space="preserve">y </w:t>
      </w:r>
      <w:r w:rsidR="00BD7DB2">
        <w:rPr>
          <w:rFonts w:cs="Times"/>
          <w:lang w:val="en-US"/>
        </w:rPr>
        <w:t xml:space="preserve">Conesa </w:t>
      </w:r>
      <w:r w:rsidR="00BD7DB2">
        <w:rPr>
          <w:rFonts w:cs="Times"/>
          <w:i/>
          <w:lang w:val="en-US"/>
        </w:rPr>
        <w:t>et al.</w:t>
      </w:r>
      <w:r w:rsidR="00BD7DB2">
        <w:t xml:space="preserve"> </w:t>
      </w:r>
      <w:r w:rsidR="000A3362">
        <w:t>(2009</w:t>
      </w:r>
      <w:r w:rsidR="005561DF">
        <w:t xml:space="preserve">) </w:t>
      </w:r>
      <w:r w:rsidR="001844BF">
        <w:t>it can be derived</w:t>
      </w:r>
      <w:r w:rsidR="00072014">
        <w:t xml:space="preserve"> that idiosyncratic risk is</w:t>
      </w:r>
      <w:r w:rsidR="000A3362">
        <w:t xml:space="preserve"> empiricall</w:t>
      </w:r>
      <w:r w:rsidR="00072014">
        <w:t>y</w:t>
      </w:r>
      <w:r w:rsidR="00F355CD">
        <w:t xml:space="preserve"> important for capital and labour</w:t>
      </w:r>
      <w:r w:rsidR="00072014">
        <w:t xml:space="preserve"> taxation</w:t>
      </w:r>
      <w:r w:rsidR="00F355CD">
        <w:t xml:space="preserve"> structuring purposes</w:t>
      </w:r>
      <w:r w:rsidR="00072014">
        <w:t>.</w:t>
      </w:r>
      <w:r w:rsidR="00C84FB2">
        <w:t xml:space="preserve"> </w:t>
      </w:r>
      <w:r w:rsidR="005465BB">
        <w:t xml:space="preserve">Hence, uncertainty plays a role. Jacobs &amp; Schindler (2012) show that a tax on capital income is functional </w:t>
      </w:r>
      <w:r w:rsidR="00741F86">
        <w:t>in adding towards</w:t>
      </w:r>
      <w:r w:rsidR="005465BB">
        <w:t xml:space="preserve"> social insurance.</w:t>
      </w:r>
      <w:r w:rsidR="00741F86">
        <w:t xml:space="preserve"> These gains should be traded off against distortions in savings that are associated with taxing capital income.</w:t>
      </w:r>
    </w:p>
    <w:p w14:paraId="7C90D0AA" w14:textId="77777777" w:rsidR="00DF4B57" w:rsidRDefault="00DF4B57" w:rsidP="00B74C4A">
      <w:pPr>
        <w:spacing w:line="360" w:lineRule="auto"/>
      </w:pPr>
    </w:p>
    <w:tbl>
      <w:tblPr>
        <w:tblpPr w:leftFromText="141" w:rightFromText="141" w:vertAnchor="text" w:horzAnchor="page" w:tblpXSpec="center" w:tblpY="13"/>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7"/>
        <w:gridCol w:w="1283"/>
        <w:gridCol w:w="1823"/>
        <w:gridCol w:w="2349"/>
        <w:gridCol w:w="1444"/>
        <w:gridCol w:w="1737"/>
      </w:tblGrid>
      <w:tr w:rsidR="00D924F1" w:rsidRPr="00AE339B" w14:paraId="416144D1" w14:textId="77777777" w:rsidTr="00345A20">
        <w:trPr>
          <w:trHeight w:val="559"/>
          <w:jc w:val="center"/>
        </w:trPr>
        <w:tc>
          <w:tcPr>
            <w:tcW w:w="1913" w:type="dxa"/>
          </w:tcPr>
          <w:p w14:paraId="276EB4BF" w14:textId="77777777" w:rsidR="00D924F1" w:rsidRPr="00AE339B" w:rsidRDefault="00D924F1" w:rsidP="00D924F1">
            <w:pPr>
              <w:spacing w:line="360" w:lineRule="auto"/>
            </w:pPr>
            <w:r w:rsidRPr="00AE339B">
              <w:t>Argument</w:t>
            </w:r>
          </w:p>
        </w:tc>
        <w:tc>
          <w:tcPr>
            <w:tcW w:w="1311" w:type="dxa"/>
          </w:tcPr>
          <w:p w14:paraId="5D18CE9D" w14:textId="77777777" w:rsidR="00D924F1" w:rsidRPr="00AE339B" w:rsidRDefault="00D924F1" w:rsidP="00D924F1">
            <w:pPr>
              <w:spacing w:line="360" w:lineRule="auto"/>
            </w:pPr>
            <w:r w:rsidRPr="00AE339B">
              <w:t>Empirical studies</w:t>
            </w:r>
          </w:p>
        </w:tc>
        <w:tc>
          <w:tcPr>
            <w:tcW w:w="1886" w:type="dxa"/>
          </w:tcPr>
          <w:p w14:paraId="1BBB44F7" w14:textId="77777777" w:rsidR="00D924F1" w:rsidRPr="00AE339B" w:rsidRDefault="00D924F1" w:rsidP="00D924F1">
            <w:pPr>
              <w:spacing w:line="360" w:lineRule="auto"/>
            </w:pPr>
            <w:r w:rsidRPr="00AE339B">
              <w:t>Data</w:t>
            </w:r>
            <w:r>
              <w:t>/Sample</w:t>
            </w:r>
          </w:p>
        </w:tc>
        <w:tc>
          <w:tcPr>
            <w:tcW w:w="2537" w:type="dxa"/>
          </w:tcPr>
          <w:p w14:paraId="7A5168BB" w14:textId="77777777" w:rsidR="00D924F1" w:rsidRPr="00AE339B" w:rsidRDefault="00D924F1" w:rsidP="00D924F1">
            <w:pPr>
              <w:spacing w:line="360" w:lineRule="auto"/>
            </w:pPr>
            <w:r>
              <w:t>Variables Used</w:t>
            </w:r>
          </w:p>
        </w:tc>
        <w:tc>
          <w:tcPr>
            <w:tcW w:w="1491" w:type="dxa"/>
          </w:tcPr>
          <w:p w14:paraId="202BC632" w14:textId="77777777" w:rsidR="00D924F1" w:rsidRPr="00AE339B" w:rsidRDefault="00D924F1" w:rsidP="00D924F1">
            <w:pPr>
              <w:spacing w:line="360" w:lineRule="auto"/>
            </w:pPr>
            <w:r>
              <w:t>Model</w:t>
            </w:r>
          </w:p>
        </w:tc>
        <w:tc>
          <w:tcPr>
            <w:tcW w:w="1868" w:type="dxa"/>
          </w:tcPr>
          <w:p w14:paraId="4A5F342B" w14:textId="77777777" w:rsidR="00D924F1" w:rsidRPr="00AE339B" w:rsidRDefault="00D924F1" w:rsidP="00D924F1">
            <w:pPr>
              <w:spacing w:line="360" w:lineRule="auto"/>
            </w:pPr>
            <w:r>
              <w:t>Results</w:t>
            </w:r>
          </w:p>
        </w:tc>
      </w:tr>
      <w:tr w:rsidR="00D924F1" w:rsidRPr="001430C5" w14:paraId="75A70203" w14:textId="77777777" w:rsidTr="00345A20">
        <w:trPr>
          <w:trHeight w:val="1248"/>
          <w:jc w:val="center"/>
        </w:trPr>
        <w:tc>
          <w:tcPr>
            <w:tcW w:w="1913" w:type="dxa"/>
          </w:tcPr>
          <w:p w14:paraId="4B99CEAE" w14:textId="77777777" w:rsidR="00D924F1" w:rsidRPr="0098141F" w:rsidRDefault="00D924F1" w:rsidP="00905973">
            <w:pPr>
              <w:spacing w:line="276" w:lineRule="auto"/>
              <w:rPr>
                <w:i/>
                <w:sz w:val="20"/>
                <w:szCs w:val="20"/>
              </w:rPr>
            </w:pPr>
            <w:r w:rsidRPr="0098141F">
              <w:rPr>
                <w:i/>
                <w:sz w:val="20"/>
                <w:szCs w:val="20"/>
              </w:rPr>
              <w:t>Uncertainty and luck</w:t>
            </w:r>
          </w:p>
          <w:p w14:paraId="669AD15C" w14:textId="77777777" w:rsidR="00D924F1" w:rsidRPr="0098141F" w:rsidRDefault="00D924F1" w:rsidP="00905973">
            <w:pPr>
              <w:spacing w:line="276" w:lineRule="auto"/>
              <w:rPr>
                <w:sz w:val="20"/>
                <w:szCs w:val="20"/>
              </w:rPr>
            </w:pPr>
          </w:p>
        </w:tc>
        <w:tc>
          <w:tcPr>
            <w:tcW w:w="1311" w:type="dxa"/>
          </w:tcPr>
          <w:p w14:paraId="5C5EA2B1" w14:textId="77777777" w:rsidR="00D924F1" w:rsidRPr="0098141F" w:rsidRDefault="00D924F1" w:rsidP="00905973">
            <w:pPr>
              <w:spacing w:line="276" w:lineRule="auto"/>
              <w:rPr>
                <w:sz w:val="20"/>
                <w:szCs w:val="20"/>
              </w:rPr>
            </w:pPr>
            <w:r w:rsidRPr="0098141F">
              <w:rPr>
                <w:rFonts w:cs="Times"/>
                <w:sz w:val="20"/>
                <w:szCs w:val="20"/>
                <w:lang w:val="en-US"/>
              </w:rPr>
              <w:t xml:space="preserve">Conesa </w:t>
            </w:r>
            <w:r w:rsidRPr="0098141F">
              <w:rPr>
                <w:rFonts w:cs="Times"/>
                <w:i/>
                <w:sz w:val="20"/>
                <w:szCs w:val="20"/>
                <w:lang w:val="en-US"/>
              </w:rPr>
              <w:t>et al.</w:t>
            </w:r>
            <w:r w:rsidRPr="0098141F">
              <w:rPr>
                <w:sz w:val="20"/>
                <w:szCs w:val="20"/>
              </w:rPr>
              <w:t xml:space="preserve"> (2009)</w:t>
            </w:r>
          </w:p>
        </w:tc>
        <w:tc>
          <w:tcPr>
            <w:tcW w:w="1886" w:type="dxa"/>
          </w:tcPr>
          <w:p w14:paraId="35944C33" w14:textId="77777777" w:rsidR="00D924F1" w:rsidRPr="001430C5" w:rsidRDefault="00D924F1" w:rsidP="00905973">
            <w:pPr>
              <w:spacing w:line="276" w:lineRule="auto"/>
              <w:rPr>
                <w:sz w:val="20"/>
                <w:szCs w:val="20"/>
              </w:rPr>
            </w:pPr>
            <w:r>
              <w:rPr>
                <w:sz w:val="20"/>
                <w:szCs w:val="20"/>
              </w:rPr>
              <w:t>Data from various articles by others. Some assumed values.</w:t>
            </w:r>
          </w:p>
        </w:tc>
        <w:tc>
          <w:tcPr>
            <w:tcW w:w="2537" w:type="dxa"/>
          </w:tcPr>
          <w:p w14:paraId="153C0996" w14:textId="77777777" w:rsidR="00D924F1" w:rsidRPr="001430C5" w:rsidRDefault="00D924F1" w:rsidP="00905973">
            <w:pPr>
              <w:spacing w:line="276" w:lineRule="auto"/>
              <w:rPr>
                <w:sz w:val="20"/>
                <w:szCs w:val="20"/>
              </w:rPr>
            </w:pPr>
            <w:r>
              <w:rPr>
                <w:sz w:val="20"/>
                <w:szCs w:val="20"/>
              </w:rPr>
              <w:t>Capital income – labour supply – idiosyncratic risk – type heterogeneity – productivity – and more</w:t>
            </w:r>
          </w:p>
        </w:tc>
        <w:tc>
          <w:tcPr>
            <w:tcW w:w="1491" w:type="dxa"/>
          </w:tcPr>
          <w:p w14:paraId="3B4876CA" w14:textId="77777777" w:rsidR="00D924F1" w:rsidRPr="001430C5" w:rsidRDefault="00D924F1" w:rsidP="00905973">
            <w:pPr>
              <w:spacing w:line="276" w:lineRule="auto"/>
              <w:rPr>
                <w:sz w:val="20"/>
                <w:szCs w:val="20"/>
              </w:rPr>
            </w:pPr>
            <w:r>
              <w:rPr>
                <w:sz w:val="20"/>
                <w:szCs w:val="20"/>
              </w:rPr>
              <w:t>Overlapping Generations Model</w:t>
            </w:r>
          </w:p>
        </w:tc>
        <w:tc>
          <w:tcPr>
            <w:tcW w:w="1868" w:type="dxa"/>
          </w:tcPr>
          <w:p w14:paraId="6601FF2B" w14:textId="77777777" w:rsidR="00D924F1" w:rsidRPr="001430C5" w:rsidRDefault="00D924F1" w:rsidP="00905973">
            <w:pPr>
              <w:spacing w:line="276" w:lineRule="auto"/>
              <w:rPr>
                <w:sz w:val="20"/>
                <w:szCs w:val="20"/>
              </w:rPr>
            </w:pPr>
            <w:r>
              <w:rPr>
                <w:sz w:val="20"/>
                <w:szCs w:val="20"/>
              </w:rPr>
              <w:t>Optimal capital income tax rate= 36%, the value is significant</w:t>
            </w:r>
          </w:p>
        </w:tc>
      </w:tr>
    </w:tbl>
    <w:p w14:paraId="0E4803BD" w14:textId="77777777" w:rsidR="00606615" w:rsidRDefault="00606615" w:rsidP="0049309B">
      <w:pPr>
        <w:spacing w:line="360" w:lineRule="auto"/>
        <w:rPr>
          <w:i/>
        </w:rPr>
      </w:pPr>
    </w:p>
    <w:p w14:paraId="1866D672" w14:textId="77777777" w:rsidR="00E145D3" w:rsidRDefault="00E145D3" w:rsidP="0049309B">
      <w:pPr>
        <w:spacing w:line="360" w:lineRule="auto"/>
        <w:rPr>
          <w:i/>
        </w:rPr>
      </w:pPr>
    </w:p>
    <w:p w14:paraId="1CDD1C2B" w14:textId="77777777" w:rsidR="0049309B" w:rsidRPr="00F23966" w:rsidRDefault="00B7639F" w:rsidP="00E145D3">
      <w:pPr>
        <w:pStyle w:val="Heading2"/>
      </w:pPr>
      <w:bookmarkStart w:id="43" w:name="_Toc331344954"/>
      <w:bookmarkStart w:id="44" w:name="_Toc331345806"/>
      <w:r>
        <w:lastRenderedPageBreak/>
        <w:t>Rents</w:t>
      </w:r>
      <w:bookmarkEnd w:id="43"/>
      <w:bookmarkEnd w:id="44"/>
    </w:p>
    <w:p w14:paraId="7532CF27" w14:textId="3C3D9EB8" w:rsidR="0008493A" w:rsidRDefault="00C5538F" w:rsidP="00FC0B18">
      <w:pPr>
        <w:spacing w:line="360" w:lineRule="auto"/>
      </w:pPr>
      <w:r>
        <w:t>Next</w:t>
      </w:r>
      <w:r w:rsidR="0049309B" w:rsidRPr="00AE339B">
        <w:t xml:space="preserve">, </w:t>
      </w:r>
      <w:r>
        <w:t xml:space="preserve">A capital </w:t>
      </w:r>
      <w:r w:rsidR="00095B04">
        <w:t>income</w:t>
      </w:r>
      <w:r>
        <w:t xml:space="preserve"> tax is efficient in taxing rents.</w:t>
      </w:r>
      <w:r w:rsidR="00A350FB">
        <w:t xml:space="preserve"> The theory behind this argument is the following.</w:t>
      </w:r>
      <w:r>
        <w:t xml:space="preserve"> </w:t>
      </w:r>
      <w:r w:rsidR="00A350FB">
        <w:t xml:space="preserve">Income in </w:t>
      </w:r>
      <w:r w:rsidR="00BB7E79">
        <w:t>from capital</w:t>
      </w:r>
      <w:r w:rsidR="00A350FB">
        <w:t xml:space="preserve"> can be the result of postponing consumption or the bearing of financial risk. </w:t>
      </w:r>
      <w:r w:rsidR="00063C30">
        <w:t xml:space="preserve">However, not all capital </w:t>
      </w:r>
      <w:r w:rsidR="00BB7E79">
        <w:t xml:space="preserve">income requires </w:t>
      </w:r>
      <w:r w:rsidR="00063C30">
        <w:t xml:space="preserve">these inputs. Some capital </w:t>
      </w:r>
      <w:r w:rsidR="00BB7E79">
        <w:t xml:space="preserve">income, such as capital gains, may </w:t>
      </w:r>
      <w:r w:rsidR="00063C30">
        <w:t xml:space="preserve">in fact </w:t>
      </w:r>
      <w:r w:rsidR="00BB7E79">
        <w:t xml:space="preserve">concern </w:t>
      </w:r>
      <w:r w:rsidR="00063C30">
        <w:t>excess profits, due to for example</w:t>
      </w:r>
      <w:r w:rsidR="0038604D">
        <w:t xml:space="preserve"> monopoly positions</w:t>
      </w:r>
      <w:r w:rsidR="00C238AB">
        <w:t xml:space="preserve"> or insider access</w:t>
      </w:r>
      <w:r w:rsidR="00D53571">
        <w:t>. If no economical effort has been exercised to obtain these rents, then it is not distortionary to tax them. Hence, from an efficiency perspective one ought to tax these rents heavily.</w:t>
      </w:r>
      <w:r w:rsidR="00A802D5">
        <w:t xml:space="preserve"> Shepherd (1989)</w:t>
      </w:r>
      <w:r w:rsidR="007F1D54">
        <w:t xml:space="preserve"> even claims that </w:t>
      </w:r>
      <w:r w:rsidR="0015697E">
        <w:t>many</w:t>
      </w:r>
      <w:r w:rsidR="007F1D54">
        <w:t xml:space="preserve"> pure capital gains –such as</w:t>
      </w:r>
      <w:r w:rsidR="007F1D54" w:rsidRPr="007F1D54">
        <w:t xml:space="preserve"> </w:t>
      </w:r>
      <w:r w:rsidR="00BE7DA5">
        <w:t xml:space="preserve">those that appear in </w:t>
      </w:r>
      <w:r w:rsidR="007F1D54">
        <w:t>trades of existing portfolio assets and commodities, including land and natural resources-</w:t>
      </w:r>
      <w:r w:rsidR="005D43B9">
        <w:t xml:space="preserve"> are simply economic rents. </w:t>
      </w:r>
      <w:r w:rsidR="00013FDB">
        <w:t xml:space="preserve">He </w:t>
      </w:r>
      <w:r w:rsidR="00A001BB">
        <w:t xml:space="preserve">states </w:t>
      </w:r>
      <w:r w:rsidR="00013FDB">
        <w:t>that</w:t>
      </w:r>
      <w:r w:rsidR="00A001BB">
        <w:t xml:space="preserve"> they are merely </w:t>
      </w:r>
      <w:r w:rsidR="00A4533A">
        <w:t>speculations:</w:t>
      </w:r>
      <w:r w:rsidR="00013FDB">
        <w:t xml:space="preserve"> </w:t>
      </w:r>
      <w:r w:rsidR="009D59D0">
        <w:t>‘</w:t>
      </w:r>
      <w:r w:rsidR="009D59D0" w:rsidRPr="009D59D0">
        <w:rPr>
          <w:i/>
        </w:rPr>
        <w:t xml:space="preserve">the </w:t>
      </w:r>
      <w:r w:rsidR="00915B5E">
        <w:rPr>
          <w:i/>
        </w:rPr>
        <w:t>(</w:t>
      </w:r>
      <w:r w:rsidR="009D59D0" w:rsidRPr="00915B5E">
        <w:rPr>
          <w:i/>
        </w:rPr>
        <w:t>capital</w:t>
      </w:r>
      <w:r w:rsidR="00915B5E" w:rsidRPr="00915B5E">
        <w:rPr>
          <w:i/>
        </w:rPr>
        <w:t>)</w:t>
      </w:r>
      <w:r w:rsidR="009D59D0" w:rsidRPr="009D59D0">
        <w:rPr>
          <w:i/>
        </w:rPr>
        <w:t xml:space="preserve"> gain is</w:t>
      </w:r>
      <w:r w:rsidR="009D59D0">
        <w:rPr>
          <w:i/>
        </w:rPr>
        <w:t xml:space="preserve"> strictly</w:t>
      </w:r>
      <w:r w:rsidR="009D59D0" w:rsidRPr="009D59D0">
        <w:rPr>
          <w:i/>
        </w:rPr>
        <w:t xml:space="preserve"> demand-determined</w:t>
      </w:r>
      <w:r w:rsidR="009D59D0">
        <w:rPr>
          <w:i/>
        </w:rPr>
        <w:t>. I</w:t>
      </w:r>
      <w:r w:rsidR="009D59D0" w:rsidRPr="009D59D0">
        <w:rPr>
          <w:i/>
        </w:rPr>
        <w:t>t is not a payment for the provision of a service</w:t>
      </w:r>
      <w:r w:rsidR="009D59D0">
        <w:rPr>
          <w:i/>
        </w:rPr>
        <w:t xml:space="preserve"> which adds to the value of production.’ </w:t>
      </w:r>
      <w:r w:rsidR="009D59D0">
        <w:t xml:space="preserve"> </w:t>
      </w:r>
      <w:r w:rsidR="00013FDB">
        <w:t xml:space="preserve">Keeping in mind the difference between speculation and investment, he evaluates the efficiency costs and benefits of the former. Costs arise in the form </w:t>
      </w:r>
      <w:r w:rsidR="001364C6">
        <w:t>of evaluative effort, transactions costs, disutility from risk bearing, and mor</w:t>
      </w:r>
      <w:r w:rsidR="00B067AF">
        <w:t>ale reductions. They are put up</w:t>
      </w:r>
      <w:r w:rsidR="001364C6">
        <w:t xml:space="preserve"> against small benefits of enterprise control and price stabilization</w:t>
      </w:r>
      <w:r w:rsidR="00B067AF">
        <w:t xml:space="preserve">. </w:t>
      </w:r>
      <w:r w:rsidR="00A001BB">
        <w:t xml:space="preserve">Shepherd concludes that </w:t>
      </w:r>
      <w:r w:rsidR="003812D8">
        <w:t xml:space="preserve">capital gains therefore </w:t>
      </w:r>
      <w:r w:rsidR="00335865">
        <w:t xml:space="preserve">should </w:t>
      </w:r>
      <w:r w:rsidR="003812D8">
        <w:t>be taxed significantly and states that t</w:t>
      </w:r>
      <w:r w:rsidR="00335A3B">
        <w:t xml:space="preserve">his would do no harm to efficiency. </w:t>
      </w:r>
      <w:r w:rsidR="001D4805">
        <w:t>However, as he admits in the final part of his work, it is difficult to distinguish between profits and excess profits when speculation and real investment go together.</w:t>
      </w:r>
      <w:r w:rsidR="001E3853">
        <w:t xml:space="preserve"> There is no clear empirical evidence available on this topic, which</w:t>
      </w:r>
      <w:r w:rsidR="00DF1E5B">
        <w:t xml:space="preserve"> forms an inconvenience to the government in creating tax policy.</w:t>
      </w:r>
      <w:r w:rsidR="004E416F">
        <w:t xml:space="preserve"> Still, </w:t>
      </w:r>
      <w:r w:rsidR="00452C07">
        <w:t xml:space="preserve">work by </w:t>
      </w:r>
      <w:r w:rsidR="004E416F">
        <w:t>Correia</w:t>
      </w:r>
      <w:r w:rsidR="00EA0AB4">
        <w:t xml:space="preserve"> (1996)</w:t>
      </w:r>
      <w:r w:rsidR="004E416F">
        <w:t xml:space="preserve"> </w:t>
      </w:r>
      <w:r w:rsidR="00452C07">
        <w:t>proves</w:t>
      </w:r>
      <w:r w:rsidR="0083252E">
        <w:t xml:space="preserve"> that it is optimal to somewhat tax capital </w:t>
      </w:r>
      <w:r w:rsidR="003F728B">
        <w:t>income</w:t>
      </w:r>
      <w:r w:rsidR="0083252E">
        <w:t>, in order to tax a part of the excess profits.</w:t>
      </w:r>
      <w:r w:rsidR="001E3853">
        <w:t xml:space="preserve"> A capital </w:t>
      </w:r>
      <w:r w:rsidR="003F728B">
        <w:t>income</w:t>
      </w:r>
      <w:r w:rsidR="001E3853">
        <w:t xml:space="preserve"> tax captures </w:t>
      </w:r>
      <w:r w:rsidR="00F65319">
        <w:t>rents that were obtained for example through inheritances. It is efficien</w:t>
      </w:r>
      <w:r w:rsidR="00527F0C">
        <w:t xml:space="preserve">t to tax capital </w:t>
      </w:r>
      <w:r w:rsidR="00FA6DAE">
        <w:t>income</w:t>
      </w:r>
      <w:r w:rsidR="00527F0C">
        <w:t>, s</w:t>
      </w:r>
      <w:r w:rsidR="00E95068">
        <w:t>ince the amount of</w:t>
      </w:r>
      <w:r w:rsidR="00F65319">
        <w:t xml:space="preserve"> economical effort </w:t>
      </w:r>
      <w:r w:rsidR="00E95068">
        <w:t xml:space="preserve">that </w:t>
      </w:r>
      <w:r w:rsidR="00F65319">
        <w:t>has been exercised to earn them</w:t>
      </w:r>
      <w:r w:rsidR="00E95068">
        <w:t xml:space="preserve"> is questionable</w:t>
      </w:r>
      <w:r w:rsidR="00F65319">
        <w:t>.</w:t>
      </w:r>
    </w:p>
    <w:p w14:paraId="0E91C905" w14:textId="77777777" w:rsidR="005F40F7" w:rsidRDefault="0008493A" w:rsidP="00E145D3">
      <w:pPr>
        <w:pStyle w:val="Heading2"/>
      </w:pPr>
      <w:bookmarkStart w:id="45" w:name="_Toc331344955"/>
      <w:bookmarkStart w:id="46" w:name="_Toc331345807"/>
      <w:r>
        <w:t>Conclusion</w:t>
      </w:r>
      <w:bookmarkEnd w:id="45"/>
      <w:bookmarkEnd w:id="46"/>
    </w:p>
    <w:p w14:paraId="0CA402BC" w14:textId="481B4818" w:rsidR="009B1BE4" w:rsidRPr="009B1BE4" w:rsidRDefault="005F40F7" w:rsidP="00FC0B18">
      <w:pPr>
        <w:spacing w:line="360" w:lineRule="auto"/>
        <w:rPr>
          <w:rFonts w:asciiTheme="majorHAnsi" w:eastAsiaTheme="majorEastAsia" w:hAnsiTheme="majorHAnsi" w:cstheme="majorBidi"/>
          <w:b/>
          <w:bCs/>
          <w:color w:val="365F91" w:themeColor="accent1" w:themeShade="BF"/>
          <w:sz w:val="28"/>
          <w:szCs w:val="28"/>
          <w:lang w:val="nl-NL"/>
        </w:rPr>
      </w:pPr>
      <w:r>
        <w:t xml:space="preserve">Chapter three showed that a capital income tax distorts savings behaviour. This is unwanted from a perspective of optimal taxation. However, this chapter presents a series of arguments validate the taxation of capital income. The benefits of taxing capital should be traded off against the losses caused by distortions in savings. To commence, taxing capital income counters distortions in labour supply. Several studies show correlation between capital income and labour supply. Conesa </w:t>
      </w:r>
      <w:r>
        <w:rPr>
          <w:i/>
        </w:rPr>
        <w:t>et al.</w:t>
      </w:r>
      <w:r>
        <w:t xml:space="preserve"> </w:t>
      </w:r>
      <w:r w:rsidR="002C0B43">
        <w:t xml:space="preserve">(2009) </w:t>
      </w:r>
      <w:r w:rsidR="00D61972">
        <w:t>show it is optimal to tax capital income to counter distortions in labour supply</w:t>
      </w:r>
      <w:r w:rsidR="00A53E55">
        <w:t xml:space="preserve">. Next, capital </w:t>
      </w:r>
      <w:r w:rsidR="00A53E55">
        <w:lastRenderedPageBreak/>
        <w:t>income is optimal to counter arbitrage between labour and capital income. The studies presented in this chapter show significant correlations between the marginal tax rates and income shares of the different tax bases.</w:t>
      </w:r>
      <w:r w:rsidR="001C3B1E">
        <w:t xml:space="preserve"> Besides, </w:t>
      </w:r>
      <w:r w:rsidR="0090067B">
        <w:t>earning ability and capital income are positively related, which validates the taxing of capital income from an optimal welfare perspective.</w:t>
      </w:r>
      <w:r w:rsidR="00262D2A">
        <w:t xml:space="preserve"> </w:t>
      </w:r>
      <w:r w:rsidR="00EA4F74">
        <w:t>Multiple studies show that, conditioned on labour income, earning ability and savings are positively correlated.</w:t>
      </w:r>
      <w:r w:rsidR="0063615B">
        <w:t xml:space="preserve"> Furthermore, as Piketty and Saez (2013) point out, also inheritances and earning ability share a positive relation.</w:t>
      </w:r>
      <w:r w:rsidR="009E0BFF">
        <w:t xml:space="preserve"> The</w:t>
      </w:r>
      <w:r w:rsidR="008D737E">
        <w:t xml:space="preserve"> authors calculate the optimal positive rates at which inheritances should be taxed.</w:t>
      </w:r>
      <w:r w:rsidR="002619A4">
        <w:t xml:space="preserve"> </w:t>
      </w:r>
      <w:r w:rsidR="00052253">
        <w:t xml:space="preserve">Moreover, </w:t>
      </w:r>
      <w:r w:rsidR="00444EE5">
        <w:t>a capital income tax is functional in adding towards social insurance</w:t>
      </w:r>
      <w:r w:rsidR="00080114">
        <w:t>. Finally</w:t>
      </w:r>
      <w:r w:rsidR="0033597C">
        <w:t xml:space="preserve">, taxing capital income is efficient in taxing rents Even though it is hard to separate excess profits from regular profits, it is optimal to somewhat tax capital income. </w:t>
      </w:r>
      <w:r w:rsidR="008377B6">
        <w:t>Thus, the gains from taxing capital income are substantial, and outweigh the losses incurred by distortions in savings behaviour.</w:t>
      </w:r>
    </w:p>
    <w:p w14:paraId="0B098F36" w14:textId="013E23E4" w:rsidR="009B1BE4" w:rsidRDefault="009B1BE4" w:rsidP="009B1BE4">
      <w:pPr>
        <w:pStyle w:val="Heading1"/>
      </w:pPr>
      <w:r>
        <w:br w:type="column"/>
      </w:r>
      <w:bookmarkStart w:id="47" w:name="_Toc331345808"/>
      <w:r>
        <w:lastRenderedPageBreak/>
        <w:t>Chapter 6 – Arguments regarding capital gains taxation</w:t>
      </w:r>
      <w:bookmarkEnd w:id="47"/>
    </w:p>
    <w:p w14:paraId="5B60D470" w14:textId="6D008683" w:rsidR="00CB1B85" w:rsidRDefault="00D81B83" w:rsidP="00FC0B18">
      <w:pPr>
        <w:spacing w:line="360" w:lineRule="auto"/>
      </w:pPr>
      <w:r>
        <w:t xml:space="preserve">Now that is has been established capital income should be taxed, this </w:t>
      </w:r>
      <w:r w:rsidR="00331173">
        <w:t>chapter will focus on the taxation</w:t>
      </w:r>
      <w:r>
        <w:t xml:space="preserve"> of capital gains.</w:t>
      </w:r>
      <w:r w:rsidR="00F31F7E">
        <w:t xml:space="preserve"> </w:t>
      </w:r>
      <w:r w:rsidR="00FC0B18">
        <w:t xml:space="preserve">In this section, empirical studies are reviewed </w:t>
      </w:r>
      <w:r w:rsidR="00375FD0">
        <w:t>regarding the arguments presented in chapter four</w:t>
      </w:r>
      <w:r w:rsidR="00FC0B18">
        <w:t>.</w:t>
      </w:r>
      <w:r w:rsidR="00FC4535">
        <w:t xml:space="preserve"> It is stated that the current approach to taxing gains on realisation is not optimal due to several negative effects of taxation.</w:t>
      </w:r>
      <w:r w:rsidR="00AD276E">
        <w:t xml:space="preserve"> </w:t>
      </w:r>
      <w:r w:rsidR="00FE2797">
        <w:t>A</w:t>
      </w:r>
      <w:r w:rsidR="00AD276E">
        <w:t>dopting a retrospective capital gains tax in the form that Auerbach</w:t>
      </w:r>
      <w:r w:rsidR="00FE2797">
        <w:t xml:space="preserve"> </w:t>
      </w:r>
      <w:r w:rsidR="003E16A4">
        <w:t>(1991</w:t>
      </w:r>
      <w:r w:rsidR="00FE2797">
        <w:t>)</w:t>
      </w:r>
      <w:r w:rsidR="00AD276E">
        <w:t xml:space="preserve"> suggests </w:t>
      </w:r>
      <w:r w:rsidR="00FE2797">
        <w:t>solves most of these problems.</w:t>
      </w:r>
    </w:p>
    <w:p w14:paraId="05BA4266" w14:textId="2CC2C480" w:rsidR="00CB1B85" w:rsidRPr="00CB1B85" w:rsidRDefault="00CB1B85" w:rsidP="00E145D3">
      <w:pPr>
        <w:pStyle w:val="Heading2"/>
      </w:pPr>
      <w:bookmarkStart w:id="48" w:name="_Toc331344956"/>
      <w:bookmarkStart w:id="49" w:name="_Toc331345809"/>
      <w:r w:rsidRPr="00AE339B">
        <w:t>The ‘lock-in’ effect</w:t>
      </w:r>
      <w:bookmarkEnd w:id="48"/>
      <w:bookmarkEnd w:id="49"/>
    </w:p>
    <w:p w14:paraId="5D627CC6" w14:textId="0395B072" w:rsidR="00FC0B18" w:rsidRDefault="00FC0B18" w:rsidP="00FC0B18">
      <w:pPr>
        <w:spacing w:line="360" w:lineRule="auto"/>
      </w:pPr>
      <w:r w:rsidRPr="00AE339B">
        <w:t xml:space="preserve"> Several empirical studies have shown that the taxing of capital gains </w:t>
      </w:r>
      <w:r w:rsidR="00AC4927">
        <w:t xml:space="preserve">on realisation without charging interest and with limited loss offsets </w:t>
      </w:r>
      <w:r w:rsidRPr="00AE339B">
        <w:t>has an effect on the realization of capital gains.</w:t>
      </w:r>
      <w:r w:rsidRPr="009951C3">
        <w:rPr>
          <w:rStyle w:val="FootnoteReference"/>
        </w:rPr>
        <w:t xml:space="preserve"> </w:t>
      </w:r>
      <w:r w:rsidRPr="00AE339B">
        <w:rPr>
          <w:rStyle w:val="FootnoteReference"/>
        </w:rPr>
        <w:footnoteReference w:id="20"/>
      </w:r>
    </w:p>
    <w:p w14:paraId="2659A40E" w14:textId="77777777" w:rsidR="00FC0B18" w:rsidRDefault="00FC0B18" w:rsidP="00FC0B18">
      <w:pPr>
        <w:spacing w:line="360" w:lineRule="auto"/>
      </w:pPr>
    </w:p>
    <w:p w14:paraId="57F764AE" w14:textId="77777777" w:rsidR="00FC0B18" w:rsidRPr="00AE339B" w:rsidRDefault="00FC0B18" w:rsidP="00FC0B18">
      <w:pPr>
        <w:spacing w:line="360" w:lineRule="auto"/>
      </w:pPr>
      <w:r>
        <w:t>Eilbott &amp; Hersh (1976) were one of the first to perform an empirical study on the changes in capital gains taxation. They used data from the New York Stock Exchange to construct a model that explains quarterly volume of sales by institutions and individuals respectively.</w:t>
      </w:r>
      <w:r>
        <w:rPr>
          <w:rStyle w:val="FootnoteReference"/>
        </w:rPr>
        <w:footnoteReference w:id="21"/>
      </w:r>
      <w:r>
        <w:t xml:space="preserve"> Including other variables such as short-term interest rate and margin requirements into their model, they found a significant negative influence of the capital gains tax rate on the sales volume. More specifically, the results showed that for tax rates and volume levels of 1971, a 10 percent relative change in the capital gains tax rate would cause an 8 percent change in the volume of sales. Although the results seem straightforward, they should be reviewed with caution. The study does not take into account that several of the tax changes in their research period were only temporary changes. It makes sense for investors to respond more strongly to a temporary change in tax than to a permanent one: If an investor knows the capital gains tax rate will drop not long after an increase, he is more inclined to hold on to his assets than when he knows the change will be permanent. </w:t>
      </w:r>
    </w:p>
    <w:p w14:paraId="48DE5EDF" w14:textId="77777777" w:rsidR="00FC0B18" w:rsidRDefault="00FC0B18" w:rsidP="00FC0B18">
      <w:pPr>
        <w:spacing w:line="360" w:lineRule="auto"/>
      </w:pPr>
    </w:p>
    <w:p w14:paraId="15EA6DED" w14:textId="77777777" w:rsidR="00FC0B18" w:rsidRDefault="00FC0B18" w:rsidP="00FC0B18">
      <w:pPr>
        <w:spacing w:line="360" w:lineRule="auto"/>
      </w:pPr>
      <w:r>
        <w:t xml:space="preserve">Slemrod &amp; Feldstein (1978) present some time-series evidence of the period around the Tax Reform Act of 1969 in the US: When the two years before the act are compared with the sixth and seventh year after the act a 34.9 percent negative change in net gains from </w:t>
      </w:r>
      <w:r>
        <w:lastRenderedPageBreak/>
        <w:t>sales of assets for individuals with an adjusted gross income of more than $500.000. The power of this research is limited, due to the fact that they do not correct for any other variables that may influence the net gain from sales of capital assets. However, it does seem that the change in capital gains tax rate in ’69 not only affects the period directly before and after, but also a significant amount of time after the change. This suggests the existence of a persisting lock-in effect.</w:t>
      </w:r>
    </w:p>
    <w:p w14:paraId="7D9861A7" w14:textId="77777777" w:rsidR="00A04773" w:rsidRDefault="00A04773" w:rsidP="00FC0B18">
      <w:pPr>
        <w:spacing w:line="360" w:lineRule="auto"/>
      </w:pPr>
    </w:p>
    <w:p w14:paraId="59E751BB" w14:textId="2B1300F9" w:rsidR="00A04773" w:rsidRDefault="00A04773" w:rsidP="00FC0B18">
      <w:pPr>
        <w:spacing w:line="360" w:lineRule="auto"/>
      </w:pPr>
      <w:r>
        <w:t xml:space="preserve">Dai </w:t>
      </w:r>
      <w:r>
        <w:rPr>
          <w:i/>
        </w:rPr>
        <w:t>et al.</w:t>
      </w:r>
      <w:r>
        <w:t xml:space="preserve"> (2006) research capital gains taxes and asset prices regarding lock-in and capitalization effects. Using data from the US on weekly returns and trading volumes from January 1995 to December 1997</w:t>
      </w:r>
      <w:r w:rsidR="006D2CD1">
        <w:t>.</w:t>
      </w:r>
      <w:r>
        <w:rPr>
          <w:rStyle w:val="FootnoteReference"/>
        </w:rPr>
        <w:footnoteReference w:id="22"/>
      </w:r>
      <w:r w:rsidR="00575BE4">
        <w:t xml:space="preserve"> They find that trading volumes of shares with embedded gains for the past five years </w:t>
      </w:r>
      <w:r w:rsidR="00DB5A78">
        <w:t>increase</w:t>
      </w:r>
      <w:r w:rsidR="00E537C2">
        <w:t xml:space="preserve"> in the weeks around </w:t>
      </w:r>
      <w:r w:rsidR="00F817A7">
        <w:t>the tax cut</w:t>
      </w:r>
      <w:r w:rsidR="00DB5A78">
        <w:t>, which indicates that these locked-in assets are being supplied due to the tax decreas</w:t>
      </w:r>
      <w:r w:rsidR="00DE4BD6">
        <w:t>e.</w:t>
      </w:r>
      <w:r w:rsidR="00F841E5">
        <w:t xml:space="preserve"> This is evidence of a lock-in effect. </w:t>
      </w:r>
    </w:p>
    <w:p w14:paraId="25BD87DC" w14:textId="77777777" w:rsidR="007C6109" w:rsidRDefault="007C6109" w:rsidP="00FC0B18">
      <w:pPr>
        <w:spacing w:line="360" w:lineRule="auto"/>
      </w:pPr>
    </w:p>
    <w:p w14:paraId="6006C581" w14:textId="16098A9B" w:rsidR="007C6109" w:rsidRPr="00A04773" w:rsidRDefault="007C6109" w:rsidP="00FC0B18">
      <w:pPr>
        <w:spacing w:line="360" w:lineRule="auto"/>
      </w:pPr>
      <w:r>
        <w:t>In the Swedish dual tax system between 1991 and 1995 the tax rate for capital income</w:t>
      </w:r>
      <w:r w:rsidR="00FE3140">
        <w:t xml:space="preserve"> (and thus capital gains)</w:t>
      </w:r>
      <w:r>
        <w:t xml:space="preserve"> gradually decreased from 30 percent to 12.5 percent before going back to 30</w:t>
      </w:r>
      <w:r w:rsidR="00FE3140">
        <w:t xml:space="preserve"> percent</w:t>
      </w:r>
      <w:r>
        <w:t xml:space="preserve"> in 1995. </w:t>
      </w:r>
      <w:r w:rsidR="00684BCE">
        <w:t>Daunfeldt, Praski-Stahlgren &amp; Rudholm</w:t>
      </w:r>
      <w:r w:rsidR="00D6388F">
        <w:t xml:space="preserve"> </w:t>
      </w:r>
      <w:r>
        <w:t>(</w:t>
      </w:r>
      <w:r w:rsidRPr="007C6109">
        <w:t>2009</w:t>
      </w:r>
      <w:r>
        <w:t xml:space="preserve">) research </w:t>
      </w:r>
      <w:r w:rsidR="00FE3140">
        <w:t xml:space="preserve">the effects of the changes in the </w:t>
      </w:r>
      <w:r w:rsidR="00C2683B">
        <w:t xml:space="preserve">tax rate over the period 1993 to 1995. They find that an increase of 10 percent in the capital gains tax induces a reduction of the number of realisations by 8.7 percent. </w:t>
      </w:r>
      <w:r w:rsidR="003F6490">
        <w:t>Besides,</w:t>
      </w:r>
      <w:r w:rsidR="00C2683B">
        <w:t xml:space="preserve"> they show that, given the decision to realise, the realised amount decreases by 1.9 percent.</w:t>
      </w:r>
      <w:r w:rsidR="003F6490">
        <w:t xml:space="preserve"> Furthermore, they find that wealthy individuals are more responsive than less-wealthy individuals to changes in the capital gains tax rate.</w:t>
      </w:r>
      <w:r w:rsidR="00684BCE">
        <w:t xml:space="preserve"> </w:t>
      </w:r>
    </w:p>
    <w:p w14:paraId="5D87D990" w14:textId="77777777" w:rsidR="00FC0B18" w:rsidRDefault="00FC0B18" w:rsidP="00FC0B18">
      <w:pPr>
        <w:spacing w:line="360" w:lineRule="auto"/>
      </w:pPr>
    </w:p>
    <w:p w14:paraId="38227A2C" w14:textId="36F265CF" w:rsidR="00746C02" w:rsidRDefault="00FC0B18" w:rsidP="00FC0B18">
      <w:pPr>
        <w:spacing w:line="360" w:lineRule="auto"/>
      </w:pPr>
      <w:r>
        <w:t>One of the most recent studies on the lock-in effect is performed by Caro &amp; Cebada (2016). In 2007 in Spain the dual income tax was first introduced. The authors research the probability and amount of lock-in that occurred as a result. The outcome was that an increase in capital gains tax rate of 1 percent reduced the probability of declaring capital gains by 7.51 percent and the amount of capital gains by 3.91 percent. The added value of this research is that it investigates data at the personal level, whereas most of the research done uses data at business or stock market level.</w:t>
      </w:r>
      <w:r w:rsidRPr="00AE339B">
        <w:t xml:space="preserve"> </w:t>
      </w: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8"/>
        <w:gridCol w:w="1559"/>
        <w:gridCol w:w="1838"/>
        <w:gridCol w:w="1871"/>
        <w:gridCol w:w="1478"/>
        <w:gridCol w:w="1902"/>
      </w:tblGrid>
      <w:tr w:rsidR="007352DA" w:rsidRPr="00AE339B" w14:paraId="166D8692" w14:textId="77777777" w:rsidTr="007352DA">
        <w:trPr>
          <w:trHeight w:val="559"/>
          <w:jc w:val="center"/>
        </w:trPr>
        <w:tc>
          <w:tcPr>
            <w:tcW w:w="2333" w:type="dxa"/>
          </w:tcPr>
          <w:p w14:paraId="78F9F5BD" w14:textId="77777777" w:rsidR="007352DA" w:rsidRPr="00AE339B" w:rsidRDefault="007352DA" w:rsidP="007352DA">
            <w:pPr>
              <w:spacing w:line="360" w:lineRule="auto"/>
            </w:pPr>
            <w:r w:rsidRPr="00AE339B">
              <w:lastRenderedPageBreak/>
              <w:t>Argument</w:t>
            </w:r>
          </w:p>
        </w:tc>
        <w:tc>
          <w:tcPr>
            <w:tcW w:w="2413" w:type="dxa"/>
          </w:tcPr>
          <w:p w14:paraId="28555E21" w14:textId="77777777" w:rsidR="007352DA" w:rsidRPr="00AE339B" w:rsidRDefault="007352DA" w:rsidP="007352DA">
            <w:pPr>
              <w:spacing w:line="360" w:lineRule="auto"/>
            </w:pPr>
            <w:r w:rsidRPr="00AE339B">
              <w:t>Empirical studies</w:t>
            </w:r>
          </w:p>
        </w:tc>
        <w:tc>
          <w:tcPr>
            <w:tcW w:w="2546" w:type="dxa"/>
          </w:tcPr>
          <w:p w14:paraId="6E08E53D" w14:textId="77777777" w:rsidR="007352DA" w:rsidRPr="00AE339B" w:rsidRDefault="007352DA" w:rsidP="007352DA">
            <w:pPr>
              <w:spacing w:line="360" w:lineRule="auto"/>
            </w:pPr>
            <w:r w:rsidRPr="00AE339B">
              <w:t>Data</w:t>
            </w:r>
            <w:r>
              <w:t>/Sample</w:t>
            </w:r>
          </w:p>
        </w:tc>
        <w:tc>
          <w:tcPr>
            <w:tcW w:w="2416" w:type="dxa"/>
          </w:tcPr>
          <w:p w14:paraId="664F396A" w14:textId="77777777" w:rsidR="007352DA" w:rsidRPr="00AE339B" w:rsidRDefault="007352DA" w:rsidP="007352DA">
            <w:pPr>
              <w:spacing w:line="360" w:lineRule="auto"/>
            </w:pPr>
            <w:r>
              <w:t>Variables Used</w:t>
            </w:r>
          </w:p>
        </w:tc>
        <w:tc>
          <w:tcPr>
            <w:tcW w:w="2259" w:type="dxa"/>
          </w:tcPr>
          <w:p w14:paraId="085A72D9" w14:textId="77777777" w:rsidR="007352DA" w:rsidRPr="00AE339B" w:rsidRDefault="007352DA" w:rsidP="007352DA">
            <w:pPr>
              <w:spacing w:line="360" w:lineRule="auto"/>
            </w:pPr>
            <w:r>
              <w:t>Model</w:t>
            </w:r>
          </w:p>
        </w:tc>
        <w:tc>
          <w:tcPr>
            <w:tcW w:w="2987" w:type="dxa"/>
          </w:tcPr>
          <w:p w14:paraId="10F4B26C" w14:textId="77777777" w:rsidR="007352DA" w:rsidRPr="00AE339B" w:rsidRDefault="007352DA" w:rsidP="007352DA">
            <w:pPr>
              <w:spacing w:line="360" w:lineRule="auto"/>
            </w:pPr>
            <w:r>
              <w:t>Results</w:t>
            </w:r>
          </w:p>
        </w:tc>
      </w:tr>
      <w:tr w:rsidR="007352DA" w:rsidRPr="00E6264D" w14:paraId="3FFFC4C0" w14:textId="77777777" w:rsidTr="007352DA">
        <w:trPr>
          <w:trHeight w:val="1216"/>
          <w:jc w:val="center"/>
        </w:trPr>
        <w:tc>
          <w:tcPr>
            <w:tcW w:w="2333" w:type="dxa"/>
            <w:vMerge w:val="restart"/>
          </w:tcPr>
          <w:p w14:paraId="02D03E66" w14:textId="77777777" w:rsidR="007352DA" w:rsidRPr="00F003DA" w:rsidRDefault="007352DA" w:rsidP="007352DA">
            <w:pPr>
              <w:spacing w:line="276" w:lineRule="auto"/>
              <w:rPr>
                <w:i/>
                <w:sz w:val="20"/>
                <w:szCs w:val="20"/>
              </w:rPr>
            </w:pPr>
            <w:r w:rsidRPr="00F003DA">
              <w:rPr>
                <w:i/>
                <w:sz w:val="20"/>
                <w:szCs w:val="20"/>
              </w:rPr>
              <w:t>The lock-in effect</w:t>
            </w:r>
          </w:p>
        </w:tc>
        <w:tc>
          <w:tcPr>
            <w:tcW w:w="2413" w:type="dxa"/>
          </w:tcPr>
          <w:p w14:paraId="09F67ABE" w14:textId="77777777" w:rsidR="007352DA" w:rsidRPr="006864FA" w:rsidRDefault="007352DA" w:rsidP="007352DA">
            <w:pPr>
              <w:spacing w:line="276" w:lineRule="auto"/>
              <w:rPr>
                <w:sz w:val="20"/>
                <w:szCs w:val="20"/>
              </w:rPr>
            </w:pPr>
            <w:r w:rsidRPr="006864FA">
              <w:rPr>
                <w:sz w:val="20"/>
                <w:szCs w:val="20"/>
              </w:rPr>
              <w:t>Eilbott &amp; Hersh (1976)</w:t>
            </w:r>
          </w:p>
        </w:tc>
        <w:tc>
          <w:tcPr>
            <w:tcW w:w="2546" w:type="dxa"/>
          </w:tcPr>
          <w:p w14:paraId="4FCF7A88" w14:textId="77777777" w:rsidR="007352DA" w:rsidRPr="006864FA" w:rsidRDefault="007352DA" w:rsidP="007352DA">
            <w:pPr>
              <w:spacing w:line="276" w:lineRule="auto"/>
              <w:rPr>
                <w:sz w:val="20"/>
                <w:szCs w:val="20"/>
              </w:rPr>
            </w:pPr>
            <w:r w:rsidRPr="006864FA">
              <w:rPr>
                <w:sz w:val="20"/>
                <w:szCs w:val="20"/>
              </w:rPr>
              <w:t>NYSE quarterly data, 1951-1971</w:t>
            </w:r>
          </w:p>
        </w:tc>
        <w:tc>
          <w:tcPr>
            <w:tcW w:w="2416" w:type="dxa"/>
          </w:tcPr>
          <w:p w14:paraId="659C8405" w14:textId="77777777" w:rsidR="007352DA" w:rsidRPr="006864FA" w:rsidRDefault="007352DA" w:rsidP="007352DA">
            <w:pPr>
              <w:spacing w:line="276" w:lineRule="auto"/>
              <w:rPr>
                <w:sz w:val="20"/>
                <w:szCs w:val="20"/>
              </w:rPr>
            </w:pPr>
            <w:r w:rsidRPr="006864FA">
              <w:rPr>
                <w:sz w:val="20"/>
                <w:szCs w:val="20"/>
              </w:rPr>
              <w:t>Capital gains tax rate –</w:t>
            </w:r>
          </w:p>
          <w:p w14:paraId="40818F74" w14:textId="77777777" w:rsidR="007352DA" w:rsidRPr="006864FA" w:rsidRDefault="007352DA" w:rsidP="007352DA">
            <w:pPr>
              <w:spacing w:line="276" w:lineRule="auto"/>
              <w:rPr>
                <w:sz w:val="20"/>
                <w:szCs w:val="20"/>
              </w:rPr>
            </w:pPr>
            <w:r w:rsidRPr="006864FA">
              <w:rPr>
                <w:sz w:val="20"/>
                <w:szCs w:val="20"/>
              </w:rPr>
              <w:t>Quarterly volume of sales by institutions and individuals</w:t>
            </w:r>
          </w:p>
        </w:tc>
        <w:tc>
          <w:tcPr>
            <w:tcW w:w="2259" w:type="dxa"/>
          </w:tcPr>
          <w:p w14:paraId="45693499" w14:textId="77777777" w:rsidR="007352DA" w:rsidRPr="006864FA" w:rsidRDefault="007352DA" w:rsidP="007352DA">
            <w:pPr>
              <w:spacing w:line="276" w:lineRule="auto"/>
              <w:rPr>
                <w:sz w:val="20"/>
                <w:szCs w:val="20"/>
              </w:rPr>
            </w:pPr>
            <w:r w:rsidRPr="006864FA">
              <w:rPr>
                <w:sz w:val="20"/>
                <w:szCs w:val="20"/>
              </w:rPr>
              <w:t>Regression analysis</w:t>
            </w:r>
          </w:p>
        </w:tc>
        <w:tc>
          <w:tcPr>
            <w:tcW w:w="2987" w:type="dxa"/>
          </w:tcPr>
          <w:p w14:paraId="7013BB27" w14:textId="77777777" w:rsidR="007352DA" w:rsidRPr="006864FA" w:rsidRDefault="007352DA" w:rsidP="007352DA">
            <w:pPr>
              <w:spacing w:line="276" w:lineRule="auto"/>
              <w:rPr>
                <w:sz w:val="20"/>
                <w:szCs w:val="20"/>
              </w:rPr>
            </w:pPr>
            <w:r w:rsidRPr="006864FA">
              <w:rPr>
                <w:sz w:val="20"/>
                <w:szCs w:val="20"/>
              </w:rPr>
              <w:t>At 1971 levels: 10% relative change in the capital gains tax rate would cause an 8% change in the volume of sales, Rsqrd=0.9705</w:t>
            </w:r>
          </w:p>
        </w:tc>
      </w:tr>
      <w:tr w:rsidR="007352DA" w:rsidRPr="002E4E1B" w14:paraId="2F198518" w14:textId="77777777" w:rsidTr="007352DA">
        <w:trPr>
          <w:trHeight w:val="1424"/>
          <w:jc w:val="center"/>
        </w:trPr>
        <w:tc>
          <w:tcPr>
            <w:tcW w:w="2333" w:type="dxa"/>
            <w:vMerge/>
          </w:tcPr>
          <w:p w14:paraId="522BBDB6" w14:textId="77777777" w:rsidR="007352DA" w:rsidRDefault="007352DA" w:rsidP="007352DA">
            <w:pPr>
              <w:spacing w:line="276" w:lineRule="auto"/>
              <w:rPr>
                <w:sz w:val="20"/>
                <w:szCs w:val="20"/>
              </w:rPr>
            </w:pPr>
          </w:p>
        </w:tc>
        <w:tc>
          <w:tcPr>
            <w:tcW w:w="2413" w:type="dxa"/>
          </w:tcPr>
          <w:p w14:paraId="7319BF4A" w14:textId="77777777" w:rsidR="007352DA" w:rsidRPr="006864FA" w:rsidRDefault="007352DA" w:rsidP="007352DA">
            <w:pPr>
              <w:spacing w:line="276" w:lineRule="auto"/>
              <w:rPr>
                <w:sz w:val="20"/>
                <w:szCs w:val="20"/>
              </w:rPr>
            </w:pPr>
            <w:r w:rsidRPr="006864FA">
              <w:rPr>
                <w:sz w:val="20"/>
                <w:szCs w:val="20"/>
              </w:rPr>
              <w:t>Slemrod &amp; Feldstein (1978)</w:t>
            </w:r>
          </w:p>
        </w:tc>
        <w:tc>
          <w:tcPr>
            <w:tcW w:w="2546" w:type="dxa"/>
          </w:tcPr>
          <w:p w14:paraId="3DCC615C" w14:textId="77777777" w:rsidR="007352DA" w:rsidRPr="006864FA" w:rsidRDefault="007352DA" w:rsidP="007352DA">
            <w:pPr>
              <w:spacing w:line="276" w:lineRule="auto"/>
              <w:rPr>
                <w:sz w:val="20"/>
                <w:szCs w:val="20"/>
              </w:rPr>
            </w:pPr>
            <w:r w:rsidRPr="006864FA">
              <w:rPr>
                <w:sz w:val="20"/>
                <w:szCs w:val="20"/>
              </w:rPr>
              <w:t>Individual Tax Returns, 1967 to 1976 (’75&amp;’76 is preliminary data, before ‘72 is from historical summary ’72 volume)</w:t>
            </w:r>
          </w:p>
        </w:tc>
        <w:tc>
          <w:tcPr>
            <w:tcW w:w="2416" w:type="dxa"/>
          </w:tcPr>
          <w:p w14:paraId="64BFDA6A" w14:textId="77777777" w:rsidR="007352DA" w:rsidRPr="006864FA" w:rsidRDefault="007352DA" w:rsidP="007352DA">
            <w:pPr>
              <w:spacing w:line="276" w:lineRule="auto"/>
              <w:rPr>
                <w:sz w:val="20"/>
                <w:szCs w:val="20"/>
              </w:rPr>
            </w:pPr>
            <w:r w:rsidRPr="006864FA">
              <w:rPr>
                <w:sz w:val="20"/>
                <w:szCs w:val="20"/>
              </w:rPr>
              <w:t>Capital gains tax rate (changed in ’69 Tax Reform Act) – Net gain from sales of capital assets</w:t>
            </w:r>
          </w:p>
        </w:tc>
        <w:tc>
          <w:tcPr>
            <w:tcW w:w="2259" w:type="dxa"/>
          </w:tcPr>
          <w:p w14:paraId="2F2B061A" w14:textId="77777777" w:rsidR="007352DA" w:rsidRPr="006864FA" w:rsidRDefault="007352DA" w:rsidP="007352DA">
            <w:pPr>
              <w:spacing w:line="276" w:lineRule="auto"/>
              <w:rPr>
                <w:sz w:val="20"/>
                <w:szCs w:val="20"/>
              </w:rPr>
            </w:pPr>
            <w:r w:rsidRPr="006864FA">
              <w:rPr>
                <w:sz w:val="20"/>
                <w:szCs w:val="20"/>
              </w:rPr>
              <w:t xml:space="preserve">Time-series  </w:t>
            </w:r>
          </w:p>
        </w:tc>
        <w:tc>
          <w:tcPr>
            <w:tcW w:w="2987" w:type="dxa"/>
          </w:tcPr>
          <w:p w14:paraId="2095D503" w14:textId="77777777" w:rsidR="007352DA" w:rsidRPr="006864FA" w:rsidRDefault="007352DA" w:rsidP="007352DA">
            <w:pPr>
              <w:spacing w:line="276" w:lineRule="auto"/>
              <w:rPr>
                <w:sz w:val="20"/>
                <w:szCs w:val="20"/>
              </w:rPr>
            </w:pPr>
            <w:r w:rsidRPr="006864FA">
              <w:rPr>
                <w:sz w:val="20"/>
                <w:szCs w:val="20"/>
              </w:rPr>
              <w:t xml:space="preserve">-34.9% change (2y before–6y after TRA ‘69) in net gains from sales of assets for individuals with an adjusted gross income of more than $500.000 </w:t>
            </w:r>
          </w:p>
        </w:tc>
      </w:tr>
      <w:tr w:rsidR="007352DA" w:rsidRPr="001430C5" w14:paraId="6B8D5044" w14:textId="77777777" w:rsidTr="007352DA">
        <w:trPr>
          <w:trHeight w:val="1440"/>
          <w:jc w:val="center"/>
        </w:trPr>
        <w:tc>
          <w:tcPr>
            <w:tcW w:w="2333" w:type="dxa"/>
            <w:vMerge/>
          </w:tcPr>
          <w:p w14:paraId="0113BB9F" w14:textId="77777777" w:rsidR="007352DA" w:rsidRDefault="007352DA" w:rsidP="007352DA">
            <w:pPr>
              <w:spacing w:line="276" w:lineRule="auto"/>
              <w:rPr>
                <w:sz w:val="20"/>
                <w:szCs w:val="20"/>
              </w:rPr>
            </w:pPr>
          </w:p>
        </w:tc>
        <w:tc>
          <w:tcPr>
            <w:tcW w:w="2413" w:type="dxa"/>
          </w:tcPr>
          <w:p w14:paraId="6D116454" w14:textId="77777777" w:rsidR="007352DA" w:rsidRPr="006864FA" w:rsidRDefault="007352DA" w:rsidP="007352DA">
            <w:pPr>
              <w:spacing w:line="276" w:lineRule="auto"/>
              <w:rPr>
                <w:sz w:val="20"/>
                <w:szCs w:val="20"/>
              </w:rPr>
            </w:pPr>
            <w:r w:rsidRPr="006864FA">
              <w:rPr>
                <w:sz w:val="20"/>
                <w:szCs w:val="20"/>
              </w:rPr>
              <w:t xml:space="preserve">Dai </w:t>
            </w:r>
            <w:r w:rsidRPr="006864FA">
              <w:rPr>
                <w:i/>
                <w:sz w:val="20"/>
                <w:szCs w:val="20"/>
              </w:rPr>
              <w:t>et al.</w:t>
            </w:r>
            <w:r w:rsidRPr="006864FA">
              <w:rPr>
                <w:sz w:val="20"/>
                <w:szCs w:val="20"/>
              </w:rPr>
              <w:t xml:space="preserve"> (2006)</w:t>
            </w:r>
          </w:p>
        </w:tc>
        <w:tc>
          <w:tcPr>
            <w:tcW w:w="2546" w:type="dxa"/>
          </w:tcPr>
          <w:p w14:paraId="4F42D2BE" w14:textId="77777777" w:rsidR="007352DA" w:rsidRPr="006864FA" w:rsidRDefault="007352DA" w:rsidP="007352DA">
            <w:pPr>
              <w:spacing w:line="276" w:lineRule="auto"/>
              <w:rPr>
                <w:sz w:val="20"/>
                <w:szCs w:val="20"/>
              </w:rPr>
            </w:pPr>
            <w:r w:rsidRPr="006864FA">
              <w:rPr>
                <w:sz w:val="20"/>
                <w:szCs w:val="20"/>
              </w:rPr>
              <w:t>CRSP dataset January 1995 through December 1997</w:t>
            </w:r>
          </w:p>
        </w:tc>
        <w:tc>
          <w:tcPr>
            <w:tcW w:w="2416" w:type="dxa"/>
          </w:tcPr>
          <w:p w14:paraId="519B9B83" w14:textId="77777777" w:rsidR="007352DA" w:rsidRPr="006864FA" w:rsidRDefault="007352DA" w:rsidP="007352DA">
            <w:pPr>
              <w:spacing w:line="276" w:lineRule="auto"/>
              <w:rPr>
                <w:sz w:val="20"/>
                <w:szCs w:val="20"/>
              </w:rPr>
            </w:pPr>
            <w:r w:rsidRPr="006864FA">
              <w:rPr>
                <w:sz w:val="20"/>
                <w:szCs w:val="20"/>
              </w:rPr>
              <w:t xml:space="preserve">Capital gains tax rate - weekly returns/volumes of stock traded – stock returns </w:t>
            </w:r>
          </w:p>
        </w:tc>
        <w:tc>
          <w:tcPr>
            <w:tcW w:w="2259" w:type="dxa"/>
          </w:tcPr>
          <w:p w14:paraId="59A9DE49" w14:textId="77777777" w:rsidR="007352DA" w:rsidRPr="006864FA" w:rsidRDefault="007352DA" w:rsidP="007352DA">
            <w:pPr>
              <w:spacing w:line="276" w:lineRule="auto"/>
              <w:rPr>
                <w:sz w:val="20"/>
                <w:szCs w:val="20"/>
              </w:rPr>
            </w:pPr>
            <w:r w:rsidRPr="006864FA">
              <w:rPr>
                <w:sz w:val="20"/>
                <w:szCs w:val="20"/>
              </w:rPr>
              <w:t>Regression analysis</w:t>
            </w:r>
          </w:p>
        </w:tc>
        <w:tc>
          <w:tcPr>
            <w:tcW w:w="2987" w:type="dxa"/>
          </w:tcPr>
          <w:p w14:paraId="64C16D5C" w14:textId="77777777" w:rsidR="007352DA" w:rsidRPr="006864FA" w:rsidRDefault="007352DA" w:rsidP="007352DA">
            <w:pPr>
              <w:spacing w:line="276" w:lineRule="auto"/>
              <w:rPr>
                <w:sz w:val="20"/>
                <w:szCs w:val="20"/>
              </w:rPr>
            </w:pPr>
            <w:r w:rsidRPr="006864FA">
              <w:rPr>
                <w:sz w:val="20"/>
                <w:szCs w:val="20"/>
              </w:rPr>
              <w:t>Trading volumes of shares with embedded gains for the past five years increase in the weeks around the tax cut. Increased supply of for these stocks</w:t>
            </w:r>
          </w:p>
        </w:tc>
      </w:tr>
      <w:tr w:rsidR="007352DA" w14:paraId="30F99EBD" w14:textId="77777777" w:rsidTr="007352DA">
        <w:trPr>
          <w:trHeight w:val="1201"/>
          <w:jc w:val="center"/>
        </w:trPr>
        <w:tc>
          <w:tcPr>
            <w:tcW w:w="2333" w:type="dxa"/>
            <w:vMerge/>
          </w:tcPr>
          <w:p w14:paraId="274D257C" w14:textId="77777777" w:rsidR="007352DA" w:rsidRDefault="007352DA" w:rsidP="007352DA"/>
        </w:tc>
        <w:tc>
          <w:tcPr>
            <w:tcW w:w="2413" w:type="dxa"/>
          </w:tcPr>
          <w:p w14:paraId="55A3C55C" w14:textId="77777777" w:rsidR="007352DA" w:rsidRPr="006864FA" w:rsidRDefault="007352DA" w:rsidP="007352DA">
            <w:pPr>
              <w:rPr>
                <w:sz w:val="20"/>
                <w:szCs w:val="20"/>
              </w:rPr>
            </w:pPr>
            <w:r w:rsidRPr="006864FA">
              <w:rPr>
                <w:sz w:val="20"/>
                <w:szCs w:val="20"/>
              </w:rPr>
              <w:t>Daunfeldt, Praski-Stahlgren &amp; Rudholm (2009)</w:t>
            </w:r>
          </w:p>
        </w:tc>
        <w:tc>
          <w:tcPr>
            <w:tcW w:w="2546" w:type="dxa"/>
          </w:tcPr>
          <w:p w14:paraId="06D746EC" w14:textId="77777777" w:rsidR="007352DA" w:rsidRPr="00885CF2" w:rsidRDefault="007352DA" w:rsidP="007352DA">
            <w:pPr>
              <w:rPr>
                <w:rFonts w:ascii="Times" w:eastAsia="Times New Roman" w:hAnsi="Times" w:cs="Times New Roman"/>
                <w:sz w:val="20"/>
                <w:szCs w:val="20"/>
                <w:lang w:val="en-US"/>
              </w:rPr>
            </w:pPr>
            <w:r>
              <w:rPr>
                <w:sz w:val="20"/>
                <w:szCs w:val="20"/>
              </w:rPr>
              <w:t xml:space="preserve">Panel data, Statistics Sweden, </w:t>
            </w:r>
            <w:r w:rsidRPr="00885CF2">
              <w:rPr>
                <w:rFonts w:ascii="Times" w:eastAsia="Times New Roman" w:hAnsi="Times" w:cs="Times New Roman"/>
                <w:sz w:val="20"/>
                <w:szCs w:val="20"/>
                <w:lang w:val="en-US"/>
              </w:rPr>
              <w:t>Longitudinal INdividual DAta for Sweden (LINDA)</w:t>
            </w:r>
            <w:r>
              <w:rPr>
                <w:rFonts w:ascii="Times" w:eastAsia="Times New Roman" w:hAnsi="Times" w:cs="Times New Roman"/>
                <w:sz w:val="20"/>
                <w:szCs w:val="20"/>
                <w:lang w:val="en-US"/>
              </w:rPr>
              <w:t>, 1993-1995</w:t>
            </w:r>
          </w:p>
          <w:p w14:paraId="0BC87FD0" w14:textId="77777777" w:rsidR="007352DA" w:rsidRPr="006864FA" w:rsidRDefault="007352DA" w:rsidP="007352DA">
            <w:pPr>
              <w:rPr>
                <w:sz w:val="20"/>
                <w:szCs w:val="20"/>
              </w:rPr>
            </w:pPr>
          </w:p>
        </w:tc>
        <w:tc>
          <w:tcPr>
            <w:tcW w:w="2416" w:type="dxa"/>
          </w:tcPr>
          <w:p w14:paraId="25DC0B42" w14:textId="77777777" w:rsidR="007352DA" w:rsidRPr="006864FA" w:rsidRDefault="007352DA" w:rsidP="007352DA">
            <w:pPr>
              <w:rPr>
                <w:sz w:val="20"/>
                <w:szCs w:val="20"/>
              </w:rPr>
            </w:pPr>
            <w:r>
              <w:rPr>
                <w:sz w:val="20"/>
                <w:szCs w:val="20"/>
              </w:rPr>
              <w:t>Capital gains tax rate – amount of capital gains realisations – volume of realised capital gains – income – wealth – and more</w:t>
            </w:r>
          </w:p>
        </w:tc>
        <w:tc>
          <w:tcPr>
            <w:tcW w:w="2259" w:type="dxa"/>
          </w:tcPr>
          <w:p w14:paraId="05A89B67" w14:textId="77777777" w:rsidR="007352DA" w:rsidRPr="006864FA" w:rsidRDefault="007352DA" w:rsidP="007352DA">
            <w:pPr>
              <w:rPr>
                <w:sz w:val="20"/>
                <w:szCs w:val="20"/>
              </w:rPr>
            </w:pPr>
            <w:r>
              <w:rPr>
                <w:sz w:val="20"/>
                <w:szCs w:val="20"/>
              </w:rPr>
              <w:t>Heckman two-step selection model</w:t>
            </w:r>
          </w:p>
        </w:tc>
        <w:tc>
          <w:tcPr>
            <w:tcW w:w="2987" w:type="dxa"/>
          </w:tcPr>
          <w:p w14:paraId="305E6947" w14:textId="77777777" w:rsidR="007352DA" w:rsidRPr="006864FA" w:rsidRDefault="007352DA" w:rsidP="007352DA">
            <w:pPr>
              <w:rPr>
                <w:sz w:val="20"/>
                <w:szCs w:val="20"/>
              </w:rPr>
            </w:pPr>
            <w:r>
              <w:rPr>
                <w:sz w:val="20"/>
                <w:szCs w:val="20"/>
              </w:rPr>
              <w:t xml:space="preserve">A 10 </w:t>
            </w:r>
            <w:r w:rsidRPr="00054CDE">
              <w:rPr>
                <w:sz w:val="20"/>
                <w:szCs w:val="20"/>
              </w:rPr>
              <w:t>percent increase in capital gains tax caused a reduction of the number of realisations by 8.7 percent</w:t>
            </w:r>
            <w:r>
              <w:rPr>
                <w:sz w:val="20"/>
                <w:szCs w:val="20"/>
              </w:rPr>
              <w:t>. Besides,</w:t>
            </w:r>
            <w:r>
              <w:t xml:space="preserve"> </w:t>
            </w:r>
            <w:r w:rsidRPr="00054CDE">
              <w:rPr>
                <w:sz w:val="20"/>
                <w:szCs w:val="20"/>
              </w:rPr>
              <w:t>given the decision to realise, the realised amount decreases by 1.9 percent</w:t>
            </w:r>
          </w:p>
        </w:tc>
      </w:tr>
      <w:tr w:rsidR="007352DA" w14:paraId="5A221177" w14:textId="77777777" w:rsidTr="007352DA">
        <w:trPr>
          <w:trHeight w:val="1616"/>
          <w:jc w:val="center"/>
        </w:trPr>
        <w:tc>
          <w:tcPr>
            <w:tcW w:w="2333" w:type="dxa"/>
            <w:vMerge/>
          </w:tcPr>
          <w:p w14:paraId="734B793F" w14:textId="77777777" w:rsidR="007352DA" w:rsidRDefault="007352DA" w:rsidP="007352DA"/>
        </w:tc>
        <w:tc>
          <w:tcPr>
            <w:tcW w:w="2413" w:type="dxa"/>
          </w:tcPr>
          <w:p w14:paraId="317755C2" w14:textId="77777777" w:rsidR="007352DA" w:rsidRPr="006864FA" w:rsidRDefault="007352DA" w:rsidP="007352DA">
            <w:pPr>
              <w:rPr>
                <w:sz w:val="20"/>
                <w:szCs w:val="20"/>
              </w:rPr>
            </w:pPr>
            <w:r w:rsidRPr="006864FA">
              <w:rPr>
                <w:sz w:val="20"/>
                <w:szCs w:val="20"/>
              </w:rPr>
              <w:t>Caro &amp; Cebada (2016)</w:t>
            </w:r>
          </w:p>
        </w:tc>
        <w:tc>
          <w:tcPr>
            <w:tcW w:w="2546" w:type="dxa"/>
          </w:tcPr>
          <w:p w14:paraId="4A21AE4C" w14:textId="77777777" w:rsidR="007352DA" w:rsidRPr="006864FA" w:rsidRDefault="007352DA" w:rsidP="007352DA">
            <w:pPr>
              <w:rPr>
                <w:sz w:val="20"/>
                <w:szCs w:val="20"/>
              </w:rPr>
            </w:pPr>
            <w:r w:rsidRPr="006864FA">
              <w:rPr>
                <w:sz w:val="20"/>
                <w:szCs w:val="20"/>
              </w:rPr>
              <w:t>Spanish PIT 2006-2007, annual data</w:t>
            </w:r>
          </w:p>
        </w:tc>
        <w:tc>
          <w:tcPr>
            <w:tcW w:w="2416" w:type="dxa"/>
          </w:tcPr>
          <w:p w14:paraId="092863A4" w14:textId="77777777" w:rsidR="007352DA" w:rsidRPr="006864FA" w:rsidRDefault="007352DA" w:rsidP="007352DA">
            <w:pPr>
              <w:rPr>
                <w:sz w:val="20"/>
                <w:szCs w:val="20"/>
              </w:rPr>
            </w:pPr>
            <w:r w:rsidRPr="006864FA">
              <w:rPr>
                <w:sz w:val="20"/>
                <w:szCs w:val="20"/>
              </w:rPr>
              <w:t>Capital gains tax rate – probability of realisation – realised gain</w:t>
            </w:r>
          </w:p>
        </w:tc>
        <w:tc>
          <w:tcPr>
            <w:tcW w:w="2259" w:type="dxa"/>
          </w:tcPr>
          <w:p w14:paraId="6D834FBC" w14:textId="77777777" w:rsidR="007352DA" w:rsidRPr="006864FA" w:rsidRDefault="007352DA" w:rsidP="007352DA">
            <w:pPr>
              <w:rPr>
                <w:sz w:val="20"/>
                <w:szCs w:val="20"/>
              </w:rPr>
            </w:pPr>
            <w:r w:rsidRPr="006864FA">
              <w:rPr>
                <w:sz w:val="20"/>
                <w:szCs w:val="20"/>
              </w:rPr>
              <w:t>Heckman two-stage model: Probit model, OLS</w:t>
            </w:r>
          </w:p>
        </w:tc>
        <w:tc>
          <w:tcPr>
            <w:tcW w:w="2987" w:type="dxa"/>
          </w:tcPr>
          <w:p w14:paraId="6196D23C" w14:textId="77777777" w:rsidR="007352DA" w:rsidRPr="006864FA" w:rsidRDefault="007352DA" w:rsidP="007352DA">
            <w:pPr>
              <w:spacing w:line="276" w:lineRule="auto"/>
              <w:rPr>
                <w:sz w:val="20"/>
                <w:szCs w:val="20"/>
              </w:rPr>
            </w:pPr>
            <w:r w:rsidRPr="006864FA">
              <w:rPr>
                <w:sz w:val="20"/>
                <w:szCs w:val="20"/>
              </w:rPr>
              <w:t>Elasticities from probit: -7.51% (2006) and -8.19% (2007)</w:t>
            </w:r>
          </w:p>
          <w:p w14:paraId="720C3A36" w14:textId="77777777" w:rsidR="007352DA" w:rsidRPr="006864FA" w:rsidRDefault="007352DA" w:rsidP="007352DA">
            <w:pPr>
              <w:spacing w:line="276" w:lineRule="auto"/>
              <w:rPr>
                <w:sz w:val="20"/>
                <w:szCs w:val="20"/>
              </w:rPr>
            </w:pPr>
            <w:r w:rsidRPr="006864FA">
              <w:rPr>
                <w:sz w:val="20"/>
                <w:szCs w:val="20"/>
              </w:rPr>
              <w:t>Elasticities from OLS: -3.91% (2006) and -5.79% (2007)</w:t>
            </w:r>
          </w:p>
        </w:tc>
      </w:tr>
    </w:tbl>
    <w:p w14:paraId="34D577E8" w14:textId="77777777" w:rsidR="007352DA" w:rsidRPr="007352DA" w:rsidRDefault="007352DA" w:rsidP="00646830">
      <w:pPr>
        <w:tabs>
          <w:tab w:val="center" w:pos="4532"/>
        </w:tabs>
        <w:spacing w:line="360" w:lineRule="auto"/>
      </w:pPr>
    </w:p>
    <w:p w14:paraId="1DB5BECE" w14:textId="77777777" w:rsidR="00FC0B18" w:rsidRPr="00760B35" w:rsidRDefault="00FC0B18" w:rsidP="00E145D3">
      <w:pPr>
        <w:pStyle w:val="Heading2"/>
      </w:pPr>
      <w:bookmarkStart w:id="50" w:name="_Toc331344957"/>
      <w:bookmarkStart w:id="51" w:name="_Toc331345810"/>
      <w:r>
        <w:t>Sub-optimal portfolio diversification</w:t>
      </w:r>
      <w:bookmarkEnd w:id="50"/>
      <w:bookmarkEnd w:id="51"/>
      <w:r w:rsidR="00646830">
        <w:tab/>
      </w:r>
    </w:p>
    <w:p w14:paraId="6065AFFD" w14:textId="05E77743" w:rsidR="00DE3B03" w:rsidRPr="004A446A" w:rsidRDefault="00DE3B03" w:rsidP="00DE3B03">
      <w:pPr>
        <w:spacing w:line="360" w:lineRule="auto"/>
      </w:pPr>
      <w:r w:rsidRPr="004A446A">
        <w:t xml:space="preserve">The lock-in effect may suppress reallocation of suboptimal investments to more profitable alternatives. Due to the deferring of tax liability on assets with unrealized gains, individuals hold on to these assets longer than they would in the absence of the </w:t>
      </w:r>
      <w:r w:rsidRPr="004A446A">
        <w:lastRenderedPageBreak/>
        <w:t>capital gains tax. This lock-in effect may result in sub-optimal diversification of portfolios, if the reducing of risk by diversifying does not fully outweigh the extra tax cost triggered by the sale of the asset wi</w:t>
      </w:r>
      <w:r w:rsidR="004A446A" w:rsidRPr="004A446A">
        <w:t xml:space="preserve">th accumulated capital gains. </w:t>
      </w:r>
      <w:r w:rsidRPr="004A446A">
        <w:t>Society benefits from optimal portfolio diversification, hence such distortions may impose a social cost</w:t>
      </w:r>
      <w:r w:rsidR="004A446A" w:rsidRPr="004A446A">
        <w:t>.</w:t>
      </w:r>
      <w:r w:rsidR="00386FE0">
        <w:t xml:space="preserve"> The studies on the previous page prove that the lock-in effect is empirically important. The articles related to in this argument specifically state the influence lock-in has on portfolio diversification.</w:t>
      </w:r>
    </w:p>
    <w:p w14:paraId="381D5DDE" w14:textId="77777777" w:rsidR="00DE3B03" w:rsidRDefault="00DE3B03" w:rsidP="00FC0B18">
      <w:pPr>
        <w:spacing w:line="360" w:lineRule="auto"/>
        <w:rPr>
          <w:noProof/>
          <w:lang w:val="nl-NL"/>
        </w:rPr>
      </w:pPr>
    </w:p>
    <w:p w14:paraId="28F3ACBF" w14:textId="6B9771E9" w:rsidR="00323FBE" w:rsidRDefault="00FC0B18" w:rsidP="00FC0B18">
      <w:pPr>
        <w:spacing w:line="360" w:lineRule="auto"/>
        <w:rPr>
          <w:noProof/>
          <w:lang w:val="nl-NL"/>
        </w:rPr>
      </w:pPr>
      <w:r>
        <w:rPr>
          <w:noProof/>
          <w:lang w:val="nl-NL"/>
        </w:rPr>
        <w:t>Feldstein &amp; Yitzhaki (</w:t>
      </w:r>
      <w:r w:rsidRPr="00AE339B">
        <w:rPr>
          <w:noProof/>
          <w:lang w:val="nl-NL"/>
        </w:rPr>
        <w:t>1978)</w:t>
      </w:r>
      <w:r w:rsidR="00410924">
        <w:rPr>
          <w:noProof/>
          <w:lang w:val="nl-NL"/>
        </w:rPr>
        <w:t xml:space="preserve"> make an </w:t>
      </w:r>
      <w:r>
        <w:rPr>
          <w:noProof/>
          <w:lang w:val="nl-NL"/>
        </w:rPr>
        <w:t>elaborate assessment on capital gains tax and the selling of common stock in the US. One of the focuses in this study is the ‘switching’ of stock, which concerns around two-thirds of all common stock sales. Many investors sell stocks in order to immediately buy others in order to rediversify their portfolios: theory on optimal portfolio selection suggests investors should continuously do so, selling some of the appreciated stocks and buying some more of the depreciated ones. This results a large amount of transactions that can be subject to the lock in effect. A capital gains tax decreases the return at the margin of the sale of a stock. This may lead to investors backing out of switching their stock, because the value of rediversification does not weigh up against the higher cost. As expected, the econometric estimates of Feldstein &amp; Yitzhaki find a substantial negative effect of the capital gains tax on the sales of common stock. Feldstein Slemrod &amp; Yitzhaki (1980) confirm these results in another econometric study on taxation and the realization of capital gains, using cross-sectional data. Thanks to the special data from the Office of Tax Analysis of the U.S. Treasury, they were able to draw samples proper for making accurate estimates, even for the high-income groups that contain relatively few people. They find significant negative coefficients for tax on the volumes of long-term sales and long-term gains as a proportion of dividends. The tax coefficients are also negative for the probabilities of selling.</w:t>
      </w:r>
    </w:p>
    <w:p w14:paraId="734AB53C" w14:textId="77777777" w:rsidR="00FC0B18" w:rsidRDefault="00FC0B18" w:rsidP="00FC0B18">
      <w:pPr>
        <w:spacing w:line="360" w:lineRule="auto"/>
      </w:pPr>
    </w:p>
    <w:p w14:paraId="1417B09E" w14:textId="77777777" w:rsidR="00FC0B18" w:rsidRDefault="00FC0B18" w:rsidP="00FC0B18">
      <w:pPr>
        <w:spacing w:line="360" w:lineRule="auto"/>
      </w:pPr>
      <w:r>
        <w:t xml:space="preserve">Chyz &amp; Li (2012) point out the lock-in effect by segregating between more and less tax sensitive institutional investors. Based on the Taxpayer Relief act of 1997, they show that investors who are tax sensitive are more willing to sell appreciated equity in response to a decreased tax. As stated in the paragraph above, the optimal portfolio theory suggests that investors should continuously rediversify their portfolios by for example selling appreciated stocks. Chyz &amp; Li show that a lower capital gains tax rate </w:t>
      </w:r>
      <w:r>
        <w:lastRenderedPageBreak/>
        <w:t xml:space="preserve">results in a lower value invested in appreciated equity: It eliminates some of the cost of diversifying. A lower capital gains tax rate thus stimulates better portfolio balancing.  </w:t>
      </w:r>
    </w:p>
    <w:p w14:paraId="6BDF4D93" w14:textId="77777777" w:rsidR="00FC0B18" w:rsidRDefault="00FC0B18" w:rsidP="00FC0B18">
      <w:pPr>
        <w:spacing w:line="360" w:lineRule="auto"/>
      </w:pP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1550"/>
        <w:gridCol w:w="1833"/>
        <w:gridCol w:w="1588"/>
        <w:gridCol w:w="1516"/>
        <w:gridCol w:w="2058"/>
      </w:tblGrid>
      <w:tr w:rsidR="00323FBE" w:rsidRPr="00AE339B" w14:paraId="15AB9A60" w14:textId="77777777" w:rsidTr="002B7687">
        <w:trPr>
          <w:trHeight w:val="559"/>
          <w:jc w:val="center"/>
        </w:trPr>
        <w:tc>
          <w:tcPr>
            <w:tcW w:w="2338" w:type="dxa"/>
          </w:tcPr>
          <w:p w14:paraId="7E500C9D" w14:textId="77777777" w:rsidR="00323FBE" w:rsidRPr="00AE339B" w:rsidRDefault="00323FBE" w:rsidP="002B7687">
            <w:pPr>
              <w:spacing w:line="276" w:lineRule="auto"/>
            </w:pPr>
            <w:r w:rsidRPr="00AE339B">
              <w:t>Argument</w:t>
            </w:r>
          </w:p>
        </w:tc>
        <w:tc>
          <w:tcPr>
            <w:tcW w:w="2410" w:type="dxa"/>
          </w:tcPr>
          <w:p w14:paraId="6000EE07" w14:textId="77777777" w:rsidR="00323FBE" w:rsidRPr="00AE339B" w:rsidRDefault="00323FBE" w:rsidP="002B7687">
            <w:pPr>
              <w:spacing w:line="276" w:lineRule="auto"/>
            </w:pPr>
            <w:r w:rsidRPr="00AE339B">
              <w:t>Empirical studies</w:t>
            </w:r>
          </w:p>
        </w:tc>
        <w:tc>
          <w:tcPr>
            <w:tcW w:w="2552" w:type="dxa"/>
          </w:tcPr>
          <w:p w14:paraId="1EB85A49" w14:textId="77777777" w:rsidR="00323FBE" w:rsidRPr="00AE339B" w:rsidRDefault="00323FBE" w:rsidP="002B7687">
            <w:pPr>
              <w:spacing w:line="276" w:lineRule="auto"/>
            </w:pPr>
            <w:r w:rsidRPr="00AE339B">
              <w:t>Data</w:t>
            </w:r>
            <w:r>
              <w:t>/Sample</w:t>
            </w:r>
          </w:p>
        </w:tc>
        <w:tc>
          <w:tcPr>
            <w:tcW w:w="2409" w:type="dxa"/>
          </w:tcPr>
          <w:p w14:paraId="216C70E6" w14:textId="77777777" w:rsidR="00323FBE" w:rsidRPr="00AE339B" w:rsidRDefault="00323FBE" w:rsidP="002B7687">
            <w:pPr>
              <w:spacing w:line="276" w:lineRule="auto"/>
            </w:pPr>
            <w:r>
              <w:t>Variables Used</w:t>
            </w:r>
          </w:p>
        </w:tc>
        <w:tc>
          <w:tcPr>
            <w:tcW w:w="2268" w:type="dxa"/>
          </w:tcPr>
          <w:p w14:paraId="5833DAE1" w14:textId="77777777" w:rsidR="00323FBE" w:rsidRPr="00AE339B" w:rsidRDefault="00323FBE" w:rsidP="002B7687">
            <w:pPr>
              <w:spacing w:line="276" w:lineRule="auto"/>
            </w:pPr>
            <w:r>
              <w:t>Model</w:t>
            </w:r>
          </w:p>
        </w:tc>
        <w:tc>
          <w:tcPr>
            <w:tcW w:w="2977" w:type="dxa"/>
          </w:tcPr>
          <w:p w14:paraId="5860D3D6" w14:textId="77777777" w:rsidR="00323FBE" w:rsidRPr="00AE339B" w:rsidRDefault="00323FBE" w:rsidP="002B7687">
            <w:pPr>
              <w:spacing w:line="276" w:lineRule="auto"/>
            </w:pPr>
            <w:r>
              <w:t>Results</w:t>
            </w:r>
          </w:p>
        </w:tc>
      </w:tr>
      <w:tr w:rsidR="00323FBE" w:rsidRPr="001430C5" w14:paraId="17743108" w14:textId="77777777" w:rsidTr="002B7687">
        <w:trPr>
          <w:trHeight w:val="1248"/>
          <w:jc w:val="center"/>
        </w:trPr>
        <w:tc>
          <w:tcPr>
            <w:tcW w:w="2338" w:type="dxa"/>
            <w:vMerge w:val="restart"/>
          </w:tcPr>
          <w:p w14:paraId="734E2259" w14:textId="77777777" w:rsidR="00323FBE" w:rsidRDefault="00323FBE" w:rsidP="002B7687">
            <w:pPr>
              <w:spacing w:line="276" w:lineRule="auto"/>
              <w:rPr>
                <w:sz w:val="20"/>
                <w:szCs w:val="20"/>
              </w:rPr>
            </w:pPr>
            <w:r w:rsidRPr="00133B8D">
              <w:rPr>
                <w:i/>
                <w:sz w:val="20"/>
                <w:szCs w:val="20"/>
              </w:rPr>
              <w:t>Sub-optimal portfolio diversification</w:t>
            </w:r>
          </w:p>
        </w:tc>
        <w:tc>
          <w:tcPr>
            <w:tcW w:w="2410" w:type="dxa"/>
          </w:tcPr>
          <w:p w14:paraId="1788A97E" w14:textId="77777777" w:rsidR="00323FBE" w:rsidRPr="007B17EF" w:rsidRDefault="00323FBE" w:rsidP="002B7687">
            <w:pPr>
              <w:spacing w:line="276" w:lineRule="auto"/>
              <w:rPr>
                <w:sz w:val="20"/>
                <w:szCs w:val="20"/>
              </w:rPr>
            </w:pPr>
            <w:r w:rsidRPr="007B17EF">
              <w:rPr>
                <w:noProof/>
                <w:sz w:val="20"/>
                <w:szCs w:val="20"/>
                <w:lang w:val="nl-NL"/>
              </w:rPr>
              <w:t>Feldstein Slemrod &amp; Yitzhaki (1980)</w:t>
            </w:r>
          </w:p>
        </w:tc>
        <w:tc>
          <w:tcPr>
            <w:tcW w:w="2552" w:type="dxa"/>
          </w:tcPr>
          <w:p w14:paraId="70DB15AC" w14:textId="77777777" w:rsidR="00323FBE" w:rsidRPr="001430C5" w:rsidRDefault="00323FBE" w:rsidP="002B7687">
            <w:pPr>
              <w:spacing w:line="276" w:lineRule="auto"/>
              <w:rPr>
                <w:sz w:val="20"/>
                <w:szCs w:val="20"/>
              </w:rPr>
            </w:pPr>
            <w:r>
              <w:rPr>
                <w:sz w:val="20"/>
                <w:szCs w:val="20"/>
              </w:rPr>
              <w:t>Office of Tax Analysis and the Treasury; US sample of 53.523 individual tax returns, 1973</w:t>
            </w:r>
          </w:p>
        </w:tc>
        <w:tc>
          <w:tcPr>
            <w:tcW w:w="2409" w:type="dxa"/>
          </w:tcPr>
          <w:p w14:paraId="1FDB4B97" w14:textId="77777777" w:rsidR="00323FBE" w:rsidRDefault="00323FBE" w:rsidP="002B7687">
            <w:pPr>
              <w:spacing w:line="276" w:lineRule="auto"/>
              <w:rPr>
                <w:sz w:val="20"/>
                <w:szCs w:val="20"/>
              </w:rPr>
            </w:pPr>
            <w:r>
              <w:rPr>
                <w:sz w:val="20"/>
                <w:szCs w:val="20"/>
              </w:rPr>
              <w:t>Capital gains tax rate –</w:t>
            </w:r>
          </w:p>
          <w:p w14:paraId="3AEFAD1B" w14:textId="77777777" w:rsidR="00323FBE" w:rsidRPr="001430C5" w:rsidRDefault="00323FBE" w:rsidP="002B7687">
            <w:pPr>
              <w:spacing w:line="276" w:lineRule="auto"/>
              <w:rPr>
                <w:sz w:val="20"/>
                <w:szCs w:val="20"/>
              </w:rPr>
            </w:pPr>
            <w:r>
              <w:rPr>
                <w:sz w:val="20"/>
                <w:szCs w:val="20"/>
              </w:rPr>
              <w:t>Volumes of long-term sales and long-term gains as a prop. of dividends – prob. of selling</w:t>
            </w:r>
          </w:p>
        </w:tc>
        <w:tc>
          <w:tcPr>
            <w:tcW w:w="2268" w:type="dxa"/>
          </w:tcPr>
          <w:p w14:paraId="17D0C911" w14:textId="77777777" w:rsidR="00323FBE" w:rsidRPr="001430C5" w:rsidRDefault="00323FBE" w:rsidP="002B7687">
            <w:pPr>
              <w:spacing w:line="276" w:lineRule="auto"/>
              <w:rPr>
                <w:sz w:val="20"/>
                <w:szCs w:val="20"/>
              </w:rPr>
            </w:pPr>
            <w:r>
              <w:rPr>
                <w:sz w:val="20"/>
                <w:szCs w:val="20"/>
              </w:rPr>
              <w:t>Simulations using TAXSIM</w:t>
            </w:r>
          </w:p>
        </w:tc>
        <w:tc>
          <w:tcPr>
            <w:tcW w:w="2977" w:type="dxa"/>
          </w:tcPr>
          <w:p w14:paraId="3FBE4600" w14:textId="77777777" w:rsidR="00323FBE" w:rsidRDefault="00323FBE" w:rsidP="002B7687">
            <w:pPr>
              <w:spacing w:line="276" w:lineRule="auto"/>
              <w:rPr>
                <w:sz w:val="20"/>
                <w:szCs w:val="20"/>
              </w:rPr>
            </w:pPr>
            <w:r>
              <w:rPr>
                <w:sz w:val="20"/>
                <w:szCs w:val="20"/>
              </w:rPr>
              <w:t>Tax coefficient of LT sales/dividends= -62.4</w:t>
            </w:r>
          </w:p>
          <w:p w14:paraId="01904A04" w14:textId="77777777" w:rsidR="00323FBE" w:rsidRPr="001430C5" w:rsidRDefault="00323FBE" w:rsidP="002B7687">
            <w:pPr>
              <w:spacing w:line="276" w:lineRule="auto"/>
              <w:rPr>
                <w:sz w:val="20"/>
                <w:szCs w:val="20"/>
              </w:rPr>
            </w:pPr>
            <w:r>
              <w:rPr>
                <w:sz w:val="20"/>
                <w:szCs w:val="20"/>
              </w:rPr>
              <w:t xml:space="preserve">Tax coefficient of probability of selling= -0.65 </w:t>
            </w:r>
          </w:p>
        </w:tc>
      </w:tr>
      <w:tr w:rsidR="00323FBE" w:rsidRPr="001430C5" w14:paraId="584C039A" w14:textId="77777777" w:rsidTr="002B7687">
        <w:trPr>
          <w:trHeight w:val="1424"/>
          <w:jc w:val="center"/>
        </w:trPr>
        <w:tc>
          <w:tcPr>
            <w:tcW w:w="2338" w:type="dxa"/>
            <w:vMerge/>
          </w:tcPr>
          <w:p w14:paraId="5F89AE83" w14:textId="77777777" w:rsidR="00323FBE" w:rsidRDefault="00323FBE" w:rsidP="002B7687">
            <w:pPr>
              <w:spacing w:line="276" w:lineRule="auto"/>
              <w:rPr>
                <w:sz w:val="20"/>
                <w:szCs w:val="20"/>
              </w:rPr>
            </w:pPr>
          </w:p>
        </w:tc>
        <w:tc>
          <w:tcPr>
            <w:tcW w:w="2410" w:type="dxa"/>
          </w:tcPr>
          <w:p w14:paraId="3FF8BC2E" w14:textId="77777777" w:rsidR="00323FBE" w:rsidRPr="007B17EF" w:rsidRDefault="00323FBE" w:rsidP="002B7687">
            <w:pPr>
              <w:spacing w:line="276" w:lineRule="auto"/>
              <w:rPr>
                <w:sz w:val="20"/>
                <w:szCs w:val="20"/>
              </w:rPr>
            </w:pPr>
            <w:r w:rsidRPr="007B17EF">
              <w:rPr>
                <w:sz w:val="20"/>
                <w:szCs w:val="20"/>
              </w:rPr>
              <w:t>Chyz &amp; Li (2012)</w:t>
            </w:r>
          </w:p>
        </w:tc>
        <w:tc>
          <w:tcPr>
            <w:tcW w:w="2552" w:type="dxa"/>
          </w:tcPr>
          <w:p w14:paraId="4458181D" w14:textId="77777777" w:rsidR="00323FBE" w:rsidRPr="001430C5" w:rsidRDefault="00323FBE" w:rsidP="002B7687">
            <w:pPr>
              <w:spacing w:line="276" w:lineRule="auto"/>
              <w:rPr>
                <w:sz w:val="20"/>
                <w:szCs w:val="20"/>
              </w:rPr>
            </w:pPr>
            <w:r>
              <w:rPr>
                <w:sz w:val="20"/>
                <w:szCs w:val="20"/>
              </w:rPr>
              <w:t>Thomson Financial database: 1.400 institutions quarterly data</w:t>
            </w:r>
          </w:p>
        </w:tc>
        <w:tc>
          <w:tcPr>
            <w:tcW w:w="2409" w:type="dxa"/>
          </w:tcPr>
          <w:p w14:paraId="02A1DD7E" w14:textId="77777777" w:rsidR="00323FBE" w:rsidRPr="001430C5" w:rsidRDefault="00323FBE" w:rsidP="002B7687">
            <w:pPr>
              <w:spacing w:line="276" w:lineRule="auto"/>
              <w:rPr>
                <w:sz w:val="20"/>
                <w:szCs w:val="20"/>
              </w:rPr>
            </w:pPr>
            <w:r>
              <w:rPr>
                <w:sz w:val="20"/>
                <w:szCs w:val="20"/>
              </w:rPr>
              <w:t>Capital gains tax rate (changed in ’97 Tax Reform Act) – institutional trades</w:t>
            </w:r>
          </w:p>
        </w:tc>
        <w:tc>
          <w:tcPr>
            <w:tcW w:w="2268" w:type="dxa"/>
          </w:tcPr>
          <w:p w14:paraId="16BACCCB" w14:textId="77777777" w:rsidR="00323FBE" w:rsidRPr="001430C5" w:rsidRDefault="00323FBE" w:rsidP="002B7687">
            <w:pPr>
              <w:spacing w:line="276" w:lineRule="auto"/>
              <w:rPr>
                <w:sz w:val="20"/>
                <w:szCs w:val="20"/>
              </w:rPr>
            </w:pPr>
            <w:r>
              <w:rPr>
                <w:sz w:val="20"/>
                <w:szCs w:val="20"/>
              </w:rPr>
              <w:t>Probit model</w:t>
            </w:r>
          </w:p>
        </w:tc>
        <w:tc>
          <w:tcPr>
            <w:tcW w:w="2977" w:type="dxa"/>
          </w:tcPr>
          <w:p w14:paraId="174F4D0F" w14:textId="77777777" w:rsidR="00323FBE" w:rsidRPr="001430C5" w:rsidRDefault="00323FBE" w:rsidP="002B7687">
            <w:pPr>
              <w:spacing w:line="276" w:lineRule="auto"/>
              <w:rPr>
                <w:sz w:val="20"/>
                <w:szCs w:val="20"/>
              </w:rPr>
            </w:pPr>
            <w:r>
              <w:rPr>
                <w:sz w:val="20"/>
                <w:szCs w:val="20"/>
              </w:rPr>
              <w:t>Appreciated stock sales of tax-sensitive investors, mean difference (post-pre TRA97) = 0.012 (significant at 10% level)</w:t>
            </w:r>
          </w:p>
        </w:tc>
      </w:tr>
      <w:tr w:rsidR="00323FBE" w:rsidRPr="001430C5" w14:paraId="5D62DB4C" w14:textId="77777777" w:rsidTr="002B7687">
        <w:trPr>
          <w:trHeight w:val="1216"/>
          <w:jc w:val="center"/>
        </w:trPr>
        <w:tc>
          <w:tcPr>
            <w:tcW w:w="2338" w:type="dxa"/>
            <w:vMerge/>
          </w:tcPr>
          <w:p w14:paraId="77330BE6" w14:textId="77777777" w:rsidR="00323FBE" w:rsidRPr="00F003DA" w:rsidRDefault="00323FBE" w:rsidP="002B7687">
            <w:pPr>
              <w:spacing w:line="276" w:lineRule="auto"/>
              <w:rPr>
                <w:i/>
                <w:sz w:val="20"/>
                <w:szCs w:val="20"/>
              </w:rPr>
            </w:pPr>
          </w:p>
        </w:tc>
        <w:tc>
          <w:tcPr>
            <w:tcW w:w="2410" w:type="dxa"/>
          </w:tcPr>
          <w:p w14:paraId="7C5C7867" w14:textId="77777777" w:rsidR="00323FBE" w:rsidRPr="00426C7E" w:rsidRDefault="00323FBE" w:rsidP="002B7687">
            <w:pPr>
              <w:spacing w:line="276" w:lineRule="auto"/>
              <w:rPr>
                <w:sz w:val="20"/>
                <w:szCs w:val="20"/>
              </w:rPr>
            </w:pPr>
            <w:r w:rsidRPr="007B17EF">
              <w:rPr>
                <w:noProof/>
                <w:sz w:val="20"/>
                <w:szCs w:val="20"/>
                <w:lang w:val="nl-NL"/>
              </w:rPr>
              <w:t>Feldstein &amp; Yitzhaki (1978)</w:t>
            </w:r>
          </w:p>
        </w:tc>
        <w:tc>
          <w:tcPr>
            <w:tcW w:w="2552" w:type="dxa"/>
          </w:tcPr>
          <w:p w14:paraId="0283FF62" w14:textId="77777777" w:rsidR="00323FBE" w:rsidRPr="001430C5" w:rsidRDefault="00323FBE" w:rsidP="002B7687">
            <w:pPr>
              <w:spacing w:line="276" w:lineRule="auto"/>
              <w:rPr>
                <w:sz w:val="20"/>
                <w:szCs w:val="20"/>
              </w:rPr>
            </w:pPr>
            <w:r>
              <w:rPr>
                <w:sz w:val="20"/>
                <w:szCs w:val="20"/>
              </w:rPr>
              <w:t>Board of governors of the Federal Reserve System survey; sample of 2557 households</w:t>
            </w:r>
          </w:p>
        </w:tc>
        <w:tc>
          <w:tcPr>
            <w:tcW w:w="2409" w:type="dxa"/>
          </w:tcPr>
          <w:p w14:paraId="1CE8FEBD" w14:textId="77777777" w:rsidR="00323FBE" w:rsidRPr="001430C5" w:rsidRDefault="00323FBE" w:rsidP="002B7687">
            <w:pPr>
              <w:spacing w:line="276" w:lineRule="auto"/>
              <w:rPr>
                <w:sz w:val="20"/>
                <w:szCs w:val="20"/>
              </w:rPr>
            </w:pPr>
            <w:r>
              <w:rPr>
                <w:sz w:val="20"/>
                <w:szCs w:val="20"/>
              </w:rPr>
              <w:t>Capital gains tax rate – Common stock sales</w:t>
            </w:r>
          </w:p>
        </w:tc>
        <w:tc>
          <w:tcPr>
            <w:tcW w:w="2268" w:type="dxa"/>
          </w:tcPr>
          <w:p w14:paraId="31814B9D" w14:textId="77777777" w:rsidR="00323FBE" w:rsidRPr="001430C5" w:rsidRDefault="00323FBE" w:rsidP="002B7687">
            <w:pPr>
              <w:spacing w:line="276" w:lineRule="auto"/>
              <w:rPr>
                <w:sz w:val="20"/>
                <w:szCs w:val="20"/>
              </w:rPr>
            </w:pPr>
            <w:r>
              <w:rPr>
                <w:sz w:val="20"/>
                <w:szCs w:val="20"/>
              </w:rPr>
              <w:t>OLS</w:t>
            </w:r>
          </w:p>
        </w:tc>
        <w:tc>
          <w:tcPr>
            <w:tcW w:w="2977" w:type="dxa"/>
          </w:tcPr>
          <w:p w14:paraId="483EA44B" w14:textId="77777777" w:rsidR="00323FBE" w:rsidRDefault="00323FBE" w:rsidP="002B7687">
            <w:pPr>
              <w:spacing w:line="276" w:lineRule="auto"/>
              <w:rPr>
                <w:sz w:val="20"/>
                <w:szCs w:val="20"/>
              </w:rPr>
            </w:pPr>
            <w:r>
              <w:rPr>
                <w:sz w:val="20"/>
                <w:szCs w:val="20"/>
              </w:rPr>
              <w:t xml:space="preserve">Eg. Tax coefficient of sales (ratio of sales to value)= -3.20 </w:t>
            </w:r>
          </w:p>
          <w:p w14:paraId="2631BE6B" w14:textId="77777777" w:rsidR="00323FBE" w:rsidRPr="001430C5" w:rsidRDefault="00323FBE" w:rsidP="002B7687">
            <w:pPr>
              <w:spacing w:line="276" w:lineRule="auto"/>
              <w:rPr>
                <w:sz w:val="20"/>
                <w:szCs w:val="20"/>
              </w:rPr>
            </w:pPr>
            <w:r>
              <w:rPr>
                <w:sz w:val="20"/>
                <w:szCs w:val="20"/>
              </w:rPr>
              <w:t>Rsqrd= 0.04</w:t>
            </w:r>
          </w:p>
        </w:tc>
      </w:tr>
    </w:tbl>
    <w:p w14:paraId="661E1761" w14:textId="77777777" w:rsidR="00975C47" w:rsidRPr="00AE339B" w:rsidRDefault="00975C47" w:rsidP="00FC0B18">
      <w:pPr>
        <w:spacing w:line="360" w:lineRule="auto"/>
      </w:pPr>
    </w:p>
    <w:p w14:paraId="13B4F4A8" w14:textId="77777777" w:rsidR="00FC0B18" w:rsidRDefault="00FC0B18" w:rsidP="00E145D3">
      <w:pPr>
        <w:pStyle w:val="Heading2"/>
      </w:pPr>
      <w:bookmarkStart w:id="52" w:name="_Toc331344958"/>
      <w:bookmarkStart w:id="53" w:name="_Toc331345811"/>
      <w:r>
        <w:t>Government revenue</w:t>
      </w:r>
      <w:bookmarkEnd w:id="52"/>
      <w:bookmarkEnd w:id="53"/>
    </w:p>
    <w:p w14:paraId="201A7B85" w14:textId="77777777" w:rsidR="00FC0B18" w:rsidRDefault="00FC0B18" w:rsidP="00FC0B18">
      <w:pPr>
        <w:spacing w:line="360" w:lineRule="auto"/>
      </w:pPr>
      <w:r>
        <w:t>A high rate of capital gains tax relative to a lower rate harms the economy in terms of tax revenue obtained by the government. As a lower amount of capital gain that is realized due to a higher tax rate, the government revenue collected via a capital gains tax rate is lower as well. Some empirical studies back this claim, other studies suggest that there are limits to the extent of this ‘feedback effect’, due to for example tax avoidance issues.</w:t>
      </w:r>
      <w:r>
        <w:rPr>
          <w:rStyle w:val="FootnoteReference"/>
        </w:rPr>
        <w:footnoteReference w:id="23"/>
      </w:r>
    </w:p>
    <w:p w14:paraId="3301506B" w14:textId="77777777" w:rsidR="00FC0B18" w:rsidRDefault="00FC0B18" w:rsidP="00FC0B18"/>
    <w:p w14:paraId="5476EE10" w14:textId="77777777" w:rsidR="00FC0B18" w:rsidRDefault="00FC0B18" w:rsidP="00FC0B18">
      <w:pPr>
        <w:spacing w:line="360" w:lineRule="auto"/>
      </w:pPr>
      <w:r>
        <w:t xml:space="preserve">For example, the previously cited study by Feldstein, Slemrod &amp; Yitzhaki (1980) states that a decrease in the tax rate results in a substantial expansion in tax revenue, whilst an opposite movement of the tax rate leads to a sharp decrease in tax revenue. A simulation is performed of the situation under 1973 law –with some marginal rates being as high as 40 percent- in contrast with a situation where the tax rate on long-term capital gains is </w:t>
      </w:r>
      <w:r>
        <w:lastRenderedPageBreak/>
        <w:t>limited to 25 percent. The result is a tax liability of three times the size for the case with the limited capital gains tax rate compared with the 1973 case. Thus, a lower effective capital gains rate increases government revenue.</w:t>
      </w:r>
      <w:r w:rsidRPr="003D2910">
        <w:t xml:space="preserve"> </w:t>
      </w:r>
      <w:r>
        <w:t xml:space="preserve">The drawback to this study is that the data only stems from one specific year, which limits the explanatory power. </w:t>
      </w:r>
    </w:p>
    <w:p w14:paraId="7197C9CE" w14:textId="77777777" w:rsidR="00FC0B18" w:rsidRDefault="00FC0B18" w:rsidP="00FC0B18">
      <w:pPr>
        <w:spacing w:line="360" w:lineRule="auto"/>
      </w:pPr>
    </w:p>
    <w:p w14:paraId="2A4010C5" w14:textId="77777777" w:rsidR="007C6109" w:rsidRDefault="00FC0B18" w:rsidP="00FC0B18">
      <w:pPr>
        <w:spacing w:line="360" w:lineRule="auto"/>
      </w:pPr>
      <w:r>
        <w:t>Next, in a report by the Adam Smith Institute (2010) some international evidence is presented on the negative relationship between the capital gains tax rate and tax revenue. The Irish government halved the rate in 1997 from 40 percent to 20 percent. As a result, the net receipts in taxes from capital gains nearly tripled in the years after the reform. Some researchers in Sweden analysed the period of 1993-1995 and found that an increase in 10 percent of capital gains tax rate in</w:t>
      </w:r>
    </w:p>
    <w:p w14:paraId="2867809B" w14:textId="77777777" w:rsidR="007C6109" w:rsidRDefault="007C6109" w:rsidP="00FC0B18">
      <w:pPr>
        <w:spacing w:line="360" w:lineRule="auto"/>
      </w:pPr>
    </w:p>
    <w:p w14:paraId="6725D68D" w14:textId="76D0194C" w:rsidR="00FC0B18" w:rsidRDefault="00FC0B18" w:rsidP="00FC0B18">
      <w:pPr>
        <w:spacing w:line="360" w:lineRule="auto"/>
      </w:pPr>
      <w:r>
        <w:t>duced a reduction in the number of capital gains realisations of 8.7 percent. Evans (2009) deducts from the US states that at a tax rate of 15 percent, a one percent reduction of the rate may trigger a 10.3 percent increase in realised capital gains. Furthermore, in terms of maximizing government revenue, he concludes that the optimal tax rate on capital gains would be just below 10 percent. He applies a cross-section analysis to annual data from 1976 through 2004. It should be noted that his method is not very adequate at controlling for the possibility that the change in capital gains tax rates causes shifts in the timing rather than the level of realised capital gains.</w:t>
      </w:r>
    </w:p>
    <w:p w14:paraId="31A4BCA9" w14:textId="77777777" w:rsidR="00FC0B18" w:rsidRDefault="00FC0B18" w:rsidP="00FC0B18">
      <w:pPr>
        <w:spacing w:line="360" w:lineRule="auto"/>
      </w:pPr>
    </w:p>
    <w:p w14:paraId="17E66648" w14:textId="77777777" w:rsidR="00FC0B18" w:rsidRDefault="00FC0B18" w:rsidP="00FC0B18">
      <w:pPr>
        <w:spacing w:line="360" w:lineRule="auto"/>
      </w:pPr>
      <w:r>
        <w:t>Eilbott (1985) is sceptical of the magnitude of the positive revenue effects caused by a decrease in the capital gains tax rate. He states that many a part of the increased revenue may just be the conversion of ordinary income to capital gains, which is profitable when the gap between ordinary income tax rates and capital gains tax rates is substantial. The fact is accomplished by means of depreciation deductions that reduce current income, and capital gains being realized at the sale of the property. To prove this he looked at partnership activity in the real estate and oil and gas extraction after the 1978 Revenue Act, which significantly increased the gap between ordinary income and capital gains tax rates. The results showed significantly increasing numbers of partnerships and amounts of net loss reported by these partnerships. This implies the existence of tax-sheltering activity. Hence, the magnitude of the positive effect on tax revenue of a reduction in capital gains tax should be regarded with caution.</w:t>
      </w:r>
    </w:p>
    <w:p w14:paraId="7CEE852F" w14:textId="77777777" w:rsidR="00FC0B18" w:rsidRDefault="00FC0B18" w:rsidP="00FC0B18">
      <w:pPr>
        <w:spacing w:line="360" w:lineRule="auto"/>
      </w:pPr>
    </w:p>
    <w:p w14:paraId="657862A5" w14:textId="0A15E379" w:rsidR="00FC0B18" w:rsidRDefault="00FC0B18" w:rsidP="00FC0B18">
      <w:pPr>
        <w:spacing w:line="360" w:lineRule="auto"/>
      </w:pPr>
      <w:r>
        <w:t xml:space="preserve">Gravelle (1991) also points out that there are limits to the capital gains feedback effects. She focuses on the elasticity of realisations in her study. In the introduction she states: </w:t>
      </w:r>
      <w:r>
        <w:rPr>
          <w:i/>
        </w:rPr>
        <w:t>‘</w:t>
      </w:r>
      <w:r w:rsidRPr="003B4521">
        <w:rPr>
          <w:i/>
        </w:rPr>
        <w:t xml:space="preserve">at an elasticity level of -0.25 there would </w:t>
      </w:r>
      <w:r>
        <w:rPr>
          <w:i/>
        </w:rPr>
        <w:t>still be a revenue loss equal to 80 percent of the original static loss’</w:t>
      </w:r>
      <w:r>
        <w:t>. Thus, only 20 percent of the static loss would be made up for by the increase in realisations at an elasticity level of -0.25. Evaluating the elasticity at a tax rate of 21.8 percent, she produces estimates of the elasticity ranging from -0.24 to -0.42. These results point out the potential limits of the feedback effect of a reduced capital gains tax. One may deduct from this evidence that a capital gains tax reduce increase realisations and increase revenue in the short term, but in the long run most of these realisations would have taken place anyway, so the revenue effect is not lasting.</w:t>
      </w:r>
    </w:p>
    <w:p w14:paraId="60FC9D8D" w14:textId="77777777" w:rsidR="00D16AF1" w:rsidRPr="00925595" w:rsidRDefault="00D16AF1" w:rsidP="00FC0B18">
      <w:pPr>
        <w:spacing w:line="360" w:lineRule="auto"/>
        <w:rPr>
          <w:color w:val="FF0000"/>
        </w:rPr>
      </w:pP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7"/>
        <w:gridCol w:w="1609"/>
        <w:gridCol w:w="1882"/>
        <w:gridCol w:w="1678"/>
        <w:gridCol w:w="1568"/>
        <w:gridCol w:w="1862"/>
      </w:tblGrid>
      <w:tr w:rsidR="00376A41" w:rsidRPr="00AE339B" w14:paraId="0EFAD477" w14:textId="77777777" w:rsidTr="00376A41">
        <w:trPr>
          <w:trHeight w:val="559"/>
          <w:jc w:val="center"/>
        </w:trPr>
        <w:tc>
          <w:tcPr>
            <w:tcW w:w="1607" w:type="dxa"/>
          </w:tcPr>
          <w:p w14:paraId="7F755632" w14:textId="77777777" w:rsidR="00376A41" w:rsidRPr="00AE339B" w:rsidRDefault="00376A41" w:rsidP="00376A41">
            <w:pPr>
              <w:spacing w:line="276" w:lineRule="auto"/>
            </w:pPr>
            <w:r w:rsidRPr="00AE339B">
              <w:t>Argument</w:t>
            </w:r>
          </w:p>
        </w:tc>
        <w:tc>
          <w:tcPr>
            <w:tcW w:w="1609" w:type="dxa"/>
          </w:tcPr>
          <w:p w14:paraId="5378BD1D" w14:textId="77777777" w:rsidR="00376A41" w:rsidRPr="00AE339B" w:rsidRDefault="00376A41" w:rsidP="00376A41">
            <w:pPr>
              <w:spacing w:line="276" w:lineRule="auto"/>
            </w:pPr>
            <w:r w:rsidRPr="00AE339B">
              <w:t>Empirical studies</w:t>
            </w:r>
          </w:p>
        </w:tc>
        <w:tc>
          <w:tcPr>
            <w:tcW w:w="1882" w:type="dxa"/>
          </w:tcPr>
          <w:p w14:paraId="59FBF29A" w14:textId="77777777" w:rsidR="00376A41" w:rsidRPr="00AE339B" w:rsidRDefault="00376A41" w:rsidP="00376A41">
            <w:pPr>
              <w:spacing w:line="276" w:lineRule="auto"/>
            </w:pPr>
            <w:r w:rsidRPr="00AE339B">
              <w:t>Data</w:t>
            </w:r>
            <w:r>
              <w:t>/Sample</w:t>
            </w:r>
          </w:p>
        </w:tc>
        <w:tc>
          <w:tcPr>
            <w:tcW w:w="1678" w:type="dxa"/>
          </w:tcPr>
          <w:p w14:paraId="3196DB75" w14:textId="77777777" w:rsidR="00376A41" w:rsidRPr="00AE339B" w:rsidRDefault="00376A41" w:rsidP="00376A41">
            <w:pPr>
              <w:spacing w:line="276" w:lineRule="auto"/>
            </w:pPr>
            <w:r>
              <w:t>Variables Used</w:t>
            </w:r>
          </w:p>
        </w:tc>
        <w:tc>
          <w:tcPr>
            <w:tcW w:w="1568" w:type="dxa"/>
          </w:tcPr>
          <w:p w14:paraId="036DE55C" w14:textId="77777777" w:rsidR="00376A41" w:rsidRPr="00AE339B" w:rsidRDefault="00376A41" w:rsidP="00376A41">
            <w:pPr>
              <w:spacing w:line="276" w:lineRule="auto"/>
            </w:pPr>
            <w:r>
              <w:t>Model</w:t>
            </w:r>
          </w:p>
        </w:tc>
        <w:tc>
          <w:tcPr>
            <w:tcW w:w="1862" w:type="dxa"/>
          </w:tcPr>
          <w:p w14:paraId="2A04A356" w14:textId="77777777" w:rsidR="00376A41" w:rsidRPr="00AE339B" w:rsidRDefault="00376A41" w:rsidP="00376A41">
            <w:pPr>
              <w:spacing w:line="276" w:lineRule="auto"/>
            </w:pPr>
            <w:r>
              <w:t>Results</w:t>
            </w:r>
          </w:p>
        </w:tc>
      </w:tr>
      <w:tr w:rsidR="00376A41" w:rsidRPr="001430C5" w14:paraId="54FA2EF2" w14:textId="77777777" w:rsidTr="00376A41">
        <w:trPr>
          <w:trHeight w:val="1216"/>
          <w:jc w:val="center"/>
        </w:trPr>
        <w:tc>
          <w:tcPr>
            <w:tcW w:w="1607" w:type="dxa"/>
            <w:vMerge w:val="restart"/>
          </w:tcPr>
          <w:p w14:paraId="47B591E0" w14:textId="77777777" w:rsidR="00376A41" w:rsidRPr="00D961DE" w:rsidRDefault="00376A41" w:rsidP="00376A41">
            <w:pPr>
              <w:spacing w:line="276" w:lineRule="auto"/>
              <w:rPr>
                <w:i/>
                <w:sz w:val="20"/>
                <w:szCs w:val="20"/>
              </w:rPr>
            </w:pPr>
            <w:r w:rsidRPr="00D961DE">
              <w:rPr>
                <w:i/>
                <w:sz w:val="20"/>
                <w:szCs w:val="20"/>
              </w:rPr>
              <w:t>Government revenue</w:t>
            </w:r>
          </w:p>
          <w:p w14:paraId="1BAA2481" w14:textId="77777777" w:rsidR="00376A41" w:rsidRPr="00D961DE" w:rsidRDefault="00376A41" w:rsidP="00376A41">
            <w:pPr>
              <w:spacing w:line="276" w:lineRule="auto"/>
              <w:rPr>
                <w:i/>
                <w:sz w:val="20"/>
                <w:szCs w:val="20"/>
              </w:rPr>
            </w:pPr>
          </w:p>
        </w:tc>
        <w:tc>
          <w:tcPr>
            <w:tcW w:w="1609" w:type="dxa"/>
          </w:tcPr>
          <w:p w14:paraId="69473271" w14:textId="77777777" w:rsidR="00376A41" w:rsidRPr="00426C7E" w:rsidRDefault="00376A41" w:rsidP="00376A41">
            <w:pPr>
              <w:spacing w:line="276" w:lineRule="auto"/>
              <w:rPr>
                <w:sz w:val="20"/>
                <w:szCs w:val="20"/>
              </w:rPr>
            </w:pPr>
            <w:r w:rsidRPr="00426C7E">
              <w:rPr>
                <w:sz w:val="20"/>
                <w:szCs w:val="20"/>
              </w:rPr>
              <w:t>Evans (2009)</w:t>
            </w:r>
          </w:p>
        </w:tc>
        <w:tc>
          <w:tcPr>
            <w:tcW w:w="1882" w:type="dxa"/>
          </w:tcPr>
          <w:p w14:paraId="6B670120" w14:textId="77777777" w:rsidR="00376A41" w:rsidRPr="001430C5" w:rsidRDefault="00376A41" w:rsidP="00376A41">
            <w:pPr>
              <w:spacing w:line="276" w:lineRule="auto"/>
              <w:rPr>
                <w:sz w:val="20"/>
                <w:szCs w:val="20"/>
              </w:rPr>
            </w:pPr>
            <w:r>
              <w:rPr>
                <w:sz w:val="20"/>
                <w:szCs w:val="20"/>
              </w:rPr>
              <w:t>US Treasury, 1976-2004 multiple samples, sizes of over 100.000</w:t>
            </w:r>
          </w:p>
        </w:tc>
        <w:tc>
          <w:tcPr>
            <w:tcW w:w="1678" w:type="dxa"/>
          </w:tcPr>
          <w:p w14:paraId="69A30DED" w14:textId="77777777" w:rsidR="00376A41" w:rsidRPr="001430C5" w:rsidRDefault="00376A41" w:rsidP="00376A41">
            <w:pPr>
              <w:spacing w:line="276" w:lineRule="auto"/>
              <w:rPr>
                <w:sz w:val="20"/>
                <w:szCs w:val="20"/>
              </w:rPr>
            </w:pPr>
            <w:r>
              <w:rPr>
                <w:sz w:val="20"/>
                <w:szCs w:val="20"/>
              </w:rPr>
              <w:t>Capital gains tax rate – long-term capital gains realised minus short term capital losses realised</w:t>
            </w:r>
          </w:p>
        </w:tc>
        <w:tc>
          <w:tcPr>
            <w:tcW w:w="1568" w:type="dxa"/>
          </w:tcPr>
          <w:p w14:paraId="2F5A2D1E" w14:textId="77777777" w:rsidR="00376A41" w:rsidRPr="001430C5" w:rsidRDefault="00376A41" w:rsidP="00376A41">
            <w:pPr>
              <w:spacing w:line="276" w:lineRule="auto"/>
              <w:rPr>
                <w:sz w:val="20"/>
                <w:szCs w:val="20"/>
              </w:rPr>
            </w:pPr>
            <w:r>
              <w:rPr>
                <w:sz w:val="20"/>
                <w:szCs w:val="20"/>
              </w:rPr>
              <w:t>Cross-section analysis, least squares analyses, multiple controls</w:t>
            </w:r>
          </w:p>
        </w:tc>
        <w:tc>
          <w:tcPr>
            <w:tcW w:w="1862" w:type="dxa"/>
          </w:tcPr>
          <w:p w14:paraId="3181A095" w14:textId="77777777" w:rsidR="00376A41" w:rsidRPr="001430C5" w:rsidRDefault="00376A41" w:rsidP="00376A41">
            <w:pPr>
              <w:spacing w:line="276" w:lineRule="auto"/>
              <w:rPr>
                <w:sz w:val="20"/>
                <w:szCs w:val="20"/>
              </w:rPr>
            </w:pPr>
            <w:r>
              <w:rPr>
                <w:sz w:val="20"/>
                <w:szCs w:val="20"/>
              </w:rPr>
              <w:t>Multiple significant estimates: all negative ranging from -6.25 to     -38.58 apart from the one without controls: 9.67 (logical as marginal tax rate is increasing in income)</w:t>
            </w:r>
          </w:p>
        </w:tc>
      </w:tr>
      <w:tr w:rsidR="00376A41" w:rsidRPr="001430C5" w14:paraId="58DAB9B1" w14:textId="77777777" w:rsidTr="00376A41">
        <w:trPr>
          <w:trHeight w:val="1424"/>
          <w:jc w:val="center"/>
        </w:trPr>
        <w:tc>
          <w:tcPr>
            <w:tcW w:w="1607" w:type="dxa"/>
            <w:vMerge/>
          </w:tcPr>
          <w:p w14:paraId="1CE7EA4F" w14:textId="77777777" w:rsidR="00376A41" w:rsidRPr="00D961DE" w:rsidRDefault="00376A41" w:rsidP="00376A41">
            <w:pPr>
              <w:spacing w:line="276" w:lineRule="auto"/>
              <w:rPr>
                <w:sz w:val="20"/>
                <w:szCs w:val="20"/>
              </w:rPr>
            </w:pPr>
          </w:p>
        </w:tc>
        <w:tc>
          <w:tcPr>
            <w:tcW w:w="1609" w:type="dxa"/>
          </w:tcPr>
          <w:p w14:paraId="08149DDD" w14:textId="77777777" w:rsidR="00376A41" w:rsidRPr="00426C7E" w:rsidRDefault="00376A41" w:rsidP="00376A41">
            <w:pPr>
              <w:spacing w:line="276" w:lineRule="auto"/>
              <w:rPr>
                <w:sz w:val="20"/>
                <w:szCs w:val="20"/>
              </w:rPr>
            </w:pPr>
            <w:r w:rsidRPr="00426C7E">
              <w:rPr>
                <w:sz w:val="20"/>
                <w:szCs w:val="20"/>
              </w:rPr>
              <w:t>Eilbott (1985)</w:t>
            </w:r>
          </w:p>
        </w:tc>
        <w:tc>
          <w:tcPr>
            <w:tcW w:w="1882" w:type="dxa"/>
          </w:tcPr>
          <w:p w14:paraId="19F8CD80" w14:textId="77777777" w:rsidR="00376A41" w:rsidRDefault="00376A41" w:rsidP="00376A41">
            <w:pPr>
              <w:spacing w:line="276" w:lineRule="auto"/>
              <w:rPr>
                <w:sz w:val="20"/>
                <w:szCs w:val="20"/>
              </w:rPr>
            </w:pPr>
            <w:r>
              <w:rPr>
                <w:sz w:val="20"/>
                <w:szCs w:val="20"/>
              </w:rPr>
              <w:t>Internal Revenue Service, 1974-1981 (tax reduction on cap gains in 1978)</w:t>
            </w:r>
          </w:p>
          <w:p w14:paraId="78F07366" w14:textId="77777777" w:rsidR="00376A41" w:rsidRDefault="00376A41" w:rsidP="00376A41">
            <w:pPr>
              <w:spacing w:line="276" w:lineRule="auto"/>
              <w:rPr>
                <w:sz w:val="20"/>
                <w:szCs w:val="20"/>
              </w:rPr>
            </w:pPr>
          </w:p>
          <w:p w14:paraId="3B881055" w14:textId="77777777" w:rsidR="00376A41" w:rsidRPr="00E745DD" w:rsidRDefault="00376A41" w:rsidP="00376A41">
            <w:pPr>
              <w:spacing w:line="276" w:lineRule="auto"/>
              <w:ind w:firstLine="708"/>
              <w:rPr>
                <w:sz w:val="20"/>
                <w:szCs w:val="20"/>
              </w:rPr>
            </w:pPr>
          </w:p>
        </w:tc>
        <w:tc>
          <w:tcPr>
            <w:tcW w:w="1678" w:type="dxa"/>
          </w:tcPr>
          <w:p w14:paraId="6DE76584" w14:textId="77777777" w:rsidR="00376A41" w:rsidRPr="001430C5" w:rsidRDefault="00376A41" w:rsidP="00376A41">
            <w:pPr>
              <w:spacing w:line="276" w:lineRule="auto"/>
              <w:rPr>
                <w:sz w:val="20"/>
                <w:szCs w:val="20"/>
              </w:rPr>
            </w:pPr>
            <w:r>
              <w:rPr>
                <w:sz w:val="20"/>
                <w:szCs w:val="20"/>
              </w:rPr>
              <w:t xml:space="preserve">Partnerships – partners – capital gains – net profit – net loss- </w:t>
            </w:r>
          </w:p>
        </w:tc>
        <w:tc>
          <w:tcPr>
            <w:tcW w:w="1568" w:type="dxa"/>
          </w:tcPr>
          <w:p w14:paraId="612E7495" w14:textId="77777777" w:rsidR="00376A41" w:rsidRPr="001430C5" w:rsidRDefault="00376A41" w:rsidP="00376A41">
            <w:pPr>
              <w:spacing w:line="276" w:lineRule="auto"/>
              <w:rPr>
                <w:sz w:val="20"/>
                <w:szCs w:val="20"/>
              </w:rPr>
            </w:pPr>
            <w:r>
              <w:rPr>
                <w:sz w:val="20"/>
                <w:szCs w:val="20"/>
              </w:rPr>
              <w:t xml:space="preserve">Time-series </w:t>
            </w:r>
          </w:p>
        </w:tc>
        <w:tc>
          <w:tcPr>
            <w:tcW w:w="1862" w:type="dxa"/>
          </w:tcPr>
          <w:p w14:paraId="4E3B6D3E" w14:textId="77777777" w:rsidR="00376A41" w:rsidRPr="001430C5" w:rsidRDefault="00376A41" w:rsidP="00376A41">
            <w:pPr>
              <w:spacing w:line="276" w:lineRule="auto"/>
              <w:rPr>
                <w:sz w:val="20"/>
                <w:szCs w:val="20"/>
              </w:rPr>
            </w:pPr>
            <w:r>
              <w:rPr>
                <w:sz w:val="20"/>
                <w:szCs w:val="20"/>
              </w:rPr>
              <w:t xml:space="preserve">Significantly increased number of partners (37.6%) and net losses (72.4% in real estate) in period 1978-1980 </w:t>
            </w:r>
          </w:p>
        </w:tc>
      </w:tr>
      <w:tr w:rsidR="00376A41" w:rsidRPr="001430C5" w14:paraId="3C35C1B6" w14:textId="77777777" w:rsidTr="00376A41">
        <w:trPr>
          <w:trHeight w:val="1440"/>
          <w:jc w:val="center"/>
        </w:trPr>
        <w:tc>
          <w:tcPr>
            <w:tcW w:w="1607" w:type="dxa"/>
            <w:vMerge/>
          </w:tcPr>
          <w:p w14:paraId="5A1290CB" w14:textId="77777777" w:rsidR="00376A41" w:rsidRPr="00D961DE" w:rsidRDefault="00376A41" w:rsidP="00376A41">
            <w:pPr>
              <w:spacing w:line="276" w:lineRule="auto"/>
              <w:rPr>
                <w:sz w:val="20"/>
                <w:szCs w:val="20"/>
              </w:rPr>
            </w:pPr>
          </w:p>
        </w:tc>
        <w:tc>
          <w:tcPr>
            <w:tcW w:w="1609" w:type="dxa"/>
          </w:tcPr>
          <w:p w14:paraId="15499F41" w14:textId="77777777" w:rsidR="00376A41" w:rsidRPr="00E745DD" w:rsidRDefault="00376A41" w:rsidP="00376A41">
            <w:pPr>
              <w:spacing w:line="276" w:lineRule="auto"/>
              <w:rPr>
                <w:sz w:val="20"/>
                <w:szCs w:val="20"/>
              </w:rPr>
            </w:pPr>
            <w:r w:rsidRPr="00E745DD">
              <w:rPr>
                <w:sz w:val="20"/>
                <w:szCs w:val="20"/>
              </w:rPr>
              <w:t>Gravelle (1991)</w:t>
            </w:r>
          </w:p>
        </w:tc>
        <w:tc>
          <w:tcPr>
            <w:tcW w:w="1882" w:type="dxa"/>
          </w:tcPr>
          <w:p w14:paraId="446F3C7B" w14:textId="77777777" w:rsidR="00376A41" w:rsidRDefault="00376A41" w:rsidP="00376A41">
            <w:pPr>
              <w:spacing w:line="276" w:lineRule="auto"/>
              <w:rPr>
                <w:sz w:val="20"/>
                <w:szCs w:val="20"/>
              </w:rPr>
            </w:pPr>
            <w:r>
              <w:rPr>
                <w:sz w:val="20"/>
                <w:szCs w:val="20"/>
              </w:rPr>
              <w:t>Flow of Funds Account, revaluations of assets</w:t>
            </w:r>
          </w:p>
          <w:p w14:paraId="7A70198A" w14:textId="77777777" w:rsidR="00376A41" w:rsidRPr="001430C5" w:rsidRDefault="00376A41" w:rsidP="00376A41">
            <w:pPr>
              <w:spacing w:line="276" w:lineRule="auto"/>
              <w:rPr>
                <w:sz w:val="20"/>
                <w:szCs w:val="20"/>
              </w:rPr>
            </w:pPr>
            <w:r>
              <w:rPr>
                <w:sz w:val="20"/>
                <w:szCs w:val="20"/>
              </w:rPr>
              <w:t>Tax returns compiled by David Joulfaian, realisations</w:t>
            </w:r>
          </w:p>
        </w:tc>
        <w:tc>
          <w:tcPr>
            <w:tcW w:w="1678" w:type="dxa"/>
          </w:tcPr>
          <w:p w14:paraId="3990C1B0" w14:textId="77777777" w:rsidR="00376A41" w:rsidRPr="001430C5" w:rsidRDefault="00376A41" w:rsidP="00376A41">
            <w:pPr>
              <w:spacing w:line="276" w:lineRule="auto"/>
              <w:rPr>
                <w:sz w:val="20"/>
                <w:szCs w:val="20"/>
              </w:rPr>
            </w:pPr>
            <w:r>
              <w:rPr>
                <w:sz w:val="20"/>
                <w:szCs w:val="20"/>
              </w:rPr>
              <w:t>Capital gains realisations – capital gain accruals - %change in realisations - %change in taxes</w:t>
            </w:r>
          </w:p>
        </w:tc>
        <w:tc>
          <w:tcPr>
            <w:tcW w:w="1568" w:type="dxa"/>
          </w:tcPr>
          <w:p w14:paraId="01634ED7" w14:textId="77777777" w:rsidR="00376A41" w:rsidRPr="001430C5" w:rsidRDefault="00376A41" w:rsidP="00376A41">
            <w:pPr>
              <w:spacing w:line="276" w:lineRule="auto"/>
              <w:rPr>
                <w:sz w:val="20"/>
                <w:szCs w:val="20"/>
              </w:rPr>
            </w:pPr>
            <w:r>
              <w:rPr>
                <w:sz w:val="20"/>
                <w:szCs w:val="20"/>
              </w:rPr>
              <w:t>Calculating the ratio of realisations to accruals and the tax rate using the form: E = b(1-c)t</w:t>
            </w:r>
          </w:p>
        </w:tc>
        <w:tc>
          <w:tcPr>
            <w:tcW w:w="1862" w:type="dxa"/>
          </w:tcPr>
          <w:p w14:paraId="59D42FAC" w14:textId="77777777" w:rsidR="00376A41" w:rsidRPr="001430C5" w:rsidRDefault="00376A41" w:rsidP="00376A41">
            <w:pPr>
              <w:spacing w:line="276" w:lineRule="auto"/>
              <w:rPr>
                <w:sz w:val="20"/>
                <w:szCs w:val="20"/>
              </w:rPr>
            </w:pPr>
            <w:r>
              <w:rPr>
                <w:sz w:val="20"/>
                <w:szCs w:val="20"/>
              </w:rPr>
              <w:t>Elasticities evaluated at a tax rate of 21.8% vary from -0.24 to -0.42</w:t>
            </w:r>
          </w:p>
        </w:tc>
      </w:tr>
      <w:tr w:rsidR="00376A41" w:rsidRPr="001430C5" w14:paraId="32D0CBDB" w14:textId="77777777" w:rsidTr="00376A41">
        <w:trPr>
          <w:trHeight w:val="1248"/>
          <w:jc w:val="center"/>
        </w:trPr>
        <w:tc>
          <w:tcPr>
            <w:tcW w:w="1607" w:type="dxa"/>
            <w:vMerge/>
          </w:tcPr>
          <w:p w14:paraId="75553B74" w14:textId="77777777" w:rsidR="00376A41" w:rsidRDefault="00376A41" w:rsidP="00376A41">
            <w:pPr>
              <w:spacing w:line="276" w:lineRule="auto"/>
              <w:rPr>
                <w:sz w:val="20"/>
                <w:szCs w:val="20"/>
              </w:rPr>
            </w:pPr>
          </w:p>
        </w:tc>
        <w:tc>
          <w:tcPr>
            <w:tcW w:w="1609" w:type="dxa"/>
          </w:tcPr>
          <w:p w14:paraId="61D6D743" w14:textId="77777777" w:rsidR="00376A41" w:rsidRPr="00426C7E" w:rsidRDefault="00376A41" w:rsidP="00376A41">
            <w:pPr>
              <w:spacing w:line="276" w:lineRule="auto"/>
              <w:rPr>
                <w:sz w:val="20"/>
                <w:szCs w:val="20"/>
              </w:rPr>
            </w:pPr>
            <w:r w:rsidRPr="00426C7E">
              <w:rPr>
                <w:sz w:val="20"/>
                <w:szCs w:val="20"/>
              </w:rPr>
              <w:t>Feldstein, Slemrod &amp; Yitzhaki (1980)</w:t>
            </w:r>
          </w:p>
        </w:tc>
        <w:tc>
          <w:tcPr>
            <w:tcW w:w="1882" w:type="dxa"/>
          </w:tcPr>
          <w:p w14:paraId="0A0D0494" w14:textId="77777777" w:rsidR="00376A41" w:rsidRPr="001430C5" w:rsidRDefault="00376A41" w:rsidP="00376A41">
            <w:pPr>
              <w:spacing w:line="276" w:lineRule="auto"/>
              <w:rPr>
                <w:sz w:val="20"/>
                <w:szCs w:val="20"/>
              </w:rPr>
            </w:pPr>
            <w:r>
              <w:rPr>
                <w:sz w:val="20"/>
                <w:szCs w:val="20"/>
              </w:rPr>
              <w:t>Office of Tax Analysis and the Treasury; US sample of 53.523 individual tax returns, 1973</w:t>
            </w:r>
          </w:p>
        </w:tc>
        <w:tc>
          <w:tcPr>
            <w:tcW w:w="1678" w:type="dxa"/>
          </w:tcPr>
          <w:p w14:paraId="30755013" w14:textId="77777777" w:rsidR="00376A41" w:rsidRDefault="00376A41" w:rsidP="00376A41">
            <w:pPr>
              <w:spacing w:line="276" w:lineRule="auto"/>
              <w:rPr>
                <w:sz w:val="20"/>
                <w:szCs w:val="20"/>
              </w:rPr>
            </w:pPr>
            <w:r>
              <w:rPr>
                <w:sz w:val="20"/>
                <w:szCs w:val="20"/>
              </w:rPr>
              <w:t>Capital gains tax rate –</w:t>
            </w:r>
          </w:p>
          <w:p w14:paraId="1F8DA61F" w14:textId="77777777" w:rsidR="00376A41" w:rsidRPr="001430C5" w:rsidRDefault="00376A41" w:rsidP="00376A41">
            <w:pPr>
              <w:spacing w:line="276" w:lineRule="auto"/>
              <w:rPr>
                <w:sz w:val="20"/>
                <w:szCs w:val="20"/>
              </w:rPr>
            </w:pPr>
            <w:r>
              <w:rPr>
                <w:sz w:val="20"/>
                <w:szCs w:val="20"/>
              </w:rPr>
              <w:t>Volumes of long-term sales and long-term gains as a prop. of dividends – prob. of selling</w:t>
            </w:r>
          </w:p>
        </w:tc>
        <w:tc>
          <w:tcPr>
            <w:tcW w:w="1568" w:type="dxa"/>
          </w:tcPr>
          <w:p w14:paraId="182AB61A" w14:textId="77777777" w:rsidR="00376A41" w:rsidRPr="001430C5" w:rsidRDefault="00376A41" w:rsidP="00376A41">
            <w:pPr>
              <w:spacing w:line="276" w:lineRule="auto"/>
              <w:rPr>
                <w:sz w:val="20"/>
                <w:szCs w:val="20"/>
              </w:rPr>
            </w:pPr>
            <w:r>
              <w:rPr>
                <w:sz w:val="20"/>
                <w:szCs w:val="20"/>
              </w:rPr>
              <w:t>Simulations using TAXSIM</w:t>
            </w:r>
          </w:p>
        </w:tc>
        <w:tc>
          <w:tcPr>
            <w:tcW w:w="1862" w:type="dxa"/>
          </w:tcPr>
          <w:p w14:paraId="3998B7D2" w14:textId="77777777" w:rsidR="00376A41" w:rsidRPr="001430C5" w:rsidRDefault="00376A41" w:rsidP="00376A41">
            <w:pPr>
              <w:spacing w:line="276" w:lineRule="auto"/>
              <w:rPr>
                <w:sz w:val="20"/>
                <w:szCs w:val="20"/>
              </w:rPr>
            </w:pPr>
            <w:r>
              <w:rPr>
                <w:sz w:val="20"/>
                <w:szCs w:val="20"/>
              </w:rPr>
              <w:t>In the simulated case of a tax limited to 25% as opposed to 1973 law, the result is a three-fold increase in the tax liable realised gains</w:t>
            </w:r>
          </w:p>
        </w:tc>
      </w:tr>
      <w:tr w:rsidR="00376A41" w:rsidRPr="001430C5" w14:paraId="51D6944A" w14:textId="77777777" w:rsidTr="00376A41">
        <w:trPr>
          <w:trHeight w:val="1424"/>
          <w:jc w:val="center"/>
        </w:trPr>
        <w:tc>
          <w:tcPr>
            <w:tcW w:w="1607" w:type="dxa"/>
            <w:vMerge/>
          </w:tcPr>
          <w:p w14:paraId="0F295EDD" w14:textId="77777777" w:rsidR="00376A41" w:rsidRDefault="00376A41" w:rsidP="00376A41">
            <w:pPr>
              <w:spacing w:line="276" w:lineRule="auto"/>
              <w:rPr>
                <w:sz w:val="20"/>
                <w:szCs w:val="20"/>
              </w:rPr>
            </w:pPr>
          </w:p>
        </w:tc>
        <w:tc>
          <w:tcPr>
            <w:tcW w:w="1609" w:type="dxa"/>
          </w:tcPr>
          <w:p w14:paraId="4128F0A5" w14:textId="77777777" w:rsidR="00376A41" w:rsidRPr="00426C7E" w:rsidRDefault="00376A41" w:rsidP="00376A41">
            <w:pPr>
              <w:spacing w:line="276" w:lineRule="auto"/>
              <w:rPr>
                <w:sz w:val="20"/>
                <w:szCs w:val="20"/>
              </w:rPr>
            </w:pPr>
            <w:r w:rsidRPr="00426C7E">
              <w:rPr>
                <w:sz w:val="20"/>
                <w:szCs w:val="20"/>
              </w:rPr>
              <w:t>Adam Smith Institute (2010)</w:t>
            </w:r>
          </w:p>
        </w:tc>
        <w:tc>
          <w:tcPr>
            <w:tcW w:w="1882" w:type="dxa"/>
          </w:tcPr>
          <w:p w14:paraId="5AA4B1CC" w14:textId="77777777" w:rsidR="00376A41" w:rsidRPr="001430C5" w:rsidRDefault="00376A41" w:rsidP="00376A41">
            <w:pPr>
              <w:spacing w:line="276" w:lineRule="auto"/>
              <w:rPr>
                <w:sz w:val="20"/>
                <w:szCs w:val="20"/>
              </w:rPr>
            </w:pPr>
            <w:r>
              <w:rPr>
                <w:sz w:val="20"/>
                <w:szCs w:val="20"/>
              </w:rPr>
              <w:t>1997 Budget in Ireland</w:t>
            </w:r>
          </w:p>
        </w:tc>
        <w:tc>
          <w:tcPr>
            <w:tcW w:w="1678" w:type="dxa"/>
          </w:tcPr>
          <w:p w14:paraId="7B45C05D" w14:textId="77777777" w:rsidR="00376A41" w:rsidRPr="001430C5" w:rsidRDefault="00376A41" w:rsidP="00376A41">
            <w:pPr>
              <w:spacing w:line="276" w:lineRule="auto"/>
              <w:rPr>
                <w:sz w:val="20"/>
                <w:szCs w:val="20"/>
              </w:rPr>
            </w:pPr>
            <w:r>
              <w:rPr>
                <w:sz w:val="20"/>
                <w:szCs w:val="20"/>
              </w:rPr>
              <w:t>Capital gains tax rate (halved from 40% to 20%) – net receipts from capital gains tax</w:t>
            </w:r>
          </w:p>
        </w:tc>
        <w:tc>
          <w:tcPr>
            <w:tcW w:w="1568" w:type="dxa"/>
          </w:tcPr>
          <w:p w14:paraId="3DF1A725" w14:textId="77777777" w:rsidR="00376A41" w:rsidRPr="001430C5" w:rsidRDefault="00376A41" w:rsidP="00376A41">
            <w:pPr>
              <w:spacing w:line="276" w:lineRule="auto"/>
              <w:rPr>
                <w:sz w:val="20"/>
                <w:szCs w:val="20"/>
              </w:rPr>
            </w:pPr>
            <w:r>
              <w:rPr>
                <w:sz w:val="20"/>
                <w:szCs w:val="20"/>
              </w:rPr>
              <w:t>Time-series</w:t>
            </w:r>
          </w:p>
        </w:tc>
        <w:tc>
          <w:tcPr>
            <w:tcW w:w="1862" w:type="dxa"/>
          </w:tcPr>
          <w:p w14:paraId="7AA61DEA" w14:textId="77777777" w:rsidR="00376A41" w:rsidRPr="001430C5" w:rsidRDefault="00376A41" w:rsidP="00376A41">
            <w:pPr>
              <w:spacing w:line="276" w:lineRule="auto"/>
              <w:rPr>
                <w:sz w:val="20"/>
                <w:szCs w:val="20"/>
              </w:rPr>
            </w:pPr>
            <w:r>
              <w:rPr>
                <w:sz w:val="20"/>
                <w:szCs w:val="20"/>
              </w:rPr>
              <w:t>Net receipts nearly triple the amount in the subsequent years after the tax change</w:t>
            </w:r>
          </w:p>
        </w:tc>
      </w:tr>
    </w:tbl>
    <w:p w14:paraId="7F694BA6" w14:textId="77777777" w:rsidR="00FC0B18" w:rsidRDefault="00FC0B18" w:rsidP="00FC0B18">
      <w:pPr>
        <w:spacing w:line="360" w:lineRule="auto"/>
      </w:pPr>
    </w:p>
    <w:p w14:paraId="058829DA" w14:textId="77777777" w:rsidR="00FC0B18" w:rsidRPr="00734B61" w:rsidRDefault="00FC0B18" w:rsidP="00E145D3">
      <w:pPr>
        <w:pStyle w:val="Heading2"/>
      </w:pPr>
      <w:bookmarkStart w:id="54" w:name="_Toc331344959"/>
      <w:bookmarkStart w:id="55" w:name="_Toc331345812"/>
      <w:r>
        <w:t>Entrepreneurship and risk taking</w:t>
      </w:r>
      <w:bookmarkEnd w:id="54"/>
      <w:bookmarkEnd w:id="55"/>
    </w:p>
    <w:p w14:paraId="53BA3E20" w14:textId="77777777" w:rsidR="00FC0B18" w:rsidRDefault="00FC0B18" w:rsidP="00FC0B18">
      <w:pPr>
        <w:spacing w:line="360" w:lineRule="auto"/>
      </w:pPr>
      <w:r w:rsidRPr="00AE339B">
        <w:t xml:space="preserve">Moreover, a capital gains tax reduces the reward for entrepreneurial risk taking, </w:t>
      </w:r>
      <w:r>
        <w:t>by cutting directly into their margin of profit. This</w:t>
      </w:r>
      <w:r w:rsidRPr="00AE339B">
        <w:t xml:space="preserve"> </w:t>
      </w:r>
      <w:r>
        <w:t>reduces the amount of</w:t>
      </w:r>
      <w:r w:rsidRPr="00AE339B">
        <w:t xml:space="preserve"> entrepreneur</w:t>
      </w:r>
      <w:r>
        <w:t xml:space="preserve">s and investors supporting them. Besides, an entrepreneur’s ability to attract managers from other sectors may be affected by a capital gains tax. Since start-up firms usually cannot compete with established businesses in terms of salaries, they compensate managers with equity stakes. A capital gains tax reduces such a return, and thus may limit the ability of start-ups to attract talent. Entrepreneurial activity of new ventures is a driving force in the economy, producing new technologies, products and services, as well as creating new jobs. Impeding such initiatives with distortionary taxes is not good for the economy and welfare in general. </w:t>
      </w:r>
    </w:p>
    <w:p w14:paraId="2AEE38BA" w14:textId="77777777" w:rsidR="00FC0B18" w:rsidRDefault="00FC0B18" w:rsidP="00FC0B18">
      <w:pPr>
        <w:spacing w:line="360" w:lineRule="auto"/>
      </w:pPr>
    </w:p>
    <w:p w14:paraId="10030F04" w14:textId="77777777" w:rsidR="00FC0B18" w:rsidRDefault="00FC0B18" w:rsidP="00FC0B18">
      <w:pPr>
        <w:spacing w:line="360" w:lineRule="auto"/>
      </w:pPr>
      <w:r>
        <w:t>Poterba (1989) is the first to shine some light on the relation between capital gains taxes and venture activity. On the one hand he pointed</w:t>
      </w:r>
      <w:r w:rsidR="008E3409">
        <w:t xml:space="preserve"> out that entrepreneurs compare</w:t>
      </w:r>
      <w:r>
        <w:t xml:space="preserve"> compensation from established firms with capital gains compensation at start-ups, concluding that a decreased capital gains tax rate would stimulate more high-quality people to engage in entrepreneurial activity and increase the demand for venture capital. On the other hand, he stresses the fact that on the supply side, the greater part of the capital suppliers constitutes of institutions, which are not influenced by the individual capital gains tax, such as pension funds. Also, venture capital investments account only for a small fraction of the total taxable capital gains. This implies that a capital gains tax reduction is a rather blunt device for stimulating venture activity.</w:t>
      </w:r>
    </w:p>
    <w:p w14:paraId="6063BEF4" w14:textId="77777777" w:rsidR="00FC0B18" w:rsidRDefault="00FC0B18" w:rsidP="00FC0B18">
      <w:pPr>
        <w:spacing w:line="360" w:lineRule="auto"/>
      </w:pPr>
    </w:p>
    <w:p w14:paraId="6291D234" w14:textId="5B0EBB95" w:rsidR="00FC0B18" w:rsidRDefault="00FC0B18" w:rsidP="00FC0B18">
      <w:pPr>
        <w:spacing w:line="360" w:lineRule="auto"/>
      </w:pPr>
      <w:r>
        <w:lastRenderedPageBreak/>
        <w:t xml:space="preserve">Gompers and Lerner (1998) provide empirical work on the topic. The authors analyse data from 1972 to 1994 regarding annual commitments to U.S. venture capital funds and capital gains tax rates. A clear inverse relation was </w:t>
      </w:r>
      <w:r w:rsidR="00423B49">
        <w:t>found between the two variables</w:t>
      </w:r>
      <w:r>
        <w:t>. With statistic significance, they found that an increase of one percent in the capital gains tax rate corresponded with a 3.8 percent reduction in venture capital commitments. This points towards the fact that a capital gains tax most definitely can be used to stimulate entrepreneurship and risk taking.</w:t>
      </w:r>
    </w:p>
    <w:p w14:paraId="0F3A068F" w14:textId="77777777" w:rsidR="00FC0B18" w:rsidRPr="007269ED" w:rsidRDefault="00FC0B18" w:rsidP="00FC0B18">
      <w:pPr>
        <w:spacing w:line="360" w:lineRule="auto"/>
      </w:pPr>
    </w:p>
    <w:p w14:paraId="401A647B" w14:textId="77777777" w:rsidR="00FC0B18" w:rsidRDefault="00FC0B18" w:rsidP="00FC0B18">
      <w:pPr>
        <w:spacing w:line="360" w:lineRule="auto"/>
      </w:pPr>
      <w:r>
        <w:t>More recently, Gentry (2016) has performed empirical work on capital gains taxation and entrepreneurship. Underlining the importance of the data he decided to use</w:t>
      </w:r>
      <w:r>
        <w:rPr>
          <w:rStyle w:val="FootnoteReference"/>
        </w:rPr>
        <w:footnoteReference w:id="24"/>
      </w:r>
      <w:r>
        <w:t>, he analyses household portfolios and whether capital gains taxes are associated with disbursements by venture capital partnerships. According to the author, asymmetric taxation may discourage entrepreneurs from taking risk. Besides, the lock-in effect can restrain a business owner from selling his business, which may block the enterprise from enjoying more efficient management. Finally the capital gains taxes influence the cost of capital for entrepreneurs. By means of a regression analysis he finds that a one percent increase in the capital gains tax rate is related to a decrease of 5.4 to 14.6 percent in venture capital investment. This result should be interpreted as being induced by the demand side of venture capital, as most of the funds raised by venture capital stem from tax insensitive investors. Thus, an increased capital gains tax rate decreases the odds of entrepreneurs starting businesses seeking venture capital support, which is harmful for the economy and general welfare.</w:t>
      </w:r>
    </w:p>
    <w:p w14:paraId="4F8D95EE" w14:textId="77777777" w:rsidR="00FC0B18" w:rsidRDefault="00FC0B18" w:rsidP="00FC0B18">
      <w:pPr>
        <w:spacing w:line="360" w:lineRule="auto"/>
      </w:pPr>
    </w:p>
    <w:p w14:paraId="5658F9B5" w14:textId="504EA0B2" w:rsidR="00FC0B18" w:rsidRDefault="00FC0B18" w:rsidP="00FC0B18">
      <w:pPr>
        <w:spacing w:line="360" w:lineRule="auto"/>
      </w:pPr>
      <w:r>
        <w:t xml:space="preserve">Furthermore, Gentry takes a look at household composition of unrealized capital gains. His findings here are of major importance for the evaluation of a capital gains tax. The data indicates that investment in entrepreneurial ventures contain a large amount of unrealised capital gains, exceeding considerably the amount of unrealised capital gains on corporate equity. The magnitude of unrealised gains stipulate the influence the capital gains tax has on these entrepreneurs. The tax could distort several important decisions, such as whether to sell, expand or start a new business. The asymmetric nature of the capital gains tax enhances these distortions. </w:t>
      </w:r>
    </w:p>
    <w:p w14:paraId="54A393AE" w14:textId="239EE6FE" w:rsidR="00D66557" w:rsidRDefault="00FC0B18" w:rsidP="00FC0B18">
      <w:pPr>
        <w:spacing w:line="360" w:lineRule="auto"/>
      </w:pPr>
      <w:r>
        <w:lastRenderedPageBreak/>
        <w:t>On another note, possible reasons for the magnitude of unrealised gains in entrepreneurial ventures might be the following:  S</w:t>
      </w:r>
      <w:r w:rsidRPr="00AE339B">
        <w:t>mall business owners may benefit by keeping profits in the company to function as savings instead of paying out the profits to themselves and storing it in a savings account.</w:t>
      </w:r>
      <w:r>
        <w:t xml:space="preserve"> In doing so, they evade the tax they would have to pay on the interest received from their savings account. Moreover, </w:t>
      </w:r>
      <w:r w:rsidRPr="00AE339B">
        <w:t>these locked-in profits of corporations described above can be distortionary for bequest and gift taxes. Family businesses may be handed over from one generation to another as a legacy. These businesses avoid paying bequest and gift taxes, even though the accumulated capital gain might have the purpose of being exactly that</w:t>
      </w:r>
      <w:r>
        <w:t xml:space="preserve">. These distortionary effects of a capital gains tax could be countered by introducing interest payments on capital gains. </w:t>
      </w:r>
    </w:p>
    <w:p w14:paraId="0D670AE1" w14:textId="77777777" w:rsidR="00D66557" w:rsidRDefault="00D66557" w:rsidP="00FC0B18">
      <w:pPr>
        <w:spacing w:line="360" w:lineRule="auto"/>
      </w:pP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7"/>
        <w:gridCol w:w="1376"/>
        <w:gridCol w:w="1668"/>
        <w:gridCol w:w="2262"/>
        <w:gridCol w:w="1283"/>
        <w:gridCol w:w="1880"/>
      </w:tblGrid>
      <w:tr w:rsidR="00D66557" w:rsidRPr="00AE339B" w14:paraId="5B0E338E" w14:textId="77777777" w:rsidTr="00D66557">
        <w:trPr>
          <w:trHeight w:val="559"/>
          <w:jc w:val="center"/>
        </w:trPr>
        <w:tc>
          <w:tcPr>
            <w:tcW w:w="2049" w:type="dxa"/>
          </w:tcPr>
          <w:p w14:paraId="76345E01" w14:textId="77777777" w:rsidR="00D66557" w:rsidRPr="00AE339B" w:rsidRDefault="00D66557" w:rsidP="00D66557">
            <w:pPr>
              <w:spacing w:line="276" w:lineRule="auto"/>
            </w:pPr>
            <w:r w:rsidRPr="00AE339B">
              <w:t>Argument</w:t>
            </w:r>
          </w:p>
        </w:tc>
        <w:tc>
          <w:tcPr>
            <w:tcW w:w="1973" w:type="dxa"/>
          </w:tcPr>
          <w:p w14:paraId="520731AA" w14:textId="77777777" w:rsidR="00D66557" w:rsidRPr="00AE339B" w:rsidRDefault="00D66557" w:rsidP="00D66557">
            <w:pPr>
              <w:spacing w:line="276" w:lineRule="auto"/>
            </w:pPr>
            <w:r w:rsidRPr="00AE339B">
              <w:t>Empirical studies</w:t>
            </w:r>
          </w:p>
        </w:tc>
        <w:tc>
          <w:tcPr>
            <w:tcW w:w="2118" w:type="dxa"/>
          </w:tcPr>
          <w:p w14:paraId="790936C6" w14:textId="77777777" w:rsidR="00D66557" w:rsidRPr="00AE339B" w:rsidRDefault="00D66557" w:rsidP="00D66557">
            <w:pPr>
              <w:spacing w:line="276" w:lineRule="auto"/>
            </w:pPr>
            <w:r w:rsidRPr="00AE339B">
              <w:t>Data</w:t>
            </w:r>
            <w:r>
              <w:t>/Sample</w:t>
            </w:r>
          </w:p>
        </w:tc>
        <w:tc>
          <w:tcPr>
            <w:tcW w:w="4352" w:type="dxa"/>
          </w:tcPr>
          <w:p w14:paraId="718738F9" w14:textId="77777777" w:rsidR="00D66557" w:rsidRPr="00AE339B" w:rsidRDefault="00D66557" w:rsidP="00D66557">
            <w:pPr>
              <w:spacing w:line="276" w:lineRule="auto"/>
            </w:pPr>
            <w:r>
              <w:t>Variables Used</w:t>
            </w:r>
          </w:p>
        </w:tc>
        <w:tc>
          <w:tcPr>
            <w:tcW w:w="1507" w:type="dxa"/>
          </w:tcPr>
          <w:p w14:paraId="6BA189C9" w14:textId="77777777" w:rsidR="00D66557" w:rsidRPr="00AE339B" w:rsidRDefault="00D66557" w:rsidP="00D66557">
            <w:pPr>
              <w:spacing w:line="276" w:lineRule="auto"/>
            </w:pPr>
            <w:r>
              <w:t>Model</w:t>
            </w:r>
          </w:p>
        </w:tc>
        <w:tc>
          <w:tcPr>
            <w:tcW w:w="2955" w:type="dxa"/>
          </w:tcPr>
          <w:p w14:paraId="2F2FE26D" w14:textId="77777777" w:rsidR="00D66557" w:rsidRPr="00AE339B" w:rsidRDefault="00D66557" w:rsidP="00D66557">
            <w:pPr>
              <w:spacing w:line="276" w:lineRule="auto"/>
            </w:pPr>
            <w:r>
              <w:t>Results</w:t>
            </w:r>
          </w:p>
        </w:tc>
      </w:tr>
      <w:tr w:rsidR="00D66557" w:rsidRPr="001430C5" w14:paraId="5313DF6F" w14:textId="77777777" w:rsidTr="00D66557">
        <w:trPr>
          <w:trHeight w:val="1216"/>
          <w:jc w:val="center"/>
        </w:trPr>
        <w:tc>
          <w:tcPr>
            <w:tcW w:w="2049" w:type="dxa"/>
            <w:vMerge w:val="restart"/>
          </w:tcPr>
          <w:p w14:paraId="4ADCC51F" w14:textId="77777777" w:rsidR="00D66557" w:rsidRPr="00806048" w:rsidRDefault="00D66557" w:rsidP="00D66557">
            <w:pPr>
              <w:spacing w:line="276" w:lineRule="auto"/>
              <w:rPr>
                <w:sz w:val="20"/>
                <w:szCs w:val="20"/>
              </w:rPr>
            </w:pPr>
            <w:r w:rsidRPr="00806048">
              <w:rPr>
                <w:i/>
                <w:sz w:val="20"/>
                <w:szCs w:val="20"/>
              </w:rPr>
              <w:t>Entrepreneurship and risk taking</w:t>
            </w:r>
          </w:p>
          <w:p w14:paraId="12831DBE" w14:textId="77777777" w:rsidR="00D66557" w:rsidRPr="00806048" w:rsidRDefault="00D66557" w:rsidP="00D66557">
            <w:pPr>
              <w:spacing w:line="276" w:lineRule="auto"/>
              <w:rPr>
                <w:sz w:val="20"/>
                <w:szCs w:val="20"/>
              </w:rPr>
            </w:pPr>
          </w:p>
        </w:tc>
        <w:tc>
          <w:tcPr>
            <w:tcW w:w="1973" w:type="dxa"/>
          </w:tcPr>
          <w:p w14:paraId="4B18AF94" w14:textId="77777777" w:rsidR="00D66557" w:rsidRPr="00806048" w:rsidRDefault="00D66557" w:rsidP="00D66557">
            <w:pPr>
              <w:spacing w:line="276" w:lineRule="auto"/>
              <w:rPr>
                <w:sz w:val="20"/>
                <w:szCs w:val="20"/>
              </w:rPr>
            </w:pPr>
            <w:r w:rsidRPr="00806048">
              <w:rPr>
                <w:sz w:val="20"/>
                <w:szCs w:val="20"/>
              </w:rPr>
              <w:t>Poterba (1989)</w:t>
            </w:r>
          </w:p>
        </w:tc>
        <w:tc>
          <w:tcPr>
            <w:tcW w:w="2118" w:type="dxa"/>
          </w:tcPr>
          <w:p w14:paraId="0D14AB64" w14:textId="77777777" w:rsidR="00D66557" w:rsidRPr="001430C5" w:rsidRDefault="00D66557" w:rsidP="00D66557">
            <w:pPr>
              <w:spacing w:line="276" w:lineRule="auto"/>
              <w:rPr>
                <w:sz w:val="20"/>
                <w:szCs w:val="20"/>
              </w:rPr>
            </w:pPr>
            <w:r>
              <w:rPr>
                <w:sz w:val="20"/>
                <w:szCs w:val="20"/>
              </w:rPr>
              <w:t>Venture Economics, 1977-1988</w:t>
            </w:r>
          </w:p>
        </w:tc>
        <w:tc>
          <w:tcPr>
            <w:tcW w:w="4352" w:type="dxa"/>
          </w:tcPr>
          <w:p w14:paraId="6CFFE102" w14:textId="77777777" w:rsidR="00D66557" w:rsidRPr="001430C5" w:rsidRDefault="00D66557" w:rsidP="00D66557">
            <w:pPr>
              <w:spacing w:line="276" w:lineRule="auto"/>
              <w:rPr>
                <w:sz w:val="20"/>
                <w:szCs w:val="20"/>
              </w:rPr>
            </w:pPr>
            <w:r>
              <w:rPr>
                <w:sz w:val="20"/>
                <w:szCs w:val="20"/>
              </w:rPr>
              <w:t>Amount of capital supplied – investor class</w:t>
            </w:r>
          </w:p>
        </w:tc>
        <w:tc>
          <w:tcPr>
            <w:tcW w:w="1507" w:type="dxa"/>
          </w:tcPr>
          <w:p w14:paraId="2F680715" w14:textId="77777777" w:rsidR="00D66557" w:rsidRPr="001430C5" w:rsidRDefault="00D66557" w:rsidP="00D66557">
            <w:pPr>
              <w:spacing w:line="276" w:lineRule="auto"/>
              <w:rPr>
                <w:sz w:val="20"/>
                <w:szCs w:val="20"/>
              </w:rPr>
            </w:pPr>
            <w:r>
              <w:rPr>
                <w:sz w:val="20"/>
                <w:szCs w:val="20"/>
              </w:rPr>
              <w:t>Calculation of proportions</w:t>
            </w:r>
          </w:p>
        </w:tc>
        <w:tc>
          <w:tcPr>
            <w:tcW w:w="2955" w:type="dxa"/>
          </w:tcPr>
          <w:p w14:paraId="44E4861F" w14:textId="77777777" w:rsidR="00D66557" w:rsidRDefault="00D66557" w:rsidP="00D66557">
            <w:pPr>
              <w:spacing w:line="276" w:lineRule="auto"/>
              <w:rPr>
                <w:sz w:val="20"/>
                <w:szCs w:val="20"/>
              </w:rPr>
            </w:pPr>
            <w:r>
              <w:rPr>
                <w:sz w:val="20"/>
                <w:szCs w:val="20"/>
              </w:rPr>
              <w:t>Fraction of total venture finance from tax-exempt=33.5%</w:t>
            </w:r>
          </w:p>
          <w:p w14:paraId="0DFA36C5" w14:textId="77777777" w:rsidR="00D66557" w:rsidRPr="001430C5" w:rsidRDefault="00D66557" w:rsidP="00D66557">
            <w:pPr>
              <w:spacing w:line="276" w:lineRule="auto"/>
              <w:rPr>
                <w:sz w:val="20"/>
                <w:szCs w:val="20"/>
              </w:rPr>
            </w:pPr>
            <w:r>
              <w:rPr>
                <w:sz w:val="20"/>
                <w:szCs w:val="20"/>
              </w:rPr>
              <w:t>Fraction of new venture finance from tax-exempt=58.8% (1988)</w:t>
            </w:r>
          </w:p>
        </w:tc>
      </w:tr>
      <w:tr w:rsidR="00D66557" w:rsidRPr="001430C5" w14:paraId="1DA5BC30" w14:textId="77777777" w:rsidTr="00D66557">
        <w:trPr>
          <w:trHeight w:val="1840"/>
          <w:jc w:val="center"/>
        </w:trPr>
        <w:tc>
          <w:tcPr>
            <w:tcW w:w="2049" w:type="dxa"/>
            <w:vMerge/>
          </w:tcPr>
          <w:p w14:paraId="3C6F842F" w14:textId="77777777" w:rsidR="00D66557" w:rsidRPr="00806048" w:rsidRDefault="00D66557" w:rsidP="00D66557">
            <w:pPr>
              <w:spacing w:line="276" w:lineRule="auto"/>
              <w:rPr>
                <w:sz w:val="20"/>
                <w:szCs w:val="20"/>
              </w:rPr>
            </w:pPr>
          </w:p>
        </w:tc>
        <w:tc>
          <w:tcPr>
            <w:tcW w:w="1973" w:type="dxa"/>
          </w:tcPr>
          <w:p w14:paraId="1D2ED744" w14:textId="77777777" w:rsidR="00D66557" w:rsidRPr="00806048" w:rsidRDefault="00D66557" w:rsidP="00D66557">
            <w:pPr>
              <w:spacing w:line="276" w:lineRule="auto"/>
              <w:rPr>
                <w:sz w:val="20"/>
                <w:szCs w:val="20"/>
              </w:rPr>
            </w:pPr>
            <w:r w:rsidRPr="00806048">
              <w:rPr>
                <w:sz w:val="20"/>
                <w:szCs w:val="20"/>
              </w:rPr>
              <w:t>Gompers and Lerner (1998)</w:t>
            </w:r>
          </w:p>
        </w:tc>
        <w:tc>
          <w:tcPr>
            <w:tcW w:w="2118" w:type="dxa"/>
          </w:tcPr>
          <w:p w14:paraId="29051D87" w14:textId="77777777" w:rsidR="00D66557" w:rsidRPr="001430C5" w:rsidRDefault="00D66557" w:rsidP="00D66557">
            <w:pPr>
              <w:spacing w:line="276" w:lineRule="auto"/>
              <w:rPr>
                <w:sz w:val="20"/>
                <w:szCs w:val="20"/>
              </w:rPr>
            </w:pPr>
            <w:r>
              <w:rPr>
                <w:sz w:val="20"/>
                <w:szCs w:val="20"/>
              </w:rPr>
              <w:t>Venture Economics, 1972-1994, annual</w:t>
            </w:r>
          </w:p>
        </w:tc>
        <w:tc>
          <w:tcPr>
            <w:tcW w:w="4352" w:type="dxa"/>
          </w:tcPr>
          <w:p w14:paraId="444A8502" w14:textId="77777777" w:rsidR="00D66557" w:rsidRPr="00A5129D" w:rsidRDefault="00D66557" w:rsidP="00D66557">
            <w:pPr>
              <w:spacing w:line="276" w:lineRule="auto"/>
              <w:rPr>
                <w:sz w:val="20"/>
                <w:szCs w:val="20"/>
              </w:rPr>
            </w:pPr>
            <w:r>
              <w:rPr>
                <w:sz w:val="20"/>
                <w:szCs w:val="20"/>
              </w:rPr>
              <w:t>Capital gains tax rate - Ln of real commitments to the venture capital industry (in millions of 1994 dollars). Controls: Ln of market value of firms brought public by venture organizations previous year – real return on treasury bills previous year – and more</w:t>
            </w:r>
          </w:p>
        </w:tc>
        <w:tc>
          <w:tcPr>
            <w:tcW w:w="1507" w:type="dxa"/>
          </w:tcPr>
          <w:p w14:paraId="79DD63B5" w14:textId="77777777" w:rsidR="00D66557" w:rsidRPr="001430C5" w:rsidRDefault="00D66557" w:rsidP="00D66557">
            <w:pPr>
              <w:spacing w:line="276" w:lineRule="auto"/>
              <w:rPr>
                <w:sz w:val="20"/>
                <w:szCs w:val="20"/>
              </w:rPr>
            </w:pPr>
            <w:r>
              <w:rPr>
                <w:sz w:val="20"/>
                <w:szCs w:val="20"/>
              </w:rPr>
              <w:t xml:space="preserve">Multivariate regressions, </w:t>
            </w:r>
          </w:p>
        </w:tc>
        <w:tc>
          <w:tcPr>
            <w:tcW w:w="2955" w:type="dxa"/>
          </w:tcPr>
          <w:p w14:paraId="3D47099F" w14:textId="77777777" w:rsidR="00D66557" w:rsidRDefault="00D66557" w:rsidP="00D66557">
            <w:pPr>
              <w:spacing w:line="276" w:lineRule="auto"/>
              <w:rPr>
                <w:sz w:val="20"/>
                <w:szCs w:val="20"/>
              </w:rPr>
            </w:pPr>
            <w:r>
              <w:rPr>
                <w:sz w:val="20"/>
                <w:szCs w:val="20"/>
              </w:rPr>
              <w:t xml:space="preserve">Coefficient of CGT rate on real commitments= -3.835 </w:t>
            </w:r>
          </w:p>
          <w:p w14:paraId="6948DDC5" w14:textId="77777777" w:rsidR="00D66557" w:rsidRDefault="00D66557" w:rsidP="00D66557">
            <w:pPr>
              <w:spacing w:line="276" w:lineRule="auto"/>
              <w:rPr>
                <w:sz w:val="20"/>
                <w:szCs w:val="20"/>
              </w:rPr>
            </w:pPr>
            <w:r>
              <w:rPr>
                <w:sz w:val="20"/>
                <w:szCs w:val="20"/>
              </w:rPr>
              <w:t>St. dev= -1.66</w:t>
            </w:r>
          </w:p>
          <w:p w14:paraId="2B70B392" w14:textId="77777777" w:rsidR="00D66557" w:rsidRPr="001430C5" w:rsidRDefault="00D66557" w:rsidP="00D66557">
            <w:pPr>
              <w:spacing w:line="276" w:lineRule="auto"/>
              <w:rPr>
                <w:sz w:val="20"/>
                <w:szCs w:val="20"/>
              </w:rPr>
            </w:pPr>
            <w:r>
              <w:rPr>
                <w:sz w:val="20"/>
                <w:szCs w:val="20"/>
              </w:rPr>
              <w:t>Adjusted Rsqrd= 0.824</w:t>
            </w:r>
          </w:p>
        </w:tc>
      </w:tr>
      <w:tr w:rsidR="00D66557" w:rsidRPr="001430C5" w14:paraId="7911A393" w14:textId="77777777" w:rsidTr="00D66557">
        <w:trPr>
          <w:trHeight w:val="1553"/>
          <w:jc w:val="center"/>
        </w:trPr>
        <w:tc>
          <w:tcPr>
            <w:tcW w:w="2049" w:type="dxa"/>
            <w:vMerge/>
          </w:tcPr>
          <w:p w14:paraId="7A31303C" w14:textId="77777777" w:rsidR="00D66557" w:rsidRPr="00806048" w:rsidRDefault="00D66557" w:rsidP="00D66557">
            <w:pPr>
              <w:spacing w:line="276" w:lineRule="auto"/>
              <w:rPr>
                <w:sz w:val="20"/>
                <w:szCs w:val="20"/>
              </w:rPr>
            </w:pPr>
          </w:p>
        </w:tc>
        <w:tc>
          <w:tcPr>
            <w:tcW w:w="1973" w:type="dxa"/>
          </w:tcPr>
          <w:p w14:paraId="4C1473D8" w14:textId="77777777" w:rsidR="00D66557" w:rsidRPr="00806048" w:rsidRDefault="00D66557" w:rsidP="00D66557">
            <w:pPr>
              <w:spacing w:line="276" w:lineRule="auto"/>
              <w:rPr>
                <w:sz w:val="20"/>
                <w:szCs w:val="20"/>
              </w:rPr>
            </w:pPr>
            <w:r w:rsidRPr="00806048">
              <w:rPr>
                <w:sz w:val="20"/>
                <w:szCs w:val="20"/>
              </w:rPr>
              <w:t>Gentry (2016)</w:t>
            </w:r>
          </w:p>
        </w:tc>
        <w:tc>
          <w:tcPr>
            <w:tcW w:w="2118" w:type="dxa"/>
          </w:tcPr>
          <w:p w14:paraId="47ACFDA9" w14:textId="77777777" w:rsidR="00D66557" w:rsidRPr="004F5592" w:rsidRDefault="00D66557" w:rsidP="00D66557">
            <w:pPr>
              <w:spacing w:line="276" w:lineRule="auto"/>
              <w:rPr>
                <w:sz w:val="20"/>
                <w:szCs w:val="20"/>
                <w:lang w:val="en-US"/>
              </w:rPr>
            </w:pPr>
            <w:r>
              <w:rPr>
                <w:sz w:val="20"/>
                <w:szCs w:val="20"/>
              </w:rPr>
              <w:t xml:space="preserve">2013 Survey of Consumer Finances, also 1969-2007 tax rate data by </w:t>
            </w:r>
            <w:r w:rsidRPr="004F5592">
              <w:rPr>
                <w:sz w:val="20"/>
                <w:szCs w:val="20"/>
                <w:lang w:val="en-US"/>
              </w:rPr>
              <w:t>Jon Bakija</w:t>
            </w:r>
          </w:p>
          <w:p w14:paraId="528C0E37" w14:textId="77777777" w:rsidR="00D66557" w:rsidRPr="001430C5" w:rsidRDefault="00D66557" w:rsidP="00D66557">
            <w:pPr>
              <w:spacing w:line="276" w:lineRule="auto"/>
              <w:rPr>
                <w:sz w:val="20"/>
                <w:szCs w:val="20"/>
              </w:rPr>
            </w:pPr>
          </w:p>
        </w:tc>
        <w:tc>
          <w:tcPr>
            <w:tcW w:w="4352" w:type="dxa"/>
          </w:tcPr>
          <w:p w14:paraId="620A3B4E" w14:textId="77777777" w:rsidR="00D66557" w:rsidRDefault="00D66557" w:rsidP="00D66557">
            <w:pPr>
              <w:spacing w:line="276" w:lineRule="auto"/>
              <w:rPr>
                <w:sz w:val="20"/>
                <w:szCs w:val="20"/>
              </w:rPr>
            </w:pPr>
            <w:r>
              <w:rPr>
                <w:sz w:val="20"/>
                <w:szCs w:val="20"/>
              </w:rPr>
              <w:t>Capital gains tax rate – real venture capital disbursements per capita</w:t>
            </w:r>
          </w:p>
          <w:p w14:paraId="3D920BAF" w14:textId="77777777" w:rsidR="00D66557" w:rsidRPr="001430C5" w:rsidRDefault="00D66557" w:rsidP="00D66557">
            <w:pPr>
              <w:spacing w:line="276" w:lineRule="auto"/>
              <w:rPr>
                <w:sz w:val="20"/>
                <w:szCs w:val="20"/>
              </w:rPr>
            </w:pPr>
            <w:r>
              <w:rPr>
                <w:sz w:val="20"/>
                <w:szCs w:val="20"/>
              </w:rPr>
              <w:t>Controls: several, similar to Gompers and Lerner</w:t>
            </w:r>
          </w:p>
        </w:tc>
        <w:tc>
          <w:tcPr>
            <w:tcW w:w="1507" w:type="dxa"/>
          </w:tcPr>
          <w:p w14:paraId="26D70514" w14:textId="77777777" w:rsidR="00D66557" w:rsidRPr="001430C5" w:rsidRDefault="00D66557" w:rsidP="00D66557">
            <w:pPr>
              <w:spacing w:line="276" w:lineRule="auto"/>
              <w:rPr>
                <w:sz w:val="20"/>
                <w:szCs w:val="20"/>
              </w:rPr>
            </w:pPr>
            <w:r>
              <w:rPr>
                <w:sz w:val="20"/>
                <w:szCs w:val="20"/>
              </w:rPr>
              <w:t>Regression analysis</w:t>
            </w:r>
          </w:p>
        </w:tc>
        <w:tc>
          <w:tcPr>
            <w:tcW w:w="2955" w:type="dxa"/>
          </w:tcPr>
          <w:p w14:paraId="21EA9534" w14:textId="096E87C8" w:rsidR="00D66557" w:rsidRDefault="00D66557" w:rsidP="00D66557">
            <w:pPr>
              <w:spacing w:line="276" w:lineRule="auto"/>
              <w:rPr>
                <w:sz w:val="20"/>
                <w:szCs w:val="20"/>
              </w:rPr>
            </w:pPr>
            <w:r>
              <w:rPr>
                <w:sz w:val="20"/>
                <w:szCs w:val="20"/>
              </w:rPr>
              <w:t>Coefficient of CGT rate on real disbu</w:t>
            </w:r>
            <w:r w:rsidR="00B10213">
              <w:rPr>
                <w:sz w:val="20"/>
                <w:szCs w:val="20"/>
              </w:rPr>
              <w:t xml:space="preserve">rsements per capita=      </w:t>
            </w:r>
            <w:r>
              <w:rPr>
                <w:sz w:val="20"/>
                <w:szCs w:val="20"/>
              </w:rPr>
              <w:t>-128.33 (-347.87 w/year effects)</w:t>
            </w:r>
          </w:p>
          <w:p w14:paraId="3F6AA390" w14:textId="77777777" w:rsidR="00D66557" w:rsidRPr="001430C5" w:rsidRDefault="00D66557" w:rsidP="00D66557">
            <w:pPr>
              <w:spacing w:line="276" w:lineRule="auto"/>
              <w:rPr>
                <w:sz w:val="20"/>
                <w:szCs w:val="20"/>
              </w:rPr>
            </w:pPr>
            <w:r>
              <w:rPr>
                <w:sz w:val="20"/>
                <w:szCs w:val="20"/>
              </w:rPr>
              <w:t>Significant at the 99% confidence level</w:t>
            </w:r>
          </w:p>
        </w:tc>
      </w:tr>
    </w:tbl>
    <w:p w14:paraId="0855454C" w14:textId="77777777" w:rsidR="00FC0B18" w:rsidRPr="00231B8E" w:rsidRDefault="00FC0B18" w:rsidP="00E145D3">
      <w:pPr>
        <w:pStyle w:val="Heading2"/>
      </w:pPr>
      <w:bookmarkStart w:id="56" w:name="_Toc331344960"/>
      <w:bookmarkStart w:id="57" w:name="_Toc331345813"/>
      <w:r>
        <w:lastRenderedPageBreak/>
        <w:t>Compliance, administrative costs</w:t>
      </w:r>
      <w:bookmarkEnd w:id="56"/>
      <w:bookmarkEnd w:id="57"/>
      <w:r>
        <w:t xml:space="preserve"> </w:t>
      </w:r>
    </w:p>
    <w:p w14:paraId="7F77ED29" w14:textId="74464893" w:rsidR="00FC0B18" w:rsidRDefault="00FC0B18" w:rsidP="00FC0B18">
      <w:pPr>
        <w:spacing w:line="360" w:lineRule="auto"/>
      </w:pPr>
      <w:r>
        <w:t>Capital gains taxes also impose direct costs in the form of administrative and compliance costs. Having to report the specific values of all capital assets takes some time and effort, both for the government and the taxpayers. This cost should be taken into account when evaluating the capital gains tax. A recent study by Speer, Palacios, Lugo &amp; Vaillancourt (2014) points out that in Canada in 2007 individuals reporting capital gains income on average incurred higher compliance costs than those not reporting any capital gains income. The costs appeared to be 13.8 percent higher for those reporting capital gains income. Thus, compliance costs are significant for a capital gains tax. There is no empirical work on the administrative costs of a capital gains tax, but it should be noted that these additional costs exist.</w:t>
      </w:r>
    </w:p>
    <w:p w14:paraId="19D0C8B0" w14:textId="77777777" w:rsidR="00640F51" w:rsidRDefault="00640F51" w:rsidP="00FC0B18">
      <w:pPr>
        <w:spacing w:line="360" w:lineRule="auto"/>
      </w:pPr>
    </w:p>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4"/>
        <w:gridCol w:w="1476"/>
        <w:gridCol w:w="1717"/>
        <w:gridCol w:w="2305"/>
        <w:gridCol w:w="1307"/>
        <w:gridCol w:w="1787"/>
      </w:tblGrid>
      <w:tr w:rsidR="00640F51" w:rsidRPr="00AE339B" w14:paraId="4A1F151C" w14:textId="77777777" w:rsidTr="00640F51">
        <w:trPr>
          <w:trHeight w:val="559"/>
          <w:jc w:val="center"/>
        </w:trPr>
        <w:tc>
          <w:tcPr>
            <w:tcW w:w="2049" w:type="dxa"/>
          </w:tcPr>
          <w:p w14:paraId="0EECBDC1" w14:textId="77777777" w:rsidR="00640F51" w:rsidRPr="00AE339B" w:rsidRDefault="00640F51" w:rsidP="00640F51">
            <w:pPr>
              <w:spacing w:line="276" w:lineRule="auto"/>
            </w:pPr>
            <w:r w:rsidRPr="00AE339B">
              <w:t>Argument</w:t>
            </w:r>
          </w:p>
        </w:tc>
        <w:tc>
          <w:tcPr>
            <w:tcW w:w="1973" w:type="dxa"/>
          </w:tcPr>
          <w:p w14:paraId="2B38545B" w14:textId="77777777" w:rsidR="00640F51" w:rsidRPr="00AE339B" w:rsidRDefault="00640F51" w:rsidP="00640F51">
            <w:pPr>
              <w:spacing w:line="276" w:lineRule="auto"/>
            </w:pPr>
            <w:r w:rsidRPr="00AE339B">
              <w:t>Empirical studies</w:t>
            </w:r>
          </w:p>
        </w:tc>
        <w:tc>
          <w:tcPr>
            <w:tcW w:w="2118" w:type="dxa"/>
          </w:tcPr>
          <w:p w14:paraId="2B08E63A" w14:textId="77777777" w:rsidR="00640F51" w:rsidRPr="00AE339B" w:rsidRDefault="00640F51" w:rsidP="00640F51">
            <w:pPr>
              <w:spacing w:line="276" w:lineRule="auto"/>
            </w:pPr>
            <w:r w:rsidRPr="00AE339B">
              <w:t>Data</w:t>
            </w:r>
            <w:r>
              <w:t>/Sample</w:t>
            </w:r>
          </w:p>
        </w:tc>
        <w:tc>
          <w:tcPr>
            <w:tcW w:w="4352" w:type="dxa"/>
          </w:tcPr>
          <w:p w14:paraId="0F74F745" w14:textId="77777777" w:rsidR="00640F51" w:rsidRPr="00AE339B" w:rsidRDefault="00640F51" w:rsidP="00640F51">
            <w:pPr>
              <w:spacing w:line="276" w:lineRule="auto"/>
            </w:pPr>
            <w:r>
              <w:t>Variables Used</w:t>
            </w:r>
          </w:p>
        </w:tc>
        <w:tc>
          <w:tcPr>
            <w:tcW w:w="1507" w:type="dxa"/>
          </w:tcPr>
          <w:p w14:paraId="153ECE63" w14:textId="77777777" w:rsidR="00640F51" w:rsidRPr="00AE339B" w:rsidRDefault="00640F51" w:rsidP="00640F51">
            <w:pPr>
              <w:spacing w:line="276" w:lineRule="auto"/>
            </w:pPr>
            <w:r>
              <w:t>Model</w:t>
            </w:r>
          </w:p>
        </w:tc>
        <w:tc>
          <w:tcPr>
            <w:tcW w:w="2955" w:type="dxa"/>
          </w:tcPr>
          <w:p w14:paraId="258067E9" w14:textId="77777777" w:rsidR="00640F51" w:rsidRPr="00AE339B" w:rsidRDefault="00640F51" w:rsidP="00640F51">
            <w:pPr>
              <w:spacing w:line="276" w:lineRule="auto"/>
            </w:pPr>
            <w:r>
              <w:t>Results</w:t>
            </w:r>
          </w:p>
        </w:tc>
      </w:tr>
      <w:tr w:rsidR="00640F51" w:rsidRPr="001430C5" w14:paraId="62184892" w14:textId="77777777" w:rsidTr="00640F51">
        <w:trPr>
          <w:trHeight w:val="1406"/>
          <w:jc w:val="center"/>
        </w:trPr>
        <w:tc>
          <w:tcPr>
            <w:tcW w:w="2049" w:type="dxa"/>
            <w:vMerge w:val="restart"/>
          </w:tcPr>
          <w:p w14:paraId="2579A73E" w14:textId="77777777" w:rsidR="00640F51" w:rsidRPr="00806048" w:rsidRDefault="00640F51" w:rsidP="00640F51">
            <w:pPr>
              <w:spacing w:line="276" w:lineRule="auto"/>
              <w:rPr>
                <w:sz w:val="20"/>
                <w:szCs w:val="20"/>
              </w:rPr>
            </w:pPr>
            <w:r w:rsidRPr="00806048">
              <w:rPr>
                <w:i/>
                <w:sz w:val="20"/>
                <w:szCs w:val="20"/>
              </w:rPr>
              <w:t xml:space="preserve">Compliance, administrative costs </w:t>
            </w:r>
          </w:p>
          <w:p w14:paraId="4711C7B8" w14:textId="77777777" w:rsidR="00640F51" w:rsidRPr="00806048" w:rsidRDefault="00640F51" w:rsidP="00640F51">
            <w:pPr>
              <w:spacing w:line="276" w:lineRule="auto"/>
              <w:rPr>
                <w:sz w:val="20"/>
                <w:szCs w:val="20"/>
              </w:rPr>
            </w:pPr>
          </w:p>
        </w:tc>
        <w:tc>
          <w:tcPr>
            <w:tcW w:w="1973" w:type="dxa"/>
          </w:tcPr>
          <w:p w14:paraId="1027C1A7" w14:textId="77777777" w:rsidR="00640F51" w:rsidRPr="00806048" w:rsidRDefault="00640F51" w:rsidP="00640F51">
            <w:pPr>
              <w:spacing w:line="276" w:lineRule="auto"/>
              <w:rPr>
                <w:sz w:val="20"/>
                <w:szCs w:val="20"/>
              </w:rPr>
            </w:pPr>
            <w:r w:rsidRPr="00806048">
              <w:rPr>
                <w:sz w:val="20"/>
                <w:szCs w:val="20"/>
              </w:rPr>
              <w:t>Speer, Palacios, Lugo &amp; Vaillancourt (2014)</w:t>
            </w:r>
          </w:p>
        </w:tc>
        <w:tc>
          <w:tcPr>
            <w:tcW w:w="2118" w:type="dxa"/>
          </w:tcPr>
          <w:p w14:paraId="603CD50B" w14:textId="77777777" w:rsidR="00640F51" w:rsidRPr="001430C5" w:rsidRDefault="00640F51" w:rsidP="00640F51">
            <w:pPr>
              <w:spacing w:line="276" w:lineRule="auto"/>
              <w:rPr>
                <w:sz w:val="20"/>
                <w:szCs w:val="20"/>
              </w:rPr>
            </w:pPr>
            <w:r>
              <w:rPr>
                <w:sz w:val="20"/>
                <w:szCs w:val="20"/>
              </w:rPr>
              <w:t xml:space="preserve">Statistics Canada, </w:t>
            </w:r>
          </w:p>
        </w:tc>
        <w:tc>
          <w:tcPr>
            <w:tcW w:w="4352" w:type="dxa"/>
          </w:tcPr>
          <w:p w14:paraId="18C5FBBD" w14:textId="77777777" w:rsidR="00640F51" w:rsidRPr="001430C5" w:rsidRDefault="00640F51" w:rsidP="00640F51">
            <w:pPr>
              <w:spacing w:line="276" w:lineRule="auto"/>
              <w:rPr>
                <w:sz w:val="20"/>
                <w:szCs w:val="20"/>
              </w:rPr>
            </w:pPr>
            <w:r>
              <w:rPr>
                <w:sz w:val="20"/>
                <w:szCs w:val="20"/>
              </w:rPr>
              <w:t>Capital gains – dollars of compliance costs</w:t>
            </w:r>
          </w:p>
        </w:tc>
        <w:tc>
          <w:tcPr>
            <w:tcW w:w="1507" w:type="dxa"/>
          </w:tcPr>
          <w:p w14:paraId="7E5734FC" w14:textId="77777777" w:rsidR="00640F51" w:rsidRPr="001430C5" w:rsidRDefault="00640F51" w:rsidP="00640F51">
            <w:pPr>
              <w:spacing w:line="276" w:lineRule="auto"/>
              <w:rPr>
                <w:sz w:val="20"/>
                <w:szCs w:val="20"/>
              </w:rPr>
            </w:pPr>
            <w:r>
              <w:rPr>
                <w:sz w:val="20"/>
                <w:szCs w:val="20"/>
              </w:rPr>
              <w:t>Multivariate analysis</w:t>
            </w:r>
          </w:p>
        </w:tc>
        <w:tc>
          <w:tcPr>
            <w:tcW w:w="2955" w:type="dxa"/>
          </w:tcPr>
          <w:p w14:paraId="729891A4" w14:textId="77777777" w:rsidR="00640F51" w:rsidRPr="001430C5" w:rsidRDefault="00640F51" w:rsidP="00640F51">
            <w:pPr>
              <w:spacing w:line="276" w:lineRule="auto"/>
              <w:rPr>
                <w:sz w:val="20"/>
                <w:szCs w:val="20"/>
              </w:rPr>
            </w:pPr>
            <w:r>
              <w:rPr>
                <w:sz w:val="20"/>
                <w:szCs w:val="20"/>
              </w:rPr>
              <w:t>Costs 13.8 percent higher for those reporting capital gains income.</w:t>
            </w:r>
          </w:p>
        </w:tc>
      </w:tr>
      <w:tr w:rsidR="00640F51" w:rsidRPr="001430C5" w14:paraId="475E35F8" w14:textId="77777777" w:rsidTr="00640F51">
        <w:trPr>
          <w:trHeight w:val="1557"/>
          <w:jc w:val="center"/>
        </w:trPr>
        <w:tc>
          <w:tcPr>
            <w:tcW w:w="2049" w:type="dxa"/>
            <w:vMerge/>
          </w:tcPr>
          <w:p w14:paraId="58A4FCF4" w14:textId="77777777" w:rsidR="00640F51" w:rsidRPr="002359AA" w:rsidRDefault="00640F51" w:rsidP="00640F51">
            <w:pPr>
              <w:spacing w:line="276" w:lineRule="auto"/>
              <w:rPr>
                <w:sz w:val="20"/>
                <w:szCs w:val="20"/>
              </w:rPr>
            </w:pPr>
          </w:p>
        </w:tc>
        <w:tc>
          <w:tcPr>
            <w:tcW w:w="1973" w:type="dxa"/>
          </w:tcPr>
          <w:p w14:paraId="4C88F667" w14:textId="77777777" w:rsidR="00640F51" w:rsidRPr="002359AA" w:rsidRDefault="00640F51" w:rsidP="00640F51">
            <w:pPr>
              <w:spacing w:line="276" w:lineRule="auto"/>
              <w:rPr>
                <w:sz w:val="20"/>
                <w:szCs w:val="20"/>
              </w:rPr>
            </w:pPr>
            <w:r w:rsidRPr="002359AA">
              <w:rPr>
                <w:sz w:val="20"/>
                <w:szCs w:val="20"/>
              </w:rPr>
              <w:t>Poterba (1978)</w:t>
            </w:r>
          </w:p>
        </w:tc>
        <w:tc>
          <w:tcPr>
            <w:tcW w:w="2118" w:type="dxa"/>
          </w:tcPr>
          <w:p w14:paraId="3D61BE7C" w14:textId="77777777" w:rsidR="00640F51" w:rsidRPr="001430C5" w:rsidRDefault="00640F51" w:rsidP="00640F51">
            <w:pPr>
              <w:spacing w:line="276" w:lineRule="auto"/>
              <w:rPr>
                <w:sz w:val="20"/>
                <w:szCs w:val="20"/>
              </w:rPr>
            </w:pPr>
            <w:r>
              <w:rPr>
                <w:sz w:val="20"/>
                <w:szCs w:val="20"/>
              </w:rPr>
              <w:t xml:space="preserve">IRS (1983), multiple surveys between 1965 and 1982 </w:t>
            </w:r>
          </w:p>
        </w:tc>
        <w:tc>
          <w:tcPr>
            <w:tcW w:w="4352" w:type="dxa"/>
          </w:tcPr>
          <w:p w14:paraId="69D5788E" w14:textId="77777777" w:rsidR="00640F51" w:rsidRPr="001430C5" w:rsidRDefault="00640F51" w:rsidP="00640F51">
            <w:pPr>
              <w:spacing w:line="276" w:lineRule="auto"/>
              <w:rPr>
                <w:sz w:val="20"/>
                <w:szCs w:val="20"/>
              </w:rPr>
            </w:pPr>
            <w:r>
              <w:rPr>
                <w:sz w:val="20"/>
                <w:szCs w:val="20"/>
              </w:rPr>
              <w:t>Log of voluntary reporting percentage – log of marginal tax rate – time trend</w:t>
            </w:r>
          </w:p>
        </w:tc>
        <w:tc>
          <w:tcPr>
            <w:tcW w:w="1507" w:type="dxa"/>
          </w:tcPr>
          <w:p w14:paraId="3D7ED3CD" w14:textId="77777777" w:rsidR="00640F51" w:rsidRPr="001430C5" w:rsidRDefault="00640F51" w:rsidP="00640F51">
            <w:pPr>
              <w:spacing w:line="276" w:lineRule="auto"/>
              <w:rPr>
                <w:sz w:val="20"/>
                <w:szCs w:val="20"/>
              </w:rPr>
            </w:pPr>
            <w:r>
              <w:rPr>
                <w:sz w:val="20"/>
                <w:szCs w:val="20"/>
              </w:rPr>
              <w:t>Time-series, cross-section</w:t>
            </w:r>
          </w:p>
        </w:tc>
        <w:tc>
          <w:tcPr>
            <w:tcW w:w="2955" w:type="dxa"/>
          </w:tcPr>
          <w:p w14:paraId="45902EBF" w14:textId="77777777" w:rsidR="00640F51" w:rsidRPr="001430C5" w:rsidRDefault="00640F51" w:rsidP="00640F51">
            <w:pPr>
              <w:spacing w:line="276" w:lineRule="auto"/>
              <w:rPr>
                <w:sz w:val="20"/>
                <w:szCs w:val="20"/>
              </w:rPr>
            </w:pPr>
            <w:r>
              <w:rPr>
                <w:sz w:val="20"/>
                <w:szCs w:val="20"/>
              </w:rPr>
              <w:t>Equation 1: Coefficient log of marginal tax rate= -0.410, Rsqrd= 0.68. Equation 2: Coefficent= -.0979 Rsqrd= 0.39</w:t>
            </w:r>
          </w:p>
        </w:tc>
      </w:tr>
    </w:tbl>
    <w:p w14:paraId="5BC0C850" w14:textId="77777777" w:rsidR="002962B6" w:rsidRDefault="002962B6" w:rsidP="00FC0B18">
      <w:pPr>
        <w:spacing w:line="360" w:lineRule="auto"/>
      </w:pPr>
    </w:p>
    <w:p w14:paraId="36D2467D" w14:textId="77777777" w:rsidR="00FC0B18" w:rsidRDefault="00FC0B18" w:rsidP="00E145D3">
      <w:pPr>
        <w:pStyle w:val="Heading2"/>
      </w:pPr>
      <w:bookmarkStart w:id="58" w:name="_Toc331344961"/>
      <w:bookmarkStart w:id="59" w:name="_Toc331345814"/>
      <w:r>
        <w:t>Tax avoidance</w:t>
      </w:r>
      <w:bookmarkEnd w:id="58"/>
      <w:bookmarkEnd w:id="59"/>
    </w:p>
    <w:p w14:paraId="3BE70858" w14:textId="77777777" w:rsidR="00FC0B18" w:rsidRDefault="00FC0B18" w:rsidP="00FC0B18">
      <w:pPr>
        <w:spacing w:line="360" w:lineRule="auto"/>
      </w:pPr>
      <w:r>
        <w:t>Finally, all forms of taxes are subject to tax avoidance. Individuals and corporations try to evade tax by not filing their income taxes correctly. Whether capital gains taxes and tax avoidance are related is the topic of a study by Poterba (1978). He uses time-series data to research the effect of changes in the capital gains tax rate affects taxpayer compliance. The results confirm previous studies and state that a ‘</w:t>
      </w:r>
      <w:r>
        <w:rPr>
          <w:i/>
        </w:rPr>
        <w:t>one percent increase in the marginal tax rate reduces voluntary compliance by between one half and one percent.’</w:t>
      </w:r>
      <w:r>
        <w:t xml:space="preserve"> The results also suggests that at least a quarter of this change is due to different reporting behaviour, and not ‘</w:t>
      </w:r>
      <w:r w:rsidRPr="001D737D">
        <w:rPr>
          <w:i/>
        </w:rPr>
        <w:t>more substantive behavioural distortions</w:t>
      </w:r>
      <w:r>
        <w:t xml:space="preserve">’. This has some implication on the previously mentioned studies that reported decreased amounts of </w:t>
      </w:r>
      <w:r>
        <w:lastRenderedPageBreak/>
        <w:t xml:space="preserve">realisation due to an increase in capital gains tax rate. Poterba suggests that part of this change is due to changed reporting behaviour. </w:t>
      </w:r>
    </w:p>
    <w:p w14:paraId="2937F721" w14:textId="77777777" w:rsidR="00FC0B18" w:rsidRDefault="00FC0B18" w:rsidP="00FC0B18">
      <w:pPr>
        <w:spacing w:line="360" w:lineRule="auto"/>
      </w:pPr>
    </w:p>
    <w:p w14:paraId="63107AB0" w14:textId="26431098" w:rsidR="00FC0B18" w:rsidRPr="00EC4150" w:rsidRDefault="00FC0B18" w:rsidP="00FC0B18">
      <w:pPr>
        <w:spacing w:line="360" w:lineRule="auto"/>
      </w:pPr>
      <w:r>
        <w:t>Auerbach, Burman &amp; Siegel (2000) have built on the analysis of Poterba, using a dataset that includes every realisation of capital gains for a large number of high-income individuals over a period of 10 years.</w:t>
      </w:r>
      <w:r>
        <w:rPr>
          <w:rStyle w:val="FootnoteReference"/>
        </w:rPr>
        <w:footnoteReference w:id="25"/>
      </w:r>
      <w:r>
        <w:t xml:space="preserve"> They confirm the general conclusion made by Poterba. An interesting point made by the authors is that a small group of high-income and high-wealth taxpayers manage to shelter nearly all of their gains with losses. </w:t>
      </w:r>
      <w:r w:rsidR="00EC4150">
        <w:t xml:space="preserve">In their model, they use the expression ‘being in region C’ for this fact. </w:t>
      </w:r>
      <w:r w:rsidR="006E04F0">
        <w:t>Region C concerns taxpayers with total losses (short term and long term) in excess of $3.000, which can be used to offset against gains.</w:t>
      </w:r>
      <w:r w:rsidR="002479CD">
        <w:t xml:space="preserve"> </w:t>
      </w:r>
      <w:r w:rsidR="00764D4D">
        <w:t>The fact that this group of individuals is able to avoid taxes</w:t>
      </w:r>
      <w:r>
        <w:t xml:space="preserve"> </w:t>
      </w:r>
      <w:r w:rsidR="00674079">
        <w:t xml:space="preserve">this way </w:t>
      </w:r>
      <w:r>
        <w:t>implies a regressive effect of a capital gains tax for the very affluent, which is not wanted for from an equity perspective.</w:t>
      </w:r>
      <w:r w:rsidR="00640F51">
        <w:t xml:space="preserve"> </w:t>
      </w:r>
    </w:p>
    <w:p w14:paraId="0AACAD93" w14:textId="77777777" w:rsidR="00640F51" w:rsidRDefault="00640F51"/>
    <w:tbl>
      <w:tblPr>
        <w:tblpPr w:leftFromText="141" w:rightFromText="141" w:vertAnchor="text" w:horzAnchor="page" w:tblpXSpec="center" w:tblpY="13"/>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
        <w:gridCol w:w="1462"/>
        <w:gridCol w:w="1733"/>
        <w:gridCol w:w="2378"/>
        <w:gridCol w:w="1315"/>
        <w:gridCol w:w="1802"/>
      </w:tblGrid>
      <w:tr w:rsidR="00640F51" w:rsidRPr="00AE339B" w14:paraId="76606BF8" w14:textId="77777777" w:rsidTr="00640F51">
        <w:trPr>
          <w:trHeight w:val="559"/>
          <w:jc w:val="center"/>
        </w:trPr>
        <w:tc>
          <w:tcPr>
            <w:tcW w:w="2049" w:type="dxa"/>
          </w:tcPr>
          <w:p w14:paraId="2BD269D5" w14:textId="77777777" w:rsidR="00640F51" w:rsidRPr="00AE339B" w:rsidRDefault="00640F51" w:rsidP="00640F51">
            <w:pPr>
              <w:spacing w:line="276" w:lineRule="auto"/>
            </w:pPr>
            <w:r w:rsidRPr="00AE339B">
              <w:t>Argument</w:t>
            </w:r>
          </w:p>
        </w:tc>
        <w:tc>
          <w:tcPr>
            <w:tcW w:w="1973" w:type="dxa"/>
          </w:tcPr>
          <w:p w14:paraId="4232CC8C" w14:textId="77777777" w:rsidR="00640F51" w:rsidRPr="00AE339B" w:rsidRDefault="00640F51" w:rsidP="00640F51">
            <w:pPr>
              <w:spacing w:line="276" w:lineRule="auto"/>
            </w:pPr>
            <w:r w:rsidRPr="00AE339B">
              <w:t>Empirical studies</w:t>
            </w:r>
          </w:p>
        </w:tc>
        <w:tc>
          <w:tcPr>
            <w:tcW w:w="2118" w:type="dxa"/>
          </w:tcPr>
          <w:p w14:paraId="31DDEB3B" w14:textId="77777777" w:rsidR="00640F51" w:rsidRPr="00AE339B" w:rsidRDefault="00640F51" w:rsidP="00640F51">
            <w:pPr>
              <w:spacing w:line="276" w:lineRule="auto"/>
            </w:pPr>
            <w:r w:rsidRPr="00AE339B">
              <w:t>Data</w:t>
            </w:r>
            <w:r>
              <w:t>/Sample</w:t>
            </w:r>
          </w:p>
        </w:tc>
        <w:tc>
          <w:tcPr>
            <w:tcW w:w="4352" w:type="dxa"/>
          </w:tcPr>
          <w:p w14:paraId="2995FE24" w14:textId="77777777" w:rsidR="00640F51" w:rsidRPr="00AE339B" w:rsidRDefault="00640F51" w:rsidP="00640F51">
            <w:pPr>
              <w:spacing w:line="276" w:lineRule="auto"/>
            </w:pPr>
            <w:r>
              <w:t>Variables Used</w:t>
            </w:r>
          </w:p>
        </w:tc>
        <w:tc>
          <w:tcPr>
            <w:tcW w:w="1507" w:type="dxa"/>
          </w:tcPr>
          <w:p w14:paraId="7A437E65" w14:textId="77777777" w:rsidR="00640F51" w:rsidRPr="00AE339B" w:rsidRDefault="00640F51" w:rsidP="00640F51">
            <w:pPr>
              <w:spacing w:line="276" w:lineRule="auto"/>
            </w:pPr>
            <w:r>
              <w:t>Model</w:t>
            </w:r>
          </w:p>
        </w:tc>
        <w:tc>
          <w:tcPr>
            <w:tcW w:w="2955" w:type="dxa"/>
          </w:tcPr>
          <w:p w14:paraId="0A54E84C" w14:textId="77777777" w:rsidR="00640F51" w:rsidRPr="00AE339B" w:rsidRDefault="00640F51" w:rsidP="00640F51">
            <w:pPr>
              <w:spacing w:line="276" w:lineRule="auto"/>
            </w:pPr>
            <w:r>
              <w:t>Results</w:t>
            </w:r>
          </w:p>
        </w:tc>
      </w:tr>
      <w:tr w:rsidR="00640F51" w:rsidRPr="001430C5" w14:paraId="12951196" w14:textId="77777777" w:rsidTr="00640F51">
        <w:trPr>
          <w:trHeight w:val="2694"/>
          <w:jc w:val="center"/>
        </w:trPr>
        <w:tc>
          <w:tcPr>
            <w:tcW w:w="2049" w:type="dxa"/>
          </w:tcPr>
          <w:p w14:paraId="6C1B0A6B" w14:textId="77777777" w:rsidR="00640F51" w:rsidRPr="002359AA" w:rsidRDefault="00640F51" w:rsidP="00640F51">
            <w:pPr>
              <w:spacing w:line="276" w:lineRule="auto"/>
              <w:rPr>
                <w:i/>
                <w:sz w:val="20"/>
                <w:szCs w:val="20"/>
              </w:rPr>
            </w:pPr>
            <w:r w:rsidRPr="002359AA">
              <w:rPr>
                <w:i/>
                <w:sz w:val="20"/>
                <w:szCs w:val="20"/>
              </w:rPr>
              <w:t>Tax avoidance</w:t>
            </w:r>
          </w:p>
          <w:p w14:paraId="646B987D" w14:textId="77777777" w:rsidR="00640F51" w:rsidRPr="001430C5" w:rsidRDefault="00640F51" w:rsidP="00640F51">
            <w:pPr>
              <w:spacing w:line="276" w:lineRule="auto"/>
              <w:rPr>
                <w:sz w:val="20"/>
                <w:szCs w:val="20"/>
              </w:rPr>
            </w:pPr>
          </w:p>
        </w:tc>
        <w:tc>
          <w:tcPr>
            <w:tcW w:w="1973" w:type="dxa"/>
          </w:tcPr>
          <w:p w14:paraId="0EC5E9BA" w14:textId="77777777" w:rsidR="00640F51" w:rsidRDefault="00640F51" w:rsidP="00640F51">
            <w:pPr>
              <w:spacing w:line="276" w:lineRule="auto"/>
              <w:rPr>
                <w:sz w:val="20"/>
                <w:szCs w:val="20"/>
              </w:rPr>
            </w:pPr>
            <w:r w:rsidRPr="002359AA">
              <w:rPr>
                <w:sz w:val="20"/>
                <w:szCs w:val="20"/>
              </w:rPr>
              <w:t>Auerbach, Burman &amp; Siegel (2000)</w:t>
            </w:r>
          </w:p>
          <w:p w14:paraId="59A430C7" w14:textId="77777777" w:rsidR="00640F51" w:rsidRPr="001430C5" w:rsidRDefault="00640F51" w:rsidP="00640F51">
            <w:pPr>
              <w:spacing w:line="276" w:lineRule="auto"/>
              <w:rPr>
                <w:sz w:val="20"/>
                <w:szCs w:val="20"/>
              </w:rPr>
            </w:pPr>
          </w:p>
        </w:tc>
        <w:tc>
          <w:tcPr>
            <w:tcW w:w="2118" w:type="dxa"/>
          </w:tcPr>
          <w:p w14:paraId="0AF02294" w14:textId="77777777" w:rsidR="00640F51" w:rsidRDefault="00640F51" w:rsidP="00640F51">
            <w:pPr>
              <w:spacing w:line="276" w:lineRule="auto"/>
              <w:rPr>
                <w:sz w:val="20"/>
                <w:szCs w:val="20"/>
              </w:rPr>
            </w:pPr>
            <w:r>
              <w:rPr>
                <w:sz w:val="20"/>
                <w:szCs w:val="20"/>
              </w:rPr>
              <w:t>IRS, 1987-1994, Sales of Capital Assets panel study,</w:t>
            </w:r>
          </w:p>
          <w:p w14:paraId="396B4AE7" w14:textId="77777777" w:rsidR="00640F51" w:rsidRPr="001430C5" w:rsidRDefault="00640F51" w:rsidP="00640F51">
            <w:pPr>
              <w:spacing w:line="276" w:lineRule="auto"/>
              <w:rPr>
                <w:sz w:val="20"/>
                <w:szCs w:val="20"/>
              </w:rPr>
            </w:pPr>
            <w:r>
              <w:rPr>
                <w:sz w:val="20"/>
                <w:szCs w:val="20"/>
              </w:rPr>
              <w:t>Survey of Consumer Finances</w:t>
            </w:r>
          </w:p>
        </w:tc>
        <w:tc>
          <w:tcPr>
            <w:tcW w:w="4352" w:type="dxa"/>
          </w:tcPr>
          <w:p w14:paraId="6425502A" w14:textId="77777777" w:rsidR="00640F51" w:rsidRDefault="00640F51" w:rsidP="00640F51">
            <w:pPr>
              <w:spacing w:line="276" w:lineRule="auto"/>
              <w:rPr>
                <w:sz w:val="20"/>
                <w:szCs w:val="20"/>
              </w:rPr>
            </w:pPr>
            <w:r>
              <w:rPr>
                <w:sz w:val="20"/>
                <w:szCs w:val="20"/>
              </w:rPr>
              <w:t>‘Being in region C’ – percentage of taxpayers with gains and losses in region C – permanent income – imputed wealth level – and more</w:t>
            </w:r>
          </w:p>
          <w:p w14:paraId="068149B5" w14:textId="77777777" w:rsidR="00640F51" w:rsidRDefault="00640F51" w:rsidP="00640F51">
            <w:pPr>
              <w:spacing w:line="276" w:lineRule="auto"/>
              <w:rPr>
                <w:sz w:val="20"/>
                <w:szCs w:val="20"/>
              </w:rPr>
            </w:pPr>
          </w:p>
          <w:p w14:paraId="28F54E31" w14:textId="77777777" w:rsidR="00640F51" w:rsidRPr="001430C5" w:rsidRDefault="00640F51" w:rsidP="00640F51">
            <w:pPr>
              <w:spacing w:line="276" w:lineRule="auto"/>
              <w:rPr>
                <w:sz w:val="20"/>
                <w:szCs w:val="20"/>
              </w:rPr>
            </w:pPr>
          </w:p>
        </w:tc>
        <w:tc>
          <w:tcPr>
            <w:tcW w:w="1507" w:type="dxa"/>
          </w:tcPr>
          <w:p w14:paraId="65C5726F" w14:textId="77777777" w:rsidR="00640F51" w:rsidRPr="001430C5" w:rsidRDefault="00640F51" w:rsidP="00640F51">
            <w:pPr>
              <w:spacing w:line="276" w:lineRule="auto"/>
              <w:rPr>
                <w:sz w:val="20"/>
                <w:szCs w:val="20"/>
              </w:rPr>
            </w:pPr>
            <w:r>
              <w:rPr>
                <w:sz w:val="20"/>
                <w:szCs w:val="20"/>
              </w:rPr>
              <w:t>Multivariate probit analysis</w:t>
            </w:r>
          </w:p>
        </w:tc>
        <w:tc>
          <w:tcPr>
            <w:tcW w:w="2955" w:type="dxa"/>
          </w:tcPr>
          <w:p w14:paraId="62C3F4D9" w14:textId="77777777" w:rsidR="00640F51" w:rsidRPr="001430C5" w:rsidRDefault="00640F51" w:rsidP="00640F51">
            <w:pPr>
              <w:spacing w:line="276" w:lineRule="auto"/>
              <w:rPr>
                <w:sz w:val="20"/>
                <w:szCs w:val="20"/>
              </w:rPr>
            </w:pPr>
            <w:r>
              <w:rPr>
                <w:sz w:val="20"/>
                <w:szCs w:val="20"/>
              </w:rPr>
              <w:t>Tax avoidance increased after 1986, and one-third of the wealthiest taxpayers were in region C (able to realize their gains without immediate tax)</w:t>
            </w:r>
          </w:p>
        </w:tc>
      </w:tr>
    </w:tbl>
    <w:p w14:paraId="05464954" w14:textId="3AA1E2B5" w:rsidR="000F6B31" w:rsidRDefault="000F6B31" w:rsidP="004C2FF4"/>
    <w:p w14:paraId="1923327D" w14:textId="620FE9C2" w:rsidR="006F3978" w:rsidRDefault="006F3978" w:rsidP="00E145D3">
      <w:pPr>
        <w:pStyle w:val="Heading2"/>
      </w:pPr>
      <w:bookmarkStart w:id="60" w:name="_Toc331344962"/>
      <w:bookmarkStart w:id="61" w:name="_Toc331345815"/>
      <w:r>
        <w:t>Conclusion</w:t>
      </w:r>
      <w:bookmarkEnd w:id="60"/>
      <w:bookmarkEnd w:id="61"/>
    </w:p>
    <w:p w14:paraId="535D81EA" w14:textId="6FDC1CFE" w:rsidR="0031558A" w:rsidRDefault="001E1745" w:rsidP="00913AD4">
      <w:pPr>
        <w:spacing w:line="360" w:lineRule="auto"/>
      </w:pPr>
      <w:r>
        <w:t xml:space="preserve">Chapter four treated the theory behind several effects of taxation on portfolio behaviour and risk taking. This chapter looked at the empirics that concerned these arguments. </w:t>
      </w:r>
      <w:r w:rsidR="00913AD4">
        <w:t>Several negative effects arise from the taxation of capital gains on realisation with no interest charged and limited loss offsets</w:t>
      </w:r>
      <w:r w:rsidR="002D76D4">
        <w:t xml:space="preserve">. The empirical evidence backs the statement that lock-in occurs as a result. Multiple studies find significant negative correlations between the </w:t>
      </w:r>
      <w:r w:rsidR="009715E1">
        <w:t>capital gains tax rate and numbers of realisations, probabilities of realisation and realised amounts respectively.</w:t>
      </w:r>
      <w:r w:rsidR="00B20CAB">
        <w:t xml:space="preserve"> Then, </w:t>
      </w:r>
      <w:r w:rsidR="00582F57">
        <w:t>the lock-in effect leads to sub-</w:t>
      </w:r>
      <w:r w:rsidR="00B20CAB">
        <w:t xml:space="preserve">optimally diversified portfolios. Several studies show how lock-in reduces the amount of </w:t>
      </w:r>
      <w:r w:rsidR="00B20CAB">
        <w:lastRenderedPageBreak/>
        <w:t>transactions</w:t>
      </w:r>
      <w:r w:rsidR="00FD66E1">
        <w:t>, which have diversifying value for individuals and society as a whole</w:t>
      </w:r>
      <w:r w:rsidR="00294554">
        <w:t>.</w:t>
      </w:r>
      <w:r w:rsidR="00A00779">
        <w:t xml:space="preserve"> </w:t>
      </w:r>
      <w:r w:rsidR="0034551C">
        <w:t xml:space="preserve">Furthermore, lock-in </w:t>
      </w:r>
      <w:r w:rsidR="00116134">
        <w:t xml:space="preserve">may cause a decrease in government revenue through the reduced amount of </w:t>
      </w:r>
      <w:r w:rsidR="0017656C">
        <w:t>realised capital gains, which present a</w:t>
      </w:r>
      <w:r w:rsidR="003329C4">
        <w:t xml:space="preserve"> source of tax revenue.</w:t>
      </w:r>
      <w:r w:rsidR="00230D56">
        <w:t xml:space="preserve"> Several studies back the theory and show that a reduction in the capital gains tax leads to increased revenue, due to an increase in realisation. However, other studies show the</w:t>
      </w:r>
      <w:r w:rsidR="00E01562">
        <w:t>re are</w:t>
      </w:r>
      <w:r w:rsidR="00230D56">
        <w:t xml:space="preserve"> limits to this feedback effect, </w:t>
      </w:r>
      <w:r w:rsidR="00652620">
        <w:t>since</w:t>
      </w:r>
      <w:r w:rsidR="003A1D23">
        <w:t xml:space="preserve"> the increased revenue may just be </w:t>
      </w:r>
      <w:r w:rsidR="005C4C36">
        <w:t xml:space="preserve">a </w:t>
      </w:r>
      <w:r w:rsidR="00856132">
        <w:t>short-</w:t>
      </w:r>
      <w:r w:rsidR="003A1D23">
        <w:t>term</w:t>
      </w:r>
      <w:r w:rsidR="0050370F">
        <w:t xml:space="preserve"> resp</w:t>
      </w:r>
      <w:r w:rsidR="00E01562">
        <w:t xml:space="preserve">onse to tax reforms, and </w:t>
      </w:r>
      <w:r w:rsidR="00652620">
        <w:t>because the increased revenu</w:t>
      </w:r>
      <w:r w:rsidR="00856132">
        <w:t>e may be due to income shifting from other bases towards capital gains</w:t>
      </w:r>
      <w:r w:rsidR="00E90DE9">
        <w:t xml:space="preserve">. </w:t>
      </w:r>
      <w:r w:rsidR="002A3C2E">
        <w:t>Besides</w:t>
      </w:r>
      <w:r w:rsidR="00B10213">
        <w:t xml:space="preserve">, taxing capital gains reduces entrepreneurship and risk taking. </w:t>
      </w:r>
      <w:r w:rsidR="00BF04AB">
        <w:t xml:space="preserve">The empirical studies presented </w:t>
      </w:r>
      <w:r w:rsidR="00897F9B">
        <w:t>in this chapter</w:t>
      </w:r>
      <w:r w:rsidR="00BF04AB">
        <w:t xml:space="preserve"> show that a capital gains tax is negatively correlated with venture capital financing. </w:t>
      </w:r>
      <w:r w:rsidR="002A3C2E">
        <w:t>Also, compliance costs and tax avoidance turn out to be empirically important.</w:t>
      </w:r>
    </w:p>
    <w:p w14:paraId="5F0B182D" w14:textId="24D55577" w:rsidR="00C95104" w:rsidRPr="00E5725E" w:rsidRDefault="00E5725E" w:rsidP="00E145D3">
      <w:pPr>
        <w:pStyle w:val="Heading1"/>
      </w:pPr>
      <w:bookmarkStart w:id="62" w:name="_Toc331344963"/>
      <w:bookmarkStart w:id="63" w:name="_Toc331345816"/>
      <w:r>
        <w:t>Concluding remarks</w:t>
      </w:r>
      <w:bookmarkEnd w:id="62"/>
      <w:bookmarkEnd w:id="63"/>
      <w:r w:rsidR="00C95104">
        <w:rPr>
          <w:i/>
        </w:rPr>
        <w:t xml:space="preserve"> </w:t>
      </w:r>
    </w:p>
    <w:p w14:paraId="0EA380A8" w14:textId="77777777" w:rsidR="00CB1689" w:rsidRDefault="00646DDD" w:rsidP="00C15C2D">
      <w:pPr>
        <w:spacing w:line="360" w:lineRule="auto"/>
      </w:pPr>
      <w:r>
        <w:t xml:space="preserve">A retrospective capital gains tax, such as proposed by Auerbach (1991), could alleviate some of the aforementioned problems. Lock-in is avoided, because of the interest charged </w:t>
      </w:r>
      <w:r w:rsidR="0056169E">
        <w:t xml:space="preserve">on accrued gains </w:t>
      </w:r>
      <w:r>
        <w:t xml:space="preserve">and </w:t>
      </w:r>
      <w:r w:rsidR="00176B0E">
        <w:t xml:space="preserve">the </w:t>
      </w:r>
      <w:r>
        <w:t xml:space="preserve">symmetrical tax structure. Therefore, </w:t>
      </w:r>
      <w:r w:rsidR="00582F57">
        <w:t>the issues of sub-optimally diversified portfolios and reduced government revenue are solved. The fact that a capital gains tax reduces entrepreneurship and risk taking remains. However,</w:t>
      </w:r>
      <w:r w:rsidR="00DC402B">
        <w:t xml:space="preserve"> the only way to solve this is to exempt capital gains from taxation altogether</w:t>
      </w:r>
      <w:r w:rsidR="00EB14FE">
        <w:t>, which would result in major arbitrage and income shifting opportunities.</w:t>
      </w:r>
      <w:r w:rsidR="00C95104">
        <w:t xml:space="preserve"> As there is a fine line between capital income and labour income, it is not very difficult for entrepreneurs</w:t>
      </w:r>
      <w:r w:rsidR="00A62936">
        <w:t xml:space="preserve"> with respect to employees</w:t>
      </w:r>
      <w:r w:rsidR="00C95104">
        <w:t xml:space="preserve"> to shift their income.</w:t>
      </w:r>
      <w:r w:rsidR="00D65C9F">
        <w:t xml:space="preserve"> </w:t>
      </w:r>
      <w:r w:rsidR="00CF1DC6">
        <w:t>From this perspective, h</w:t>
      </w:r>
      <w:r w:rsidR="00D65C9F">
        <w:t xml:space="preserve">orizontal equity </w:t>
      </w:r>
      <w:r w:rsidR="00CF1DC6">
        <w:t xml:space="preserve">concerns call for not too large </w:t>
      </w:r>
      <w:r w:rsidR="00505B3A">
        <w:t xml:space="preserve">a </w:t>
      </w:r>
      <w:r w:rsidR="00CF1DC6">
        <w:t xml:space="preserve">differential </w:t>
      </w:r>
      <w:r w:rsidR="001F1ED9">
        <w:t>between</w:t>
      </w:r>
      <w:r w:rsidR="00CF1DC6">
        <w:t xml:space="preserve"> capital and labour income taxes</w:t>
      </w:r>
      <w:r w:rsidR="0067020A">
        <w:t>, hence exempting capital gains from taxation altogether is not an option.</w:t>
      </w:r>
      <w:r w:rsidR="00A62936">
        <w:t xml:space="preserve"> </w:t>
      </w:r>
      <w:r w:rsidR="00DB13B9">
        <w:t>The impact of ta</w:t>
      </w:r>
      <w:r w:rsidR="00CC6FF5">
        <w:t xml:space="preserve">x avoidance </w:t>
      </w:r>
      <w:r w:rsidR="00DB13B9">
        <w:t>is</w:t>
      </w:r>
      <w:r w:rsidR="00CC6FF5">
        <w:t xml:space="preserve"> dependent on how well structured a tax system is. If the system is full of flaws, a capital gains tax can do a lot of harm. However, that is in essence not a valid argument against a capital gains tax</w:t>
      </w:r>
      <w:r w:rsidR="00DB13B9">
        <w:t xml:space="preserve">. </w:t>
      </w:r>
      <w:r w:rsidR="00740BD2">
        <w:t xml:space="preserve">The compliance costs for a retrospective capital </w:t>
      </w:r>
      <w:r w:rsidR="00DE0BA2">
        <w:t>gains tax should not differ much from a system that taxes on realisation without charging interest and with limited loss offset</w:t>
      </w:r>
      <w:r w:rsidR="00A6578F">
        <w:t>s</w:t>
      </w:r>
      <w:r w:rsidR="000F29AF">
        <w:t xml:space="preserve">. </w:t>
      </w:r>
      <w:r w:rsidR="00741E4D">
        <w:t>The argument against a retrospective capital gains tax is that it is on an ex-post base no</w:t>
      </w:r>
      <w:r w:rsidR="00CB6967">
        <w:t xml:space="preserve">t equal to accrual taxation, which may </w:t>
      </w:r>
      <w:r w:rsidR="00CB6967">
        <w:lastRenderedPageBreak/>
        <w:t>cause problems regarding fairness.</w:t>
      </w:r>
      <w:r w:rsidR="00790275">
        <w:t xml:space="preserve"> </w:t>
      </w:r>
      <w:r w:rsidR="00FF0D15">
        <w:t>However, many other cases in tax literature rely upon ex-ante equivalence.</w:t>
      </w:r>
      <w:r w:rsidR="009D6520">
        <w:rPr>
          <w:rStyle w:val="FootnoteReference"/>
        </w:rPr>
        <w:footnoteReference w:id="26"/>
      </w:r>
      <w:r w:rsidR="000F29AF">
        <w:t xml:space="preserve"> </w:t>
      </w:r>
    </w:p>
    <w:p w14:paraId="4ACB8F5B" w14:textId="77777777" w:rsidR="00CB1689" w:rsidRDefault="00CB1689" w:rsidP="00C15C2D">
      <w:pPr>
        <w:spacing w:line="360" w:lineRule="auto"/>
      </w:pPr>
    </w:p>
    <w:p w14:paraId="18C3171F" w14:textId="3D10D440" w:rsidR="009E6895" w:rsidRDefault="000F29AF" w:rsidP="00E5725E">
      <w:pPr>
        <w:spacing w:line="360" w:lineRule="auto"/>
      </w:pPr>
      <w:r>
        <w:t xml:space="preserve">Accrual taxation </w:t>
      </w:r>
      <w:r w:rsidR="00C81733">
        <w:t xml:space="preserve">would also solve the lock-in related issues. </w:t>
      </w:r>
      <w:r w:rsidR="00CB1689">
        <w:t>However, with accrual taxation valuation problems arise regarding assets that difficult to value until the moment that they sold. Also, liquidity constraints play a role for individuals that have to pay the accruing taxes. When the taxes concern indivisible assets, liquidity constrained individuals may be forced to sell prematurely in order to be able to pay</w:t>
      </w:r>
      <w:r w:rsidR="00CD2E35">
        <w:t xml:space="preserve">. A compromise would be to tax </w:t>
      </w:r>
      <w:r w:rsidR="007E33CE">
        <w:t xml:space="preserve">gains on </w:t>
      </w:r>
      <w:r w:rsidR="00CD2E35">
        <w:t xml:space="preserve">all liquid assets that are traded in established markets </w:t>
      </w:r>
      <w:r w:rsidR="00F27445">
        <w:t xml:space="preserve">on accrual, and all the other assets </w:t>
      </w:r>
      <w:r w:rsidR="007E33CE">
        <w:t>according to a retrospective capital gains tax</w:t>
      </w:r>
      <w:r w:rsidR="00CD2E35">
        <w:t>.</w:t>
      </w:r>
      <w:r w:rsidR="00453F92">
        <w:t xml:space="preserve"> Looking back on the analyses performed, this is probably the optimal approach in terms of social welfare.</w:t>
      </w:r>
      <w:r w:rsidR="00036C2F">
        <w:t xml:space="preserve"> Further research should be </w:t>
      </w:r>
      <w:r w:rsidR="00152902">
        <w:t>performed regarding retrospective capital taxation in order to give a more defi</w:t>
      </w:r>
      <w:r w:rsidR="00294018">
        <w:t>nite answer to the question of how to structure capital gains tax policy.</w:t>
      </w:r>
    </w:p>
    <w:p w14:paraId="264C4439" w14:textId="77777777" w:rsidR="009E6895" w:rsidRDefault="009E6895" w:rsidP="00E5725E">
      <w:pPr>
        <w:spacing w:line="360" w:lineRule="auto"/>
      </w:pPr>
    </w:p>
    <w:sdt>
      <w:sdtPr>
        <w:rPr>
          <w:rFonts w:asciiTheme="minorHAnsi" w:eastAsiaTheme="minorEastAsia" w:hAnsiTheme="minorHAnsi" w:cstheme="minorBidi"/>
          <w:b w:val="0"/>
          <w:bCs w:val="0"/>
          <w:color w:val="auto"/>
          <w:sz w:val="24"/>
          <w:szCs w:val="24"/>
          <w:lang w:val="en-GB"/>
        </w:rPr>
        <w:id w:val="-1847315593"/>
        <w:docPartObj>
          <w:docPartGallery w:val="Bibliographies"/>
          <w:docPartUnique/>
        </w:docPartObj>
      </w:sdtPr>
      <w:sdtEndPr/>
      <w:sdtContent>
        <w:p w14:paraId="5DB665AE" w14:textId="77777777" w:rsidR="009E6895" w:rsidRDefault="009E6895" w:rsidP="009E6895">
          <w:pPr>
            <w:pStyle w:val="Heading1"/>
          </w:pPr>
        </w:p>
        <w:p w14:paraId="439F0F9B" w14:textId="3967A52B" w:rsidR="009E6895" w:rsidRPr="009E6895" w:rsidRDefault="009E6895" w:rsidP="009E6895">
          <w:pPr>
            <w:pStyle w:val="Heading1"/>
            <w:rPr>
              <w:sz w:val="20"/>
              <w:szCs w:val="20"/>
            </w:rPr>
          </w:pPr>
          <w:r>
            <w:br w:type="column"/>
          </w:r>
          <w:bookmarkStart w:id="64" w:name="_Toc331344364"/>
          <w:bookmarkStart w:id="65" w:name="_Toc331344964"/>
          <w:bookmarkStart w:id="66" w:name="_Toc331345817"/>
          <w:r>
            <w:rPr>
              <w:sz w:val="20"/>
              <w:szCs w:val="20"/>
            </w:rPr>
            <w:lastRenderedPageBreak/>
            <w:t>References</w:t>
          </w:r>
          <w:bookmarkEnd w:id="64"/>
          <w:bookmarkEnd w:id="65"/>
          <w:bookmarkEnd w:id="66"/>
        </w:p>
        <w:sdt>
          <w:sdtPr>
            <w:rPr>
              <w:sz w:val="20"/>
              <w:szCs w:val="20"/>
            </w:rPr>
            <w:id w:val="111145805"/>
            <w:bibliography/>
          </w:sdtPr>
          <w:sdtEndPr/>
          <w:sdtContent>
            <w:p w14:paraId="3CC97589" w14:textId="77777777" w:rsidR="002962B6" w:rsidRPr="002962B6" w:rsidRDefault="002962B6" w:rsidP="002962B6">
              <w:pPr>
                <w:pStyle w:val="Bibliography"/>
                <w:rPr>
                  <w:rFonts w:cs="Times New Roman"/>
                  <w:noProof/>
                  <w:sz w:val="20"/>
                  <w:szCs w:val="20"/>
                  <w:lang w:val="nl-NL"/>
                </w:rPr>
              </w:pPr>
              <w:r w:rsidRPr="002962B6">
                <w:rPr>
                  <w:sz w:val="20"/>
                  <w:szCs w:val="20"/>
                </w:rPr>
                <w:fldChar w:fldCharType="begin"/>
              </w:r>
              <w:r w:rsidRPr="002962B6">
                <w:rPr>
                  <w:sz w:val="20"/>
                  <w:szCs w:val="20"/>
                </w:rPr>
                <w:instrText>BIBLIOGRAPHY</w:instrText>
              </w:r>
              <w:r w:rsidRPr="002962B6">
                <w:rPr>
                  <w:sz w:val="20"/>
                  <w:szCs w:val="20"/>
                </w:rPr>
                <w:fldChar w:fldCharType="separate"/>
              </w:r>
              <w:r w:rsidRPr="002962B6">
                <w:rPr>
                  <w:rFonts w:cs="Times New Roman"/>
                  <w:noProof/>
                  <w:sz w:val="20"/>
                  <w:szCs w:val="20"/>
                  <w:lang w:val="nl-NL"/>
                </w:rPr>
                <w:t xml:space="preserve">Adam Smith Institute. (2010). </w:t>
              </w:r>
              <w:r w:rsidRPr="002962B6">
                <w:rPr>
                  <w:rFonts w:cs="Times New Roman"/>
                  <w:i/>
                  <w:iCs/>
                  <w:noProof/>
                  <w:sz w:val="20"/>
                  <w:szCs w:val="20"/>
                  <w:lang w:val="nl-NL"/>
                </w:rPr>
                <w:t>Estimated revenue losses from Capital Gains Tax increases.</w:t>
              </w:r>
              <w:r w:rsidRPr="002962B6">
                <w:rPr>
                  <w:rFonts w:cs="Times New Roman"/>
                  <w:noProof/>
                  <w:sz w:val="20"/>
                  <w:szCs w:val="20"/>
                  <w:lang w:val="nl-NL"/>
                </w:rPr>
                <w:t xml:space="preserve"> Adam Smith Institute.</w:t>
              </w:r>
            </w:p>
            <w:p w14:paraId="17AEE99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Aiyagari, R. S. (1995). Optimal Capital Income Taxation with Incomplete Markets, Borrowing Constraints, and Constant Discounting. </w:t>
              </w:r>
              <w:r w:rsidRPr="002962B6">
                <w:rPr>
                  <w:rFonts w:cs="Times New Roman"/>
                  <w:i/>
                  <w:iCs/>
                  <w:noProof/>
                  <w:sz w:val="20"/>
                  <w:szCs w:val="20"/>
                  <w:lang w:val="nl-NL"/>
                </w:rPr>
                <w:t>Journal of Political Economy</w:t>
              </w:r>
              <w:r w:rsidRPr="002962B6">
                <w:rPr>
                  <w:rFonts w:cs="Times New Roman"/>
                  <w:noProof/>
                  <w:sz w:val="20"/>
                  <w:szCs w:val="20"/>
                  <w:lang w:val="nl-NL"/>
                </w:rPr>
                <w:t xml:space="preserve"> </w:t>
              </w:r>
              <w:r w:rsidRPr="002962B6">
                <w:rPr>
                  <w:rFonts w:cs="Times New Roman"/>
                  <w:i/>
                  <w:iCs/>
                  <w:noProof/>
                  <w:sz w:val="20"/>
                  <w:szCs w:val="20"/>
                  <w:lang w:val="nl-NL"/>
                </w:rPr>
                <w:t>, 103</w:t>
              </w:r>
              <w:r w:rsidRPr="002962B6">
                <w:rPr>
                  <w:rFonts w:cs="Times New Roman"/>
                  <w:noProof/>
                  <w:sz w:val="20"/>
                  <w:szCs w:val="20"/>
                  <w:lang w:val="nl-NL"/>
                </w:rPr>
                <w:t xml:space="preserve"> (6), 1158-1175.</w:t>
              </w:r>
            </w:p>
            <w:p w14:paraId="2C43A05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Akerlof, G. (1978). The Economics of ‘Tagging’ as Applied to the Optimal Income Tax, Welfare Programs, and Manpower Planning. </w:t>
              </w:r>
              <w:r w:rsidRPr="002962B6">
                <w:rPr>
                  <w:rFonts w:cs="Times New Roman"/>
                  <w:i/>
                  <w:iCs/>
                  <w:noProof/>
                  <w:sz w:val="20"/>
                  <w:szCs w:val="20"/>
                  <w:lang w:val="nl-NL"/>
                </w:rPr>
                <w:t>American Economic Review</w:t>
              </w:r>
              <w:r w:rsidRPr="002962B6">
                <w:rPr>
                  <w:rFonts w:cs="Times New Roman"/>
                  <w:noProof/>
                  <w:sz w:val="20"/>
                  <w:szCs w:val="20"/>
                  <w:lang w:val="nl-NL"/>
                </w:rPr>
                <w:t xml:space="preserve"> </w:t>
              </w:r>
              <w:r w:rsidRPr="002962B6">
                <w:rPr>
                  <w:rFonts w:cs="Times New Roman"/>
                  <w:i/>
                  <w:iCs/>
                  <w:noProof/>
                  <w:sz w:val="20"/>
                  <w:szCs w:val="20"/>
                  <w:lang w:val="nl-NL"/>
                </w:rPr>
                <w:t>, 68</w:t>
              </w:r>
              <w:r w:rsidRPr="002962B6">
                <w:rPr>
                  <w:rFonts w:cs="Times New Roman"/>
                  <w:noProof/>
                  <w:sz w:val="20"/>
                  <w:szCs w:val="20"/>
                  <w:lang w:val="nl-NL"/>
                </w:rPr>
                <w:t>, 8-19.</w:t>
              </w:r>
            </w:p>
            <w:p w14:paraId="396A1D3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Atkinson, A. B., &amp; Stiglitz, J. E. (1980). Lectures on Public Economics. In A. B. Atkinson, &amp; J. E. Stiglitz, </w:t>
              </w:r>
              <w:r w:rsidRPr="002962B6">
                <w:rPr>
                  <w:rFonts w:cs="Times New Roman"/>
                  <w:i/>
                  <w:iCs/>
                  <w:noProof/>
                  <w:sz w:val="20"/>
                  <w:szCs w:val="20"/>
                  <w:lang w:val="nl-NL"/>
                </w:rPr>
                <w:t>Lectures on Public Economics.</w:t>
              </w:r>
              <w:r w:rsidRPr="002962B6">
                <w:rPr>
                  <w:rFonts w:cs="Times New Roman"/>
                  <w:noProof/>
                  <w:sz w:val="20"/>
                  <w:szCs w:val="20"/>
                  <w:lang w:val="nl-NL"/>
                </w:rPr>
                <w:t xml:space="preserve"> </w:t>
              </w:r>
            </w:p>
            <w:p w14:paraId="36EEAB8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Atkinson, A. B., &amp; Stiglitz, J. E. (1976). The Design of Tax Structure: Direct versus Indirect Taxation. </w:t>
              </w:r>
              <w:r w:rsidRPr="002962B6">
                <w:rPr>
                  <w:rFonts w:cs="Times New Roman"/>
                  <w:i/>
                  <w:iCs/>
                  <w:noProof/>
                  <w:sz w:val="20"/>
                  <w:szCs w:val="20"/>
                  <w:lang w:val="nl-NL"/>
                </w:rPr>
                <w:t>Journal of Public Economics</w:t>
              </w:r>
              <w:r w:rsidRPr="002962B6">
                <w:rPr>
                  <w:rFonts w:cs="Times New Roman"/>
                  <w:noProof/>
                  <w:sz w:val="20"/>
                  <w:szCs w:val="20"/>
                  <w:lang w:val="nl-NL"/>
                </w:rPr>
                <w:t xml:space="preserve"> </w:t>
              </w:r>
              <w:r w:rsidRPr="002962B6">
                <w:rPr>
                  <w:rFonts w:cs="Times New Roman"/>
                  <w:i/>
                  <w:iCs/>
                  <w:noProof/>
                  <w:sz w:val="20"/>
                  <w:szCs w:val="20"/>
                  <w:lang w:val="nl-NL"/>
                </w:rPr>
                <w:t>, 6</w:t>
              </w:r>
              <w:r w:rsidRPr="002962B6">
                <w:rPr>
                  <w:rFonts w:cs="Times New Roman"/>
                  <w:noProof/>
                  <w:sz w:val="20"/>
                  <w:szCs w:val="20"/>
                  <w:lang w:val="nl-NL"/>
                </w:rPr>
                <w:t xml:space="preserve"> (1-2), 55-75.</w:t>
              </w:r>
            </w:p>
            <w:p w14:paraId="7D36515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Attanasio, &amp; Weber. (1993). Consumption Growth, the Interest Rate and Aggregation. </w:t>
              </w:r>
              <w:r w:rsidRPr="002962B6">
                <w:rPr>
                  <w:rFonts w:cs="Times New Roman"/>
                  <w:i/>
                  <w:iCs/>
                  <w:noProof/>
                  <w:sz w:val="20"/>
                  <w:szCs w:val="20"/>
                  <w:lang w:val="nl-NL"/>
                </w:rPr>
                <w:t>Review of Economic Studies</w:t>
              </w:r>
              <w:r w:rsidRPr="002962B6">
                <w:rPr>
                  <w:rFonts w:cs="Times New Roman"/>
                  <w:noProof/>
                  <w:sz w:val="20"/>
                  <w:szCs w:val="20"/>
                  <w:lang w:val="nl-NL"/>
                </w:rPr>
                <w:t xml:space="preserve"> </w:t>
              </w:r>
              <w:r w:rsidRPr="002962B6">
                <w:rPr>
                  <w:rFonts w:cs="Times New Roman"/>
                  <w:i/>
                  <w:iCs/>
                  <w:noProof/>
                  <w:sz w:val="20"/>
                  <w:szCs w:val="20"/>
                  <w:lang w:val="nl-NL"/>
                </w:rPr>
                <w:t>, 60</w:t>
              </w:r>
              <w:r w:rsidRPr="002962B6">
                <w:rPr>
                  <w:rFonts w:cs="Times New Roman"/>
                  <w:noProof/>
                  <w:sz w:val="20"/>
                  <w:szCs w:val="20"/>
                  <w:lang w:val="nl-NL"/>
                </w:rPr>
                <w:t xml:space="preserve"> (3), 631-649.</w:t>
              </w:r>
            </w:p>
            <w:p w14:paraId="27DC9DBA"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Attanasio, &amp; Weber. (1995). Is consumption growth consistent with intertemporal optimization? Evidence from the consumer expenditure survey. </w:t>
              </w:r>
              <w:r w:rsidRPr="002962B6">
                <w:rPr>
                  <w:rFonts w:cs="Times New Roman"/>
                  <w:i/>
                  <w:iCs/>
                  <w:noProof/>
                  <w:sz w:val="20"/>
                  <w:szCs w:val="20"/>
                  <w:lang w:val="nl-NL"/>
                </w:rPr>
                <w:t>Journal of Political Economy</w:t>
              </w:r>
              <w:r w:rsidRPr="002962B6">
                <w:rPr>
                  <w:rFonts w:cs="Times New Roman"/>
                  <w:noProof/>
                  <w:sz w:val="20"/>
                  <w:szCs w:val="20"/>
                  <w:lang w:val="nl-NL"/>
                </w:rPr>
                <w:t xml:space="preserve"> </w:t>
              </w:r>
              <w:r w:rsidRPr="002962B6">
                <w:rPr>
                  <w:rFonts w:cs="Times New Roman"/>
                  <w:i/>
                  <w:iCs/>
                  <w:noProof/>
                  <w:sz w:val="20"/>
                  <w:szCs w:val="20"/>
                  <w:lang w:val="nl-NL"/>
                </w:rPr>
                <w:t>, 103</w:t>
              </w:r>
              <w:r w:rsidRPr="002962B6">
                <w:rPr>
                  <w:rFonts w:cs="Times New Roman"/>
                  <w:noProof/>
                  <w:sz w:val="20"/>
                  <w:szCs w:val="20"/>
                  <w:lang w:val="nl-NL"/>
                </w:rPr>
                <w:t xml:space="preserve"> (6), 1121-1157.</w:t>
              </w:r>
            </w:p>
            <w:p w14:paraId="559BB7EB"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Attanasio, O. P., &amp; Weber, G. (2010). Consumption and Saving: Models of Intertemporal Allocation and their Implications for Public Policy. </w:t>
              </w:r>
              <w:r w:rsidRPr="002962B6">
                <w:rPr>
                  <w:rFonts w:cs="Times New Roman"/>
                  <w:i/>
                  <w:iCs/>
                  <w:noProof/>
                  <w:sz w:val="20"/>
                  <w:szCs w:val="20"/>
                  <w:lang w:val="nl-NL"/>
                </w:rPr>
                <w:t>Journal of Economic Literature</w:t>
              </w:r>
              <w:r w:rsidRPr="002962B6">
                <w:rPr>
                  <w:rFonts w:cs="Times New Roman"/>
                  <w:noProof/>
                  <w:sz w:val="20"/>
                  <w:szCs w:val="20"/>
                  <w:lang w:val="nl-NL"/>
                </w:rPr>
                <w:t xml:space="preserve"> </w:t>
              </w:r>
              <w:r w:rsidRPr="002962B6">
                <w:rPr>
                  <w:rFonts w:cs="Times New Roman"/>
                  <w:i/>
                  <w:iCs/>
                  <w:noProof/>
                  <w:sz w:val="20"/>
                  <w:szCs w:val="20"/>
                  <w:lang w:val="nl-NL"/>
                </w:rPr>
                <w:t>, 48</w:t>
              </w:r>
              <w:r w:rsidRPr="002962B6">
                <w:rPr>
                  <w:rFonts w:cs="Times New Roman"/>
                  <w:noProof/>
                  <w:sz w:val="20"/>
                  <w:szCs w:val="20"/>
                  <w:lang w:val="nl-NL"/>
                </w:rPr>
                <w:t xml:space="preserve"> (3), 693-751.</w:t>
              </w:r>
            </w:p>
            <w:p w14:paraId="51EB99E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Auerbach, A. J. (2009). </w:t>
              </w:r>
              <w:r w:rsidRPr="002962B6">
                <w:rPr>
                  <w:rFonts w:cs="Times New Roman"/>
                  <w:i/>
                  <w:iCs/>
                  <w:noProof/>
                  <w:sz w:val="20"/>
                  <w:szCs w:val="20"/>
                  <w:lang w:val="nl-NL"/>
                </w:rPr>
                <w:t>Notes on Taxation and Risk Taking.</w:t>
              </w:r>
              <w:r w:rsidRPr="002962B6">
                <w:rPr>
                  <w:rFonts w:cs="Times New Roman"/>
                  <w:noProof/>
                  <w:sz w:val="20"/>
                  <w:szCs w:val="20"/>
                  <w:lang w:val="nl-NL"/>
                </w:rPr>
                <w:t xml:space="preserve"> Berkeley Law Scholarship Repository .</w:t>
              </w:r>
            </w:p>
            <w:p w14:paraId="567CCD9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Auerbach, A. J. (1991). Retrospective Capital Gains Taxation. </w:t>
              </w:r>
              <w:r w:rsidRPr="002962B6">
                <w:rPr>
                  <w:rFonts w:cs="Times New Roman"/>
                  <w:i/>
                  <w:iCs/>
                  <w:noProof/>
                  <w:sz w:val="20"/>
                  <w:szCs w:val="20"/>
                  <w:lang w:val="nl-NL"/>
                </w:rPr>
                <w:t>The American Economic Review</w:t>
              </w:r>
              <w:r w:rsidRPr="002962B6">
                <w:rPr>
                  <w:rFonts w:cs="Times New Roman"/>
                  <w:noProof/>
                  <w:sz w:val="20"/>
                  <w:szCs w:val="20"/>
                  <w:lang w:val="nl-NL"/>
                </w:rPr>
                <w:t xml:space="preserve"> </w:t>
              </w:r>
              <w:r w:rsidRPr="002962B6">
                <w:rPr>
                  <w:rFonts w:cs="Times New Roman"/>
                  <w:i/>
                  <w:iCs/>
                  <w:noProof/>
                  <w:sz w:val="20"/>
                  <w:szCs w:val="20"/>
                  <w:lang w:val="nl-NL"/>
                </w:rPr>
                <w:t>, 81</w:t>
              </w:r>
              <w:r w:rsidRPr="002962B6">
                <w:rPr>
                  <w:rFonts w:cs="Times New Roman"/>
                  <w:noProof/>
                  <w:sz w:val="20"/>
                  <w:szCs w:val="20"/>
                  <w:lang w:val="nl-NL"/>
                </w:rPr>
                <w:t xml:space="preserve"> (1), 167-178.</w:t>
              </w:r>
            </w:p>
            <w:p w14:paraId="0CE9334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Auerbach, A. J., Burman, L. E., &amp; Siegel, J. M. (2000). Capital Gains Taxation and Tax Avoidance: New Evidence from Panel Data. In J. B. Slemrod, </w:t>
              </w:r>
              <w:r w:rsidRPr="002962B6">
                <w:rPr>
                  <w:rFonts w:cs="Times New Roman"/>
                  <w:i/>
                  <w:iCs/>
                  <w:noProof/>
                  <w:sz w:val="20"/>
                  <w:szCs w:val="20"/>
                  <w:lang w:val="nl-NL"/>
                </w:rPr>
                <w:t>Does Atlas Shrug?</w:t>
              </w:r>
              <w:r w:rsidRPr="002962B6">
                <w:rPr>
                  <w:rFonts w:cs="Times New Roman"/>
                  <w:noProof/>
                  <w:sz w:val="20"/>
                  <w:szCs w:val="20"/>
                  <w:lang w:val="nl-NL"/>
                </w:rPr>
                <w:t xml:space="preserve"> (pp. 355-388). Cambridge: Harvard University Press.</w:t>
              </w:r>
            </w:p>
            <w:p w14:paraId="69607DC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Ayers, B. C., Lefanowicz, C. E., &amp; Robinson, J. R. (2007). Capital Gains Taxes and Acquisition Activity: Evidence of the Lock-in Effect . </w:t>
              </w:r>
              <w:r w:rsidRPr="002962B6">
                <w:rPr>
                  <w:rFonts w:cs="Times New Roman"/>
                  <w:i/>
                  <w:iCs/>
                  <w:noProof/>
                  <w:sz w:val="20"/>
                  <w:szCs w:val="20"/>
                  <w:lang w:val="nl-NL"/>
                </w:rPr>
                <w:t>Contemporary Accounting Research</w:t>
              </w:r>
              <w:r w:rsidRPr="002962B6">
                <w:rPr>
                  <w:rFonts w:cs="Times New Roman"/>
                  <w:noProof/>
                  <w:sz w:val="20"/>
                  <w:szCs w:val="20"/>
                  <w:lang w:val="nl-NL"/>
                </w:rPr>
                <w:t xml:space="preserve"> </w:t>
              </w:r>
              <w:r w:rsidRPr="002962B6">
                <w:rPr>
                  <w:rFonts w:cs="Times New Roman"/>
                  <w:i/>
                  <w:iCs/>
                  <w:noProof/>
                  <w:sz w:val="20"/>
                  <w:szCs w:val="20"/>
                  <w:lang w:val="nl-NL"/>
                </w:rPr>
                <w:t>, 24</w:t>
              </w:r>
              <w:r w:rsidRPr="002962B6">
                <w:rPr>
                  <w:rFonts w:cs="Times New Roman"/>
                  <w:noProof/>
                  <w:sz w:val="20"/>
                  <w:szCs w:val="20"/>
                  <w:lang w:val="nl-NL"/>
                </w:rPr>
                <w:t xml:space="preserve"> (2), 315-344.</w:t>
              </w:r>
            </w:p>
            <w:p w14:paraId="35C57550"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Banks, J., &amp; Diamond, P. A. (2010). The Base for Direct Taxation. </w:t>
              </w:r>
              <w:r w:rsidRPr="002962B6">
                <w:rPr>
                  <w:rFonts w:cs="Times New Roman"/>
                  <w:i/>
                  <w:iCs/>
                  <w:noProof/>
                  <w:sz w:val="20"/>
                  <w:szCs w:val="20"/>
                  <w:lang w:val="nl-NL"/>
                </w:rPr>
                <w:t>The Mirrlees Review</w:t>
              </w:r>
              <w:r w:rsidRPr="002962B6">
                <w:rPr>
                  <w:rFonts w:cs="Times New Roman"/>
                  <w:noProof/>
                  <w:sz w:val="20"/>
                  <w:szCs w:val="20"/>
                  <w:lang w:val="nl-NL"/>
                </w:rPr>
                <w:t xml:space="preserve"> , 548-648.</w:t>
              </w:r>
            </w:p>
            <w:p w14:paraId="73323ED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Benjamin, D., Brown, S., &amp; Shapiro, J. (2006). </w:t>
              </w:r>
              <w:r w:rsidRPr="002962B6">
                <w:rPr>
                  <w:rFonts w:cs="Times New Roman"/>
                  <w:i/>
                  <w:iCs/>
                  <w:noProof/>
                  <w:sz w:val="20"/>
                  <w:szCs w:val="20"/>
                  <w:lang w:val="nl-NL"/>
                </w:rPr>
                <w:t>Who is “Behavioral”? Cognitive Ability and Anomalous Preferences.</w:t>
              </w:r>
              <w:r w:rsidRPr="002962B6">
                <w:rPr>
                  <w:rFonts w:cs="Times New Roman"/>
                  <w:noProof/>
                  <w:sz w:val="20"/>
                  <w:szCs w:val="20"/>
                  <w:lang w:val="nl-NL"/>
                </w:rPr>
                <w:t xml:space="preserve"> Harvard University.</w:t>
              </w:r>
            </w:p>
            <w:p w14:paraId="69A2F5C8"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Boskin, M. (1978). Taxation, Saving, and the Rate of Interest. </w:t>
              </w:r>
              <w:r w:rsidRPr="002962B6">
                <w:rPr>
                  <w:rFonts w:cs="Times New Roman"/>
                  <w:i/>
                  <w:iCs/>
                  <w:noProof/>
                  <w:sz w:val="20"/>
                  <w:szCs w:val="20"/>
                  <w:lang w:val="nl-NL"/>
                </w:rPr>
                <w:t>Journal of Political Economy</w:t>
              </w:r>
              <w:r w:rsidRPr="002962B6">
                <w:rPr>
                  <w:rFonts w:cs="Times New Roman"/>
                  <w:noProof/>
                  <w:sz w:val="20"/>
                  <w:szCs w:val="20"/>
                  <w:lang w:val="nl-NL"/>
                </w:rPr>
                <w:t xml:space="preserve"> </w:t>
              </w:r>
              <w:r w:rsidRPr="002962B6">
                <w:rPr>
                  <w:rFonts w:cs="Times New Roman"/>
                  <w:i/>
                  <w:iCs/>
                  <w:noProof/>
                  <w:sz w:val="20"/>
                  <w:szCs w:val="20"/>
                  <w:lang w:val="nl-NL"/>
                </w:rPr>
                <w:t>, 86</w:t>
              </w:r>
              <w:r w:rsidRPr="002962B6">
                <w:rPr>
                  <w:rFonts w:cs="Times New Roman"/>
                  <w:noProof/>
                  <w:sz w:val="20"/>
                  <w:szCs w:val="20"/>
                  <w:lang w:val="nl-NL"/>
                </w:rPr>
                <w:t xml:space="preserve"> (2), S3-S27.</w:t>
              </w:r>
            </w:p>
            <w:p w14:paraId="2BBBF4C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Bosworth, B. (1984). </w:t>
              </w:r>
              <w:r w:rsidRPr="002962B6">
                <w:rPr>
                  <w:rFonts w:cs="Times New Roman"/>
                  <w:i/>
                  <w:iCs/>
                  <w:noProof/>
                  <w:sz w:val="20"/>
                  <w:szCs w:val="20"/>
                  <w:lang w:val="nl-NL"/>
                </w:rPr>
                <w:t>Tax Incentives and Economic Growth.</w:t>
              </w:r>
              <w:r w:rsidRPr="002962B6">
                <w:rPr>
                  <w:rFonts w:cs="Times New Roman"/>
                  <w:noProof/>
                  <w:sz w:val="20"/>
                  <w:szCs w:val="20"/>
                  <w:lang w:val="nl-NL"/>
                </w:rPr>
                <w:t xml:space="preserve"> The Brookings institution. The Brookings institution.</w:t>
              </w:r>
            </w:p>
            <w:p w14:paraId="64A9C763"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Burman, L. E. (2011). </w:t>
              </w:r>
              <w:r w:rsidRPr="002962B6">
                <w:rPr>
                  <w:rFonts w:cs="Times New Roman"/>
                  <w:i/>
                  <w:iCs/>
                  <w:noProof/>
                  <w:sz w:val="20"/>
                  <w:szCs w:val="20"/>
                  <w:lang w:val="nl-NL"/>
                </w:rPr>
                <w:t>Tax Reform Options: Marginal Rates on High-Income Taxpayers, Capital Gains, and Dividends .</w:t>
              </w:r>
              <w:r w:rsidRPr="002962B6">
                <w:rPr>
                  <w:rFonts w:cs="Times New Roman"/>
                  <w:noProof/>
                  <w:sz w:val="20"/>
                  <w:szCs w:val="20"/>
                  <w:lang w:val="nl-NL"/>
                </w:rPr>
                <w:t xml:space="preserve"> Senate Committee on Finance.</w:t>
              </w:r>
            </w:p>
            <w:p w14:paraId="6053060B"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Carlino, G. A. (1982). "Interest Rate Effects and Intertemporal Consumption". </w:t>
              </w:r>
              <w:r w:rsidRPr="002962B6">
                <w:rPr>
                  <w:rFonts w:cs="Times New Roman"/>
                  <w:i/>
                  <w:iCs/>
                  <w:noProof/>
                  <w:sz w:val="20"/>
                  <w:szCs w:val="20"/>
                  <w:lang w:val="nl-NL"/>
                </w:rPr>
                <w:t>Journal of Monetary Economics</w:t>
              </w:r>
              <w:r w:rsidRPr="002962B6">
                <w:rPr>
                  <w:rFonts w:cs="Times New Roman"/>
                  <w:noProof/>
                  <w:sz w:val="20"/>
                  <w:szCs w:val="20"/>
                  <w:lang w:val="nl-NL"/>
                </w:rPr>
                <w:t xml:space="preserve"> </w:t>
              </w:r>
              <w:r w:rsidRPr="002962B6">
                <w:rPr>
                  <w:rFonts w:cs="Times New Roman"/>
                  <w:i/>
                  <w:iCs/>
                  <w:noProof/>
                  <w:sz w:val="20"/>
                  <w:szCs w:val="20"/>
                  <w:lang w:val="nl-NL"/>
                </w:rPr>
                <w:t>, 9</w:t>
              </w:r>
              <w:r w:rsidRPr="002962B6">
                <w:rPr>
                  <w:rFonts w:cs="Times New Roman"/>
                  <w:noProof/>
                  <w:sz w:val="20"/>
                  <w:szCs w:val="20"/>
                  <w:lang w:val="nl-NL"/>
                </w:rPr>
                <w:t xml:space="preserve"> (2), 223-234.</w:t>
              </w:r>
            </w:p>
            <w:p w14:paraId="6C1BAF1B"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Caro, C. D., &amp; Cebada, E. C. (2016, January 13). Taxation of capital gains and Lock-in effect in the Spanish Dual Income Tax. </w:t>
              </w:r>
              <w:r w:rsidRPr="002962B6">
                <w:rPr>
                  <w:rFonts w:cs="Times New Roman"/>
                  <w:i/>
                  <w:iCs/>
                  <w:noProof/>
                  <w:sz w:val="20"/>
                  <w:szCs w:val="20"/>
                  <w:lang w:val="nl-NL"/>
                </w:rPr>
                <w:t>European Journal of Management and Business Economics</w:t>
              </w:r>
              <w:r w:rsidRPr="002962B6">
                <w:rPr>
                  <w:rFonts w:cs="Times New Roman"/>
                  <w:noProof/>
                  <w:sz w:val="20"/>
                  <w:szCs w:val="20"/>
                  <w:lang w:val="nl-NL"/>
                </w:rPr>
                <w:t xml:space="preserve"> , 15-21.</w:t>
              </w:r>
            </w:p>
            <w:p w14:paraId="7D199A36"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Carroll, C. (2000). Why do the rich save so much? In J. B. Slemrod, </w:t>
              </w:r>
              <w:r w:rsidRPr="002962B6">
                <w:rPr>
                  <w:rFonts w:cs="Times New Roman"/>
                  <w:i/>
                  <w:iCs/>
                  <w:noProof/>
                  <w:sz w:val="20"/>
                  <w:szCs w:val="20"/>
                  <w:lang w:val="nl-NL"/>
                </w:rPr>
                <w:t>Does Atlas Shrug? The economic consequences of taxing the rich</w:t>
              </w:r>
              <w:r w:rsidRPr="002962B6">
                <w:rPr>
                  <w:rFonts w:cs="Times New Roman"/>
                  <w:noProof/>
                  <w:sz w:val="20"/>
                  <w:szCs w:val="20"/>
                  <w:lang w:val="nl-NL"/>
                </w:rPr>
                <w:t xml:space="preserve"> (pp. 463-485). Cambridge: Harvard University Press.</w:t>
              </w:r>
            </w:p>
            <w:p w14:paraId="5A3E101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Christiansen, V. (sd). Norwegian Income Tax Reforms. University of Oslo.</w:t>
              </w:r>
            </w:p>
            <w:p w14:paraId="19FD042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Christiansen, V., &amp; Tuomala, M. (2008). On Taxing Capital Income with Income Shifting. </w:t>
              </w:r>
              <w:r w:rsidRPr="002962B6">
                <w:rPr>
                  <w:rFonts w:cs="Times New Roman"/>
                  <w:i/>
                  <w:iCs/>
                  <w:noProof/>
                  <w:sz w:val="20"/>
                  <w:szCs w:val="20"/>
                  <w:lang w:val="nl-NL"/>
                </w:rPr>
                <w:t>International Tax and Public Finance</w:t>
              </w:r>
              <w:r w:rsidRPr="002962B6">
                <w:rPr>
                  <w:rFonts w:cs="Times New Roman"/>
                  <w:noProof/>
                  <w:sz w:val="20"/>
                  <w:szCs w:val="20"/>
                  <w:lang w:val="nl-NL"/>
                </w:rPr>
                <w:t xml:space="preserve"> </w:t>
              </w:r>
              <w:r w:rsidRPr="002962B6">
                <w:rPr>
                  <w:rFonts w:cs="Times New Roman"/>
                  <w:i/>
                  <w:iCs/>
                  <w:noProof/>
                  <w:sz w:val="20"/>
                  <w:szCs w:val="20"/>
                  <w:lang w:val="nl-NL"/>
                </w:rPr>
                <w:t>, 15</w:t>
              </w:r>
              <w:r w:rsidRPr="002962B6">
                <w:rPr>
                  <w:rFonts w:cs="Times New Roman"/>
                  <w:noProof/>
                  <w:sz w:val="20"/>
                  <w:szCs w:val="20"/>
                  <w:lang w:val="nl-NL"/>
                </w:rPr>
                <w:t xml:space="preserve"> (4), 527-545.</w:t>
              </w:r>
            </w:p>
            <w:p w14:paraId="1A95EB7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Chyz, J. A., &amp; Li, O. Z. (2012). DO TAX SENSITIVE INVESTORS LIQUIDATE APPRECIATED SHARES AFTER A CAPITAL GAINS TAX RATE REDUCTION? . </w:t>
              </w:r>
              <w:r w:rsidRPr="002962B6">
                <w:rPr>
                  <w:rFonts w:cs="Times New Roman"/>
                  <w:i/>
                  <w:iCs/>
                  <w:noProof/>
                  <w:sz w:val="20"/>
                  <w:szCs w:val="20"/>
                  <w:lang w:val="nl-NL"/>
                </w:rPr>
                <w:t>National Tax Journal</w:t>
              </w:r>
              <w:r w:rsidRPr="002962B6">
                <w:rPr>
                  <w:rFonts w:cs="Times New Roman"/>
                  <w:noProof/>
                  <w:sz w:val="20"/>
                  <w:szCs w:val="20"/>
                  <w:lang w:val="nl-NL"/>
                </w:rPr>
                <w:t xml:space="preserve"> </w:t>
              </w:r>
              <w:r w:rsidRPr="002962B6">
                <w:rPr>
                  <w:rFonts w:cs="Times New Roman"/>
                  <w:i/>
                  <w:iCs/>
                  <w:noProof/>
                  <w:sz w:val="20"/>
                  <w:szCs w:val="20"/>
                  <w:lang w:val="nl-NL"/>
                </w:rPr>
                <w:t>, 65</w:t>
              </w:r>
              <w:r w:rsidRPr="002962B6">
                <w:rPr>
                  <w:rFonts w:cs="Times New Roman"/>
                  <w:noProof/>
                  <w:sz w:val="20"/>
                  <w:szCs w:val="20"/>
                  <w:lang w:val="nl-NL"/>
                </w:rPr>
                <w:t xml:space="preserve"> (3), 595-628.</w:t>
              </w:r>
            </w:p>
            <w:p w14:paraId="047637A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Clemens, J., Lammam, C., &amp; Lo, M. (2014). The Economic Costs of Capital Gains Taxes in Canada. In J. Clemens, C. Lammam, &amp; M. Lo, </w:t>
              </w:r>
              <w:r w:rsidRPr="002962B6">
                <w:rPr>
                  <w:rFonts w:cs="Times New Roman"/>
                  <w:i/>
                  <w:iCs/>
                  <w:noProof/>
                  <w:sz w:val="20"/>
                  <w:szCs w:val="20"/>
                  <w:lang w:val="nl-NL"/>
                </w:rPr>
                <w:t>Capital Gains Tax Reform in Canada: Lessons from Abroad</w:t>
              </w:r>
              <w:r w:rsidRPr="002962B6">
                <w:rPr>
                  <w:rFonts w:cs="Times New Roman"/>
                  <w:noProof/>
                  <w:sz w:val="20"/>
                  <w:szCs w:val="20"/>
                  <w:lang w:val="nl-NL"/>
                </w:rPr>
                <w:t xml:space="preserve"> (pp. 1-37). Canada: The Fraser Institute.</w:t>
              </w:r>
            </w:p>
            <w:p w14:paraId="4640CC5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Cnossen, S. </w:t>
              </w:r>
              <w:r w:rsidRPr="002962B6">
                <w:rPr>
                  <w:rFonts w:cs="Times New Roman"/>
                  <w:i/>
                  <w:iCs/>
                  <w:noProof/>
                  <w:sz w:val="20"/>
                  <w:szCs w:val="20"/>
                  <w:lang w:val="nl-NL"/>
                </w:rPr>
                <w:t>Vermogensrendementsheffing: vondst of miskleun?</w:t>
              </w:r>
              <w:r w:rsidRPr="002962B6">
                <w:rPr>
                  <w:rFonts w:cs="Times New Roman"/>
                  <w:noProof/>
                  <w:sz w:val="20"/>
                  <w:szCs w:val="20"/>
                  <w:lang w:val="nl-NL"/>
                </w:rPr>
                <w:t xml:space="preserve"> Onderzoekcentrum Financieel Economisch Beleid (OCFEB). Erasmus Universiteit Rotterdam.</w:t>
              </w:r>
            </w:p>
            <w:p w14:paraId="3EEC0FE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Conesa, J. C., Kitao, S., &amp; Krueger, D. (2009). Taxing Capital? Not a Bad Idea After All. </w:t>
              </w:r>
              <w:r w:rsidRPr="002962B6">
                <w:rPr>
                  <w:rFonts w:cs="Times New Roman"/>
                  <w:i/>
                  <w:iCs/>
                  <w:noProof/>
                  <w:sz w:val="20"/>
                  <w:szCs w:val="20"/>
                  <w:lang w:val="nl-NL"/>
                </w:rPr>
                <w:t>American Economic Review</w:t>
              </w:r>
              <w:r w:rsidRPr="002962B6">
                <w:rPr>
                  <w:rFonts w:cs="Times New Roman"/>
                  <w:noProof/>
                  <w:sz w:val="20"/>
                  <w:szCs w:val="20"/>
                  <w:lang w:val="nl-NL"/>
                </w:rPr>
                <w:t xml:space="preserve"> </w:t>
              </w:r>
              <w:r w:rsidRPr="002962B6">
                <w:rPr>
                  <w:rFonts w:cs="Times New Roman"/>
                  <w:i/>
                  <w:iCs/>
                  <w:noProof/>
                  <w:sz w:val="20"/>
                  <w:szCs w:val="20"/>
                  <w:lang w:val="nl-NL"/>
                </w:rPr>
                <w:t>, 99</w:t>
              </w:r>
              <w:r w:rsidRPr="002962B6">
                <w:rPr>
                  <w:rFonts w:cs="Times New Roman"/>
                  <w:noProof/>
                  <w:sz w:val="20"/>
                  <w:szCs w:val="20"/>
                  <w:lang w:val="nl-NL"/>
                </w:rPr>
                <w:t xml:space="preserve"> (1), 25-48.</w:t>
              </w:r>
            </w:p>
            <w:p w14:paraId="012BEDA3"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Correia, I. H. (1996). Should Capital Income be Taxed in the Steady State. </w:t>
              </w:r>
              <w:r w:rsidRPr="002962B6">
                <w:rPr>
                  <w:rFonts w:cs="Times New Roman"/>
                  <w:i/>
                  <w:iCs/>
                  <w:noProof/>
                  <w:sz w:val="20"/>
                  <w:szCs w:val="20"/>
                  <w:lang w:val="nl-NL"/>
                </w:rPr>
                <w:t>Journal of Public Economics</w:t>
              </w:r>
              <w:r w:rsidRPr="002962B6">
                <w:rPr>
                  <w:rFonts w:cs="Times New Roman"/>
                  <w:noProof/>
                  <w:sz w:val="20"/>
                  <w:szCs w:val="20"/>
                  <w:lang w:val="nl-NL"/>
                </w:rPr>
                <w:t xml:space="preserve"> </w:t>
              </w:r>
              <w:r w:rsidRPr="002962B6">
                <w:rPr>
                  <w:rFonts w:cs="Times New Roman"/>
                  <w:i/>
                  <w:iCs/>
                  <w:noProof/>
                  <w:sz w:val="20"/>
                  <w:szCs w:val="20"/>
                  <w:lang w:val="nl-NL"/>
                </w:rPr>
                <w:t>, 60</w:t>
              </w:r>
              <w:r w:rsidRPr="002962B6">
                <w:rPr>
                  <w:rFonts w:cs="Times New Roman"/>
                  <w:noProof/>
                  <w:sz w:val="20"/>
                  <w:szCs w:val="20"/>
                  <w:lang w:val="nl-NL"/>
                </w:rPr>
                <w:t xml:space="preserve"> (1), 147-151.</w:t>
              </w:r>
            </w:p>
            <w:p w14:paraId="0D484755"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Cremer, H., Pestieau, P., &amp; Rochet, J.-C. (2001). Direct versus Indirect Taxation: The Design of Tax Structure Revisited. </w:t>
              </w:r>
              <w:r w:rsidRPr="002962B6">
                <w:rPr>
                  <w:rFonts w:cs="Times New Roman"/>
                  <w:i/>
                  <w:iCs/>
                  <w:noProof/>
                  <w:sz w:val="20"/>
                  <w:szCs w:val="20"/>
                  <w:lang w:val="nl-NL"/>
                </w:rPr>
                <w:t>International Economic Review</w:t>
              </w:r>
              <w:r w:rsidRPr="002962B6">
                <w:rPr>
                  <w:rFonts w:cs="Times New Roman"/>
                  <w:noProof/>
                  <w:sz w:val="20"/>
                  <w:szCs w:val="20"/>
                  <w:lang w:val="nl-NL"/>
                </w:rPr>
                <w:t xml:space="preserve"> </w:t>
              </w:r>
              <w:r w:rsidRPr="002962B6">
                <w:rPr>
                  <w:rFonts w:cs="Times New Roman"/>
                  <w:i/>
                  <w:iCs/>
                  <w:noProof/>
                  <w:sz w:val="20"/>
                  <w:szCs w:val="20"/>
                  <w:lang w:val="nl-NL"/>
                </w:rPr>
                <w:t>, 42</w:t>
              </w:r>
              <w:r w:rsidRPr="002962B6">
                <w:rPr>
                  <w:rFonts w:cs="Times New Roman"/>
                  <w:noProof/>
                  <w:sz w:val="20"/>
                  <w:szCs w:val="20"/>
                  <w:lang w:val="nl-NL"/>
                </w:rPr>
                <w:t xml:space="preserve"> (3), 781-799.</w:t>
              </w:r>
            </w:p>
            <w:p w14:paraId="28E53570"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Dai, Maydew, Shackelford, &amp; Zhang. (2006). </w:t>
              </w:r>
              <w:r w:rsidRPr="002962B6">
                <w:rPr>
                  <w:rFonts w:cs="Times New Roman"/>
                  <w:i/>
                  <w:iCs/>
                  <w:noProof/>
                  <w:sz w:val="20"/>
                  <w:szCs w:val="20"/>
                  <w:lang w:val="nl-NL"/>
                </w:rPr>
                <w:t>Capital gains taxes and asset prices: capitalization or lock in?</w:t>
              </w:r>
              <w:r w:rsidRPr="002962B6">
                <w:rPr>
                  <w:rFonts w:cs="Times New Roman"/>
                  <w:noProof/>
                  <w:sz w:val="20"/>
                  <w:szCs w:val="20"/>
                  <w:lang w:val="nl-NL"/>
                </w:rPr>
                <w:t xml:space="preserve"> National Bureau of Economic Research.</w:t>
              </w:r>
            </w:p>
            <w:p w14:paraId="7C3FD97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lastRenderedPageBreak/>
                <w:t xml:space="preserve">Daunfeldt, Praski-Stahlgren, &amp; Rudholm. (2009). Do high taxes lock-in capital gains? Evidence from a dual income tax system. </w:t>
              </w:r>
              <w:r w:rsidRPr="002962B6">
                <w:rPr>
                  <w:rFonts w:cs="Times New Roman"/>
                  <w:i/>
                  <w:iCs/>
                  <w:noProof/>
                  <w:sz w:val="20"/>
                  <w:szCs w:val="20"/>
                  <w:lang w:val="nl-NL"/>
                </w:rPr>
                <w:t>Public Choice</w:t>
              </w:r>
              <w:r w:rsidRPr="002962B6">
                <w:rPr>
                  <w:rFonts w:cs="Times New Roman"/>
                  <w:noProof/>
                  <w:sz w:val="20"/>
                  <w:szCs w:val="20"/>
                  <w:lang w:val="nl-NL"/>
                </w:rPr>
                <w:t xml:space="preserve"> </w:t>
              </w:r>
              <w:r w:rsidRPr="002962B6">
                <w:rPr>
                  <w:rFonts w:cs="Times New Roman"/>
                  <w:i/>
                  <w:iCs/>
                  <w:noProof/>
                  <w:sz w:val="20"/>
                  <w:szCs w:val="20"/>
                  <w:lang w:val="nl-NL"/>
                </w:rPr>
                <w:t>, 145</w:t>
              </w:r>
              <w:r w:rsidRPr="002962B6">
                <w:rPr>
                  <w:rFonts w:cs="Times New Roman"/>
                  <w:noProof/>
                  <w:sz w:val="20"/>
                  <w:szCs w:val="20"/>
                  <w:lang w:val="nl-NL"/>
                </w:rPr>
                <w:t>, 25-38.</w:t>
              </w:r>
            </w:p>
            <w:p w14:paraId="3885E51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Diamond, P. A., &amp; Saez, E. (2011). The Case for a Progressive Income Tax. </w:t>
              </w:r>
              <w:r w:rsidRPr="002962B6">
                <w:rPr>
                  <w:rFonts w:cs="Times New Roman"/>
                  <w:i/>
                  <w:iCs/>
                  <w:noProof/>
                  <w:sz w:val="20"/>
                  <w:szCs w:val="20"/>
                  <w:lang w:val="nl-NL"/>
                </w:rPr>
                <w:t>Journal of Economic Perspectives</w:t>
              </w:r>
              <w:r w:rsidRPr="002962B6">
                <w:rPr>
                  <w:rFonts w:cs="Times New Roman"/>
                  <w:noProof/>
                  <w:sz w:val="20"/>
                  <w:szCs w:val="20"/>
                  <w:lang w:val="nl-NL"/>
                </w:rPr>
                <w:t xml:space="preserve"> </w:t>
              </w:r>
              <w:r w:rsidRPr="002962B6">
                <w:rPr>
                  <w:rFonts w:cs="Times New Roman"/>
                  <w:i/>
                  <w:iCs/>
                  <w:noProof/>
                  <w:sz w:val="20"/>
                  <w:szCs w:val="20"/>
                  <w:lang w:val="nl-NL"/>
                </w:rPr>
                <w:t>, 25</w:t>
              </w:r>
              <w:r w:rsidRPr="002962B6">
                <w:rPr>
                  <w:rFonts w:cs="Times New Roman"/>
                  <w:noProof/>
                  <w:sz w:val="20"/>
                  <w:szCs w:val="20"/>
                  <w:lang w:val="nl-NL"/>
                </w:rPr>
                <w:t xml:space="preserve"> (4), 165-190.</w:t>
              </w:r>
            </w:p>
            <w:p w14:paraId="03B33A9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Diamond, P., &amp; Spinnewijn, J. (2011). Capital Income Taxes with Heterogeneous Discount Rates . </w:t>
              </w:r>
              <w:r w:rsidRPr="002962B6">
                <w:rPr>
                  <w:rFonts w:cs="Times New Roman"/>
                  <w:i/>
                  <w:iCs/>
                  <w:noProof/>
                  <w:sz w:val="20"/>
                  <w:szCs w:val="20"/>
                  <w:lang w:val="nl-NL"/>
                </w:rPr>
                <w:t>American Economic Journal: Economic Policy</w:t>
              </w:r>
              <w:r w:rsidRPr="002962B6">
                <w:rPr>
                  <w:rFonts w:cs="Times New Roman"/>
                  <w:noProof/>
                  <w:sz w:val="20"/>
                  <w:szCs w:val="20"/>
                  <w:lang w:val="nl-NL"/>
                </w:rPr>
                <w:t xml:space="preserve"> </w:t>
              </w:r>
              <w:r w:rsidRPr="002962B6">
                <w:rPr>
                  <w:rFonts w:cs="Times New Roman"/>
                  <w:i/>
                  <w:iCs/>
                  <w:noProof/>
                  <w:sz w:val="20"/>
                  <w:szCs w:val="20"/>
                  <w:lang w:val="nl-NL"/>
                </w:rPr>
                <w:t>, 3</w:t>
              </w:r>
              <w:r w:rsidRPr="002962B6">
                <w:rPr>
                  <w:rFonts w:cs="Times New Roman"/>
                  <w:noProof/>
                  <w:sz w:val="20"/>
                  <w:szCs w:val="20"/>
                  <w:lang w:val="nl-NL"/>
                </w:rPr>
                <w:t>, 52-76.</w:t>
              </w:r>
            </w:p>
            <w:p w14:paraId="0DDC71E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Eilbott, P. (1985). The revenue effects of a lower capital gains tax. </w:t>
              </w:r>
              <w:r w:rsidRPr="002962B6">
                <w:rPr>
                  <w:rFonts w:cs="Times New Roman"/>
                  <w:i/>
                  <w:iCs/>
                  <w:noProof/>
                  <w:sz w:val="20"/>
                  <w:szCs w:val="20"/>
                  <w:lang w:val="nl-NL"/>
                </w:rPr>
                <w:t>National Tax Journal</w:t>
              </w:r>
              <w:r w:rsidRPr="002962B6">
                <w:rPr>
                  <w:rFonts w:cs="Times New Roman"/>
                  <w:noProof/>
                  <w:sz w:val="20"/>
                  <w:szCs w:val="20"/>
                  <w:lang w:val="nl-NL"/>
                </w:rPr>
                <w:t xml:space="preserve"> </w:t>
              </w:r>
              <w:r w:rsidRPr="002962B6">
                <w:rPr>
                  <w:rFonts w:cs="Times New Roman"/>
                  <w:i/>
                  <w:iCs/>
                  <w:noProof/>
                  <w:sz w:val="20"/>
                  <w:szCs w:val="20"/>
                  <w:lang w:val="nl-NL"/>
                </w:rPr>
                <w:t>, 38</w:t>
              </w:r>
              <w:r w:rsidRPr="002962B6">
                <w:rPr>
                  <w:rFonts w:cs="Times New Roman"/>
                  <w:noProof/>
                  <w:sz w:val="20"/>
                  <w:szCs w:val="20"/>
                  <w:lang w:val="nl-NL"/>
                </w:rPr>
                <w:t xml:space="preserve"> (4), 553-559.</w:t>
              </w:r>
            </w:p>
            <w:p w14:paraId="5D0A6EBA"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Eilbott, P., &amp; Hersh, L. (1976). </w:t>
              </w:r>
              <w:r w:rsidRPr="002962B6">
                <w:rPr>
                  <w:rFonts w:cs="Times New Roman"/>
                  <w:i/>
                  <w:iCs/>
                  <w:noProof/>
                  <w:sz w:val="20"/>
                  <w:szCs w:val="20"/>
                  <w:lang w:val="nl-NL"/>
                </w:rPr>
                <w:t>Nebraska Journal of Economics &amp; Business. , p21. 13p.</w:t>
              </w:r>
              <w:r w:rsidRPr="002962B6">
                <w:rPr>
                  <w:rFonts w:cs="Times New Roman"/>
                  <w:noProof/>
                  <w:sz w:val="20"/>
                  <w:szCs w:val="20"/>
                  <w:lang w:val="nl-NL"/>
                </w:rPr>
                <w:t xml:space="preserve"> </w:t>
              </w:r>
              <w:r w:rsidRPr="002962B6">
                <w:rPr>
                  <w:rFonts w:cs="Times New Roman"/>
                  <w:i/>
                  <w:iCs/>
                  <w:noProof/>
                  <w:sz w:val="20"/>
                  <w:szCs w:val="20"/>
                  <w:lang w:val="nl-NL"/>
                </w:rPr>
                <w:t xml:space="preserve">, Vol. 15 </w:t>
              </w:r>
              <w:r w:rsidRPr="002962B6">
                <w:rPr>
                  <w:rFonts w:cs="Times New Roman"/>
                  <w:noProof/>
                  <w:sz w:val="20"/>
                  <w:szCs w:val="20"/>
                  <w:lang w:val="nl-NL"/>
                </w:rPr>
                <w:t>(Issue 1), 21-33.</w:t>
              </w:r>
            </w:p>
            <w:p w14:paraId="7446BE2B"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Engelhardt, &amp; Kumar. (2007). </w:t>
              </w:r>
              <w:r w:rsidRPr="002962B6">
                <w:rPr>
                  <w:rFonts w:cs="Times New Roman"/>
                  <w:i/>
                  <w:iCs/>
                  <w:noProof/>
                  <w:sz w:val="20"/>
                  <w:szCs w:val="20"/>
                  <w:lang w:val="nl-NL"/>
                </w:rPr>
                <w:t>The Elasticity of Intertemporal Substitution: New Evidence from 401(k) Participation.</w:t>
              </w:r>
              <w:r w:rsidRPr="002962B6">
                <w:rPr>
                  <w:rFonts w:cs="Times New Roman"/>
                  <w:noProof/>
                  <w:sz w:val="20"/>
                  <w:szCs w:val="20"/>
                  <w:lang w:val="nl-NL"/>
                </w:rPr>
                <w:t xml:space="preserve"> </w:t>
              </w:r>
            </w:p>
            <w:p w14:paraId="58FA675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Engen, E., Gravelle, J., &amp; Smetters, K. A. (1997). Dynamic Tax Models: "Why They Do the Things They Do". </w:t>
              </w:r>
              <w:r w:rsidRPr="002962B6">
                <w:rPr>
                  <w:rFonts w:cs="Times New Roman"/>
                  <w:i/>
                  <w:iCs/>
                  <w:noProof/>
                  <w:sz w:val="20"/>
                  <w:szCs w:val="20"/>
                  <w:lang w:val="nl-NL"/>
                </w:rPr>
                <w:t>National Tax Journal</w:t>
              </w:r>
              <w:r w:rsidRPr="002962B6">
                <w:rPr>
                  <w:rFonts w:cs="Times New Roman"/>
                  <w:noProof/>
                  <w:sz w:val="20"/>
                  <w:szCs w:val="20"/>
                  <w:lang w:val="nl-NL"/>
                </w:rPr>
                <w:t xml:space="preserve"> </w:t>
              </w:r>
              <w:r w:rsidRPr="002962B6">
                <w:rPr>
                  <w:rFonts w:cs="Times New Roman"/>
                  <w:i/>
                  <w:iCs/>
                  <w:noProof/>
                  <w:sz w:val="20"/>
                  <w:szCs w:val="20"/>
                  <w:lang w:val="nl-NL"/>
                </w:rPr>
                <w:t>, 50</w:t>
              </w:r>
              <w:r w:rsidRPr="002962B6">
                <w:rPr>
                  <w:rFonts w:cs="Times New Roman"/>
                  <w:noProof/>
                  <w:sz w:val="20"/>
                  <w:szCs w:val="20"/>
                  <w:lang w:val="nl-NL"/>
                </w:rPr>
                <w:t xml:space="preserve"> (3), 631-656.</w:t>
              </w:r>
            </w:p>
            <w:p w14:paraId="195B47DA"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Erosa, A., &amp; Gervais, M. (2002). Optimal Taxation in Life-Cycle Economies. </w:t>
              </w:r>
              <w:r w:rsidRPr="002962B6">
                <w:rPr>
                  <w:rFonts w:cs="Times New Roman"/>
                  <w:i/>
                  <w:iCs/>
                  <w:noProof/>
                  <w:sz w:val="20"/>
                  <w:szCs w:val="20"/>
                  <w:lang w:val="nl-NL"/>
                </w:rPr>
                <w:t>Journal of Economic Theory</w:t>
              </w:r>
              <w:r w:rsidRPr="002962B6">
                <w:rPr>
                  <w:rFonts w:cs="Times New Roman"/>
                  <w:noProof/>
                  <w:sz w:val="20"/>
                  <w:szCs w:val="20"/>
                  <w:lang w:val="nl-NL"/>
                </w:rPr>
                <w:t xml:space="preserve"> </w:t>
              </w:r>
              <w:r w:rsidRPr="002962B6">
                <w:rPr>
                  <w:rFonts w:cs="Times New Roman"/>
                  <w:i/>
                  <w:iCs/>
                  <w:noProof/>
                  <w:sz w:val="20"/>
                  <w:szCs w:val="20"/>
                  <w:lang w:val="nl-NL"/>
                </w:rPr>
                <w:t>, 105</w:t>
              </w:r>
              <w:r w:rsidRPr="002962B6">
                <w:rPr>
                  <w:rFonts w:cs="Times New Roman"/>
                  <w:noProof/>
                  <w:sz w:val="20"/>
                  <w:szCs w:val="20"/>
                  <w:lang w:val="nl-NL"/>
                </w:rPr>
                <w:t xml:space="preserve"> (2), 338-369.</w:t>
              </w:r>
            </w:p>
            <w:p w14:paraId="5DE0487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European Commission. (2012). Assessment of the 2012 national reform programme and convergence programme for The Netherlands. Brussels.</w:t>
              </w:r>
            </w:p>
            <w:p w14:paraId="0048E80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European Commission. (2015). </w:t>
              </w:r>
              <w:r w:rsidRPr="002962B6">
                <w:rPr>
                  <w:rFonts w:cs="Times New Roman"/>
                  <w:i/>
                  <w:iCs/>
                  <w:noProof/>
                  <w:sz w:val="20"/>
                  <w:szCs w:val="20"/>
                  <w:lang w:val="nl-NL"/>
                </w:rPr>
                <w:t>Taxation Trends in the European Union.</w:t>
              </w:r>
              <w:r w:rsidRPr="002962B6">
                <w:rPr>
                  <w:rFonts w:cs="Times New Roman"/>
                  <w:noProof/>
                  <w:sz w:val="20"/>
                  <w:szCs w:val="20"/>
                  <w:lang w:val="nl-NL"/>
                </w:rPr>
                <w:t xml:space="preserve"> European Commission.</w:t>
              </w:r>
            </w:p>
            <w:p w14:paraId="07F941F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Evans, P. D. (2009). THE RELATIONSHIP BETWEEN REALIZED CAPITAL GAINS AND THEIR MARGINAL RATE OF TAXATION, 1976-2004 . </w:t>
              </w:r>
              <w:r w:rsidRPr="002962B6">
                <w:rPr>
                  <w:rFonts w:cs="Times New Roman"/>
                  <w:i/>
                  <w:iCs/>
                  <w:noProof/>
                  <w:sz w:val="20"/>
                  <w:szCs w:val="20"/>
                  <w:lang w:val="nl-NL"/>
                </w:rPr>
                <w:t>Capital Gains Series</w:t>
              </w:r>
              <w:r w:rsidRPr="002962B6">
                <w:rPr>
                  <w:rFonts w:cs="Times New Roman"/>
                  <w:noProof/>
                  <w:sz w:val="20"/>
                  <w:szCs w:val="20"/>
                  <w:lang w:val="nl-NL"/>
                </w:rPr>
                <w:t xml:space="preserve"> </w:t>
              </w:r>
              <w:r w:rsidRPr="002962B6">
                <w:rPr>
                  <w:rFonts w:cs="Times New Roman"/>
                  <w:i/>
                  <w:iCs/>
                  <w:noProof/>
                  <w:sz w:val="20"/>
                  <w:szCs w:val="20"/>
                  <w:lang w:val="nl-NL"/>
                </w:rPr>
                <w:t>, 2</w:t>
              </w:r>
              <w:r w:rsidRPr="002962B6">
                <w:rPr>
                  <w:rFonts w:cs="Times New Roman"/>
                  <w:noProof/>
                  <w:sz w:val="20"/>
                  <w:szCs w:val="20"/>
                  <w:lang w:val="nl-NL"/>
                </w:rPr>
                <w:t>.</w:t>
              </w:r>
            </w:p>
            <w:p w14:paraId="00652F4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Feldstein, M. S. (1976). Personal taxation and portfolio composition: An econometric analysis. </w:t>
              </w:r>
              <w:r w:rsidRPr="002962B6">
                <w:rPr>
                  <w:rFonts w:cs="Times New Roman"/>
                  <w:i/>
                  <w:iCs/>
                  <w:noProof/>
                  <w:sz w:val="20"/>
                  <w:szCs w:val="20"/>
                  <w:lang w:val="nl-NL"/>
                </w:rPr>
                <w:t>Ecnometrica</w:t>
              </w:r>
              <w:r w:rsidRPr="002962B6">
                <w:rPr>
                  <w:rFonts w:cs="Times New Roman"/>
                  <w:noProof/>
                  <w:sz w:val="20"/>
                  <w:szCs w:val="20"/>
                  <w:lang w:val="nl-NL"/>
                </w:rPr>
                <w:t xml:space="preserve"> </w:t>
              </w:r>
              <w:r w:rsidRPr="002962B6">
                <w:rPr>
                  <w:rFonts w:cs="Times New Roman"/>
                  <w:i/>
                  <w:iCs/>
                  <w:noProof/>
                  <w:sz w:val="20"/>
                  <w:szCs w:val="20"/>
                  <w:lang w:val="nl-NL"/>
                </w:rPr>
                <w:t>, 44</w:t>
              </w:r>
              <w:r w:rsidRPr="002962B6">
                <w:rPr>
                  <w:rFonts w:cs="Times New Roman"/>
                  <w:noProof/>
                  <w:sz w:val="20"/>
                  <w:szCs w:val="20"/>
                  <w:lang w:val="nl-NL"/>
                </w:rPr>
                <w:t>, 631-650.</w:t>
              </w:r>
            </w:p>
            <w:p w14:paraId="44D45B2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Feldstein, M., &amp; Yitzhaki, S. (1978). The Effects Of The Capital Gains Tax On The Selling And Switching Of Common Stock. </w:t>
              </w:r>
              <w:r w:rsidRPr="002962B6">
                <w:rPr>
                  <w:rFonts w:cs="Times New Roman"/>
                  <w:i/>
                  <w:iCs/>
                  <w:noProof/>
                  <w:sz w:val="20"/>
                  <w:szCs w:val="20"/>
                  <w:lang w:val="nl-NL"/>
                </w:rPr>
                <w:t>Journal of Public Economics 9</w:t>
              </w:r>
              <w:r w:rsidRPr="002962B6">
                <w:rPr>
                  <w:rFonts w:cs="Times New Roman"/>
                  <w:noProof/>
                  <w:sz w:val="20"/>
                  <w:szCs w:val="20"/>
                  <w:lang w:val="nl-NL"/>
                </w:rPr>
                <w:t xml:space="preserve"> .</w:t>
              </w:r>
            </w:p>
            <w:p w14:paraId="21B9CEFA"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Feldstein, M., Slemrod, J., &amp; Yitzhaki, S. (1980). The Effects of Taxation on the Selling of Corporate Stock and the Realization of Capital Gains . </w:t>
              </w:r>
              <w:r w:rsidRPr="002962B6">
                <w:rPr>
                  <w:rFonts w:cs="Times New Roman"/>
                  <w:i/>
                  <w:iCs/>
                  <w:noProof/>
                  <w:sz w:val="20"/>
                  <w:szCs w:val="20"/>
                  <w:lang w:val="nl-NL"/>
                </w:rPr>
                <w:t>The Quarterly Journal of Economics</w:t>
              </w:r>
              <w:r w:rsidRPr="002962B6">
                <w:rPr>
                  <w:rFonts w:cs="Times New Roman"/>
                  <w:noProof/>
                  <w:sz w:val="20"/>
                  <w:szCs w:val="20"/>
                  <w:lang w:val="nl-NL"/>
                </w:rPr>
                <w:t xml:space="preserve"> </w:t>
              </w:r>
              <w:r w:rsidRPr="002962B6">
                <w:rPr>
                  <w:rFonts w:cs="Times New Roman"/>
                  <w:i/>
                  <w:iCs/>
                  <w:noProof/>
                  <w:sz w:val="20"/>
                  <w:szCs w:val="20"/>
                  <w:lang w:val="nl-NL"/>
                </w:rPr>
                <w:t>, 94</w:t>
              </w:r>
              <w:r w:rsidRPr="002962B6">
                <w:rPr>
                  <w:rFonts w:cs="Times New Roman"/>
                  <w:noProof/>
                  <w:sz w:val="20"/>
                  <w:szCs w:val="20"/>
                  <w:lang w:val="nl-NL"/>
                </w:rPr>
                <w:t xml:space="preserve"> (4), 777-791.</w:t>
              </w:r>
            </w:p>
            <w:p w14:paraId="704605B0"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Friend, I., &amp; Hasbrouck, J. (1983). Saving and After Tax Rates of Return. </w:t>
              </w:r>
              <w:r w:rsidRPr="002962B6">
                <w:rPr>
                  <w:rFonts w:cs="Times New Roman"/>
                  <w:i/>
                  <w:iCs/>
                  <w:noProof/>
                  <w:sz w:val="20"/>
                  <w:szCs w:val="20"/>
                  <w:lang w:val="nl-NL"/>
                </w:rPr>
                <w:t>The Review of Economics and Statistics</w:t>
              </w:r>
              <w:r w:rsidRPr="002962B6">
                <w:rPr>
                  <w:rFonts w:cs="Times New Roman"/>
                  <w:noProof/>
                  <w:sz w:val="20"/>
                  <w:szCs w:val="20"/>
                  <w:lang w:val="nl-NL"/>
                </w:rPr>
                <w:t xml:space="preserve"> </w:t>
              </w:r>
              <w:r w:rsidRPr="002962B6">
                <w:rPr>
                  <w:rFonts w:cs="Times New Roman"/>
                  <w:i/>
                  <w:iCs/>
                  <w:noProof/>
                  <w:sz w:val="20"/>
                  <w:szCs w:val="20"/>
                  <w:lang w:val="nl-NL"/>
                </w:rPr>
                <w:t>, 65</w:t>
              </w:r>
              <w:r w:rsidRPr="002962B6">
                <w:rPr>
                  <w:rFonts w:cs="Times New Roman"/>
                  <w:noProof/>
                  <w:sz w:val="20"/>
                  <w:szCs w:val="20"/>
                  <w:lang w:val="nl-NL"/>
                </w:rPr>
                <w:t xml:space="preserve"> (4), 537-543.</w:t>
              </w:r>
            </w:p>
            <w:p w14:paraId="49552BF8"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Gentry, W. M. (2016). </w:t>
              </w:r>
              <w:r w:rsidRPr="002962B6">
                <w:rPr>
                  <w:rFonts w:cs="Times New Roman"/>
                  <w:i/>
                  <w:iCs/>
                  <w:noProof/>
                  <w:sz w:val="20"/>
                  <w:szCs w:val="20"/>
                  <w:lang w:val="nl-NL"/>
                </w:rPr>
                <w:t>Capital Gains Taxation and Entrepreneurship.</w:t>
              </w:r>
              <w:r w:rsidRPr="002962B6">
                <w:rPr>
                  <w:rFonts w:cs="Times New Roman"/>
                  <w:noProof/>
                  <w:sz w:val="20"/>
                  <w:szCs w:val="20"/>
                  <w:lang w:val="nl-NL"/>
                </w:rPr>
                <w:t xml:space="preserve"> Williams College.</w:t>
              </w:r>
            </w:p>
            <w:p w14:paraId="6384ACD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Gerritsen, A. F., Jacobs, B., Rusu, A., &amp; Spiritus, K. (2015). Optimal Taxation of Capital Income when Individuals Have Different Returns. Erasmus Universiteit Rotterdam.</w:t>
              </w:r>
            </w:p>
            <w:p w14:paraId="73E6EB6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Golosov, M., &amp; al, e. (2012). preference heterogeneity and optimal capital income taxation. </w:t>
              </w:r>
              <w:r w:rsidRPr="002962B6">
                <w:rPr>
                  <w:rFonts w:cs="Times New Roman"/>
                  <w:i/>
                  <w:iCs/>
                  <w:noProof/>
                  <w:sz w:val="20"/>
                  <w:szCs w:val="20"/>
                  <w:lang w:val="nl-NL"/>
                </w:rPr>
                <w:t>Journal of Public Economics</w:t>
              </w:r>
              <w:r w:rsidRPr="002962B6">
                <w:rPr>
                  <w:rFonts w:cs="Times New Roman"/>
                  <w:noProof/>
                  <w:sz w:val="20"/>
                  <w:szCs w:val="20"/>
                  <w:lang w:val="nl-NL"/>
                </w:rPr>
                <w:t xml:space="preserve"> </w:t>
              </w:r>
              <w:r w:rsidRPr="002962B6">
                <w:rPr>
                  <w:rFonts w:cs="Times New Roman"/>
                  <w:i/>
                  <w:iCs/>
                  <w:noProof/>
                  <w:sz w:val="20"/>
                  <w:szCs w:val="20"/>
                  <w:lang w:val="nl-NL"/>
                </w:rPr>
                <w:t>, 97</w:t>
              </w:r>
              <w:r w:rsidRPr="002962B6">
                <w:rPr>
                  <w:rFonts w:cs="Times New Roman"/>
                  <w:noProof/>
                  <w:sz w:val="20"/>
                  <w:szCs w:val="20"/>
                  <w:lang w:val="nl-NL"/>
                </w:rPr>
                <w:t>, 160-175.</w:t>
              </w:r>
            </w:p>
            <w:p w14:paraId="7CE2871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Golosov, M., Tsyvinski, A., &amp; Werning, I. (sd). New Dynamic Public Finance: A User's Guide. </w:t>
              </w:r>
              <w:r w:rsidRPr="002962B6">
                <w:rPr>
                  <w:rFonts w:cs="Times New Roman"/>
                  <w:i/>
                  <w:iCs/>
                  <w:noProof/>
                  <w:sz w:val="20"/>
                  <w:szCs w:val="20"/>
                  <w:lang w:val="nl-NL"/>
                </w:rPr>
                <w:t>NBER Macroeconomics Annual</w:t>
              </w:r>
              <w:r w:rsidRPr="002962B6">
                <w:rPr>
                  <w:rFonts w:cs="Times New Roman"/>
                  <w:noProof/>
                  <w:sz w:val="20"/>
                  <w:szCs w:val="20"/>
                  <w:lang w:val="nl-NL"/>
                </w:rPr>
                <w:t xml:space="preserve"> , 317-363.</w:t>
              </w:r>
            </w:p>
            <w:p w14:paraId="19657D1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Gompers, P. A., &amp; Lerner, J. (1998). </w:t>
              </w:r>
              <w:r w:rsidRPr="002962B6">
                <w:rPr>
                  <w:rFonts w:cs="Times New Roman"/>
                  <w:i/>
                  <w:iCs/>
                  <w:noProof/>
                  <w:sz w:val="20"/>
                  <w:szCs w:val="20"/>
                  <w:lang w:val="nl-NL"/>
                </w:rPr>
                <w:t>What Drives Venture Capital Fundraising? .</w:t>
              </w:r>
              <w:r w:rsidRPr="002962B6">
                <w:rPr>
                  <w:rFonts w:cs="Times New Roman"/>
                  <w:noProof/>
                  <w:sz w:val="20"/>
                  <w:szCs w:val="20"/>
                  <w:lang w:val="nl-NL"/>
                </w:rPr>
                <w:t xml:space="preserve"> Harvard University National Bureau of Economic Research .</w:t>
              </w:r>
            </w:p>
            <w:p w14:paraId="657D6978"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Gordon, R. H. (1985). "Taxation of Corporate Capital Income: Tax Revenues versus Tax Distortions". </w:t>
              </w:r>
              <w:r w:rsidRPr="002962B6">
                <w:rPr>
                  <w:rFonts w:cs="Times New Roman"/>
                  <w:i/>
                  <w:iCs/>
                  <w:noProof/>
                  <w:sz w:val="20"/>
                  <w:szCs w:val="20"/>
                  <w:lang w:val="nl-NL"/>
                </w:rPr>
                <w:t>Quarterly Journal of Economics</w:t>
              </w:r>
              <w:r w:rsidRPr="002962B6">
                <w:rPr>
                  <w:rFonts w:cs="Times New Roman"/>
                  <w:noProof/>
                  <w:sz w:val="20"/>
                  <w:szCs w:val="20"/>
                  <w:lang w:val="nl-NL"/>
                </w:rPr>
                <w:t xml:space="preserve"> </w:t>
              </w:r>
              <w:r w:rsidRPr="002962B6">
                <w:rPr>
                  <w:rFonts w:cs="Times New Roman"/>
                  <w:i/>
                  <w:iCs/>
                  <w:noProof/>
                  <w:sz w:val="20"/>
                  <w:szCs w:val="20"/>
                  <w:lang w:val="nl-NL"/>
                </w:rPr>
                <w:t>, 100</w:t>
              </w:r>
              <w:r w:rsidRPr="002962B6">
                <w:rPr>
                  <w:rFonts w:cs="Times New Roman"/>
                  <w:noProof/>
                  <w:sz w:val="20"/>
                  <w:szCs w:val="20"/>
                  <w:lang w:val="nl-NL"/>
                </w:rPr>
                <w:t xml:space="preserve"> (1), 1-27.</w:t>
              </w:r>
            </w:p>
            <w:p w14:paraId="174419A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Gordon, R. H., &amp; Kopczuk, W. (2014). The Choice of the Personal Income Tax Base. </w:t>
              </w:r>
              <w:r w:rsidRPr="002962B6">
                <w:rPr>
                  <w:rFonts w:cs="Times New Roman"/>
                  <w:i/>
                  <w:iCs/>
                  <w:noProof/>
                  <w:sz w:val="20"/>
                  <w:szCs w:val="20"/>
                  <w:lang w:val="nl-NL"/>
                </w:rPr>
                <w:t>118</w:t>
              </w:r>
              <w:r w:rsidRPr="002962B6">
                <w:rPr>
                  <w:rFonts w:cs="Times New Roman"/>
                  <w:noProof/>
                  <w:sz w:val="20"/>
                  <w:szCs w:val="20"/>
                  <w:lang w:val="nl-NL"/>
                </w:rPr>
                <w:t>, 97-110.</w:t>
              </w:r>
            </w:p>
            <w:p w14:paraId="2A99F01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Gordon, R. H., &amp; MacKie-Mason, J. K. (1994). </w:t>
              </w:r>
              <w:r w:rsidRPr="002962B6">
                <w:rPr>
                  <w:rFonts w:cs="Times New Roman"/>
                  <w:i/>
                  <w:iCs/>
                  <w:noProof/>
                  <w:sz w:val="20"/>
                  <w:szCs w:val="20"/>
                  <w:lang w:val="nl-NL"/>
                </w:rPr>
                <w:t>Why is there corporate taxation in a small open economy? The role of transfer pricing and income shifting.</w:t>
              </w:r>
              <w:r w:rsidRPr="002962B6">
                <w:rPr>
                  <w:rFonts w:cs="Times New Roman"/>
                  <w:noProof/>
                  <w:sz w:val="20"/>
                  <w:szCs w:val="20"/>
                  <w:lang w:val="nl-NL"/>
                </w:rPr>
                <w:t xml:space="preserve"> National Bureau of Economic Research. National Bureau of Economic Research.</w:t>
              </w:r>
            </w:p>
            <w:p w14:paraId="6E9B9D6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Gordon, R. H., &amp; MacKieMason, J. K. (1995). Why is There Corporate Taxation in a Small Open Economy? The Role of Transfer Pricing and Income Shifting. In M. Feldstein, J. R. Hines, Jr., &amp; R. G. Hubbard., </w:t>
              </w:r>
              <w:r w:rsidRPr="002962B6">
                <w:rPr>
                  <w:rFonts w:cs="Times New Roman"/>
                  <w:i/>
                  <w:iCs/>
                  <w:noProof/>
                  <w:sz w:val="20"/>
                  <w:szCs w:val="20"/>
                  <w:lang w:val="nl-NL"/>
                </w:rPr>
                <w:t>The Effects of Taxation on Multinational Corporations</w:t>
              </w:r>
              <w:r w:rsidRPr="002962B6">
                <w:rPr>
                  <w:rFonts w:cs="Times New Roman"/>
                  <w:noProof/>
                  <w:sz w:val="20"/>
                  <w:szCs w:val="20"/>
                  <w:lang w:val="nl-NL"/>
                </w:rPr>
                <w:t xml:space="preserve"> (pp. 67-94). Chicago: University of Chicago Press.</w:t>
              </w:r>
            </w:p>
            <w:p w14:paraId="62F37C5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Gordon, R. H., &amp; Slemrod, J. (1998). </w:t>
              </w:r>
              <w:r w:rsidRPr="002962B6">
                <w:rPr>
                  <w:rFonts w:cs="Times New Roman"/>
                  <w:i/>
                  <w:iCs/>
                  <w:noProof/>
                  <w:sz w:val="20"/>
                  <w:szCs w:val="20"/>
                  <w:lang w:val="nl-NL"/>
                </w:rPr>
                <w:t>Are 'real' responses to taxes simply income shifting between corporate and personal tax bases.</w:t>
              </w:r>
              <w:r w:rsidRPr="002962B6">
                <w:rPr>
                  <w:rFonts w:cs="Times New Roman"/>
                  <w:noProof/>
                  <w:sz w:val="20"/>
                  <w:szCs w:val="20"/>
                  <w:lang w:val="nl-NL"/>
                </w:rPr>
                <w:t xml:space="preserve"> National Bureau of Economic Research. National Bureau of Economic Research.</w:t>
              </w:r>
            </w:p>
            <w:p w14:paraId="31F53D4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Gordon, R. H., &amp; Slemrod, J. B. (2000). Are 'Real' Responses to Taxes Simply Income Shifting Between Corporate and Personal Tax Bases? In J. B. Slemrod, </w:t>
              </w:r>
              <w:r w:rsidRPr="002962B6">
                <w:rPr>
                  <w:rFonts w:cs="Times New Roman"/>
                  <w:i/>
                  <w:iCs/>
                  <w:noProof/>
                  <w:sz w:val="20"/>
                  <w:szCs w:val="20"/>
                  <w:lang w:val="nl-NL"/>
                </w:rPr>
                <w:t>Does Atlas Shrug? The Economic Consequences of Taxing the Rich</w:t>
              </w:r>
              <w:r w:rsidRPr="002962B6">
                <w:rPr>
                  <w:rFonts w:cs="Times New Roman"/>
                  <w:noProof/>
                  <w:sz w:val="20"/>
                  <w:szCs w:val="20"/>
                  <w:lang w:val="nl-NL"/>
                </w:rPr>
                <w:t xml:space="preserve"> (pp. 240-280). Cambridge: Harvard University Press.</w:t>
              </w:r>
            </w:p>
            <w:p w14:paraId="283C2DA0"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Gravelle, J. G. (1991). </w:t>
              </w:r>
              <w:r w:rsidRPr="002962B6">
                <w:rPr>
                  <w:rFonts w:cs="Times New Roman"/>
                  <w:i/>
                  <w:iCs/>
                  <w:noProof/>
                  <w:sz w:val="20"/>
                  <w:szCs w:val="20"/>
                  <w:lang w:val="nl-NL"/>
                </w:rPr>
                <w:t>Limits to Capital Gains Feedback Effects.</w:t>
              </w:r>
              <w:r w:rsidRPr="002962B6">
                <w:rPr>
                  <w:rFonts w:cs="Times New Roman"/>
                  <w:noProof/>
                  <w:sz w:val="20"/>
                  <w:szCs w:val="20"/>
                  <w:lang w:val="nl-NL"/>
                </w:rPr>
                <w:t xml:space="preserve"> Congressional Research Service.</w:t>
              </w:r>
            </w:p>
            <w:p w14:paraId="27AF1763"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Gravelle, J. G., &amp; Marples, D. J. (2014). </w:t>
              </w:r>
              <w:r w:rsidRPr="002962B6">
                <w:rPr>
                  <w:rFonts w:cs="Times New Roman"/>
                  <w:i/>
                  <w:iCs/>
                  <w:noProof/>
                  <w:sz w:val="20"/>
                  <w:szCs w:val="20"/>
                  <w:lang w:val="nl-NL"/>
                </w:rPr>
                <w:t>Tax Rates and Economic Growth.</w:t>
              </w:r>
              <w:r w:rsidRPr="002962B6">
                <w:rPr>
                  <w:rFonts w:cs="Times New Roman"/>
                  <w:noProof/>
                  <w:sz w:val="20"/>
                  <w:szCs w:val="20"/>
                  <w:lang w:val="nl-NL"/>
                </w:rPr>
                <w:t xml:space="preserve"> Congressional Research Service.</w:t>
              </w:r>
            </w:p>
            <w:p w14:paraId="0320F6A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Harding, M. (2013). </w:t>
              </w:r>
              <w:r w:rsidRPr="002962B6">
                <w:rPr>
                  <w:rFonts w:cs="Times New Roman"/>
                  <w:i/>
                  <w:iCs/>
                  <w:noProof/>
                  <w:sz w:val="20"/>
                  <w:szCs w:val="20"/>
                  <w:lang w:val="nl-NL"/>
                </w:rPr>
                <w:t>Taxation of Dividend, Interest, and Capital Gain Income .</w:t>
              </w:r>
              <w:r w:rsidRPr="002962B6">
                <w:rPr>
                  <w:rFonts w:cs="Times New Roman"/>
                  <w:noProof/>
                  <w:sz w:val="20"/>
                  <w:szCs w:val="20"/>
                  <w:lang w:val="nl-NL"/>
                </w:rPr>
                <w:t xml:space="preserve"> OECD, Taxation Working Papers. OECD Publishing.</w:t>
              </w:r>
            </w:p>
            <w:p w14:paraId="22A3154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Howrey, E. P., &amp; Hymans, S. H. (1978). "The Measurement and Determination of Loanable Funds Saving". </w:t>
              </w:r>
              <w:r w:rsidRPr="002962B6">
                <w:rPr>
                  <w:rFonts w:cs="Times New Roman"/>
                  <w:i/>
                  <w:iCs/>
                  <w:noProof/>
                  <w:sz w:val="20"/>
                  <w:szCs w:val="20"/>
                  <w:lang w:val="nl-NL"/>
                </w:rPr>
                <w:t>Brookings Papers on Economic Activity</w:t>
              </w:r>
              <w:r w:rsidRPr="002962B6">
                <w:rPr>
                  <w:rFonts w:cs="Times New Roman"/>
                  <w:noProof/>
                  <w:sz w:val="20"/>
                  <w:szCs w:val="20"/>
                  <w:lang w:val="nl-NL"/>
                </w:rPr>
                <w:t xml:space="preserve"> </w:t>
              </w:r>
              <w:r w:rsidRPr="002962B6">
                <w:rPr>
                  <w:rFonts w:cs="Times New Roman"/>
                  <w:i/>
                  <w:iCs/>
                  <w:noProof/>
                  <w:sz w:val="20"/>
                  <w:szCs w:val="20"/>
                  <w:lang w:val="nl-NL"/>
                </w:rPr>
                <w:t>, 3</w:t>
              </w:r>
              <w:r w:rsidRPr="002962B6">
                <w:rPr>
                  <w:rFonts w:cs="Times New Roman"/>
                  <w:noProof/>
                  <w:sz w:val="20"/>
                  <w:szCs w:val="20"/>
                  <w:lang w:val="nl-NL"/>
                </w:rPr>
                <w:t>, 655-705.</w:t>
              </w:r>
            </w:p>
            <w:p w14:paraId="6574DA0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Hubbard, G. R., &amp; Judd, K. L. (1986). Liquidity Constraints, Fiscal Policy, and Consumption, Brookings Papers on Economic Activity. </w:t>
              </w:r>
              <w:r w:rsidRPr="002962B6">
                <w:rPr>
                  <w:rFonts w:cs="Times New Roman"/>
                  <w:i/>
                  <w:iCs/>
                  <w:noProof/>
                  <w:sz w:val="20"/>
                  <w:szCs w:val="20"/>
                  <w:lang w:val="nl-NL"/>
                </w:rPr>
                <w:t>1</w:t>
              </w:r>
              <w:r w:rsidRPr="002962B6">
                <w:rPr>
                  <w:rFonts w:cs="Times New Roman"/>
                  <w:noProof/>
                  <w:sz w:val="20"/>
                  <w:szCs w:val="20"/>
                  <w:lang w:val="nl-NL"/>
                </w:rPr>
                <w:t>, 1-59.</w:t>
              </w:r>
            </w:p>
            <w:p w14:paraId="4EDD3215"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lastRenderedPageBreak/>
                <w:t xml:space="preserve">Hungerford, T. L. (2012). </w:t>
              </w:r>
              <w:r w:rsidRPr="002962B6">
                <w:rPr>
                  <w:rFonts w:cs="Times New Roman"/>
                  <w:i/>
                  <w:iCs/>
                  <w:noProof/>
                  <w:sz w:val="20"/>
                  <w:szCs w:val="20"/>
                  <w:lang w:val="nl-NL"/>
                </w:rPr>
                <w:t>Taxes and the Economy: An Economic Analysis of the Top Tax Rates Since 1945.</w:t>
              </w:r>
              <w:r w:rsidRPr="002962B6">
                <w:rPr>
                  <w:rFonts w:cs="Times New Roman"/>
                  <w:noProof/>
                  <w:sz w:val="20"/>
                  <w:szCs w:val="20"/>
                  <w:lang w:val="nl-NL"/>
                </w:rPr>
                <w:t xml:space="preserve"> Congressional Research Service.</w:t>
              </w:r>
            </w:p>
            <w:p w14:paraId="16D72CEB"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Hungerford, T. L. (2010). </w:t>
              </w:r>
              <w:r w:rsidRPr="002962B6">
                <w:rPr>
                  <w:rFonts w:cs="Times New Roman"/>
                  <w:i/>
                  <w:iCs/>
                  <w:noProof/>
                  <w:sz w:val="20"/>
                  <w:szCs w:val="20"/>
                  <w:lang w:val="nl-NL"/>
                </w:rPr>
                <w:t>The Economic Effects of Capital Gains Taxation.</w:t>
              </w:r>
              <w:r w:rsidRPr="002962B6">
                <w:rPr>
                  <w:rFonts w:cs="Times New Roman"/>
                  <w:noProof/>
                  <w:sz w:val="20"/>
                  <w:szCs w:val="20"/>
                  <w:lang w:val="nl-NL"/>
                </w:rPr>
                <w:t xml:space="preserve"> Congressional Research Service. Congressional Research Service.</w:t>
              </w:r>
            </w:p>
            <w:p w14:paraId="57E2EC5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 Harold McClure, j. (1992). Does reducing the capital gains tax rate raise or lower investment. </w:t>
              </w:r>
              <w:r w:rsidRPr="002962B6">
                <w:rPr>
                  <w:rFonts w:cs="Times New Roman"/>
                  <w:i/>
                  <w:iCs/>
                  <w:noProof/>
                  <w:sz w:val="20"/>
                  <w:szCs w:val="20"/>
                  <w:lang w:val="nl-NL"/>
                </w:rPr>
                <w:t>Economic Letters</w:t>
              </w:r>
              <w:r w:rsidRPr="002962B6">
                <w:rPr>
                  <w:rFonts w:cs="Times New Roman"/>
                  <w:noProof/>
                  <w:sz w:val="20"/>
                  <w:szCs w:val="20"/>
                  <w:lang w:val="nl-NL"/>
                </w:rPr>
                <w:t xml:space="preserve"> </w:t>
              </w:r>
              <w:r w:rsidRPr="002962B6">
                <w:rPr>
                  <w:rFonts w:cs="Times New Roman"/>
                  <w:i/>
                  <w:iCs/>
                  <w:noProof/>
                  <w:sz w:val="20"/>
                  <w:szCs w:val="20"/>
                  <w:lang w:val="nl-NL"/>
                </w:rPr>
                <w:t>, 40</w:t>
              </w:r>
              <w:r w:rsidRPr="002962B6">
                <w:rPr>
                  <w:rFonts w:cs="Times New Roman"/>
                  <w:noProof/>
                  <w:sz w:val="20"/>
                  <w:szCs w:val="20"/>
                  <w:lang w:val="nl-NL"/>
                </w:rPr>
                <w:t>, 207-210.</w:t>
              </w:r>
            </w:p>
            <w:p w14:paraId="3790BB10"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(2015). In B. Jacobs, </w:t>
              </w:r>
              <w:r w:rsidRPr="002962B6">
                <w:rPr>
                  <w:rFonts w:cs="Times New Roman"/>
                  <w:i/>
                  <w:iCs/>
                  <w:noProof/>
                  <w:sz w:val="20"/>
                  <w:szCs w:val="20"/>
                  <w:lang w:val="nl-NL"/>
                </w:rPr>
                <w:t>De prijs van gelijkheid</w:t>
              </w:r>
              <w:r w:rsidRPr="002962B6">
                <w:rPr>
                  <w:rFonts w:cs="Times New Roman"/>
                  <w:noProof/>
                  <w:sz w:val="20"/>
                  <w:szCs w:val="20"/>
                  <w:lang w:val="nl-NL"/>
                </w:rPr>
                <w:t xml:space="preserve"> (pp. 29-47). Rotterdam: Prometheus.</w:t>
              </w:r>
            </w:p>
            <w:p w14:paraId="46653445"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(2015). Belastingen op Kapitaalinkomen in Nederland. </w:t>
              </w:r>
              <w:r w:rsidRPr="002962B6">
                <w:rPr>
                  <w:rFonts w:cs="Times New Roman"/>
                  <w:i/>
                  <w:iCs/>
                  <w:noProof/>
                  <w:sz w:val="20"/>
                  <w:szCs w:val="20"/>
                  <w:lang w:val="nl-NL"/>
                </w:rPr>
                <w:t>Tijdschrift voor openbare financien</w:t>
              </w:r>
              <w:r w:rsidRPr="002962B6">
                <w:rPr>
                  <w:rFonts w:cs="Times New Roman"/>
                  <w:noProof/>
                  <w:sz w:val="20"/>
                  <w:szCs w:val="20"/>
                  <w:lang w:val="nl-NL"/>
                </w:rPr>
                <w:t xml:space="preserve"> </w:t>
              </w:r>
              <w:r w:rsidRPr="002962B6">
                <w:rPr>
                  <w:rFonts w:cs="Times New Roman"/>
                  <w:i/>
                  <w:iCs/>
                  <w:noProof/>
                  <w:sz w:val="20"/>
                  <w:szCs w:val="20"/>
                  <w:lang w:val="nl-NL"/>
                </w:rPr>
                <w:t>, 1</w:t>
              </w:r>
              <w:r w:rsidRPr="002962B6">
                <w:rPr>
                  <w:rFonts w:cs="Times New Roman"/>
                  <w:noProof/>
                  <w:sz w:val="20"/>
                  <w:szCs w:val="20"/>
                  <w:lang w:val="nl-NL"/>
                </w:rPr>
                <w:t xml:space="preserve"> (47).</w:t>
              </w:r>
            </w:p>
            <w:p w14:paraId="339324A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(2015). De Prijs van Gelijkheid. In B. Jacobs, </w:t>
              </w:r>
              <w:r w:rsidRPr="002962B6">
                <w:rPr>
                  <w:rFonts w:cs="Times New Roman"/>
                  <w:i/>
                  <w:iCs/>
                  <w:noProof/>
                  <w:sz w:val="20"/>
                  <w:szCs w:val="20"/>
                  <w:lang w:val="nl-NL"/>
                </w:rPr>
                <w:t>De Prijs van Gelijkheid.</w:t>
              </w:r>
              <w:r w:rsidRPr="002962B6">
                <w:rPr>
                  <w:rFonts w:cs="Times New Roman"/>
                  <w:noProof/>
                  <w:sz w:val="20"/>
                  <w:szCs w:val="20"/>
                  <w:lang w:val="nl-NL"/>
                </w:rPr>
                <w:t xml:space="preserve"> Amsterdam: Prometheus.</w:t>
              </w:r>
            </w:p>
            <w:p w14:paraId="2EF17EC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(2013). From Optimal Tax Theory to Applied Tax Policy . (M. Siebeck, Red.) </w:t>
              </w:r>
              <w:r w:rsidRPr="002962B6">
                <w:rPr>
                  <w:rFonts w:cs="Times New Roman"/>
                  <w:i/>
                  <w:iCs/>
                  <w:noProof/>
                  <w:sz w:val="20"/>
                  <w:szCs w:val="20"/>
                  <w:lang w:val="nl-NL"/>
                </w:rPr>
                <w:t>Finanzarchiv - Public Finance Analysis</w:t>
              </w:r>
              <w:r w:rsidRPr="002962B6">
                <w:rPr>
                  <w:rFonts w:cs="Times New Roman"/>
                  <w:noProof/>
                  <w:sz w:val="20"/>
                  <w:szCs w:val="20"/>
                  <w:lang w:val="nl-NL"/>
                </w:rPr>
                <w:t xml:space="preserve"> </w:t>
              </w:r>
              <w:r w:rsidRPr="002962B6">
                <w:rPr>
                  <w:rFonts w:cs="Times New Roman"/>
                  <w:i/>
                  <w:iCs/>
                  <w:noProof/>
                  <w:sz w:val="20"/>
                  <w:szCs w:val="20"/>
                  <w:lang w:val="nl-NL"/>
                </w:rPr>
                <w:t>, 69</w:t>
              </w:r>
              <w:r w:rsidRPr="002962B6">
                <w:rPr>
                  <w:rFonts w:cs="Times New Roman"/>
                  <w:noProof/>
                  <w:sz w:val="20"/>
                  <w:szCs w:val="20"/>
                  <w:lang w:val="nl-NL"/>
                </w:rPr>
                <w:t xml:space="preserve"> (3), 338 – 389 .</w:t>
              </w:r>
            </w:p>
            <w:p w14:paraId="019A1C13"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&amp; Boadway, R. (2014). Optimal Linear Commodity Taxation under Optimal Non-Linear Income Taxation. </w:t>
              </w:r>
              <w:r w:rsidRPr="002962B6">
                <w:rPr>
                  <w:rFonts w:cs="Times New Roman"/>
                  <w:i/>
                  <w:iCs/>
                  <w:noProof/>
                  <w:sz w:val="20"/>
                  <w:szCs w:val="20"/>
                  <w:lang w:val="nl-NL"/>
                </w:rPr>
                <w:t>Journal of Public Economics</w:t>
              </w:r>
              <w:r w:rsidRPr="002962B6">
                <w:rPr>
                  <w:rFonts w:cs="Times New Roman"/>
                  <w:noProof/>
                  <w:sz w:val="20"/>
                  <w:szCs w:val="20"/>
                  <w:lang w:val="nl-NL"/>
                </w:rPr>
                <w:t xml:space="preserve"> </w:t>
              </w:r>
              <w:r w:rsidRPr="002962B6">
                <w:rPr>
                  <w:rFonts w:cs="Times New Roman"/>
                  <w:i/>
                  <w:iCs/>
                  <w:noProof/>
                  <w:sz w:val="20"/>
                  <w:szCs w:val="20"/>
                  <w:lang w:val="nl-NL"/>
                </w:rPr>
                <w:t>, 117</w:t>
              </w:r>
              <w:r w:rsidRPr="002962B6">
                <w:rPr>
                  <w:rFonts w:cs="Times New Roman"/>
                  <w:noProof/>
                  <w:sz w:val="20"/>
                  <w:szCs w:val="20"/>
                  <w:lang w:val="nl-NL"/>
                </w:rPr>
                <w:t xml:space="preserve"> (1), 201-210.</w:t>
              </w:r>
            </w:p>
            <w:p w14:paraId="1033AEB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&amp; Bovenberg, L. A. (2010). Human Capital and Optimal Positive Taxation of Capital Income. </w:t>
              </w:r>
              <w:r w:rsidRPr="002962B6">
                <w:rPr>
                  <w:rFonts w:cs="Times New Roman"/>
                  <w:i/>
                  <w:iCs/>
                  <w:noProof/>
                  <w:sz w:val="20"/>
                  <w:szCs w:val="20"/>
                  <w:lang w:val="nl-NL"/>
                </w:rPr>
                <w:t>International Tax and Public Finance</w:t>
              </w:r>
              <w:r w:rsidRPr="002962B6">
                <w:rPr>
                  <w:rFonts w:cs="Times New Roman"/>
                  <w:noProof/>
                  <w:sz w:val="20"/>
                  <w:szCs w:val="20"/>
                  <w:lang w:val="nl-NL"/>
                </w:rPr>
                <w:t xml:space="preserve"> </w:t>
              </w:r>
              <w:r w:rsidRPr="002962B6">
                <w:rPr>
                  <w:rFonts w:cs="Times New Roman"/>
                  <w:i/>
                  <w:iCs/>
                  <w:noProof/>
                  <w:sz w:val="20"/>
                  <w:szCs w:val="20"/>
                  <w:lang w:val="nl-NL"/>
                </w:rPr>
                <w:t>, 17</w:t>
              </w:r>
              <w:r w:rsidRPr="002962B6">
                <w:rPr>
                  <w:rFonts w:cs="Times New Roman"/>
                  <w:noProof/>
                  <w:sz w:val="20"/>
                  <w:szCs w:val="20"/>
                  <w:lang w:val="nl-NL"/>
                </w:rPr>
                <w:t xml:space="preserve"> (5), 451-478.</w:t>
              </w:r>
            </w:p>
            <w:p w14:paraId="29C26399"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&amp; Rusu, A. (2016). </w:t>
              </w:r>
              <w:r w:rsidRPr="002962B6">
                <w:rPr>
                  <w:rFonts w:cs="Times New Roman"/>
                  <w:i/>
                  <w:iCs/>
                  <w:noProof/>
                  <w:sz w:val="20"/>
                  <w:szCs w:val="20"/>
                  <w:lang w:val="nl-NL"/>
                </w:rPr>
                <w:t>Why is the Long-Run Tax on Capital Income Zero? Reinterpreting the Chamley-Judd Result.</w:t>
              </w:r>
              <w:r w:rsidRPr="002962B6">
                <w:rPr>
                  <w:rFonts w:cs="Times New Roman"/>
                  <w:noProof/>
                  <w:sz w:val="20"/>
                  <w:szCs w:val="20"/>
                  <w:lang w:val="nl-NL"/>
                </w:rPr>
                <w:t xml:space="preserve"> Erasmus University Rotterdam, Tinebergen Institute, Erasmus School of Economics. Erasmus University Rotterdam.</w:t>
              </w:r>
            </w:p>
            <w:p w14:paraId="21739DA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Jacobs, B., &amp; Schindler, D. (2012). On the Desirability of Taxing Capital Income in Optimal Social Insurance. </w:t>
              </w:r>
              <w:r w:rsidRPr="002962B6">
                <w:rPr>
                  <w:rFonts w:cs="Times New Roman"/>
                  <w:i/>
                  <w:iCs/>
                  <w:noProof/>
                  <w:sz w:val="20"/>
                  <w:szCs w:val="20"/>
                  <w:lang w:val="nl-NL"/>
                </w:rPr>
                <w:t>Journal of Public Economics</w:t>
              </w:r>
              <w:r w:rsidRPr="002962B6">
                <w:rPr>
                  <w:rFonts w:cs="Times New Roman"/>
                  <w:noProof/>
                  <w:sz w:val="20"/>
                  <w:szCs w:val="20"/>
                  <w:lang w:val="nl-NL"/>
                </w:rPr>
                <w:t xml:space="preserve"> </w:t>
              </w:r>
              <w:r w:rsidRPr="002962B6">
                <w:rPr>
                  <w:rFonts w:cs="Times New Roman"/>
                  <w:i/>
                  <w:iCs/>
                  <w:noProof/>
                  <w:sz w:val="20"/>
                  <w:szCs w:val="20"/>
                  <w:lang w:val="nl-NL"/>
                </w:rPr>
                <w:t>, 96</w:t>
              </w:r>
              <w:r w:rsidRPr="002962B6">
                <w:rPr>
                  <w:rFonts w:cs="Times New Roman"/>
                  <w:noProof/>
                  <w:sz w:val="20"/>
                  <w:szCs w:val="20"/>
                  <w:lang w:val="nl-NL"/>
                </w:rPr>
                <w:t xml:space="preserve"> (9-10), 853-868.</w:t>
              </w:r>
            </w:p>
            <w:p w14:paraId="6B736F7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Kamerstuk. (2005). </w:t>
              </w:r>
              <w:r w:rsidRPr="002962B6">
                <w:rPr>
                  <w:rFonts w:cs="Times New Roman"/>
                  <w:i/>
                  <w:iCs/>
                  <w:noProof/>
                  <w:sz w:val="20"/>
                  <w:szCs w:val="20"/>
                  <w:lang w:val="nl-NL"/>
                </w:rPr>
                <w:t>Breder, lager, eenvoudiger? Een evaluatie van de belastingherziening 2001.</w:t>
              </w:r>
              <w:r w:rsidRPr="002962B6">
                <w:rPr>
                  <w:rFonts w:cs="Times New Roman"/>
                  <w:noProof/>
                  <w:sz w:val="20"/>
                  <w:szCs w:val="20"/>
                  <w:lang w:val="nl-NL"/>
                </w:rPr>
                <w:t xml:space="preserve"> Nederland: Tweede Kamer der Staten-Generaal.</w:t>
              </w:r>
            </w:p>
            <w:p w14:paraId="4688D48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Kanemoto, Y. (1995). On the "Lock-in" Effectsof Capital Gains Taxation. </w:t>
              </w:r>
              <w:r w:rsidRPr="002962B6">
                <w:rPr>
                  <w:rFonts w:cs="Times New Roman"/>
                  <w:i/>
                  <w:iCs/>
                  <w:noProof/>
                  <w:sz w:val="20"/>
                  <w:szCs w:val="20"/>
                  <w:lang w:val="nl-NL"/>
                </w:rPr>
                <w:t>Journal of Urban Economics</w:t>
              </w:r>
              <w:r w:rsidRPr="002962B6">
                <w:rPr>
                  <w:rFonts w:cs="Times New Roman"/>
                  <w:noProof/>
                  <w:sz w:val="20"/>
                  <w:szCs w:val="20"/>
                  <w:lang w:val="nl-NL"/>
                </w:rPr>
                <w:t xml:space="preserve"> </w:t>
              </w:r>
              <w:r w:rsidRPr="002962B6">
                <w:rPr>
                  <w:rFonts w:cs="Times New Roman"/>
                  <w:i/>
                  <w:iCs/>
                  <w:noProof/>
                  <w:sz w:val="20"/>
                  <w:szCs w:val="20"/>
                  <w:lang w:val="nl-NL"/>
                </w:rPr>
                <w:t>, 40</w:t>
              </w:r>
              <w:r w:rsidRPr="002962B6">
                <w:rPr>
                  <w:rFonts w:cs="Times New Roman"/>
                  <w:noProof/>
                  <w:sz w:val="20"/>
                  <w:szCs w:val="20"/>
                  <w:lang w:val="nl-NL"/>
                </w:rPr>
                <w:t>, 303-315.</w:t>
              </w:r>
            </w:p>
            <w:p w14:paraId="0A4D430A"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Kaplow, L. (1994). "Taxation and Risk Taking: A General Equilibrium Perspective". </w:t>
              </w:r>
              <w:r w:rsidRPr="002962B6">
                <w:rPr>
                  <w:rFonts w:cs="Times New Roman"/>
                  <w:i/>
                  <w:iCs/>
                  <w:noProof/>
                  <w:sz w:val="20"/>
                  <w:szCs w:val="20"/>
                  <w:lang w:val="nl-NL"/>
                </w:rPr>
                <w:t>National Tax Journal</w:t>
              </w:r>
              <w:r w:rsidRPr="002962B6">
                <w:rPr>
                  <w:rFonts w:cs="Times New Roman"/>
                  <w:noProof/>
                  <w:sz w:val="20"/>
                  <w:szCs w:val="20"/>
                  <w:lang w:val="nl-NL"/>
                </w:rPr>
                <w:t xml:space="preserve"> </w:t>
              </w:r>
              <w:r w:rsidRPr="002962B6">
                <w:rPr>
                  <w:rFonts w:cs="Times New Roman"/>
                  <w:i/>
                  <w:iCs/>
                  <w:noProof/>
                  <w:sz w:val="20"/>
                  <w:szCs w:val="20"/>
                  <w:lang w:val="nl-NL"/>
                </w:rPr>
                <w:t>, 47</w:t>
              </w:r>
              <w:r w:rsidRPr="002962B6">
                <w:rPr>
                  <w:rFonts w:cs="Times New Roman"/>
                  <w:noProof/>
                  <w:sz w:val="20"/>
                  <w:szCs w:val="20"/>
                  <w:lang w:val="nl-NL"/>
                </w:rPr>
                <w:t xml:space="preserve"> (4), 789-798.</w:t>
              </w:r>
            </w:p>
            <w:p w14:paraId="511198D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Kugler, P., &amp; Lenz, C. (2001). Capital gains taxation - Evidence from Switzerland. In H. G. Grubel, </w:t>
              </w:r>
              <w:r w:rsidRPr="002962B6">
                <w:rPr>
                  <w:rFonts w:cs="Times New Roman"/>
                  <w:i/>
                  <w:iCs/>
                  <w:noProof/>
                  <w:sz w:val="20"/>
                  <w:szCs w:val="20"/>
                  <w:lang w:val="nl-NL"/>
                </w:rPr>
                <w:t>International Evidence on the Effects of Having No Capital Gains Taxes .</w:t>
              </w:r>
              <w:r w:rsidRPr="002962B6">
                <w:rPr>
                  <w:rFonts w:cs="Times New Roman"/>
                  <w:noProof/>
                  <w:sz w:val="20"/>
                  <w:szCs w:val="20"/>
                  <w:lang w:val="nl-NL"/>
                </w:rPr>
                <w:t xml:space="preserve"> The Fraser Institute.</w:t>
              </w:r>
            </w:p>
            <w:p w14:paraId="2B226C5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Lang, M. H., &amp; Shackelford, D. A. (2000). Capitalization of capital gains taxes: evidence from stock price reactions to the 1997 rate reduction . </w:t>
              </w:r>
              <w:r w:rsidRPr="002962B6">
                <w:rPr>
                  <w:rFonts w:cs="Times New Roman"/>
                  <w:i/>
                  <w:iCs/>
                  <w:noProof/>
                  <w:sz w:val="20"/>
                  <w:szCs w:val="20"/>
                  <w:lang w:val="nl-NL"/>
                </w:rPr>
                <w:t>Journal of Public Economics</w:t>
              </w:r>
              <w:r w:rsidRPr="002962B6">
                <w:rPr>
                  <w:rFonts w:cs="Times New Roman"/>
                  <w:noProof/>
                  <w:sz w:val="20"/>
                  <w:szCs w:val="20"/>
                  <w:lang w:val="nl-NL"/>
                </w:rPr>
                <w:t xml:space="preserve"> </w:t>
              </w:r>
              <w:r w:rsidRPr="002962B6">
                <w:rPr>
                  <w:rFonts w:cs="Times New Roman"/>
                  <w:i/>
                  <w:iCs/>
                  <w:noProof/>
                  <w:sz w:val="20"/>
                  <w:szCs w:val="20"/>
                  <w:lang w:val="nl-NL"/>
                </w:rPr>
                <w:t>, 76</w:t>
              </w:r>
              <w:r w:rsidRPr="002962B6">
                <w:rPr>
                  <w:rFonts w:cs="Times New Roman"/>
                  <w:noProof/>
                  <w:sz w:val="20"/>
                  <w:szCs w:val="20"/>
                  <w:lang w:val="nl-NL"/>
                </w:rPr>
                <w:t>, 69-85.</w:t>
              </w:r>
            </w:p>
            <w:p w14:paraId="62A4255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Meghir, C., &amp; Philips, D. (2010). Labour Supply and Taxes. In S. A. others, </w:t>
              </w:r>
              <w:r w:rsidRPr="002962B6">
                <w:rPr>
                  <w:rFonts w:cs="Times New Roman"/>
                  <w:i/>
                  <w:iCs/>
                  <w:noProof/>
                  <w:sz w:val="20"/>
                  <w:szCs w:val="20"/>
                  <w:lang w:val="nl-NL"/>
                </w:rPr>
                <w:t>The Mirrlees Review</w:t>
              </w:r>
              <w:r w:rsidRPr="002962B6">
                <w:rPr>
                  <w:rFonts w:cs="Times New Roman"/>
                  <w:noProof/>
                  <w:sz w:val="20"/>
                  <w:szCs w:val="20"/>
                  <w:lang w:val="nl-NL"/>
                </w:rPr>
                <w:t xml:space="preserve"> (pp. 202-274). Oxford: Oxford University Press.</w:t>
              </w:r>
            </w:p>
            <w:p w14:paraId="4E38861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Menoncin, &amp; Panteghini. (2009). </w:t>
              </w:r>
              <w:r w:rsidRPr="002962B6">
                <w:rPr>
                  <w:rFonts w:cs="Times New Roman"/>
                  <w:i/>
                  <w:iCs/>
                  <w:noProof/>
                  <w:sz w:val="20"/>
                  <w:szCs w:val="20"/>
                  <w:lang w:val="nl-NL"/>
                </w:rPr>
                <w:t>Retrospective Capital Gains Taxation in the Real World.</w:t>
              </w:r>
              <w:r w:rsidRPr="002962B6">
                <w:rPr>
                  <w:rFonts w:cs="Times New Roman"/>
                  <w:noProof/>
                  <w:sz w:val="20"/>
                  <w:szCs w:val="20"/>
                  <w:lang w:val="nl-NL"/>
                </w:rPr>
                <w:t xml:space="preserve"> CESifo.</w:t>
              </w:r>
            </w:p>
            <w:p w14:paraId="697D0F3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Milligan, Mintz, &amp; Wilson. (1999). </w:t>
              </w:r>
              <w:r w:rsidRPr="002962B6">
                <w:rPr>
                  <w:rFonts w:cs="Times New Roman"/>
                  <w:i/>
                  <w:iCs/>
                  <w:noProof/>
                  <w:sz w:val="20"/>
                  <w:szCs w:val="20"/>
                  <w:lang w:val="nl-NL"/>
                </w:rPr>
                <w:t>Capital Gains Taxation: Recent Empirical Evidence.</w:t>
              </w:r>
              <w:r w:rsidRPr="002962B6">
                <w:rPr>
                  <w:rFonts w:cs="Times New Roman"/>
                  <w:noProof/>
                  <w:sz w:val="20"/>
                  <w:szCs w:val="20"/>
                  <w:lang w:val="nl-NL"/>
                </w:rPr>
                <w:t xml:space="preserve"> The Heward Stikeman Institute. University of Toronto.</w:t>
              </w:r>
            </w:p>
            <w:p w14:paraId="7DBEDD7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Mirrlees, J. A. (1971). An exploration in the theory of optimum income taxation. </w:t>
              </w:r>
              <w:r w:rsidRPr="002962B6">
                <w:rPr>
                  <w:rFonts w:cs="Times New Roman"/>
                  <w:i/>
                  <w:iCs/>
                  <w:noProof/>
                  <w:sz w:val="20"/>
                  <w:szCs w:val="20"/>
                  <w:lang w:val="nl-NL"/>
                </w:rPr>
                <w:t>Review of Economic Statistics</w:t>
              </w:r>
              <w:r w:rsidRPr="002962B6">
                <w:rPr>
                  <w:rFonts w:cs="Times New Roman"/>
                  <w:noProof/>
                  <w:sz w:val="20"/>
                  <w:szCs w:val="20"/>
                  <w:lang w:val="nl-NL"/>
                </w:rPr>
                <w:t xml:space="preserve"> </w:t>
              </w:r>
              <w:r w:rsidRPr="002962B6">
                <w:rPr>
                  <w:rFonts w:cs="Times New Roman"/>
                  <w:i/>
                  <w:iCs/>
                  <w:noProof/>
                  <w:sz w:val="20"/>
                  <w:szCs w:val="20"/>
                  <w:lang w:val="nl-NL"/>
                </w:rPr>
                <w:t>, 38</w:t>
              </w:r>
              <w:r w:rsidRPr="002962B6">
                <w:rPr>
                  <w:rFonts w:cs="Times New Roman"/>
                  <w:noProof/>
                  <w:sz w:val="20"/>
                  <w:szCs w:val="20"/>
                  <w:lang w:val="nl-NL"/>
                </w:rPr>
                <w:t>, 175-208.</w:t>
              </w:r>
            </w:p>
            <w:p w14:paraId="1E442369"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Mirrlees, J., Stuart, A., Besley, T., Blundell, R., Bond, S., Chote, R., et al. (2011). The Mirrlees Review: Conclusions and Recommendations for Reform. </w:t>
              </w:r>
              <w:r w:rsidRPr="002962B6">
                <w:rPr>
                  <w:rFonts w:cs="Times New Roman"/>
                  <w:i/>
                  <w:iCs/>
                  <w:noProof/>
                  <w:sz w:val="20"/>
                  <w:szCs w:val="20"/>
                  <w:lang w:val="nl-NL"/>
                </w:rPr>
                <w:t>Journal of Applied Public Economics</w:t>
              </w:r>
              <w:r w:rsidRPr="002962B6">
                <w:rPr>
                  <w:rFonts w:cs="Times New Roman"/>
                  <w:noProof/>
                  <w:sz w:val="20"/>
                  <w:szCs w:val="20"/>
                  <w:lang w:val="nl-NL"/>
                </w:rPr>
                <w:t xml:space="preserve"> .</w:t>
              </w:r>
            </w:p>
            <w:p w14:paraId="370F37B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Moffit, R. A., &amp; Wilhelm, M. O. (2000). Taxation and the Labor Supply Decisions of the Affluent. In J. B. Slemrod, </w:t>
              </w:r>
              <w:r w:rsidRPr="002962B6">
                <w:rPr>
                  <w:rFonts w:cs="Times New Roman"/>
                  <w:i/>
                  <w:iCs/>
                  <w:noProof/>
                  <w:sz w:val="20"/>
                  <w:szCs w:val="20"/>
                  <w:lang w:val="nl-NL"/>
                </w:rPr>
                <w:t>Does Atlas Shrug? The Economic Consequences of Taxing the Rich</w:t>
              </w:r>
              <w:r w:rsidRPr="002962B6">
                <w:rPr>
                  <w:rFonts w:cs="Times New Roman"/>
                  <w:noProof/>
                  <w:sz w:val="20"/>
                  <w:szCs w:val="20"/>
                  <w:lang w:val="nl-NL"/>
                </w:rPr>
                <w:t xml:space="preserve"> (pp. 193-239). Cambridge: Harvard University Press.</w:t>
              </w:r>
            </w:p>
            <w:p w14:paraId="5DD8D5F2"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Mooij, R. A., &amp; Nicodème, G. (2008). Corporate Tax Policy and Incorporation in the EU. </w:t>
              </w:r>
              <w:r w:rsidRPr="002962B6">
                <w:rPr>
                  <w:rFonts w:cs="Times New Roman"/>
                  <w:i/>
                  <w:iCs/>
                  <w:noProof/>
                  <w:sz w:val="20"/>
                  <w:szCs w:val="20"/>
                  <w:lang w:val="nl-NL"/>
                </w:rPr>
                <w:t>International Tax and Public Finance</w:t>
              </w:r>
              <w:r w:rsidRPr="002962B6">
                <w:rPr>
                  <w:rFonts w:cs="Times New Roman"/>
                  <w:noProof/>
                  <w:sz w:val="20"/>
                  <w:szCs w:val="20"/>
                  <w:lang w:val="nl-NL"/>
                </w:rPr>
                <w:t xml:space="preserve"> </w:t>
              </w:r>
              <w:r w:rsidRPr="002962B6">
                <w:rPr>
                  <w:rFonts w:cs="Times New Roman"/>
                  <w:i/>
                  <w:iCs/>
                  <w:noProof/>
                  <w:sz w:val="20"/>
                  <w:szCs w:val="20"/>
                  <w:lang w:val="nl-NL"/>
                </w:rPr>
                <w:t>, 15</w:t>
              </w:r>
              <w:r w:rsidRPr="002962B6">
                <w:rPr>
                  <w:rFonts w:cs="Times New Roman"/>
                  <w:noProof/>
                  <w:sz w:val="20"/>
                  <w:szCs w:val="20"/>
                  <w:lang w:val="nl-NL"/>
                </w:rPr>
                <w:t xml:space="preserve"> (4), 478-498.</w:t>
              </w:r>
            </w:p>
            <w:p w14:paraId="629491C8"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OECD. (sd). Opgehaald van OECD.stat: https://stats.oecd.org/Index.aspx?lang=en&amp;SubSessionId=20c7bb7e-e75e-4e6c-89b6-5ba87cb8d721&amp;themetreeid=18#</w:t>
              </w:r>
            </w:p>
            <w:p w14:paraId="78A9A2E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OECD. (2006). </w:t>
              </w:r>
              <w:r w:rsidRPr="002962B6">
                <w:rPr>
                  <w:rFonts w:cs="Times New Roman"/>
                  <w:i/>
                  <w:iCs/>
                  <w:noProof/>
                  <w:sz w:val="20"/>
                  <w:szCs w:val="20"/>
                  <w:lang w:val="nl-NL"/>
                </w:rPr>
                <w:t>Taxation of Capital Gains of Individuals - Policy Considerations and Approaches.</w:t>
              </w:r>
              <w:r w:rsidRPr="002962B6">
                <w:rPr>
                  <w:rFonts w:cs="Times New Roman"/>
                  <w:noProof/>
                  <w:sz w:val="20"/>
                  <w:szCs w:val="20"/>
                  <w:lang w:val="nl-NL"/>
                </w:rPr>
                <w:t xml:space="preserve"> OECD Tax Policy Studies. OECD Publishing.</w:t>
              </w:r>
            </w:p>
            <w:p w14:paraId="1EDC9FA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Piketty, &amp; Saez. (2013). A theory of optimal inheritance taxation. </w:t>
              </w:r>
              <w:r w:rsidRPr="002962B6">
                <w:rPr>
                  <w:rFonts w:cs="Times New Roman"/>
                  <w:i/>
                  <w:iCs/>
                  <w:noProof/>
                  <w:sz w:val="20"/>
                  <w:szCs w:val="20"/>
                  <w:lang w:val="nl-NL"/>
                </w:rPr>
                <w:t>Econometrica</w:t>
              </w:r>
              <w:r w:rsidRPr="002962B6">
                <w:rPr>
                  <w:rFonts w:cs="Times New Roman"/>
                  <w:noProof/>
                  <w:sz w:val="20"/>
                  <w:szCs w:val="20"/>
                  <w:lang w:val="nl-NL"/>
                </w:rPr>
                <w:t xml:space="preserve"> </w:t>
              </w:r>
              <w:r w:rsidRPr="002962B6">
                <w:rPr>
                  <w:rFonts w:cs="Times New Roman"/>
                  <w:i/>
                  <w:iCs/>
                  <w:noProof/>
                  <w:sz w:val="20"/>
                  <w:szCs w:val="20"/>
                  <w:lang w:val="nl-NL"/>
                </w:rPr>
                <w:t>, 81</w:t>
              </w:r>
              <w:r w:rsidRPr="002962B6">
                <w:rPr>
                  <w:rFonts w:cs="Times New Roman"/>
                  <w:noProof/>
                  <w:sz w:val="20"/>
                  <w:szCs w:val="20"/>
                  <w:lang w:val="nl-NL"/>
                </w:rPr>
                <w:t xml:space="preserve"> (5), 1851-1886.</w:t>
              </w:r>
            </w:p>
            <w:p w14:paraId="10E510F3"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Piketty, T. (2013). Capital in the 21st century. In T. Piketty, </w:t>
              </w:r>
              <w:r w:rsidRPr="002962B6">
                <w:rPr>
                  <w:rFonts w:cs="Times New Roman"/>
                  <w:i/>
                  <w:iCs/>
                  <w:noProof/>
                  <w:sz w:val="20"/>
                  <w:szCs w:val="20"/>
                  <w:lang w:val="nl-NL"/>
                </w:rPr>
                <w:t>Capital in the 21st century.</w:t>
              </w:r>
              <w:r w:rsidRPr="002962B6">
                <w:rPr>
                  <w:rFonts w:cs="Times New Roman"/>
                  <w:noProof/>
                  <w:sz w:val="20"/>
                  <w:szCs w:val="20"/>
                  <w:lang w:val="nl-NL"/>
                </w:rPr>
                <w:t xml:space="preserve"> Paris.</w:t>
              </w:r>
            </w:p>
            <w:p w14:paraId="3EC800D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Piketty, T., &amp; Saez, E. (2013). A Theory of Optimal Inheritance Taxation. </w:t>
              </w:r>
              <w:r w:rsidRPr="002962B6">
                <w:rPr>
                  <w:rFonts w:cs="Times New Roman"/>
                  <w:i/>
                  <w:iCs/>
                  <w:noProof/>
                  <w:sz w:val="20"/>
                  <w:szCs w:val="20"/>
                  <w:lang w:val="nl-NL"/>
                </w:rPr>
                <w:t>Econometrica</w:t>
              </w:r>
              <w:r w:rsidRPr="002962B6">
                <w:rPr>
                  <w:rFonts w:cs="Times New Roman"/>
                  <w:noProof/>
                  <w:sz w:val="20"/>
                  <w:szCs w:val="20"/>
                  <w:lang w:val="nl-NL"/>
                </w:rPr>
                <w:t xml:space="preserve"> </w:t>
              </w:r>
              <w:r w:rsidRPr="002962B6">
                <w:rPr>
                  <w:rFonts w:cs="Times New Roman"/>
                  <w:i/>
                  <w:iCs/>
                  <w:noProof/>
                  <w:sz w:val="20"/>
                  <w:szCs w:val="20"/>
                  <w:lang w:val="nl-NL"/>
                </w:rPr>
                <w:t>, 81</w:t>
              </w:r>
              <w:r w:rsidRPr="002962B6">
                <w:rPr>
                  <w:rFonts w:cs="Times New Roman"/>
                  <w:noProof/>
                  <w:sz w:val="20"/>
                  <w:szCs w:val="20"/>
                  <w:lang w:val="nl-NL"/>
                </w:rPr>
                <w:t xml:space="preserve"> (5), 1851-1886.</w:t>
              </w:r>
            </w:p>
            <w:p w14:paraId="19D5D5C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Pirttilä, J., &amp; Selin, H. (2011). Income Shifting within a Dual income Tax System: Evidence from the Finnish Tax Reform of 1993. </w:t>
              </w:r>
              <w:r w:rsidRPr="002962B6">
                <w:rPr>
                  <w:rFonts w:cs="Times New Roman"/>
                  <w:i/>
                  <w:iCs/>
                  <w:noProof/>
                  <w:sz w:val="20"/>
                  <w:szCs w:val="20"/>
                  <w:lang w:val="nl-NL"/>
                </w:rPr>
                <w:t>Scandinavian Journal of Economics</w:t>
              </w:r>
              <w:r w:rsidRPr="002962B6">
                <w:rPr>
                  <w:rFonts w:cs="Times New Roman"/>
                  <w:noProof/>
                  <w:sz w:val="20"/>
                  <w:szCs w:val="20"/>
                  <w:lang w:val="nl-NL"/>
                </w:rPr>
                <w:t xml:space="preserve"> </w:t>
              </w:r>
              <w:r w:rsidRPr="002962B6">
                <w:rPr>
                  <w:rFonts w:cs="Times New Roman"/>
                  <w:i/>
                  <w:iCs/>
                  <w:noProof/>
                  <w:sz w:val="20"/>
                  <w:szCs w:val="20"/>
                  <w:lang w:val="nl-NL"/>
                </w:rPr>
                <w:t>, 113</w:t>
              </w:r>
              <w:r w:rsidRPr="002962B6">
                <w:rPr>
                  <w:rFonts w:cs="Times New Roman"/>
                  <w:noProof/>
                  <w:sz w:val="20"/>
                  <w:szCs w:val="20"/>
                  <w:lang w:val="nl-NL"/>
                </w:rPr>
                <w:t xml:space="preserve"> (3), 120-144.</w:t>
              </w:r>
            </w:p>
            <w:p w14:paraId="3B78308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Pirttilä, J., &amp; Suoniemi, I. (2014). Public Provision, Commodity Demand and Hours of Work: An Empirical Analysis. </w:t>
              </w:r>
              <w:r w:rsidRPr="002962B6">
                <w:rPr>
                  <w:rFonts w:cs="Times New Roman"/>
                  <w:i/>
                  <w:iCs/>
                  <w:noProof/>
                  <w:sz w:val="20"/>
                  <w:szCs w:val="20"/>
                  <w:lang w:val="nl-NL"/>
                </w:rPr>
                <w:t>Scandinavian Journal of Economics</w:t>
              </w:r>
              <w:r w:rsidRPr="002962B6">
                <w:rPr>
                  <w:rFonts w:cs="Times New Roman"/>
                  <w:noProof/>
                  <w:sz w:val="20"/>
                  <w:szCs w:val="20"/>
                  <w:lang w:val="nl-NL"/>
                </w:rPr>
                <w:t xml:space="preserve"> </w:t>
              </w:r>
              <w:r w:rsidRPr="002962B6">
                <w:rPr>
                  <w:rFonts w:cs="Times New Roman"/>
                  <w:i/>
                  <w:iCs/>
                  <w:noProof/>
                  <w:sz w:val="20"/>
                  <w:szCs w:val="20"/>
                  <w:lang w:val="nl-NL"/>
                </w:rPr>
                <w:t>, 116</w:t>
              </w:r>
              <w:r w:rsidRPr="002962B6">
                <w:rPr>
                  <w:rFonts w:cs="Times New Roman"/>
                  <w:noProof/>
                  <w:sz w:val="20"/>
                  <w:szCs w:val="20"/>
                  <w:lang w:val="nl-NL"/>
                </w:rPr>
                <w:t xml:space="preserve"> (4), 1044-1067.</w:t>
              </w:r>
            </w:p>
            <w:p w14:paraId="0CEA8C1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Poterba, J. M. (1989). Capital gains tax policy toward entrepreneurship. </w:t>
              </w:r>
              <w:r w:rsidRPr="002962B6">
                <w:rPr>
                  <w:rFonts w:cs="Times New Roman"/>
                  <w:i/>
                  <w:iCs/>
                  <w:noProof/>
                  <w:sz w:val="20"/>
                  <w:szCs w:val="20"/>
                  <w:lang w:val="nl-NL"/>
                </w:rPr>
                <w:t>National Tax Journal</w:t>
              </w:r>
              <w:r w:rsidRPr="002962B6">
                <w:rPr>
                  <w:rFonts w:cs="Times New Roman"/>
                  <w:noProof/>
                  <w:sz w:val="20"/>
                  <w:szCs w:val="20"/>
                  <w:lang w:val="nl-NL"/>
                </w:rPr>
                <w:t xml:space="preserve"> </w:t>
              </w:r>
              <w:r w:rsidRPr="002962B6">
                <w:rPr>
                  <w:rFonts w:cs="Times New Roman"/>
                  <w:i/>
                  <w:iCs/>
                  <w:noProof/>
                  <w:sz w:val="20"/>
                  <w:szCs w:val="20"/>
                  <w:lang w:val="nl-NL"/>
                </w:rPr>
                <w:t>, 42</w:t>
              </w:r>
              <w:r w:rsidRPr="002962B6">
                <w:rPr>
                  <w:rFonts w:cs="Times New Roman"/>
                  <w:noProof/>
                  <w:sz w:val="20"/>
                  <w:szCs w:val="20"/>
                  <w:lang w:val="nl-NL"/>
                </w:rPr>
                <w:t xml:space="preserve"> (3), 375-389.</w:t>
              </w:r>
            </w:p>
            <w:p w14:paraId="1D0C975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lastRenderedPageBreak/>
                <w:t xml:space="preserve">Poterba, J. M. (2002). Taxation, risk-taking, and household portfolio behavior. </w:t>
              </w:r>
              <w:r w:rsidRPr="002962B6">
                <w:rPr>
                  <w:rFonts w:cs="Times New Roman"/>
                  <w:i/>
                  <w:iCs/>
                  <w:noProof/>
                  <w:sz w:val="20"/>
                  <w:szCs w:val="20"/>
                  <w:lang w:val="nl-NL"/>
                </w:rPr>
                <w:t>Handbook of Public Economics</w:t>
              </w:r>
              <w:r w:rsidRPr="002962B6">
                <w:rPr>
                  <w:rFonts w:cs="Times New Roman"/>
                  <w:noProof/>
                  <w:sz w:val="20"/>
                  <w:szCs w:val="20"/>
                  <w:lang w:val="nl-NL"/>
                </w:rPr>
                <w:t xml:space="preserve"> </w:t>
              </w:r>
              <w:r w:rsidRPr="002962B6">
                <w:rPr>
                  <w:rFonts w:cs="Times New Roman"/>
                  <w:i/>
                  <w:iCs/>
                  <w:noProof/>
                  <w:sz w:val="20"/>
                  <w:szCs w:val="20"/>
                  <w:lang w:val="nl-NL"/>
                </w:rPr>
                <w:t>, 3</w:t>
              </w:r>
              <w:r w:rsidRPr="002962B6">
                <w:rPr>
                  <w:rFonts w:cs="Times New Roman"/>
                  <w:noProof/>
                  <w:sz w:val="20"/>
                  <w:szCs w:val="20"/>
                  <w:lang w:val="nl-NL"/>
                </w:rPr>
                <w:t>, 1110-1156.</w:t>
              </w:r>
            </w:p>
            <w:p w14:paraId="071771D4"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Reis, C. (2011). Entrepreneurial labor and capital taxation. </w:t>
              </w:r>
              <w:r w:rsidRPr="002962B6">
                <w:rPr>
                  <w:rFonts w:cs="Times New Roman"/>
                  <w:i/>
                  <w:iCs/>
                  <w:noProof/>
                  <w:sz w:val="20"/>
                  <w:szCs w:val="20"/>
                  <w:lang w:val="nl-NL"/>
                </w:rPr>
                <w:t>Macroeconomic Dynamics</w:t>
              </w:r>
              <w:r w:rsidRPr="002962B6">
                <w:rPr>
                  <w:rFonts w:cs="Times New Roman"/>
                  <w:noProof/>
                  <w:sz w:val="20"/>
                  <w:szCs w:val="20"/>
                  <w:lang w:val="nl-NL"/>
                </w:rPr>
                <w:t xml:space="preserve"> </w:t>
              </w:r>
              <w:r w:rsidRPr="002962B6">
                <w:rPr>
                  <w:rFonts w:cs="Times New Roman"/>
                  <w:i/>
                  <w:iCs/>
                  <w:noProof/>
                  <w:sz w:val="20"/>
                  <w:szCs w:val="20"/>
                  <w:lang w:val="nl-NL"/>
                </w:rPr>
                <w:t>, 15</w:t>
              </w:r>
              <w:r w:rsidRPr="002962B6">
                <w:rPr>
                  <w:rFonts w:cs="Times New Roman"/>
                  <w:noProof/>
                  <w:sz w:val="20"/>
                  <w:szCs w:val="20"/>
                  <w:lang w:val="nl-NL"/>
                </w:rPr>
                <w:t>, 326-335.</w:t>
              </w:r>
            </w:p>
            <w:p w14:paraId="2976777B"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Reis, C. (2011). Entrepreneurial Labour and Capital Taxation. </w:t>
              </w:r>
              <w:r w:rsidRPr="002962B6">
                <w:rPr>
                  <w:rFonts w:cs="Times New Roman"/>
                  <w:i/>
                  <w:iCs/>
                  <w:noProof/>
                  <w:sz w:val="20"/>
                  <w:szCs w:val="20"/>
                  <w:lang w:val="nl-NL"/>
                </w:rPr>
                <w:t>Macroeconomic Dynamics</w:t>
              </w:r>
              <w:r w:rsidRPr="002962B6">
                <w:rPr>
                  <w:rFonts w:cs="Times New Roman"/>
                  <w:noProof/>
                  <w:sz w:val="20"/>
                  <w:szCs w:val="20"/>
                  <w:lang w:val="nl-NL"/>
                </w:rPr>
                <w:t xml:space="preserve"> </w:t>
              </w:r>
              <w:r w:rsidRPr="002962B6">
                <w:rPr>
                  <w:rFonts w:cs="Times New Roman"/>
                  <w:i/>
                  <w:iCs/>
                  <w:noProof/>
                  <w:sz w:val="20"/>
                  <w:szCs w:val="20"/>
                  <w:lang w:val="nl-NL"/>
                </w:rPr>
                <w:t>, 15</w:t>
              </w:r>
              <w:r w:rsidRPr="002962B6">
                <w:rPr>
                  <w:rFonts w:cs="Times New Roman"/>
                  <w:noProof/>
                  <w:sz w:val="20"/>
                  <w:szCs w:val="20"/>
                  <w:lang w:val="nl-NL"/>
                </w:rPr>
                <w:t xml:space="preserve"> (3), 326-335.</w:t>
              </w:r>
            </w:p>
            <w:p w14:paraId="40D27CA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Sandmo, A. (1970). The effect of uncertainty on saving decisions. </w:t>
              </w:r>
              <w:r w:rsidRPr="002962B6">
                <w:rPr>
                  <w:rFonts w:cs="Times New Roman"/>
                  <w:i/>
                  <w:iCs/>
                  <w:noProof/>
                  <w:sz w:val="20"/>
                  <w:szCs w:val="20"/>
                  <w:lang w:val="nl-NL"/>
                </w:rPr>
                <w:t>Review of Economic Studies</w:t>
              </w:r>
              <w:r w:rsidRPr="002962B6">
                <w:rPr>
                  <w:rFonts w:cs="Times New Roman"/>
                  <w:noProof/>
                  <w:sz w:val="20"/>
                  <w:szCs w:val="20"/>
                  <w:lang w:val="nl-NL"/>
                </w:rPr>
                <w:t xml:space="preserve"> </w:t>
              </w:r>
              <w:r w:rsidRPr="002962B6">
                <w:rPr>
                  <w:rFonts w:cs="Times New Roman"/>
                  <w:i/>
                  <w:iCs/>
                  <w:noProof/>
                  <w:sz w:val="20"/>
                  <w:szCs w:val="20"/>
                  <w:lang w:val="nl-NL"/>
                </w:rPr>
                <w:t>, 37</w:t>
              </w:r>
              <w:r w:rsidRPr="002962B6">
                <w:rPr>
                  <w:rFonts w:cs="Times New Roman"/>
                  <w:noProof/>
                  <w:sz w:val="20"/>
                  <w:szCs w:val="20"/>
                  <w:lang w:val="nl-NL"/>
                </w:rPr>
                <w:t>, 353-360.</w:t>
              </w:r>
            </w:p>
            <w:p w14:paraId="6604093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Sandmo, A. (1985). The Effects of Taxation on Savings and Risk Taking. </w:t>
              </w:r>
              <w:r w:rsidRPr="002962B6">
                <w:rPr>
                  <w:rFonts w:cs="Times New Roman"/>
                  <w:i/>
                  <w:iCs/>
                  <w:noProof/>
                  <w:sz w:val="20"/>
                  <w:szCs w:val="20"/>
                  <w:lang w:val="nl-NL"/>
                </w:rPr>
                <w:t>Handbook of Public Economics</w:t>
              </w:r>
              <w:r w:rsidRPr="002962B6">
                <w:rPr>
                  <w:rFonts w:cs="Times New Roman"/>
                  <w:noProof/>
                  <w:sz w:val="20"/>
                  <w:szCs w:val="20"/>
                  <w:lang w:val="nl-NL"/>
                </w:rPr>
                <w:t xml:space="preserve"> </w:t>
              </w:r>
              <w:r w:rsidRPr="002962B6">
                <w:rPr>
                  <w:rFonts w:cs="Times New Roman"/>
                  <w:i/>
                  <w:iCs/>
                  <w:noProof/>
                  <w:sz w:val="20"/>
                  <w:szCs w:val="20"/>
                  <w:lang w:val="nl-NL"/>
                </w:rPr>
                <w:t>, 1</w:t>
              </w:r>
              <w:r w:rsidRPr="002962B6">
                <w:rPr>
                  <w:rFonts w:cs="Times New Roman"/>
                  <w:noProof/>
                  <w:sz w:val="20"/>
                  <w:szCs w:val="20"/>
                  <w:lang w:val="nl-NL"/>
                </w:rPr>
                <w:t>.</w:t>
              </w:r>
            </w:p>
            <w:p w14:paraId="43E3B125"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Scholz, Seshadri, &amp; Khitatrakun. (2006). Are Americans Saving 'Optimally' for Retirement. </w:t>
              </w:r>
              <w:r w:rsidRPr="002962B6">
                <w:rPr>
                  <w:rFonts w:cs="Times New Roman"/>
                  <w:i/>
                  <w:iCs/>
                  <w:noProof/>
                  <w:sz w:val="20"/>
                  <w:szCs w:val="20"/>
                  <w:lang w:val="nl-NL"/>
                </w:rPr>
                <w:t>Journal of Political Economy</w:t>
              </w:r>
              <w:r w:rsidRPr="002962B6">
                <w:rPr>
                  <w:rFonts w:cs="Times New Roman"/>
                  <w:noProof/>
                  <w:sz w:val="20"/>
                  <w:szCs w:val="20"/>
                  <w:lang w:val="nl-NL"/>
                </w:rPr>
                <w:t xml:space="preserve"> </w:t>
              </w:r>
              <w:r w:rsidRPr="002962B6">
                <w:rPr>
                  <w:rFonts w:cs="Times New Roman"/>
                  <w:i/>
                  <w:iCs/>
                  <w:noProof/>
                  <w:sz w:val="20"/>
                  <w:szCs w:val="20"/>
                  <w:lang w:val="nl-NL"/>
                </w:rPr>
                <w:t>, 114</w:t>
              </w:r>
              <w:r w:rsidRPr="002962B6">
                <w:rPr>
                  <w:rFonts w:cs="Times New Roman"/>
                  <w:noProof/>
                  <w:sz w:val="20"/>
                  <w:szCs w:val="20"/>
                  <w:lang w:val="nl-NL"/>
                </w:rPr>
                <w:t xml:space="preserve"> (4), 607-643.</w:t>
              </w:r>
            </w:p>
            <w:p w14:paraId="110FAA91"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Shepherd, W. G. (1989). Capital Gains as Economic Rent. </w:t>
              </w:r>
              <w:r w:rsidRPr="002962B6">
                <w:rPr>
                  <w:rFonts w:cs="Times New Roman"/>
                  <w:i/>
                  <w:iCs/>
                  <w:noProof/>
                  <w:sz w:val="20"/>
                  <w:szCs w:val="20"/>
                  <w:lang w:val="nl-NL"/>
                </w:rPr>
                <w:t>Review of Social Economy</w:t>
              </w:r>
              <w:r w:rsidRPr="002962B6">
                <w:rPr>
                  <w:rFonts w:cs="Times New Roman"/>
                  <w:noProof/>
                  <w:sz w:val="20"/>
                  <w:szCs w:val="20"/>
                  <w:lang w:val="nl-NL"/>
                </w:rPr>
                <w:t xml:space="preserve"> </w:t>
              </w:r>
              <w:r w:rsidRPr="002962B6">
                <w:rPr>
                  <w:rFonts w:cs="Times New Roman"/>
                  <w:i/>
                  <w:iCs/>
                  <w:noProof/>
                  <w:sz w:val="20"/>
                  <w:szCs w:val="20"/>
                  <w:lang w:val="nl-NL"/>
                </w:rPr>
                <w:t>, 47</w:t>
              </w:r>
              <w:r w:rsidRPr="002962B6">
                <w:rPr>
                  <w:rFonts w:cs="Times New Roman"/>
                  <w:noProof/>
                  <w:sz w:val="20"/>
                  <w:szCs w:val="20"/>
                  <w:lang w:val="nl-NL"/>
                </w:rPr>
                <w:t xml:space="preserve"> (2), 155-172.</w:t>
              </w:r>
            </w:p>
            <w:p w14:paraId="210F332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Skinner, J., &amp; Feenberg, D. (1990). The Impact of the 1986 Tax Reform on Personal Saving. In J. Slemrod, </w:t>
              </w:r>
              <w:r w:rsidRPr="002962B6">
                <w:rPr>
                  <w:rFonts w:cs="Times New Roman"/>
                  <w:i/>
                  <w:iCs/>
                  <w:noProof/>
                  <w:sz w:val="20"/>
                  <w:szCs w:val="20"/>
                  <w:lang w:val="nl-NL"/>
                </w:rPr>
                <w:t>Do Taxes Matter? The Impact of The Tax Reform Act of 1986.</w:t>
              </w:r>
              <w:r w:rsidRPr="002962B6">
                <w:rPr>
                  <w:rFonts w:cs="Times New Roman"/>
                  <w:noProof/>
                  <w:sz w:val="20"/>
                  <w:szCs w:val="20"/>
                  <w:lang w:val="nl-NL"/>
                </w:rPr>
                <w:t xml:space="preserve"> Cambridge: MIT Press.</w:t>
              </w:r>
            </w:p>
            <w:p w14:paraId="5F2A14AA"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Slemrod, J. (2000). Leonard E. Burman - The Labyrinth of Capital Gains Tax Policy- A Guide for the Perplexed -- book review by Joel Slemrod. </w:t>
              </w:r>
              <w:r w:rsidRPr="002962B6">
                <w:rPr>
                  <w:rFonts w:cs="Times New Roman"/>
                  <w:i/>
                  <w:iCs/>
                  <w:noProof/>
                  <w:sz w:val="20"/>
                  <w:szCs w:val="20"/>
                  <w:lang w:val="nl-NL"/>
                </w:rPr>
                <w:t>Journal of Economic Literature</w:t>
              </w:r>
              <w:r w:rsidRPr="002962B6">
                <w:rPr>
                  <w:rFonts w:cs="Times New Roman"/>
                  <w:noProof/>
                  <w:sz w:val="20"/>
                  <w:szCs w:val="20"/>
                  <w:lang w:val="nl-NL"/>
                </w:rPr>
                <w:t xml:space="preserve"> </w:t>
              </w:r>
              <w:r w:rsidRPr="002962B6">
                <w:rPr>
                  <w:rFonts w:cs="Times New Roman"/>
                  <w:i/>
                  <w:iCs/>
                  <w:noProof/>
                  <w:sz w:val="20"/>
                  <w:szCs w:val="20"/>
                  <w:lang w:val="nl-NL"/>
                </w:rPr>
                <w:t>, 38</w:t>
              </w:r>
              <w:r w:rsidRPr="002962B6">
                <w:rPr>
                  <w:rFonts w:cs="Times New Roman"/>
                  <w:noProof/>
                  <w:sz w:val="20"/>
                  <w:szCs w:val="20"/>
                  <w:lang w:val="nl-NL"/>
                </w:rPr>
                <w:t xml:space="preserve"> (3), 657-659.</w:t>
              </w:r>
            </w:p>
            <w:p w14:paraId="6C67B21E"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Slemrod, J., &amp; Feldstein, M. (1978). </w:t>
              </w:r>
              <w:r w:rsidRPr="002962B6">
                <w:rPr>
                  <w:rFonts w:cs="Times New Roman"/>
                  <w:i/>
                  <w:iCs/>
                  <w:noProof/>
                  <w:sz w:val="20"/>
                  <w:szCs w:val="20"/>
                  <w:lang w:val="nl-NL"/>
                </w:rPr>
                <w:t>The Lock-in Effect of the Capital Gains Tax: Some Time-Series Evidence.</w:t>
              </w:r>
              <w:r w:rsidRPr="002962B6">
                <w:rPr>
                  <w:rFonts w:cs="Times New Roman"/>
                  <w:noProof/>
                  <w:sz w:val="20"/>
                  <w:szCs w:val="20"/>
                  <w:lang w:val="nl-NL"/>
                </w:rPr>
                <w:t xml:space="preserve"> National Bureau of Economic Research. Cambridge, Massachusetts: National Bureau of Economic Research.</w:t>
              </w:r>
            </w:p>
            <w:p w14:paraId="61292C79"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Speer, S., Palacios, M., Lugo, M., &amp; Vaillancourt, F. (2014). </w:t>
              </w:r>
              <w:r w:rsidRPr="002962B6">
                <w:rPr>
                  <w:rFonts w:cs="Times New Roman"/>
                  <w:i/>
                  <w:iCs/>
                  <w:noProof/>
                  <w:sz w:val="20"/>
                  <w:szCs w:val="20"/>
                  <w:lang w:val="nl-NL"/>
                </w:rPr>
                <w:t>The Cost to Canadians of Complying With Personal IncomeTaxes.</w:t>
              </w:r>
              <w:r w:rsidRPr="002962B6">
                <w:rPr>
                  <w:rFonts w:cs="Times New Roman"/>
                  <w:noProof/>
                  <w:sz w:val="20"/>
                  <w:szCs w:val="20"/>
                  <w:lang w:val="nl-NL"/>
                </w:rPr>
                <w:t xml:space="preserve"> The Fraser Institute. The Fraser Institute.</w:t>
              </w:r>
            </w:p>
            <w:p w14:paraId="039BF64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Stiglitz, &amp; Weiss. (1981). Credit Rationing in Markets with Imperfect Information . </w:t>
              </w:r>
              <w:r w:rsidRPr="002962B6">
                <w:rPr>
                  <w:rFonts w:cs="Times New Roman"/>
                  <w:i/>
                  <w:iCs/>
                  <w:noProof/>
                  <w:sz w:val="20"/>
                  <w:szCs w:val="20"/>
                  <w:lang w:val="nl-NL"/>
                </w:rPr>
                <w:t>The American Economic Review</w:t>
              </w:r>
              <w:r w:rsidRPr="002962B6">
                <w:rPr>
                  <w:rFonts w:cs="Times New Roman"/>
                  <w:noProof/>
                  <w:sz w:val="20"/>
                  <w:szCs w:val="20"/>
                  <w:lang w:val="nl-NL"/>
                </w:rPr>
                <w:t xml:space="preserve"> </w:t>
              </w:r>
              <w:r w:rsidRPr="002962B6">
                <w:rPr>
                  <w:rFonts w:cs="Times New Roman"/>
                  <w:i/>
                  <w:iCs/>
                  <w:noProof/>
                  <w:sz w:val="20"/>
                  <w:szCs w:val="20"/>
                  <w:lang w:val="nl-NL"/>
                </w:rPr>
                <w:t>, 71</w:t>
              </w:r>
              <w:r w:rsidRPr="002962B6">
                <w:rPr>
                  <w:rFonts w:cs="Times New Roman"/>
                  <w:noProof/>
                  <w:sz w:val="20"/>
                  <w:szCs w:val="20"/>
                  <w:lang w:val="nl-NL"/>
                </w:rPr>
                <w:t xml:space="preserve"> (3), 393-410.</w:t>
              </w:r>
            </w:p>
            <w:p w14:paraId="1144A15F"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Stiglitz, J. E. (1983). SOME ASPECTS OF THE TAXATION OF CAPITAL GAINS. </w:t>
              </w:r>
              <w:r w:rsidRPr="002962B6">
                <w:rPr>
                  <w:rFonts w:cs="Times New Roman"/>
                  <w:i/>
                  <w:iCs/>
                  <w:noProof/>
                  <w:sz w:val="20"/>
                  <w:szCs w:val="20"/>
                  <w:lang w:val="nl-NL"/>
                </w:rPr>
                <w:t>NBER Working Paper Series</w:t>
              </w:r>
              <w:r w:rsidRPr="002962B6">
                <w:rPr>
                  <w:rFonts w:cs="Times New Roman"/>
                  <w:noProof/>
                  <w:sz w:val="20"/>
                  <w:szCs w:val="20"/>
                  <w:lang w:val="nl-NL"/>
                </w:rPr>
                <w:t xml:space="preserve"> .</w:t>
              </w:r>
            </w:p>
            <w:p w14:paraId="10EF723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Summers, L. (1981). Capital taxation and capital accumulation in a life-cycle growth model. </w:t>
              </w:r>
              <w:r w:rsidRPr="002962B6">
                <w:rPr>
                  <w:rFonts w:cs="Times New Roman"/>
                  <w:i/>
                  <w:iCs/>
                  <w:noProof/>
                  <w:sz w:val="20"/>
                  <w:szCs w:val="20"/>
                  <w:lang w:val="nl-NL"/>
                </w:rPr>
                <w:t>American Economic Review</w:t>
              </w:r>
              <w:r w:rsidRPr="002962B6">
                <w:rPr>
                  <w:rFonts w:cs="Times New Roman"/>
                  <w:noProof/>
                  <w:sz w:val="20"/>
                  <w:szCs w:val="20"/>
                  <w:lang w:val="nl-NL"/>
                </w:rPr>
                <w:t xml:space="preserve"> </w:t>
              </w:r>
              <w:r w:rsidRPr="002962B6">
                <w:rPr>
                  <w:rFonts w:cs="Times New Roman"/>
                  <w:i/>
                  <w:iCs/>
                  <w:noProof/>
                  <w:sz w:val="20"/>
                  <w:szCs w:val="20"/>
                  <w:lang w:val="nl-NL"/>
                </w:rPr>
                <w:t>, 71</w:t>
              </w:r>
              <w:r w:rsidRPr="002962B6">
                <w:rPr>
                  <w:rFonts w:cs="Times New Roman"/>
                  <w:noProof/>
                  <w:sz w:val="20"/>
                  <w:szCs w:val="20"/>
                  <w:lang w:val="nl-NL"/>
                </w:rPr>
                <w:t>, 533-544.</w:t>
              </w:r>
            </w:p>
            <w:p w14:paraId="4CFE2E87"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van Roy, E. (1980). Tax Policies towards Multinational Corporations in Developing Asian Countries. In J. Adams, </w:t>
              </w:r>
              <w:r w:rsidRPr="002962B6">
                <w:rPr>
                  <w:rFonts w:cs="Times New Roman"/>
                  <w:i/>
                  <w:iCs/>
                  <w:noProof/>
                  <w:sz w:val="20"/>
                  <w:szCs w:val="20"/>
                  <w:lang w:val="nl-NL"/>
                </w:rPr>
                <w:t>Institutional Economics: Contributions to the Development of Holistic Economics</w:t>
              </w:r>
              <w:r w:rsidRPr="002962B6">
                <w:rPr>
                  <w:rFonts w:cs="Times New Roman"/>
                  <w:noProof/>
                  <w:sz w:val="20"/>
                  <w:szCs w:val="20"/>
                  <w:lang w:val="nl-NL"/>
                </w:rPr>
                <w:t xml:space="preserve"> (pp. 196-216). Martinus Nijhoff Publishing.</w:t>
              </w:r>
            </w:p>
            <w:p w14:paraId="4E4BDCD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Vickrey, W. (1939). Averaging income for income tax purposes. </w:t>
              </w:r>
              <w:r w:rsidRPr="002962B6">
                <w:rPr>
                  <w:rFonts w:cs="Times New Roman"/>
                  <w:i/>
                  <w:iCs/>
                  <w:noProof/>
                  <w:sz w:val="20"/>
                  <w:szCs w:val="20"/>
                  <w:lang w:val="nl-NL"/>
                </w:rPr>
                <w:t>Journal of Political Economy</w:t>
              </w:r>
              <w:r w:rsidRPr="002962B6">
                <w:rPr>
                  <w:rFonts w:cs="Times New Roman"/>
                  <w:noProof/>
                  <w:sz w:val="20"/>
                  <w:szCs w:val="20"/>
                  <w:lang w:val="nl-NL"/>
                </w:rPr>
                <w:t xml:space="preserve"> </w:t>
              </w:r>
              <w:r w:rsidRPr="002962B6">
                <w:rPr>
                  <w:rFonts w:cs="Times New Roman"/>
                  <w:i/>
                  <w:iCs/>
                  <w:noProof/>
                  <w:sz w:val="20"/>
                  <w:szCs w:val="20"/>
                  <w:lang w:val="nl-NL"/>
                </w:rPr>
                <w:t>, 47</w:t>
              </w:r>
              <w:r w:rsidRPr="002962B6">
                <w:rPr>
                  <w:rFonts w:cs="Times New Roman"/>
                  <w:noProof/>
                  <w:sz w:val="20"/>
                  <w:szCs w:val="20"/>
                  <w:lang w:val="nl-NL"/>
                </w:rPr>
                <w:t>, 379-397.</w:t>
              </w:r>
            </w:p>
            <w:p w14:paraId="4F64F2BC"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Warren, A. C. (1996). How Much Capital Income Taxed Under an Income Tax Would Be Exempt Under a Cash-Flow Tax? </w:t>
              </w:r>
              <w:r w:rsidRPr="002962B6">
                <w:rPr>
                  <w:rFonts w:cs="Times New Roman"/>
                  <w:i/>
                  <w:iCs/>
                  <w:noProof/>
                  <w:sz w:val="20"/>
                  <w:szCs w:val="20"/>
                  <w:lang w:val="nl-NL"/>
                </w:rPr>
                <w:t>Tax Law Revie</w:t>
              </w:r>
              <w:r w:rsidRPr="002962B6">
                <w:rPr>
                  <w:rFonts w:cs="Times New Roman"/>
                  <w:noProof/>
                  <w:sz w:val="20"/>
                  <w:szCs w:val="20"/>
                  <w:lang w:val="nl-NL"/>
                </w:rPr>
                <w:t xml:space="preserve"> </w:t>
              </w:r>
              <w:r w:rsidRPr="002962B6">
                <w:rPr>
                  <w:rFonts w:cs="Times New Roman"/>
                  <w:i/>
                  <w:iCs/>
                  <w:noProof/>
                  <w:sz w:val="20"/>
                  <w:szCs w:val="20"/>
                  <w:lang w:val="nl-NL"/>
                </w:rPr>
                <w:t>, 52</w:t>
              </w:r>
              <w:r w:rsidRPr="002962B6">
                <w:rPr>
                  <w:rFonts w:cs="Times New Roman"/>
                  <w:noProof/>
                  <w:sz w:val="20"/>
                  <w:szCs w:val="20"/>
                  <w:lang w:val="nl-NL"/>
                </w:rPr>
                <w:t xml:space="preserve"> (1), 1-16.</w:t>
              </w:r>
            </w:p>
            <w:p w14:paraId="6EC0F813"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Weisbach, D. A. (2004). The (Non-)Taxation of Risk. </w:t>
              </w:r>
              <w:r w:rsidRPr="002962B6">
                <w:rPr>
                  <w:rFonts w:cs="Times New Roman"/>
                  <w:i/>
                  <w:iCs/>
                  <w:noProof/>
                  <w:sz w:val="20"/>
                  <w:szCs w:val="20"/>
                  <w:lang w:val="nl-NL"/>
                </w:rPr>
                <w:t>Tax Law Review</w:t>
              </w:r>
              <w:r w:rsidRPr="002962B6">
                <w:rPr>
                  <w:rFonts w:cs="Times New Roman"/>
                  <w:noProof/>
                  <w:sz w:val="20"/>
                  <w:szCs w:val="20"/>
                  <w:lang w:val="nl-NL"/>
                </w:rPr>
                <w:t xml:space="preserve"> </w:t>
              </w:r>
              <w:r w:rsidRPr="002962B6">
                <w:rPr>
                  <w:rFonts w:cs="Times New Roman"/>
                  <w:i/>
                  <w:iCs/>
                  <w:noProof/>
                  <w:sz w:val="20"/>
                  <w:szCs w:val="20"/>
                  <w:lang w:val="nl-NL"/>
                </w:rPr>
                <w:t>, 58</w:t>
              </w:r>
              <w:r w:rsidRPr="002962B6">
                <w:rPr>
                  <w:rFonts w:cs="Times New Roman"/>
                  <w:noProof/>
                  <w:sz w:val="20"/>
                  <w:szCs w:val="20"/>
                  <w:lang w:val="nl-NL"/>
                </w:rPr>
                <w:t xml:space="preserve"> (1), 1-57.</w:t>
              </w:r>
            </w:p>
            <w:p w14:paraId="7BF9F2AD" w14:textId="77777777" w:rsidR="002962B6" w:rsidRPr="002962B6" w:rsidRDefault="002962B6" w:rsidP="002962B6">
              <w:pPr>
                <w:pStyle w:val="Bibliography"/>
                <w:rPr>
                  <w:rFonts w:cs="Times New Roman"/>
                  <w:noProof/>
                  <w:sz w:val="20"/>
                  <w:szCs w:val="20"/>
                  <w:lang w:val="nl-NL"/>
                </w:rPr>
              </w:pPr>
              <w:r w:rsidRPr="002962B6">
                <w:rPr>
                  <w:rFonts w:cs="Times New Roman"/>
                  <w:noProof/>
                  <w:sz w:val="20"/>
                  <w:szCs w:val="20"/>
                  <w:lang w:val="nl-NL"/>
                </w:rPr>
                <w:t xml:space="preserve">Wright, C. (1969). Saving and the rate of interest. In A. C. Harberger, &amp; e. M. J. Bailey, </w:t>
              </w:r>
              <w:r w:rsidRPr="002962B6">
                <w:rPr>
                  <w:rFonts w:cs="Times New Roman"/>
                  <w:i/>
                  <w:iCs/>
                  <w:noProof/>
                  <w:sz w:val="20"/>
                  <w:szCs w:val="20"/>
                  <w:lang w:val="nl-NL"/>
                </w:rPr>
                <w:t>The taxation of income from capital.</w:t>
              </w:r>
              <w:r w:rsidRPr="002962B6">
                <w:rPr>
                  <w:rFonts w:cs="Times New Roman"/>
                  <w:noProof/>
                  <w:sz w:val="20"/>
                  <w:szCs w:val="20"/>
                  <w:lang w:val="nl-NL"/>
                </w:rPr>
                <w:t xml:space="preserve"> Washington, DC: Brookings Institution.</w:t>
              </w:r>
            </w:p>
            <w:p w14:paraId="1B8678E6" w14:textId="3EDFC7C4" w:rsidR="002962B6" w:rsidRDefault="002962B6" w:rsidP="002962B6">
              <w:r w:rsidRPr="002962B6">
                <w:rPr>
                  <w:b/>
                  <w:bCs/>
                  <w:noProof/>
                  <w:sz w:val="20"/>
                  <w:szCs w:val="20"/>
                </w:rPr>
                <w:fldChar w:fldCharType="end"/>
              </w:r>
            </w:p>
          </w:sdtContent>
        </w:sdt>
      </w:sdtContent>
    </w:sdt>
    <w:p w14:paraId="53268642" w14:textId="77777777" w:rsidR="002719BA" w:rsidRDefault="002719BA" w:rsidP="00E479BC"/>
    <w:sectPr w:rsidR="002719BA" w:rsidSect="00E479BC">
      <w:footerReference w:type="even" r:id="rId9"/>
      <w:footerReference w:type="default" r:id="rId10"/>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1BC60" w14:textId="77777777" w:rsidR="007F63A3" w:rsidRDefault="007F63A3" w:rsidP="00CE7C20">
      <w:r>
        <w:separator/>
      </w:r>
    </w:p>
  </w:endnote>
  <w:endnote w:type="continuationSeparator" w:id="0">
    <w:p w14:paraId="5BAA6B02" w14:textId="77777777" w:rsidR="007F63A3" w:rsidRDefault="007F63A3" w:rsidP="00CE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1582C" w14:textId="77777777" w:rsidR="007F63A3" w:rsidRDefault="007F63A3" w:rsidP="00DE2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05FB4" w14:textId="77777777" w:rsidR="007F63A3" w:rsidRDefault="007F63A3" w:rsidP="00DE21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9360" w14:textId="77777777" w:rsidR="007F63A3" w:rsidRDefault="007F63A3" w:rsidP="00DE2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0339B939" w14:textId="77777777" w:rsidR="007F63A3" w:rsidRDefault="007F63A3" w:rsidP="00DE21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29564" w14:textId="77777777" w:rsidR="007F63A3" w:rsidRDefault="007F63A3" w:rsidP="00DE2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9C8F0" w14:textId="77777777" w:rsidR="007F63A3" w:rsidRDefault="007F63A3" w:rsidP="00DE211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22618" w14:textId="77777777" w:rsidR="007F63A3" w:rsidRDefault="007F63A3" w:rsidP="00DE2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1E86">
      <w:rPr>
        <w:rStyle w:val="PageNumber"/>
        <w:noProof/>
      </w:rPr>
      <w:t>22</w:t>
    </w:r>
    <w:r>
      <w:rPr>
        <w:rStyle w:val="PageNumber"/>
      </w:rPr>
      <w:fldChar w:fldCharType="end"/>
    </w:r>
  </w:p>
  <w:p w14:paraId="7D6C5A54" w14:textId="77777777" w:rsidR="007F63A3" w:rsidRDefault="007F63A3" w:rsidP="00DE21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BF460" w14:textId="77777777" w:rsidR="007F63A3" w:rsidRDefault="007F63A3" w:rsidP="00CE7C20">
      <w:r>
        <w:separator/>
      </w:r>
    </w:p>
  </w:footnote>
  <w:footnote w:type="continuationSeparator" w:id="0">
    <w:p w14:paraId="7B2DAC85" w14:textId="77777777" w:rsidR="007F63A3" w:rsidRDefault="007F63A3" w:rsidP="00CE7C20">
      <w:r>
        <w:continuationSeparator/>
      </w:r>
    </w:p>
  </w:footnote>
  <w:footnote w:id="1">
    <w:p w14:paraId="226C45E9" w14:textId="77777777" w:rsidR="007F63A3" w:rsidRPr="00CE7C20" w:rsidRDefault="007F63A3">
      <w:pPr>
        <w:pStyle w:val="FootnoteText"/>
        <w:rPr>
          <w:sz w:val="20"/>
          <w:szCs w:val="20"/>
          <w:lang w:val="nl-NL"/>
        </w:rPr>
      </w:pPr>
      <w:r>
        <w:rPr>
          <w:rStyle w:val="FootnoteReference"/>
        </w:rPr>
        <w:footnoteRef/>
      </w:r>
      <w:r>
        <w:t xml:space="preserve"> </w:t>
      </w:r>
      <w:r>
        <w:rPr>
          <w:sz w:val="20"/>
          <w:szCs w:val="20"/>
          <w:lang w:val="nl-NL"/>
        </w:rPr>
        <w:t xml:space="preserve">In most cases this means when the assets are sold. However, also when the owner passes away assets are sometimes assumed to be realized. </w:t>
      </w:r>
    </w:p>
  </w:footnote>
  <w:footnote w:id="2">
    <w:p w14:paraId="7D85CCC6" w14:textId="77777777" w:rsidR="007F63A3" w:rsidRPr="00202178" w:rsidRDefault="007F63A3">
      <w:pPr>
        <w:pStyle w:val="FootnoteText"/>
        <w:rPr>
          <w:lang w:val="nl-NL"/>
        </w:rPr>
      </w:pPr>
      <w:r>
        <w:rPr>
          <w:rStyle w:val="FootnoteReference"/>
        </w:rPr>
        <w:footnoteRef/>
      </w:r>
      <w:r>
        <w:t xml:space="preserve"> </w:t>
      </w:r>
      <w:r w:rsidRPr="00202178">
        <w:rPr>
          <w:rFonts w:ascii="Times New Roman" w:hAnsi="Times New Roman"/>
          <w:noProof/>
          <w:sz w:val="20"/>
          <w:szCs w:val="20"/>
          <w:lang w:val="nl-NL"/>
        </w:rPr>
        <w:t>(van Roy, 1980)</w:t>
      </w:r>
    </w:p>
  </w:footnote>
  <w:footnote w:id="3">
    <w:p w14:paraId="110DD59F" w14:textId="77777777" w:rsidR="007F63A3" w:rsidRPr="00052716" w:rsidRDefault="007F63A3">
      <w:pPr>
        <w:pStyle w:val="FootnoteText"/>
        <w:rPr>
          <w:sz w:val="20"/>
          <w:szCs w:val="20"/>
          <w:lang w:val="nl-NL"/>
        </w:rPr>
      </w:pPr>
      <w:r>
        <w:rPr>
          <w:rStyle w:val="FootnoteReference"/>
        </w:rPr>
        <w:footnoteRef/>
      </w:r>
      <w:r>
        <w:t xml:space="preserve"> </w:t>
      </w:r>
      <w:r>
        <w:rPr>
          <w:sz w:val="20"/>
          <w:szCs w:val="20"/>
          <w:lang w:val="nl-NL"/>
        </w:rPr>
        <w:t xml:space="preserve">The corporate tax rates vary from 8.5 percent in Belgium to 39 percent in the United states. </w:t>
      </w:r>
    </w:p>
  </w:footnote>
  <w:footnote w:id="4">
    <w:p w14:paraId="5AC8FAD2" w14:textId="77777777" w:rsidR="007F63A3" w:rsidRPr="00D71A8F" w:rsidRDefault="007F63A3">
      <w:pPr>
        <w:pStyle w:val="FootnoteText"/>
        <w:rPr>
          <w:sz w:val="20"/>
          <w:szCs w:val="20"/>
          <w:lang w:val="nl-NL"/>
        </w:rPr>
      </w:pPr>
      <w:r>
        <w:rPr>
          <w:rStyle w:val="FootnoteReference"/>
        </w:rPr>
        <w:footnoteRef/>
      </w:r>
      <w:r>
        <w:t xml:space="preserve"> </w:t>
      </w:r>
      <w:r>
        <w:rPr>
          <w:sz w:val="20"/>
          <w:szCs w:val="20"/>
        </w:rPr>
        <w:t>Interest withholding on personal and corporate level combined.</w:t>
      </w:r>
    </w:p>
  </w:footnote>
  <w:footnote w:id="5">
    <w:p w14:paraId="6B4B1DC2" w14:textId="77777777" w:rsidR="007F63A3" w:rsidRPr="009167BD" w:rsidRDefault="007F63A3" w:rsidP="00FC1656">
      <w:pPr>
        <w:rPr>
          <w:rFonts w:eastAsia="Times New Roman" w:cs="Times New Roman"/>
          <w:i/>
          <w:lang w:val="nl-NL"/>
        </w:rPr>
      </w:pPr>
      <w:r>
        <w:rPr>
          <w:rStyle w:val="FootnoteReference"/>
        </w:rPr>
        <w:footnoteRef/>
      </w:r>
      <w:r>
        <w:t xml:space="preserve"> </w:t>
      </w:r>
      <w:r w:rsidRPr="009261D8">
        <w:rPr>
          <w:sz w:val="20"/>
          <w:szCs w:val="20"/>
        </w:rPr>
        <w:t>Note that for the numbers on cap</w:t>
      </w:r>
      <w:r>
        <w:rPr>
          <w:sz w:val="20"/>
          <w:szCs w:val="20"/>
        </w:rPr>
        <w:t>ital</w:t>
      </w:r>
      <w:r w:rsidRPr="009261D8">
        <w:rPr>
          <w:sz w:val="20"/>
          <w:szCs w:val="20"/>
        </w:rPr>
        <w:t xml:space="preserve"> gains tax by</w:t>
      </w:r>
      <w:r>
        <w:rPr>
          <w:sz w:val="20"/>
          <w:szCs w:val="20"/>
        </w:rPr>
        <w:t xml:space="preserve"> H</w:t>
      </w:r>
      <w:r w:rsidRPr="009261D8">
        <w:rPr>
          <w:sz w:val="20"/>
          <w:szCs w:val="20"/>
        </w:rPr>
        <w:t xml:space="preserve">arding, </w:t>
      </w:r>
      <w:r>
        <w:rPr>
          <w:rFonts w:eastAsia="Times New Roman" w:cs="Times New Roman"/>
          <w:sz w:val="20"/>
          <w:szCs w:val="20"/>
          <w:lang w:val="nl-NL"/>
        </w:rPr>
        <w:t>t</w:t>
      </w:r>
      <w:r w:rsidRPr="009261D8">
        <w:rPr>
          <w:rFonts w:eastAsia="Times New Roman" w:cs="Times New Roman"/>
          <w:sz w:val="20"/>
          <w:szCs w:val="20"/>
          <w:lang w:val="nl-NL"/>
        </w:rPr>
        <w:t>he impact of the holding period on the tax rate paid is not considered.</w:t>
      </w:r>
    </w:p>
  </w:footnote>
  <w:footnote w:id="6">
    <w:p w14:paraId="3BC182A7" w14:textId="77777777" w:rsidR="007F63A3" w:rsidRPr="003B50BB" w:rsidRDefault="007F63A3">
      <w:pPr>
        <w:pStyle w:val="FootnoteText"/>
        <w:rPr>
          <w:lang w:val="nl-NL"/>
        </w:rPr>
      </w:pPr>
      <w:r>
        <w:rPr>
          <w:rStyle w:val="FootnoteReference"/>
        </w:rPr>
        <w:footnoteRef/>
      </w:r>
      <w:r w:rsidRPr="003B50BB">
        <w:rPr>
          <w:sz w:val="20"/>
          <w:szCs w:val="20"/>
        </w:rPr>
        <w:t xml:space="preserve"> </w:t>
      </w:r>
      <w:r w:rsidRPr="003B50BB">
        <w:rPr>
          <w:sz w:val="20"/>
          <w:szCs w:val="20"/>
          <w:lang w:val="nl-NL"/>
        </w:rPr>
        <w:t>Mexico, Chile, Israel and Portugal</w:t>
      </w:r>
    </w:p>
  </w:footnote>
  <w:footnote w:id="7">
    <w:p w14:paraId="09BE1F28" w14:textId="77777777" w:rsidR="007F63A3" w:rsidRPr="0053291F" w:rsidRDefault="007F63A3">
      <w:pPr>
        <w:pStyle w:val="FootnoteText"/>
        <w:rPr>
          <w:lang w:val="nl-NL"/>
        </w:rPr>
      </w:pPr>
      <w:r>
        <w:rPr>
          <w:rStyle w:val="FootnoteReference"/>
        </w:rPr>
        <w:footnoteRef/>
      </w:r>
      <w:r>
        <w:t xml:space="preserve"> </w:t>
      </w:r>
      <w:sdt>
        <w:sdtPr>
          <w:rPr>
            <w:sz w:val="20"/>
            <w:szCs w:val="20"/>
          </w:rPr>
          <w:id w:val="2018806907"/>
          <w:citation/>
        </w:sdtPr>
        <w:sdtEndPr/>
        <w:sdtContent>
          <w:r w:rsidRPr="0053291F">
            <w:rPr>
              <w:sz w:val="20"/>
              <w:szCs w:val="20"/>
            </w:rPr>
            <w:fldChar w:fldCharType="begin"/>
          </w:r>
          <w:r w:rsidRPr="0053291F">
            <w:rPr>
              <w:sz w:val="20"/>
              <w:szCs w:val="20"/>
              <w:lang w:val="nl-NL"/>
            </w:rPr>
            <w:instrText xml:space="preserve"> CITATION OEC06 \l 1043 </w:instrText>
          </w:r>
          <w:r w:rsidRPr="0053291F">
            <w:rPr>
              <w:sz w:val="20"/>
              <w:szCs w:val="20"/>
            </w:rPr>
            <w:fldChar w:fldCharType="separate"/>
          </w:r>
          <w:r w:rsidRPr="0053291F">
            <w:rPr>
              <w:noProof/>
              <w:sz w:val="20"/>
              <w:szCs w:val="20"/>
              <w:lang w:val="nl-NL"/>
            </w:rPr>
            <w:t>(OECD, 2006)</w:t>
          </w:r>
          <w:r w:rsidRPr="0053291F">
            <w:rPr>
              <w:sz w:val="20"/>
              <w:szCs w:val="20"/>
            </w:rPr>
            <w:fldChar w:fldCharType="end"/>
          </w:r>
        </w:sdtContent>
      </w:sdt>
    </w:p>
  </w:footnote>
  <w:footnote w:id="8">
    <w:p w14:paraId="5DBDF6E1" w14:textId="77777777" w:rsidR="007F63A3" w:rsidRPr="0008273B" w:rsidRDefault="007F63A3">
      <w:pPr>
        <w:pStyle w:val="FootnoteText"/>
        <w:rPr>
          <w:color w:val="FF0000"/>
          <w:lang w:val="nl-NL"/>
        </w:rPr>
      </w:pPr>
      <w:r>
        <w:rPr>
          <w:rStyle w:val="FootnoteReference"/>
        </w:rPr>
        <w:footnoteRef/>
      </w:r>
      <w:r>
        <w:t xml:space="preserve"> </w:t>
      </w:r>
      <w:r w:rsidRPr="00876554">
        <w:rPr>
          <w:sz w:val="20"/>
          <w:szCs w:val="20"/>
          <w:lang w:val="nl-NL"/>
        </w:rPr>
        <w:t>See</w:t>
      </w:r>
      <w:r>
        <w:rPr>
          <w:sz w:val="20"/>
          <w:szCs w:val="20"/>
          <w:lang w:val="nl-NL"/>
        </w:rPr>
        <w:t xml:space="preserve"> i.a.</w:t>
      </w:r>
      <w:r w:rsidRPr="00876554">
        <w:rPr>
          <w:sz w:val="20"/>
          <w:szCs w:val="20"/>
          <w:lang w:val="nl-NL"/>
        </w:rPr>
        <w:t xml:space="preserve"> </w:t>
      </w:r>
      <w:r>
        <w:rPr>
          <w:rFonts w:ascii="Times New Roman" w:hAnsi="Times New Roman"/>
          <w:noProof/>
          <w:sz w:val="20"/>
          <w:szCs w:val="20"/>
          <w:lang w:val="nl-NL"/>
        </w:rPr>
        <w:t xml:space="preserve">(Sandmo, 1985; 1970;Attanasio &amp; Weber, 2010; </w:t>
      </w:r>
      <w:r w:rsidRPr="00876554">
        <w:rPr>
          <w:rFonts w:ascii="Times New Roman" w:hAnsi="Times New Roman"/>
          <w:noProof/>
          <w:sz w:val="20"/>
          <w:szCs w:val="20"/>
          <w:lang w:val="nl-NL"/>
        </w:rPr>
        <w:t>Hungerford, 2010)</w:t>
      </w:r>
    </w:p>
  </w:footnote>
  <w:footnote w:id="9">
    <w:p w14:paraId="5BB4FC2A" w14:textId="77777777" w:rsidR="007F63A3" w:rsidRPr="004B2CAF" w:rsidRDefault="007F63A3">
      <w:pPr>
        <w:pStyle w:val="FootnoteText"/>
        <w:rPr>
          <w:lang w:val="nl-NL"/>
        </w:rPr>
      </w:pPr>
      <w:r>
        <w:rPr>
          <w:rStyle w:val="FootnoteReference"/>
        </w:rPr>
        <w:footnoteRef/>
      </w:r>
      <w:r>
        <w:t xml:space="preserve"> </w:t>
      </w:r>
      <w:r>
        <w:rPr>
          <w:sz w:val="20"/>
          <w:szCs w:val="20"/>
        </w:rPr>
        <w:t>The opposite goes</w:t>
      </w:r>
      <w:r w:rsidRPr="004B2CAF">
        <w:rPr>
          <w:sz w:val="20"/>
          <w:szCs w:val="20"/>
        </w:rPr>
        <w:t xml:space="preserve"> for when </w:t>
      </w:r>
      <w:r w:rsidRPr="004B2CAF">
        <w:rPr>
          <w:i/>
          <w:sz w:val="20"/>
          <w:szCs w:val="20"/>
        </w:rPr>
        <w:t>S</w:t>
      </w:r>
      <w:r w:rsidRPr="004B2CAF">
        <w:rPr>
          <w:sz w:val="20"/>
          <w:szCs w:val="20"/>
        </w:rPr>
        <w:t xml:space="preserve"> is negative (borrowings)</w:t>
      </w:r>
    </w:p>
  </w:footnote>
  <w:footnote w:id="10">
    <w:p w14:paraId="493ABCB6" w14:textId="77777777" w:rsidR="007F63A3" w:rsidRPr="00AD07DA" w:rsidRDefault="007F63A3">
      <w:pPr>
        <w:pStyle w:val="FootnoteText"/>
        <w:rPr>
          <w:sz w:val="20"/>
          <w:szCs w:val="20"/>
          <w:lang w:val="nl-NL"/>
        </w:rPr>
      </w:pPr>
      <w:r w:rsidRPr="00AD07DA">
        <w:rPr>
          <w:rStyle w:val="FootnoteReference"/>
        </w:rPr>
        <w:footnoteRef/>
      </w:r>
      <w:r w:rsidRPr="00AD07DA">
        <w:t xml:space="preserve"> </w:t>
      </w:r>
      <w:r w:rsidRPr="00AD07DA">
        <w:rPr>
          <w:sz w:val="20"/>
          <w:szCs w:val="20"/>
          <w:lang w:val="nl-NL"/>
        </w:rPr>
        <w:t xml:space="preserve">A safe asset money, with a return of zero, and a risky asset, with a return of </w:t>
      </w:r>
      <w:r w:rsidRPr="00AD07DA">
        <w:rPr>
          <w:i/>
          <w:sz w:val="20"/>
          <w:szCs w:val="20"/>
          <w:lang w:val="nl-NL"/>
        </w:rPr>
        <w:t>a</w:t>
      </w:r>
    </w:p>
  </w:footnote>
  <w:footnote w:id="11">
    <w:p w14:paraId="6D6669B5" w14:textId="77777777" w:rsidR="007F63A3" w:rsidRPr="006034BA" w:rsidRDefault="007F63A3" w:rsidP="00B179FC">
      <w:pPr>
        <w:pStyle w:val="FootnoteText"/>
        <w:rPr>
          <w:lang w:val="nl-NL"/>
        </w:rPr>
      </w:pPr>
      <w:r>
        <w:rPr>
          <w:rStyle w:val="FootnoteReference"/>
        </w:rPr>
        <w:footnoteRef/>
      </w:r>
      <w:r>
        <w:t xml:space="preserve"> </w:t>
      </w:r>
      <w:r>
        <w:rPr>
          <w:rFonts w:ascii="Times New Roman" w:hAnsi="Times New Roman"/>
          <w:noProof/>
          <w:sz w:val="20"/>
          <w:szCs w:val="20"/>
          <w:lang w:val="nl-NL"/>
        </w:rPr>
        <w:t xml:space="preserve">(Gordon, 1985; Weisbach, 2004; </w:t>
      </w:r>
      <w:r w:rsidRPr="000F4057">
        <w:rPr>
          <w:rFonts w:ascii="Times New Roman" w:hAnsi="Times New Roman"/>
          <w:noProof/>
          <w:sz w:val="20"/>
          <w:szCs w:val="20"/>
          <w:lang w:val="nl-NL"/>
        </w:rPr>
        <w:t>War</w:t>
      </w:r>
      <w:r>
        <w:rPr>
          <w:rFonts w:ascii="Times New Roman" w:hAnsi="Times New Roman"/>
          <w:noProof/>
          <w:sz w:val="20"/>
          <w:szCs w:val="20"/>
          <w:lang w:val="nl-NL"/>
        </w:rPr>
        <w:t xml:space="preserve">ren, 1996; </w:t>
      </w:r>
      <w:r w:rsidRPr="000F4057">
        <w:rPr>
          <w:rFonts w:ascii="Times New Roman" w:hAnsi="Times New Roman"/>
          <w:noProof/>
          <w:sz w:val="20"/>
          <w:szCs w:val="20"/>
          <w:lang w:val="nl-NL"/>
        </w:rPr>
        <w:t>Kaplow, 1994)</w:t>
      </w:r>
    </w:p>
  </w:footnote>
  <w:footnote w:id="12">
    <w:p w14:paraId="0CF22B8F" w14:textId="77777777" w:rsidR="007F63A3" w:rsidRPr="00DE6AED" w:rsidRDefault="007F63A3" w:rsidP="00843611">
      <w:pPr>
        <w:pStyle w:val="FootnoteText"/>
        <w:rPr>
          <w:noProof/>
          <w:sz w:val="20"/>
          <w:szCs w:val="20"/>
          <w:lang w:val="nl-NL"/>
        </w:rPr>
      </w:pPr>
      <w:r w:rsidRPr="00800CC0">
        <w:rPr>
          <w:rStyle w:val="FootnoteReference"/>
        </w:rPr>
        <w:footnoteRef/>
      </w:r>
      <w:r w:rsidRPr="00800CC0">
        <w:rPr>
          <w:noProof/>
          <w:lang w:val="nl-NL"/>
        </w:rPr>
        <w:t xml:space="preserve"> (</w:t>
      </w:r>
      <w:r>
        <w:rPr>
          <w:noProof/>
          <w:sz w:val="20"/>
          <w:szCs w:val="20"/>
          <w:lang w:val="nl-NL"/>
        </w:rPr>
        <w:t xml:space="preserve">Meghir &amp; Philips, 2010; Moffit &amp; Wilhelm, 2000; Gordon &amp; Kopczuk, 2014; Pirttilä &amp; Suoniemi, 2014; Jacobs &amp; Boadway, 2014; Conesa, Kitao, &amp; Krueger, 2009; </w:t>
      </w:r>
      <w:r w:rsidRPr="00800CC0">
        <w:rPr>
          <w:noProof/>
          <w:sz w:val="20"/>
          <w:szCs w:val="20"/>
          <w:lang w:val="nl-NL"/>
        </w:rPr>
        <w:t>Erosa &amp; Gervais, 2002)</w:t>
      </w:r>
    </w:p>
  </w:footnote>
  <w:footnote w:id="13">
    <w:p w14:paraId="417DC884" w14:textId="77777777" w:rsidR="007F63A3" w:rsidRPr="00BD191F" w:rsidRDefault="007F63A3" w:rsidP="00843611">
      <w:pPr>
        <w:pStyle w:val="FootnoteText"/>
        <w:rPr>
          <w:noProof/>
          <w:sz w:val="20"/>
          <w:szCs w:val="20"/>
          <w:lang w:val="nl-NL"/>
        </w:rPr>
      </w:pPr>
      <w:r>
        <w:rPr>
          <w:rStyle w:val="FootnoteReference"/>
        </w:rPr>
        <w:footnoteRef/>
      </w:r>
      <w:r>
        <w:t xml:space="preserve"> </w:t>
      </w:r>
      <w:r w:rsidRPr="00BD191F">
        <w:rPr>
          <w:noProof/>
          <w:sz w:val="20"/>
          <w:szCs w:val="20"/>
          <w:lang w:val="nl-NL"/>
        </w:rPr>
        <w:t>(Slemrod, 2000)</w:t>
      </w:r>
    </w:p>
  </w:footnote>
  <w:footnote w:id="14">
    <w:p w14:paraId="1182594E" w14:textId="77777777" w:rsidR="007F63A3" w:rsidRPr="00213195" w:rsidRDefault="007F63A3">
      <w:pPr>
        <w:pStyle w:val="FootnoteText"/>
        <w:rPr>
          <w:sz w:val="20"/>
          <w:szCs w:val="20"/>
          <w:lang w:val="nl-NL"/>
        </w:rPr>
      </w:pPr>
      <w:r>
        <w:rPr>
          <w:rStyle w:val="FootnoteReference"/>
        </w:rPr>
        <w:footnoteRef/>
      </w:r>
      <w:r>
        <w:t xml:space="preserve"> </w:t>
      </w:r>
      <w:r>
        <w:rPr>
          <w:sz w:val="20"/>
          <w:szCs w:val="20"/>
        </w:rPr>
        <w:t>Banks &amp; Diamond (2010) present another number of empirical papers that show this relation.</w:t>
      </w:r>
    </w:p>
  </w:footnote>
  <w:footnote w:id="15">
    <w:p w14:paraId="50A8C7A6" w14:textId="77777777" w:rsidR="007F63A3" w:rsidRPr="00F71093" w:rsidRDefault="007F63A3">
      <w:pPr>
        <w:pStyle w:val="FootnoteText"/>
        <w:rPr>
          <w:sz w:val="20"/>
          <w:szCs w:val="20"/>
          <w:lang w:val="nl-NL"/>
        </w:rPr>
      </w:pPr>
      <w:r>
        <w:rPr>
          <w:rStyle w:val="FootnoteReference"/>
        </w:rPr>
        <w:footnoteRef/>
      </w:r>
      <w:r>
        <w:t xml:space="preserve"> </w:t>
      </w:r>
      <w:r w:rsidRPr="00F71093">
        <w:rPr>
          <w:sz w:val="20"/>
          <w:szCs w:val="20"/>
        </w:rPr>
        <w:t xml:space="preserve">Ability is a continuous variable that differs within the levels of the discrete variable </w:t>
      </w:r>
      <w:r w:rsidRPr="00F71093">
        <w:rPr>
          <w:sz w:val="20"/>
          <w:szCs w:val="20"/>
          <w:lang w:val="nl-NL"/>
        </w:rPr>
        <w:t>education, which impedes the interpretation of the correlations.</w:t>
      </w:r>
    </w:p>
  </w:footnote>
  <w:footnote w:id="16">
    <w:p w14:paraId="75FFFBA0" w14:textId="77777777" w:rsidR="007F63A3" w:rsidRPr="00233772" w:rsidRDefault="007F63A3">
      <w:pPr>
        <w:pStyle w:val="FootnoteText"/>
        <w:rPr>
          <w:lang w:val="nl-NL"/>
        </w:rPr>
      </w:pPr>
      <w:r w:rsidRPr="00F71093">
        <w:rPr>
          <w:rStyle w:val="FootnoteReference"/>
        </w:rPr>
        <w:footnoteRef/>
      </w:r>
      <w:r w:rsidRPr="00F71093">
        <w:t xml:space="preserve"> </w:t>
      </w:r>
      <w:r w:rsidRPr="00F71093">
        <w:rPr>
          <w:sz w:val="20"/>
          <w:szCs w:val="20"/>
          <w:lang w:val="nl-NL"/>
        </w:rPr>
        <w:t>Mostly from 1995-2000, some from 1986-1993</w:t>
      </w:r>
    </w:p>
  </w:footnote>
  <w:footnote w:id="17">
    <w:p w14:paraId="78651E89" w14:textId="77777777" w:rsidR="007F63A3" w:rsidRPr="00954FB6" w:rsidRDefault="007F63A3">
      <w:pPr>
        <w:pStyle w:val="FootnoteText"/>
        <w:rPr>
          <w:sz w:val="20"/>
          <w:szCs w:val="20"/>
          <w:lang w:val="nl-NL"/>
        </w:rPr>
      </w:pPr>
      <w:r>
        <w:rPr>
          <w:rStyle w:val="FootnoteReference"/>
        </w:rPr>
        <w:footnoteRef/>
      </w:r>
      <w:r>
        <w:t xml:space="preserve"> </w:t>
      </w:r>
      <w:r>
        <w:rPr>
          <w:sz w:val="20"/>
          <w:szCs w:val="20"/>
          <w:lang w:val="nl-NL"/>
        </w:rPr>
        <w:t>A sample of 12.686 Americans served as respondents.</w:t>
      </w:r>
    </w:p>
  </w:footnote>
  <w:footnote w:id="18">
    <w:p w14:paraId="5A515FE2" w14:textId="77777777" w:rsidR="007F63A3" w:rsidRPr="002639B6" w:rsidRDefault="007F63A3">
      <w:pPr>
        <w:pStyle w:val="FootnoteText"/>
        <w:rPr>
          <w:lang w:val="nl-NL"/>
        </w:rPr>
      </w:pPr>
      <w:r>
        <w:rPr>
          <w:rStyle w:val="FootnoteReference"/>
        </w:rPr>
        <w:footnoteRef/>
      </w:r>
      <w:r>
        <w:t xml:space="preserve"> </w:t>
      </w:r>
      <w:r w:rsidRPr="002639B6">
        <w:rPr>
          <w:rFonts w:cs="Times"/>
          <w:sz w:val="20"/>
          <w:szCs w:val="20"/>
          <w:lang w:val="en-US"/>
        </w:rPr>
        <w:t>Cremer and Gahvari (1995)</w:t>
      </w:r>
    </w:p>
  </w:footnote>
  <w:footnote w:id="19">
    <w:p w14:paraId="7ED85383" w14:textId="7CAB750E" w:rsidR="007F63A3" w:rsidRPr="00F70F32" w:rsidRDefault="007F63A3">
      <w:pPr>
        <w:pStyle w:val="FootnoteText"/>
        <w:rPr>
          <w:lang w:val="nl-NL"/>
        </w:rPr>
      </w:pPr>
      <w:r>
        <w:rPr>
          <w:rStyle w:val="FootnoteReference"/>
        </w:rPr>
        <w:footnoteRef/>
      </w:r>
      <w:r w:rsidRPr="00F70F32">
        <w:rPr>
          <w:sz w:val="20"/>
          <w:szCs w:val="20"/>
        </w:rPr>
        <w:t xml:space="preserve"> </w:t>
      </w:r>
      <w:r>
        <w:rPr>
          <w:noProof/>
          <w:sz w:val="20"/>
          <w:szCs w:val="20"/>
          <w:lang w:val="nl-NL"/>
        </w:rPr>
        <w:t>Jacobs &amp; Schindler, (</w:t>
      </w:r>
      <w:r w:rsidRPr="007F0101">
        <w:rPr>
          <w:noProof/>
          <w:sz w:val="20"/>
          <w:szCs w:val="20"/>
          <w:lang w:val="nl-NL"/>
        </w:rPr>
        <w:t>2012)</w:t>
      </w:r>
    </w:p>
  </w:footnote>
  <w:footnote w:id="20">
    <w:p w14:paraId="4C08D6CE" w14:textId="4C882100" w:rsidR="007F63A3" w:rsidRPr="00E30A27" w:rsidRDefault="007F63A3" w:rsidP="00FC0B18">
      <w:pPr>
        <w:pStyle w:val="FootnoteText"/>
        <w:rPr>
          <w:lang w:val="nl-NL"/>
        </w:rPr>
      </w:pPr>
      <w:r>
        <w:rPr>
          <w:rStyle w:val="FootnoteReference"/>
        </w:rPr>
        <w:footnoteRef/>
      </w:r>
      <w:r>
        <w:t xml:space="preserve">  </w:t>
      </w:r>
      <w:r w:rsidRPr="00E30A27">
        <w:rPr>
          <w:noProof/>
          <w:sz w:val="20"/>
          <w:szCs w:val="20"/>
          <w:lang w:val="nl-NL"/>
        </w:rPr>
        <w:t>(Feldstein &amp; Yitzhaki, 1</w:t>
      </w:r>
      <w:r>
        <w:rPr>
          <w:noProof/>
          <w:sz w:val="20"/>
          <w:szCs w:val="20"/>
          <w:lang w:val="nl-NL"/>
        </w:rPr>
        <w:t xml:space="preserve">978; Eilbott &amp; Hersh, 1976; </w:t>
      </w:r>
      <w:r w:rsidRPr="00E30A27">
        <w:rPr>
          <w:noProof/>
          <w:sz w:val="20"/>
          <w:szCs w:val="20"/>
          <w:lang w:val="nl-NL"/>
        </w:rPr>
        <w:t>Slemrod &amp; Feldstein</w:t>
      </w:r>
      <w:r>
        <w:rPr>
          <w:noProof/>
          <w:sz w:val="20"/>
          <w:szCs w:val="20"/>
          <w:lang w:val="nl-NL"/>
        </w:rPr>
        <w:t xml:space="preserve">, </w:t>
      </w:r>
      <w:r w:rsidRPr="00E30A27">
        <w:rPr>
          <w:noProof/>
          <w:sz w:val="20"/>
          <w:szCs w:val="20"/>
          <w:lang w:val="nl-NL"/>
        </w:rPr>
        <w:t>1978)</w:t>
      </w:r>
      <w:r w:rsidRPr="00E30A27">
        <w:rPr>
          <w:sz w:val="20"/>
          <w:szCs w:val="20"/>
        </w:rPr>
        <w:t xml:space="preserve"> </w:t>
      </w:r>
      <w:r w:rsidRPr="00E30A27">
        <w:rPr>
          <w:i/>
          <w:sz w:val="20"/>
          <w:szCs w:val="20"/>
        </w:rPr>
        <w:t>et al.</w:t>
      </w:r>
    </w:p>
  </w:footnote>
  <w:footnote w:id="21">
    <w:p w14:paraId="0A256D63" w14:textId="77777777" w:rsidR="007F63A3" w:rsidRPr="00F25D48" w:rsidRDefault="007F63A3" w:rsidP="00FC0B18">
      <w:pPr>
        <w:pStyle w:val="FootnoteText"/>
        <w:rPr>
          <w:sz w:val="20"/>
          <w:szCs w:val="20"/>
          <w:lang w:val="nl-NL"/>
        </w:rPr>
      </w:pPr>
      <w:r>
        <w:rPr>
          <w:rStyle w:val="FootnoteReference"/>
        </w:rPr>
        <w:footnoteRef/>
      </w:r>
      <w:r>
        <w:t xml:space="preserve"> </w:t>
      </w:r>
      <w:r>
        <w:rPr>
          <w:sz w:val="20"/>
          <w:szCs w:val="20"/>
          <w:lang w:val="nl-NL"/>
        </w:rPr>
        <w:t>Data from 1951 through 1971</w:t>
      </w:r>
    </w:p>
  </w:footnote>
  <w:footnote w:id="22">
    <w:p w14:paraId="5860D885" w14:textId="3FAFB1CB" w:rsidR="007F63A3" w:rsidRPr="00A04773" w:rsidRDefault="007F63A3">
      <w:pPr>
        <w:pStyle w:val="FootnoteText"/>
        <w:rPr>
          <w:sz w:val="20"/>
          <w:szCs w:val="20"/>
          <w:lang w:val="nl-NL"/>
        </w:rPr>
      </w:pPr>
      <w:r>
        <w:rPr>
          <w:rStyle w:val="FootnoteReference"/>
        </w:rPr>
        <w:footnoteRef/>
      </w:r>
      <w:r>
        <w:t xml:space="preserve"> </w:t>
      </w:r>
      <w:r>
        <w:rPr>
          <w:sz w:val="20"/>
          <w:szCs w:val="20"/>
          <w:lang w:val="nl-NL"/>
        </w:rPr>
        <w:t>Leading up to and after the 1997 capital gains tax cut</w:t>
      </w:r>
    </w:p>
  </w:footnote>
  <w:footnote w:id="23">
    <w:p w14:paraId="213FDBD7" w14:textId="379C79CA" w:rsidR="007F63A3" w:rsidRPr="00282F23" w:rsidRDefault="007F63A3" w:rsidP="00FC0B18">
      <w:pPr>
        <w:pStyle w:val="FootnoteText"/>
        <w:rPr>
          <w:lang w:val="nl-NL"/>
        </w:rPr>
      </w:pPr>
      <w:r>
        <w:rPr>
          <w:rStyle w:val="FootnoteReference"/>
        </w:rPr>
        <w:footnoteRef/>
      </w:r>
      <w:r>
        <w:t xml:space="preserve"> </w:t>
      </w:r>
      <w:r w:rsidRPr="00282F23">
        <w:rPr>
          <w:rFonts w:ascii="Times New Roman" w:hAnsi="Times New Roman"/>
          <w:noProof/>
          <w:sz w:val="20"/>
          <w:szCs w:val="20"/>
          <w:lang w:val="nl-NL"/>
        </w:rPr>
        <w:t xml:space="preserve">(Feldstein, Slemrod, &amp; Yitzhaki, </w:t>
      </w:r>
      <w:r>
        <w:rPr>
          <w:rFonts w:ascii="Times New Roman" w:hAnsi="Times New Roman"/>
          <w:noProof/>
          <w:sz w:val="20"/>
          <w:szCs w:val="20"/>
          <w:lang w:val="nl-NL"/>
        </w:rPr>
        <w:t xml:space="preserve">1980; Adam Smith Institute, 2010; </w:t>
      </w:r>
      <w:r w:rsidRPr="00147A0B">
        <w:rPr>
          <w:rFonts w:ascii="Times New Roman" w:hAnsi="Times New Roman"/>
          <w:noProof/>
          <w:sz w:val="20"/>
          <w:szCs w:val="20"/>
          <w:lang w:val="nl-NL"/>
        </w:rPr>
        <w:t>Eilbott</w:t>
      </w:r>
      <w:r>
        <w:rPr>
          <w:rFonts w:ascii="Times New Roman" w:hAnsi="Times New Roman"/>
          <w:noProof/>
          <w:sz w:val="20"/>
          <w:szCs w:val="20"/>
          <w:lang w:val="nl-NL"/>
        </w:rPr>
        <w:t xml:space="preserve">, </w:t>
      </w:r>
      <w:r w:rsidRPr="00147A0B">
        <w:rPr>
          <w:rFonts w:ascii="Times New Roman" w:hAnsi="Times New Roman"/>
          <w:noProof/>
          <w:sz w:val="20"/>
          <w:szCs w:val="20"/>
          <w:lang w:val="nl-NL"/>
        </w:rPr>
        <w:t>1985</w:t>
      </w:r>
      <w:r>
        <w:rPr>
          <w:rFonts w:ascii="Times New Roman" w:hAnsi="Times New Roman"/>
          <w:noProof/>
          <w:sz w:val="20"/>
          <w:szCs w:val="20"/>
          <w:lang w:val="nl-NL"/>
        </w:rPr>
        <w:t xml:space="preserve">; </w:t>
      </w:r>
      <w:r w:rsidRPr="00A05957">
        <w:rPr>
          <w:rFonts w:ascii="Times New Roman" w:hAnsi="Times New Roman"/>
          <w:noProof/>
          <w:sz w:val="20"/>
          <w:szCs w:val="20"/>
          <w:lang w:val="nl-NL"/>
        </w:rPr>
        <w:t>Gravelle, 1991)</w:t>
      </w:r>
    </w:p>
  </w:footnote>
  <w:footnote w:id="24">
    <w:p w14:paraId="29E17B2F" w14:textId="77777777" w:rsidR="007F63A3" w:rsidRPr="00B43BC9" w:rsidRDefault="007F63A3" w:rsidP="00FC0B18">
      <w:pPr>
        <w:pStyle w:val="FootnoteText"/>
        <w:rPr>
          <w:sz w:val="20"/>
          <w:szCs w:val="20"/>
          <w:lang w:val="nl-NL"/>
        </w:rPr>
      </w:pPr>
      <w:r>
        <w:rPr>
          <w:rStyle w:val="FootnoteReference"/>
        </w:rPr>
        <w:footnoteRef/>
      </w:r>
      <w:r>
        <w:t xml:space="preserve"> </w:t>
      </w:r>
      <w:r>
        <w:rPr>
          <w:sz w:val="20"/>
          <w:szCs w:val="20"/>
        </w:rPr>
        <w:t>The 2013 Survey of Consumer Finances reveals that business assets held by households concern 16.8 percent of total household portfolios, whereas for example stocks held –excluding retirement accounts- are 12.1 percent of household wealth.</w:t>
      </w:r>
    </w:p>
  </w:footnote>
  <w:footnote w:id="25">
    <w:p w14:paraId="4A3F76C4" w14:textId="77777777" w:rsidR="007F63A3" w:rsidRPr="00C33BDA" w:rsidRDefault="007F63A3" w:rsidP="00FC0B18">
      <w:pPr>
        <w:pStyle w:val="FootnoteText"/>
        <w:rPr>
          <w:lang w:val="nl-NL"/>
        </w:rPr>
      </w:pPr>
      <w:r>
        <w:rPr>
          <w:rStyle w:val="FootnoteReference"/>
        </w:rPr>
        <w:footnoteRef/>
      </w:r>
      <w:r>
        <w:t xml:space="preserve"> </w:t>
      </w:r>
      <w:r w:rsidRPr="001F1468">
        <w:rPr>
          <w:sz w:val="20"/>
          <w:szCs w:val="20"/>
          <w:lang w:val="nl-NL"/>
        </w:rPr>
        <w:t>1985-1994</w:t>
      </w:r>
    </w:p>
  </w:footnote>
  <w:footnote w:id="26">
    <w:p w14:paraId="75CB78A3" w14:textId="6A32CB16" w:rsidR="007F63A3" w:rsidRPr="009D6520" w:rsidRDefault="007F63A3">
      <w:pPr>
        <w:pStyle w:val="FootnoteText"/>
        <w:rPr>
          <w:sz w:val="20"/>
          <w:szCs w:val="20"/>
          <w:lang w:val="nl-NL"/>
        </w:rPr>
      </w:pPr>
      <w:r>
        <w:rPr>
          <w:rStyle w:val="FootnoteReference"/>
        </w:rPr>
        <w:footnoteRef/>
      </w:r>
      <w:r>
        <w:t xml:space="preserve"> </w:t>
      </w:r>
      <w:r>
        <w:rPr>
          <w:sz w:val="20"/>
          <w:szCs w:val="20"/>
          <w:lang w:val="nl-NL"/>
        </w:rPr>
        <w:t>Auerbach (1991)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69"/>
    <w:rsid w:val="000001C5"/>
    <w:rsid w:val="0000063C"/>
    <w:rsid w:val="00001501"/>
    <w:rsid w:val="0000175A"/>
    <w:rsid w:val="00001A5D"/>
    <w:rsid w:val="000030BF"/>
    <w:rsid w:val="0000325E"/>
    <w:rsid w:val="00005F3F"/>
    <w:rsid w:val="00006941"/>
    <w:rsid w:val="00006A51"/>
    <w:rsid w:val="0001067D"/>
    <w:rsid w:val="00010959"/>
    <w:rsid w:val="00010D69"/>
    <w:rsid w:val="000121D2"/>
    <w:rsid w:val="00012B40"/>
    <w:rsid w:val="0001324A"/>
    <w:rsid w:val="00013FDB"/>
    <w:rsid w:val="000148BA"/>
    <w:rsid w:val="00014DDC"/>
    <w:rsid w:val="00015744"/>
    <w:rsid w:val="00015B63"/>
    <w:rsid w:val="00015EBF"/>
    <w:rsid w:val="00022240"/>
    <w:rsid w:val="00022705"/>
    <w:rsid w:val="00022A62"/>
    <w:rsid w:val="000244B7"/>
    <w:rsid w:val="000250DE"/>
    <w:rsid w:val="00025C2C"/>
    <w:rsid w:val="00026627"/>
    <w:rsid w:val="000267BA"/>
    <w:rsid w:val="00027607"/>
    <w:rsid w:val="00027A6E"/>
    <w:rsid w:val="00032320"/>
    <w:rsid w:val="00032BA5"/>
    <w:rsid w:val="00032EF6"/>
    <w:rsid w:val="00032F5B"/>
    <w:rsid w:val="000332EE"/>
    <w:rsid w:val="000332EF"/>
    <w:rsid w:val="0003337C"/>
    <w:rsid w:val="000343E2"/>
    <w:rsid w:val="00035036"/>
    <w:rsid w:val="0003612E"/>
    <w:rsid w:val="00036C2F"/>
    <w:rsid w:val="00037085"/>
    <w:rsid w:val="000375F9"/>
    <w:rsid w:val="00037AB5"/>
    <w:rsid w:val="000401E8"/>
    <w:rsid w:val="000411C0"/>
    <w:rsid w:val="000425A4"/>
    <w:rsid w:val="0004269B"/>
    <w:rsid w:val="00042E6A"/>
    <w:rsid w:val="00043642"/>
    <w:rsid w:val="000444B6"/>
    <w:rsid w:val="00044697"/>
    <w:rsid w:val="000447EA"/>
    <w:rsid w:val="00044896"/>
    <w:rsid w:val="00044A87"/>
    <w:rsid w:val="00045443"/>
    <w:rsid w:val="00045CED"/>
    <w:rsid w:val="00045DF6"/>
    <w:rsid w:val="000461CB"/>
    <w:rsid w:val="00046B9F"/>
    <w:rsid w:val="00046E4B"/>
    <w:rsid w:val="00050086"/>
    <w:rsid w:val="000506D2"/>
    <w:rsid w:val="00050AE4"/>
    <w:rsid w:val="00052253"/>
    <w:rsid w:val="0005245B"/>
    <w:rsid w:val="00052716"/>
    <w:rsid w:val="000528E6"/>
    <w:rsid w:val="000535BE"/>
    <w:rsid w:val="00053607"/>
    <w:rsid w:val="00053AEF"/>
    <w:rsid w:val="00054B7F"/>
    <w:rsid w:val="0005619E"/>
    <w:rsid w:val="0005667E"/>
    <w:rsid w:val="0005705E"/>
    <w:rsid w:val="000572AA"/>
    <w:rsid w:val="0005798B"/>
    <w:rsid w:val="00057F2F"/>
    <w:rsid w:val="000608FA"/>
    <w:rsid w:val="000612E6"/>
    <w:rsid w:val="00061398"/>
    <w:rsid w:val="00062586"/>
    <w:rsid w:val="00062D3C"/>
    <w:rsid w:val="0006319F"/>
    <w:rsid w:val="00063204"/>
    <w:rsid w:val="00063638"/>
    <w:rsid w:val="00063A2F"/>
    <w:rsid w:val="00063C30"/>
    <w:rsid w:val="00063E1D"/>
    <w:rsid w:val="00064403"/>
    <w:rsid w:val="00065669"/>
    <w:rsid w:val="00065870"/>
    <w:rsid w:val="00065C04"/>
    <w:rsid w:val="000668A0"/>
    <w:rsid w:val="00066C2B"/>
    <w:rsid w:val="00066C97"/>
    <w:rsid w:val="0006799C"/>
    <w:rsid w:val="00067B45"/>
    <w:rsid w:val="00067F48"/>
    <w:rsid w:val="00071000"/>
    <w:rsid w:val="000712F6"/>
    <w:rsid w:val="00071DA1"/>
    <w:rsid w:val="00072014"/>
    <w:rsid w:val="00073D72"/>
    <w:rsid w:val="00074809"/>
    <w:rsid w:val="00074BB2"/>
    <w:rsid w:val="000750A3"/>
    <w:rsid w:val="000750B1"/>
    <w:rsid w:val="00075644"/>
    <w:rsid w:val="0007620A"/>
    <w:rsid w:val="000767DB"/>
    <w:rsid w:val="00080114"/>
    <w:rsid w:val="000810A1"/>
    <w:rsid w:val="00081F26"/>
    <w:rsid w:val="0008273B"/>
    <w:rsid w:val="00082B47"/>
    <w:rsid w:val="00083898"/>
    <w:rsid w:val="00083AB6"/>
    <w:rsid w:val="00083F72"/>
    <w:rsid w:val="000841B9"/>
    <w:rsid w:val="0008493A"/>
    <w:rsid w:val="000852B6"/>
    <w:rsid w:val="0008553A"/>
    <w:rsid w:val="00085836"/>
    <w:rsid w:val="000878BF"/>
    <w:rsid w:val="0008799A"/>
    <w:rsid w:val="00090101"/>
    <w:rsid w:val="000906CC"/>
    <w:rsid w:val="00091158"/>
    <w:rsid w:val="000917B6"/>
    <w:rsid w:val="00092399"/>
    <w:rsid w:val="00093368"/>
    <w:rsid w:val="00093962"/>
    <w:rsid w:val="00093A01"/>
    <w:rsid w:val="0009515C"/>
    <w:rsid w:val="00095761"/>
    <w:rsid w:val="00095B04"/>
    <w:rsid w:val="00097969"/>
    <w:rsid w:val="000A002F"/>
    <w:rsid w:val="000A15C5"/>
    <w:rsid w:val="000A2381"/>
    <w:rsid w:val="000A29F4"/>
    <w:rsid w:val="000A32A7"/>
    <w:rsid w:val="000A3362"/>
    <w:rsid w:val="000A3403"/>
    <w:rsid w:val="000A34EE"/>
    <w:rsid w:val="000A3984"/>
    <w:rsid w:val="000A4A28"/>
    <w:rsid w:val="000A52B3"/>
    <w:rsid w:val="000A532C"/>
    <w:rsid w:val="000A5A49"/>
    <w:rsid w:val="000A6D3E"/>
    <w:rsid w:val="000A713A"/>
    <w:rsid w:val="000A7745"/>
    <w:rsid w:val="000A7C3D"/>
    <w:rsid w:val="000B0609"/>
    <w:rsid w:val="000B1561"/>
    <w:rsid w:val="000B1D71"/>
    <w:rsid w:val="000B22D5"/>
    <w:rsid w:val="000B3883"/>
    <w:rsid w:val="000B3D78"/>
    <w:rsid w:val="000B4964"/>
    <w:rsid w:val="000B55F1"/>
    <w:rsid w:val="000B5634"/>
    <w:rsid w:val="000B5CC9"/>
    <w:rsid w:val="000B5CEE"/>
    <w:rsid w:val="000B5E76"/>
    <w:rsid w:val="000B5EE7"/>
    <w:rsid w:val="000B6F62"/>
    <w:rsid w:val="000B764A"/>
    <w:rsid w:val="000C0F86"/>
    <w:rsid w:val="000C14AC"/>
    <w:rsid w:val="000C29F9"/>
    <w:rsid w:val="000C37C5"/>
    <w:rsid w:val="000C415F"/>
    <w:rsid w:val="000C4301"/>
    <w:rsid w:val="000C43C0"/>
    <w:rsid w:val="000C46B1"/>
    <w:rsid w:val="000C47EF"/>
    <w:rsid w:val="000C6165"/>
    <w:rsid w:val="000C6B07"/>
    <w:rsid w:val="000C6D0B"/>
    <w:rsid w:val="000C6F5D"/>
    <w:rsid w:val="000C7DC2"/>
    <w:rsid w:val="000D1740"/>
    <w:rsid w:val="000D1A4F"/>
    <w:rsid w:val="000D1BF7"/>
    <w:rsid w:val="000D1C6B"/>
    <w:rsid w:val="000D2DB4"/>
    <w:rsid w:val="000D37A7"/>
    <w:rsid w:val="000D4C08"/>
    <w:rsid w:val="000D53EE"/>
    <w:rsid w:val="000D6637"/>
    <w:rsid w:val="000D6749"/>
    <w:rsid w:val="000D6965"/>
    <w:rsid w:val="000D69E9"/>
    <w:rsid w:val="000D735A"/>
    <w:rsid w:val="000D751E"/>
    <w:rsid w:val="000D7B77"/>
    <w:rsid w:val="000E1279"/>
    <w:rsid w:val="000E1A4F"/>
    <w:rsid w:val="000E278E"/>
    <w:rsid w:val="000E4130"/>
    <w:rsid w:val="000E4CDB"/>
    <w:rsid w:val="000E4D23"/>
    <w:rsid w:val="000E5030"/>
    <w:rsid w:val="000E52DD"/>
    <w:rsid w:val="000E55D6"/>
    <w:rsid w:val="000E5AA5"/>
    <w:rsid w:val="000E5BE1"/>
    <w:rsid w:val="000F17C6"/>
    <w:rsid w:val="000F1E01"/>
    <w:rsid w:val="000F29AF"/>
    <w:rsid w:val="000F39DA"/>
    <w:rsid w:val="000F4057"/>
    <w:rsid w:val="000F4AA2"/>
    <w:rsid w:val="000F508B"/>
    <w:rsid w:val="000F5394"/>
    <w:rsid w:val="000F5B2D"/>
    <w:rsid w:val="000F5B78"/>
    <w:rsid w:val="000F5B82"/>
    <w:rsid w:val="000F5ED6"/>
    <w:rsid w:val="000F6AE5"/>
    <w:rsid w:val="000F6B31"/>
    <w:rsid w:val="000F6CE6"/>
    <w:rsid w:val="000F6D54"/>
    <w:rsid w:val="000F74D1"/>
    <w:rsid w:val="000F752F"/>
    <w:rsid w:val="000F7613"/>
    <w:rsid w:val="000F779D"/>
    <w:rsid w:val="000F7E4F"/>
    <w:rsid w:val="001009B5"/>
    <w:rsid w:val="001016CF"/>
    <w:rsid w:val="00102038"/>
    <w:rsid w:val="001033AD"/>
    <w:rsid w:val="00104C15"/>
    <w:rsid w:val="00105354"/>
    <w:rsid w:val="00105AE9"/>
    <w:rsid w:val="00105DF4"/>
    <w:rsid w:val="00106942"/>
    <w:rsid w:val="001072A4"/>
    <w:rsid w:val="00110B00"/>
    <w:rsid w:val="00110E3D"/>
    <w:rsid w:val="00111D35"/>
    <w:rsid w:val="00111E16"/>
    <w:rsid w:val="00112560"/>
    <w:rsid w:val="00114FAE"/>
    <w:rsid w:val="00115190"/>
    <w:rsid w:val="001153CC"/>
    <w:rsid w:val="0011545E"/>
    <w:rsid w:val="001157AB"/>
    <w:rsid w:val="00115843"/>
    <w:rsid w:val="00115D4F"/>
    <w:rsid w:val="00116134"/>
    <w:rsid w:val="001162B2"/>
    <w:rsid w:val="00116964"/>
    <w:rsid w:val="00116D23"/>
    <w:rsid w:val="00116F9F"/>
    <w:rsid w:val="0011749A"/>
    <w:rsid w:val="00120285"/>
    <w:rsid w:val="00120724"/>
    <w:rsid w:val="001210AD"/>
    <w:rsid w:val="001211EF"/>
    <w:rsid w:val="00121320"/>
    <w:rsid w:val="001215CA"/>
    <w:rsid w:val="001224AA"/>
    <w:rsid w:val="00122518"/>
    <w:rsid w:val="00123B86"/>
    <w:rsid w:val="00125568"/>
    <w:rsid w:val="00125B23"/>
    <w:rsid w:val="001263F4"/>
    <w:rsid w:val="00126CD3"/>
    <w:rsid w:val="00126ED9"/>
    <w:rsid w:val="00127402"/>
    <w:rsid w:val="00130060"/>
    <w:rsid w:val="001306C0"/>
    <w:rsid w:val="00130D51"/>
    <w:rsid w:val="00130ED5"/>
    <w:rsid w:val="00130FFD"/>
    <w:rsid w:val="001337DC"/>
    <w:rsid w:val="00136050"/>
    <w:rsid w:val="001364C6"/>
    <w:rsid w:val="0013706C"/>
    <w:rsid w:val="00140F75"/>
    <w:rsid w:val="00140F87"/>
    <w:rsid w:val="00142A20"/>
    <w:rsid w:val="00143193"/>
    <w:rsid w:val="00143513"/>
    <w:rsid w:val="00143F3D"/>
    <w:rsid w:val="00145A22"/>
    <w:rsid w:val="00145EDE"/>
    <w:rsid w:val="001461C9"/>
    <w:rsid w:val="001463D8"/>
    <w:rsid w:val="00146477"/>
    <w:rsid w:val="00146662"/>
    <w:rsid w:val="00146EC8"/>
    <w:rsid w:val="00146FF6"/>
    <w:rsid w:val="0014704B"/>
    <w:rsid w:val="00147404"/>
    <w:rsid w:val="00147A0B"/>
    <w:rsid w:val="0015087C"/>
    <w:rsid w:val="00150AB5"/>
    <w:rsid w:val="00150DF1"/>
    <w:rsid w:val="00151C4A"/>
    <w:rsid w:val="00151D46"/>
    <w:rsid w:val="00152902"/>
    <w:rsid w:val="001534BD"/>
    <w:rsid w:val="00153E62"/>
    <w:rsid w:val="001545E0"/>
    <w:rsid w:val="00154A73"/>
    <w:rsid w:val="001558DC"/>
    <w:rsid w:val="001568FA"/>
    <w:rsid w:val="0015697E"/>
    <w:rsid w:val="00157085"/>
    <w:rsid w:val="00157484"/>
    <w:rsid w:val="00157BFB"/>
    <w:rsid w:val="00160506"/>
    <w:rsid w:val="00161834"/>
    <w:rsid w:val="0016184D"/>
    <w:rsid w:val="0016242D"/>
    <w:rsid w:val="00162479"/>
    <w:rsid w:val="0016265B"/>
    <w:rsid w:val="001632B9"/>
    <w:rsid w:val="00163929"/>
    <w:rsid w:val="00166BAF"/>
    <w:rsid w:val="0016764B"/>
    <w:rsid w:val="001678C7"/>
    <w:rsid w:val="00167EBE"/>
    <w:rsid w:val="00167EFA"/>
    <w:rsid w:val="00170DB2"/>
    <w:rsid w:val="00171695"/>
    <w:rsid w:val="00172183"/>
    <w:rsid w:val="001729BB"/>
    <w:rsid w:val="001733AD"/>
    <w:rsid w:val="00174AC6"/>
    <w:rsid w:val="00175C6B"/>
    <w:rsid w:val="00175ECB"/>
    <w:rsid w:val="0017656C"/>
    <w:rsid w:val="00176B0E"/>
    <w:rsid w:val="001778BA"/>
    <w:rsid w:val="0018187B"/>
    <w:rsid w:val="00182062"/>
    <w:rsid w:val="001825D4"/>
    <w:rsid w:val="00183B2B"/>
    <w:rsid w:val="001844BF"/>
    <w:rsid w:val="0018511D"/>
    <w:rsid w:val="00186970"/>
    <w:rsid w:val="00186B66"/>
    <w:rsid w:val="00186BE6"/>
    <w:rsid w:val="00186C52"/>
    <w:rsid w:val="00186F90"/>
    <w:rsid w:val="00187AF2"/>
    <w:rsid w:val="001903F3"/>
    <w:rsid w:val="001904FB"/>
    <w:rsid w:val="0019225E"/>
    <w:rsid w:val="001930FB"/>
    <w:rsid w:val="00194DBA"/>
    <w:rsid w:val="00194F12"/>
    <w:rsid w:val="001954E8"/>
    <w:rsid w:val="00195522"/>
    <w:rsid w:val="00195AE1"/>
    <w:rsid w:val="00195CCD"/>
    <w:rsid w:val="00195E39"/>
    <w:rsid w:val="00195EC5"/>
    <w:rsid w:val="001962F8"/>
    <w:rsid w:val="001970D8"/>
    <w:rsid w:val="00197D38"/>
    <w:rsid w:val="001A039D"/>
    <w:rsid w:val="001A0A39"/>
    <w:rsid w:val="001A0A5E"/>
    <w:rsid w:val="001A121B"/>
    <w:rsid w:val="001A1E00"/>
    <w:rsid w:val="001A34C6"/>
    <w:rsid w:val="001A3C4D"/>
    <w:rsid w:val="001A5783"/>
    <w:rsid w:val="001A6F92"/>
    <w:rsid w:val="001A7ED7"/>
    <w:rsid w:val="001B108D"/>
    <w:rsid w:val="001B13B2"/>
    <w:rsid w:val="001B20AE"/>
    <w:rsid w:val="001B20E2"/>
    <w:rsid w:val="001B25D5"/>
    <w:rsid w:val="001B330F"/>
    <w:rsid w:val="001B4251"/>
    <w:rsid w:val="001B464E"/>
    <w:rsid w:val="001B48BD"/>
    <w:rsid w:val="001B4F70"/>
    <w:rsid w:val="001B5B11"/>
    <w:rsid w:val="001B6772"/>
    <w:rsid w:val="001B6B72"/>
    <w:rsid w:val="001B709E"/>
    <w:rsid w:val="001B7409"/>
    <w:rsid w:val="001B74D6"/>
    <w:rsid w:val="001B7586"/>
    <w:rsid w:val="001C0824"/>
    <w:rsid w:val="001C1A65"/>
    <w:rsid w:val="001C1CD3"/>
    <w:rsid w:val="001C23FD"/>
    <w:rsid w:val="001C3224"/>
    <w:rsid w:val="001C3B1E"/>
    <w:rsid w:val="001C42BA"/>
    <w:rsid w:val="001C4392"/>
    <w:rsid w:val="001C4BB8"/>
    <w:rsid w:val="001C4D73"/>
    <w:rsid w:val="001C4FC2"/>
    <w:rsid w:val="001C5245"/>
    <w:rsid w:val="001C5635"/>
    <w:rsid w:val="001C60CA"/>
    <w:rsid w:val="001C7814"/>
    <w:rsid w:val="001C7D07"/>
    <w:rsid w:val="001C7DA7"/>
    <w:rsid w:val="001D0233"/>
    <w:rsid w:val="001D0663"/>
    <w:rsid w:val="001D0EF0"/>
    <w:rsid w:val="001D3319"/>
    <w:rsid w:val="001D3D44"/>
    <w:rsid w:val="001D47B9"/>
    <w:rsid w:val="001D47EA"/>
    <w:rsid w:val="001D4805"/>
    <w:rsid w:val="001D5A78"/>
    <w:rsid w:val="001D62BA"/>
    <w:rsid w:val="001D6933"/>
    <w:rsid w:val="001D737D"/>
    <w:rsid w:val="001D7ABA"/>
    <w:rsid w:val="001E0402"/>
    <w:rsid w:val="001E0DF1"/>
    <w:rsid w:val="001E12C9"/>
    <w:rsid w:val="001E13D9"/>
    <w:rsid w:val="001E1745"/>
    <w:rsid w:val="001E17F9"/>
    <w:rsid w:val="001E1FFF"/>
    <w:rsid w:val="001E25B3"/>
    <w:rsid w:val="001E28AF"/>
    <w:rsid w:val="001E3058"/>
    <w:rsid w:val="001E3853"/>
    <w:rsid w:val="001E3CFB"/>
    <w:rsid w:val="001E41E2"/>
    <w:rsid w:val="001E5756"/>
    <w:rsid w:val="001E5F0F"/>
    <w:rsid w:val="001E65D5"/>
    <w:rsid w:val="001E7032"/>
    <w:rsid w:val="001E78B7"/>
    <w:rsid w:val="001E7AE4"/>
    <w:rsid w:val="001F1468"/>
    <w:rsid w:val="001F1ED9"/>
    <w:rsid w:val="001F312A"/>
    <w:rsid w:val="001F37F7"/>
    <w:rsid w:val="001F39F7"/>
    <w:rsid w:val="001F548E"/>
    <w:rsid w:val="001F56E4"/>
    <w:rsid w:val="0020053C"/>
    <w:rsid w:val="00200A26"/>
    <w:rsid w:val="002010B8"/>
    <w:rsid w:val="0020167A"/>
    <w:rsid w:val="00202178"/>
    <w:rsid w:val="00203072"/>
    <w:rsid w:val="00203DE0"/>
    <w:rsid w:val="002043FB"/>
    <w:rsid w:val="002046B1"/>
    <w:rsid w:val="00204B61"/>
    <w:rsid w:val="00204E71"/>
    <w:rsid w:val="00205106"/>
    <w:rsid w:val="00205FC8"/>
    <w:rsid w:val="002066AB"/>
    <w:rsid w:val="00206E9A"/>
    <w:rsid w:val="002100EF"/>
    <w:rsid w:val="002111B0"/>
    <w:rsid w:val="00212070"/>
    <w:rsid w:val="00212151"/>
    <w:rsid w:val="00212501"/>
    <w:rsid w:val="0021287A"/>
    <w:rsid w:val="0021295B"/>
    <w:rsid w:val="00213195"/>
    <w:rsid w:val="00213E56"/>
    <w:rsid w:val="002148C3"/>
    <w:rsid w:val="002155E3"/>
    <w:rsid w:val="00215735"/>
    <w:rsid w:val="00216B4B"/>
    <w:rsid w:val="0021728F"/>
    <w:rsid w:val="0021757A"/>
    <w:rsid w:val="0022012A"/>
    <w:rsid w:val="00220F66"/>
    <w:rsid w:val="00220FF5"/>
    <w:rsid w:val="002214B8"/>
    <w:rsid w:val="00221687"/>
    <w:rsid w:val="00222754"/>
    <w:rsid w:val="0022363E"/>
    <w:rsid w:val="00223F15"/>
    <w:rsid w:val="00224359"/>
    <w:rsid w:val="0022466C"/>
    <w:rsid w:val="00224DF7"/>
    <w:rsid w:val="00224EFF"/>
    <w:rsid w:val="002303DD"/>
    <w:rsid w:val="002303DE"/>
    <w:rsid w:val="00230CA2"/>
    <w:rsid w:val="00230D56"/>
    <w:rsid w:val="002310AF"/>
    <w:rsid w:val="00231B8E"/>
    <w:rsid w:val="00231BE0"/>
    <w:rsid w:val="00231E56"/>
    <w:rsid w:val="00231EAC"/>
    <w:rsid w:val="00232514"/>
    <w:rsid w:val="00232B9A"/>
    <w:rsid w:val="00233407"/>
    <w:rsid w:val="0023346E"/>
    <w:rsid w:val="00233772"/>
    <w:rsid w:val="0023462F"/>
    <w:rsid w:val="00234FF3"/>
    <w:rsid w:val="00236216"/>
    <w:rsid w:val="00237998"/>
    <w:rsid w:val="00237B99"/>
    <w:rsid w:val="00240B5F"/>
    <w:rsid w:val="002419F2"/>
    <w:rsid w:val="00241B7D"/>
    <w:rsid w:val="00243E6E"/>
    <w:rsid w:val="00244BAC"/>
    <w:rsid w:val="00245689"/>
    <w:rsid w:val="00245A02"/>
    <w:rsid w:val="00245CB0"/>
    <w:rsid w:val="0024632A"/>
    <w:rsid w:val="002474A7"/>
    <w:rsid w:val="002479CD"/>
    <w:rsid w:val="00250274"/>
    <w:rsid w:val="002507F2"/>
    <w:rsid w:val="0025184A"/>
    <w:rsid w:val="00251C6C"/>
    <w:rsid w:val="00252E80"/>
    <w:rsid w:val="0025323C"/>
    <w:rsid w:val="002534B8"/>
    <w:rsid w:val="00253BCE"/>
    <w:rsid w:val="00254132"/>
    <w:rsid w:val="0025413F"/>
    <w:rsid w:val="00254188"/>
    <w:rsid w:val="0025468E"/>
    <w:rsid w:val="00254D47"/>
    <w:rsid w:val="0025566E"/>
    <w:rsid w:val="00256E86"/>
    <w:rsid w:val="00257EFE"/>
    <w:rsid w:val="00260F0B"/>
    <w:rsid w:val="002619A4"/>
    <w:rsid w:val="00262A45"/>
    <w:rsid w:val="00262D2A"/>
    <w:rsid w:val="00263225"/>
    <w:rsid w:val="002636E9"/>
    <w:rsid w:val="002639B6"/>
    <w:rsid w:val="00264A58"/>
    <w:rsid w:val="00264D56"/>
    <w:rsid w:val="00265A73"/>
    <w:rsid w:val="00265CF7"/>
    <w:rsid w:val="00265D5B"/>
    <w:rsid w:val="00265F80"/>
    <w:rsid w:val="0026660C"/>
    <w:rsid w:val="0026754C"/>
    <w:rsid w:val="002675EE"/>
    <w:rsid w:val="002677D8"/>
    <w:rsid w:val="00267E8A"/>
    <w:rsid w:val="00270913"/>
    <w:rsid w:val="00270B74"/>
    <w:rsid w:val="002719BA"/>
    <w:rsid w:val="0027273F"/>
    <w:rsid w:val="00272B76"/>
    <w:rsid w:val="00273A02"/>
    <w:rsid w:val="00274651"/>
    <w:rsid w:val="00275ADF"/>
    <w:rsid w:val="00276C53"/>
    <w:rsid w:val="00276C84"/>
    <w:rsid w:val="00276DD6"/>
    <w:rsid w:val="00277138"/>
    <w:rsid w:val="00281109"/>
    <w:rsid w:val="00281BEB"/>
    <w:rsid w:val="00281F41"/>
    <w:rsid w:val="002821D3"/>
    <w:rsid w:val="002829CE"/>
    <w:rsid w:val="00282F23"/>
    <w:rsid w:val="00283334"/>
    <w:rsid w:val="00283486"/>
    <w:rsid w:val="00283BB8"/>
    <w:rsid w:val="00283DAA"/>
    <w:rsid w:val="0028422D"/>
    <w:rsid w:val="002846B4"/>
    <w:rsid w:val="00284858"/>
    <w:rsid w:val="002850FF"/>
    <w:rsid w:val="00285343"/>
    <w:rsid w:val="00286F88"/>
    <w:rsid w:val="002873EE"/>
    <w:rsid w:val="002877BA"/>
    <w:rsid w:val="0028795A"/>
    <w:rsid w:val="00291EB0"/>
    <w:rsid w:val="002922E8"/>
    <w:rsid w:val="002924D8"/>
    <w:rsid w:val="002935AA"/>
    <w:rsid w:val="00293AFF"/>
    <w:rsid w:val="00294018"/>
    <w:rsid w:val="00294554"/>
    <w:rsid w:val="0029486E"/>
    <w:rsid w:val="002962B6"/>
    <w:rsid w:val="0029687A"/>
    <w:rsid w:val="00296BF4"/>
    <w:rsid w:val="002A02A9"/>
    <w:rsid w:val="002A11AF"/>
    <w:rsid w:val="002A16F9"/>
    <w:rsid w:val="002A19A6"/>
    <w:rsid w:val="002A285D"/>
    <w:rsid w:val="002A2DD2"/>
    <w:rsid w:val="002A37CF"/>
    <w:rsid w:val="002A3C2E"/>
    <w:rsid w:val="002A48B9"/>
    <w:rsid w:val="002A49B6"/>
    <w:rsid w:val="002A4D08"/>
    <w:rsid w:val="002A545B"/>
    <w:rsid w:val="002A5A2C"/>
    <w:rsid w:val="002A5D4F"/>
    <w:rsid w:val="002A6110"/>
    <w:rsid w:val="002A67EF"/>
    <w:rsid w:val="002A69AC"/>
    <w:rsid w:val="002A6C92"/>
    <w:rsid w:val="002A7F1A"/>
    <w:rsid w:val="002B0770"/>
    <w:rsid w:val="002B096C"/>
    <w:rsid w:val="002B0BEE"/>
    <w:rsid w:val="002B1441"/>
    <w:rsid w:val="002B2567"/>
    <w:rsid w:val="002B271B"/>
    <w:rsid w:val="002B3FB4"/>
    <w:rsid w:val="002B43CC"/>
    <w:rsid w:val="002B59DC"/>
    <w:rsid w:val="002B63B0"/>
    <w:rsid w:val="002B6EB4"/>
    <w:rsid w:val="002B7687"/>
    <w:rsid w:val="002B7D29"/>
    <w:rsid w:val="002B7F8A"/>
    <w:rsid w:val="002C0B43"/>
    <w:rsid w:val="002C0FB8"/>
    <w:rsid w:val="002C131C"/>
    <w:rsid w:val="002C306E"/>
    <w:rsid w:val="002C34D6"/>
    <w:rsid w:val="002C3E7D"/>
    <w:rsid w:val="002C59A8"/>
    <w:rsid w:val="002C5AC9"/>
    <w:rsid w:val="002D012F"/>
    <w:rsid w:val="002D1D2A"/>
    <w:rsid w:val="002D1FEE"/>
    <w:rsid w:val="002D305A"/>
    <w:rsid w:val="002D3340"/>
    <w:rsid w:val="002D3743"/>
    <w:rsid w:val="002D3B89"/>
    <w:rsid w:val="002D451D"/>
    <w:rsid w:val="002D49EF"/>
    <w:rsid w:val="002D5B38"/>
    <w:rsid w:val="002D62C9"/>
    <w:rsid w:val="002D66C4"/>
    <w:rsid w:val="002D76D4"/>
    <w:rsid w:val="002D7A9F"/>
    <w:rsid w:val="002E034B"/>
    <w:rsid w:val="002E0756"/>
    <w:rsid w:val="002E07B1"/>
    <w:rsid w:val="002E0C31"/>
    <w:rsid w:val="002E2671"/>
    <w:rsid w:val="002E2EFD"/>
    <w:rsid w:val="002E3928"/>
    <w:rsid w:val="002E47E2"/>
    <w:rsid w:val="002E60C7"/>
    <w:rsid w:val="002E6DDD"/>
    <w:rsid w:val="002E7236"/>
    <w:rsid w:val="002E75DE"/>
    <w:rsid w:val="002E7FE2"/>
    <w:rsid w:val="002F1F1C"/>
    <w:rsid w:val="002F217E"/>
    <w:rsid w:val="002F2DE2"/>
    <w:rsid w:val="002F32ED"/>
    <w:rsid w:val="002F482A"/>
    <w:rsid w:val="002F49EF"/>
    <w:rsid w:val="002F53AD"/>
    <w:rsid w:val="002F5F26"/>
    <w:rsid w:val="00300EA1"/>
    <w:rsid w:val="00301323"/>
    <w:rsid w:val="003014D7"/>
    <w:rsid w:val="00301654"/>
    <w:rsid w:val="00301725"/>
    <w:rsid w:val="00301910"/>
    <w:rsid w:val="00301C1C"/>
    <w:rsid w:val="00302BB1"/>
    <w:rsid w:val="0030324D"/>
    <w:rsid w:val="00303B03"/>
    <w:rsid w:val="00304263"/>
    <w:rsid w:val="00304930"/>
    <w:rsid w:val="00304E79"/>
    <w:rsid w:val="00304FAB"/>
    <w:rsid w:val="0030517B"/>
    <w:rsid w:val="00305B70"/>
    <w:rsid w:val="00305CE0"/>
    <w:rsid w:val="00306127"/>
    <w:rsid w:val="00307448"/>
    <w:rsid w:val="00310CD0"/>
    <w:rsid w:val="00311175"/>
    <w:rsid w:val="00311BDA"/>
    <w:rsid w:val="003128E3"/>
    <w:rsid w:val="003132DA"/>
    <w:rsid w:val="00313E1D"/>
    <w:rsid w:val="00313E44"/>
    <w:rsid w:val="0031558A"/>
    <w:rsid w:val="00315E4A"/>
    <w:rsid w:val="003161CB"/>
    <w:rsid w:val="00316236"/>
    <w:rsid w:val="0032020B"/>
    <w:rsid w:val="00320D70"/>
    <w:rsid w:val="003215DC"/>
    <w:rsid w:val="00321AEB"/>
    <w:rsid w:val="00321CAB"/>
    <w:rsid w:val="00322C84"/>
    <w:rsid w:val="003236F4"/>
    <w:rsid w:val="00323A40"/>
    <w:rsid w:val="00323AFA"/>
    <w:rsid w:val="00323F90"/>
    <w:rsid w:val="00323FBE"/>
    <w:rsid w:val="00324928"/>
    <w:rsid w:val="00324C0F"/>
    <w:rsid w:val="00330E6B"/>
    <w:rsid w:val="00330F7F"/>
    <w:rsid w:val="00331173"/>
    <w:rsid w:val="003324EB"/>
    <w:rsid w:val="003329C4"/>
    <w:rsid w:val="00333697"/>
    <w:rsid w:val="00333E8E"/>
    <w:rsid w:val="00334B04"/>
    <w:rsid w:val="00335865"/>
    <w:rsid w:val="0033597C"/>
    <w:rsid w:val="00335A3B"/>
    <w:rsid w:val="00336D92"/>
    <w:rsid w:val="00337128"/>
    <w:rsid w:val="00337330"/>
    <w:rsid w:val="003401D3"/>
    <w:rsid w:val="0034032C"/>
    <w:rsid w:val="0034128B"/>
    <w:rsid w:val="00341AF9"/>
    <w:rsid w:val="0034257E"/>
    <w:rsid w:val="00343520"/>
    <w:rsid w:val="00343BA4"/>
    <w:rsid w:val="00343C61"/>
    <w:rsid w:val="00344C62"/>
    <w:rsid w:val="0034551C"/>
    <w:rsid w:val="00345A20"/>
    <w:rsid w:val="00345CF2"/>
    <w:rsid w:val="00346945"/>
    <w:rsid w:val="00346EE1"/>
    <w:rsid w:val="00350EE7"/>
    <w:rsid w:val="0035158E"/>
    <w:rsid w:val="003524B3"/>
    <w:rsid w:val="00353A0B"/>
    <w:rsid w:val="00353C4D"/>
    <w:rsid w:val="003543EF"/>
    <w:rsid w:val="00355234"/>
    <w:rsid w:val="0035534A"/>
    <w:rsid w:val="00355382"/>
    <w:rsid w:val="00355CBF"/>
    <w:rsid w:val="00357324"/>
    <w:rsid w:val="00357B05"/>
    <w:rsid w:val="0036018C"/>
    <w:rsid w:val="0036024D"/>
    <w:rsid w:val="00360F84"/>
    <w:rsid w:val="003617F7"/>
    <w:rsid w:val="00361805"/>
    <w:rsid w:val="00361EED"/>
    <w:rsid w:val="003620D5"/>
    <w:rsid w:val="0036254E"/>
    <w:rsid w:val="00362856"/>
    <w:rsid w:val="003628AF"/>
    <w:rsid w:val="003628BF"/>
    <w:rsid w:val="00362DD6"/>
    <w:rsid w:val="00362E9C"/>
    <w:rsid w:val="0036367E"/>
    <w:rsid w:val="00363D3F"/>
    <w:rsid w:val="00363DBE"/>
    <w:rsid w:val="00363FB1"/>
    <w:rsid w:val="00364470"/>
    <w:rsid w:val="00365A2F"/>
    <w:rsid w:val="00366368"/>
    <w:rsid w:val="0036655F"/>
    <w:rsid w:val="00366DBC"/>
    <w:rsid w:val="00367706"/>
    <w:rsid w:val="00367BF7"/>
    <w:rsid w:val="00372193"/>
    <w:rsid w:val="003721B5"/>
    <w:rsid w:val="00372207"/>
    <w:rsid w:val="003722E9"/>
    <w:rsid w:val="0037254E"/>
    <w:rsid w:val="00372785"/>
    <w:rsid w:val="003735D3"/>
    <w:rsid w:val="00373DF7"/>
    <w:rsid w:val="00373E36"/>
    <w:rsid w:val="00374727"/>
    <w:rsid w:val="003751EB"/>
    <w:rsid w:val="00375348"/>
    <w:rsid w:val="00375FD0"/>
    <w:rsid w:val="003765F1"/>
    <w:rsid w:val="00376632"/>
    <w:rsid w:val="00376A41"/>
    <w:rsid w:val="00377937"/>
    <w:rsid w:val="003807BA"/>
    <w:rsid w:val="00380AE5"/>
    <w:rsid w:val="00380B29"/>
    <w:rsid w:val="00380E14"/>
    <w:rsid w:val="003812D8"/>
    <w:rsid w:val="00382408"/>
    <w:rsid w:val="00382449"/>
    <w:rsid w:val="00382ADA"/>
    <w:rsid w:val="00383B88"/>
    <w:rsid w:val="00383F30"/>
    <w:rsid w:val="003846D2"/>
    <w:rsid w:val="0038475F"/>
    <w:rsid w:val="003859ED"/>
    <w:rsid w:val="0038604D"/>
    <w:rsid w:val="00386FE0"/>
    <w:rsid w:val="0038797A"/>
    <w:rsid w:val="00392623"/>
    <w:rsid w:val="00392847"/>
    <w:rsid w:val="003934EC"/>
    <w:rsid w:val="00393FF9"/>
    <w:rsid w:val="003940D9"/>
    <w:rsid w:val="00394391"/>
    <w:rsid w:val="0039495D"/>
    <w:rsid w:val="0039638B"/>
    <w:rsid w:val="003963D1"/>
    <w:rsid w:val="0039674F"/>
    <w:rsid w:val="003967FB"/>
    <w:rsid w:val="00397002"/>
    <w:rsid w:val="00397402"/>
    <w:rsid w:val="003976F2"/>
    <w:rsid w:val="00397A3D"/>
    <w:rsid w:val="00397DF4"/>
    <w:rsid w:val="003A085E"/>
    <w:rsid w:val="003A0F8F"/>
    <w:rsid w:val="003A1D23"/>
    <w:rsid w:val="003A2668"/>
    <w:rsid w:val="003A27B0"/>
    <w:rsid w:val="003A2FE9"/>
    <w:rsid w:val="003A385C"/>
    <w:rsid w:val="003A3C59"/>
    <w:rsid w:val="003A3DCE"/>
    <w:rsid w:val="003A3EC8"/>
    <w:rsid w:val="003A42CE"/>
    <w:rsid w:val="003A51A9"/>
    <w:rsid w:val="003A52EC"/>
    <w:rsid w:val="003A63CA"/>
    <w:rsid w:val="003A6A95"/>
    <w:rsid w:val="003A7FF6"/>
    <w:rsid w:val="003B0290"/>
    <w:rsid w:val="003B1430"/>
    <w:rsid w:val="003B1B74"/>
    <w:rsid w:val="003B21B4"/>
    <w:rsid w:val="003B2B26"/>
    <w:rsid w:val="003B301C"/>
    <w:rsid w:val="003B3E3B"/>
    <w:rsid w:val="003B4521"/>
    <w:rsid w:val="003B4F5F"/>
    <w:rsid w:val="003B50BB"/>
    <w:rsid w:val="003B562C"/>
    <w:rsid w:val="003B593F"/>
    <w:rsid w:val="003B6A18"/>
    <w:rsid w:val="003C0172"/>
    <w:rsid w:val="003C12D2"/>
    <w:rsid w:val="003C4C04"/>
    <w:rsid w:val="003C4F22"/>
    <w:rsid w:val="003C6780"/>
    <w:rsid w:val="003D09CE"/>
    <w:rsid w:val="003D0C8F"/>
    <w:rsid w:val="003D1B2F"/>
    <w:rsid w:val="003D200E"/>
    <w:rsid w:val="003D24A3"/>
    <w:rsid w:val="003D2910"/>
    <w:rsid w:val="003D42E1"/>
    <w:rsid w:val="003D44E4"/>
    <w:rsid w:val="003D48D9"/>
    <w:rsid w:val="003D502E"/>
    <w:rsid w:val="003D5086"/>
    <w:rsid w:val="003D5DB7"/>
    <w:rsid w:val="003D6F91"/>
    <w:rsid w:val="003D7257"/>
    <w:rsid w:val="003E06D6"/>
    <w:rsid w:val="003E1079"/>
    <w:rsid w:val="003E16A4"/>
    <w:rsid w:val="003E1974"/>
    <w:rsid w:val="003E1C4F"/>
    <w:rsid w:val="003E2059"/>
    <w:rsid w:val="003E4E8E"/>
    <w:rsid w:val="003E532A"/>
    <w:rsid w:val="003E57F3"/>
    <w:rsid w:val="003E62DC"/>
    <w:rsid w:val="003E6DCE"/>
    <w:rsid w:val="003F03B2"/>
    <w:rsid w:val="003F04D5"/>
    <w:rsid w:val="003F21EC"/>
    <w:rsid w:val="003F2390"/>
    <w:rsid w:val="003F3F8B"/>
    <w:rsid w:val="003F4A1B"/>
    <w:rsid w:val="003F4A29"/>
    <w:rsid w:val="003F576E"/>
    <w:rsid w:val="003F589C"/>
    <w:rsid w:val="003F5A15"/>
    <w:rsid w:val="003F5DBF"/>
    <w:rsid w:val="003F6435"/>
    <w:rsid w:val="003F6490"/>
    <w:rsid w:val="003F728B"/>
    <w:rsid w:val="003F7A62"/>
    <w:rsid w:val="00400130"/>
    <w:rsid w:val="004002A4"/>
    <w:rsid w:val="00401AB0"/>
    <w:rsid w:val="00401C16"/>
    <w:rsid w:val="00402B1A"/>
    <w:rsid w:val="00402BD3"/>
    <w:rsid w:val="004038E2"/>
    <w:rsid w:val="00405568"/>
    <w:rsid w:val="00405E82"/>
    <w:rsid w:val="004065EA"/>
    <w:rsid w:val="004073D2"/>
    <w:rsid w:val="00407417"/>
    <w:rsid w:val="00407975"/>
    <w:rsid w:val="00407D22"/>
    <w:rsid w:val="00407FEB"/>
    <w:rsid w:val="00410370"/>
    <w:rsid w:val="00410842"/>
    <w:rsid w:val="00410924"/>
    <w:rsid w:val="004117C2"/>
    <w:rsid w:val="004118FF"/>
    <w:rsid w:val="0041243A"/>
    <w:rsid w:val="0041251C"/>
    <w:rsid w:val="00412721"/>
    <w:rsid w:val="00412E24"/>
    <w:rsid w:val="00412F53"/>
    <w:rsid w:val="00413575"/>
    <w:rsid w:val="00413D80"/>
    <w:rsid w:val="00416020"/>
    <w:rsid w:val="00416D00"/>
    <w:rsid w:val="004170D9"/>
    <w:rsid w:val="00417454"/>
    <w:rsid w:val="00417580"/>
    <w:rsid w:val="00420112"/>
    <w:rsid w:val="00420242"/>
    <w:rsid w:val="00421512"/>
    <w:rsid w:val="00421994"/>
    <w:rsid w:val="00421E61"/>
    <w:rsid w:val="00422334"/>
    <w:rsid w:val="00422929"/>
    <w:rsid w:val="004232F9"/>
    <w:rsid w:val="00423673"/>
    <w:rsid w:val="00423991"/>
    <w:rsid w:val="004239E4"/>
    <w:rsid w:val="00423AF4"/>
    <w:rsid w:val="00423B49"/>
    <w:rsid w:val="00423DF4"/>
    <w:rsid w:val="00424E62"/>
    <w:rsid w:val="0042518D"/>
    <w:rsid w:val="00425628"/>
    <w:rsid w:val="00425911"/>
    <w:rsid w:val="00425A14"/>
    <w:rsid w:val="00426823"/>
    <w:rsid w:val="00426D91"/>
    <w:rsid w:val="00427BC5"/>
    <w:rsid w:val="00427CBD"/>
    <w:rsid w:val="004305D9"/>
    <w:rsid w:val="00430F2B"/>
    <w:rsid w:val="00431398"/>
    <w:rsid w:val="004318C8"/>
    <w:rsid w:val="00431A1B"/>
    <w:rsid w:val="0043209F"/>
    <w:rsid w:val="0043257F"/>
    <w:rsid w:val="00432652"/>
    <w:rsid w:val="00432FEB"/>
    <w:rsid w:val="00433184"/>
    <w:rsid w:val="00433608"/>
    <w:rsid w:val="00433C16"/>
    <w:rsid w:val="00434B50"/>
    <w:rsid w:val="004367A5"/>
    <w:rsid w:val="00440398"/>
    <w:rsid w:val="0044041B"/>
    <w:rsid w:val="0044284D"/>
    <w:rsid w:val="0044307C"/>
    <w:rsid w:val="0044319D"/>
    <w:rsid w:val="00443576"/>
    <w:rsid w:val="00444EE5"/>
    <w:rsid w:val="00445D80"/>
    <w:rsid w:val="004461E4"/>
    <w:rsid w:val="00446A7F"/>
    <w:rsid w:val="00446CBA"/>
    <w:rsid w:val="00446FA1"/>
    <w:rsid w:val="004473A3"/>
    <w:rsid w:val="0045015A"/>
    <w:rsid w:val="0045160C"/>
    <w:rsid w:val="0045198C"/>
    <w:rsid w:val="00452C07"/>
    <w:rsid w:val="00453076"/>
    <w:rsid w:val="00453779"/>
    <w:rsid w:val="0045378C"/>
    <w:rsid w:val="00453A16"/>
    <w:rsid w:val="00453EC7"/>
    <w:rsid w:val="00453F92"/>
    <w:rsid w:val="00456694"/>
    <w:rsid w:val="00456792"/>
    <w:rsid w:val="004573DD"/>
    <w:rsid w:val="00460A6C"/>
    <w:rsid w:val="00460B4F"/>
    <w:rsid w:val="00461884"/>
    <w:rsid w:val="0046208A"/>
    <w:rsid w:val="004631B7"/>
    <w:rsid w:val="00463BC3"/>
    <w:rsid w:val="00463FF9"/>
    <w:rsid w:val="0046458F"/>
    <w:rsid w:val="004646D7"/>
    <w:rsid w:val="0046537F"/>
    <w:rsid w:val="004655C1"/>
    <w:rsid w:val="00465B07"/>
    <w:rsid w:val="00465B1F"/>
    <w:rsid w:val="004673E5"/>
    <w:rsid w:val="00467572"/>
    <w:rsid w:val="00467A6C"/>
    <w:rsid w:val="00467CA6"/>
    <w:rsid w:val="00470D4F"/>
    <w:rsid w:val="004712F7"/>
    <w:rsid w:val="00471BC1"/>
    <w:rsid w:val="00471FA7"/>
    <w:rsid w:val="004722CA"/>
    <w:rsid w:val="00472326"/>
    <w:rsid w:val="0047275A"/>
    <w:rsid w:val="0047353A"/>
    <w:rsid w:val="0047411F"/>
    <w:rsid w:val="004760CA"/>
    <w:rsid w:val="00476B9F"/>
    <w:rsid w:val="00476ECC"/>
    <w:rsid w:val="00477BCC"/>
    <w:rsid w:val="004801E3"/>
    <w:rsid w:val="00480960"/>
    <w:rsid w:val="004817F5"/>
    <w:rsid w:val="00481D3F"/>
    <w:rsid w:val="00482C44"/>
    <w:rsid w:val="004831C7"/>
    <w:rsid w:val="00484228"/>
    <w:rsid w:val="00484676"/>
    <w:rsid w:val="00485A12"/>
    <w:rsid w:val="00485CA9"/>
    <w:rsid w:val="0048718F"/>
    <w:rsid w:val="004871D2"/>
    <w:rsid w:val="004872E1"/>
    <w:rsid w:val="0049088A"/>
    <w:rsid w:val="004913D8"/>
    <w:rsid w:val="0049186E"/>
    <w:rsid w:val="004919DF"/>
    <w:rsid w:val="00491FE7"/>
    <w:rsid w:val="0049200D"/>
    <w:rsid w:val="004921B2"/>
    <w:rsid w:val="00492819"/>
    <w:rsid w:val="00492978"/>
    <w:rsid w:val="0049309B"/>
    <w:rsid w:val="00493390"/>
    <w:rsid w:val="00495425"/>
    <w:rsid w:val="0049659F"/>
    <w:rsid w:val="00496D0E"/>
    <w:rsid w:val="00497274"/>
    <w:rsid w:val="0049792B"/>
    <w:rsid w:val="004A01D8"/>
    <w:rsid w:val="004A0707"/>
    <w:rsid w:val="004A0E8E"/>
    <w:rsid w:val="004A1263"/>
    <w:rsid w:val="004A12EC"/>
    <w:rsid w:val="004A1540"/>
    <w:rsid w:val="004A1ACE"/>
    <w:rsid w:val="004A1CE5"/>
    <w:rsid w:val="004A2E11"/>
    <w:rsid w:val="004A30D3"/>
    <w:rsid w:val="004A3352"/>
    <w:rsid w:val="004A446A"/>
    <w:rsid w:val="004A4A6D"/>
    <w:rsid w:val="004A4EEB"/>
    <w:rsid w:val="004A5D27"/>
    <w:rsid w:val="004A5E3E"/>
    <w:rsid w:val="004A605D"/>
    <w:rsid w:val="004B0461"/>
    <w:rsid w:val="004B0D1C"/>
    <w:rsid w:val="004B136B"/>
    <w:rsid w:val="004B1691"/>
    <w:rsid w:val="004B2CAF"/>
    <w:rsid w:val="004B36B3"/>
    <w:rsid w:val="004B379F"/>
    <w:rsid w:val="004B3842"/>
    <w:rsid w:val="004B3F2B"/>
    <w:rsid w:val="004B3F55"/>
    <w:rsid w:val="004B445B"/>
    <w:rsid w:val="004B4573"/>
    <w:rsid w:val="004B4B6F"/>
    <w:rsid w:val="004B6B6E"/>
    <w:rsid w:val="004B6F9C"/>
    <w:rsid w:val="004B6FB7"/>
    <w:rsid w:val="004B7037"/>
    <w:rsid w:val="004B7330"/>
    <w:rsid w:val="004C06F5"/>
    <w:rsid w:val="004C0A8B"/>
    <w:rsid w:val="004C0CA7"/>
    <w:rsid w:val="004C1872"/>
    <w:rsid w:val="004C21BA"/>
    <w:rsid w:val="004C2FF4"/>
    <w:rsid w:val="004C37C7"/>
    <w:rsid w:val="004C3B36"/>
    <w:rsid w:val="004C3C42"/>
    <w:rsid w:val="004C3D41"/>
    <w:rsid w:val="004C4CA2"/>
    <w:rsid w:val="004C4DC2"/>
    <w:rsid w:val="004C6A08"/>
    <w:rsid w:val="004D015F"/>
    <w:rsid w:val="004D04F7"/>
    <w:rsid w:val="004D0838"/>
    <w:rsid w:val="004D08E5"/>
    <w:rsid w:val="004D0F96"/>
    <w:rsid w:val="004D2620"/>
    <w:rsid w:val="004D54BC"/>
    <w:rsid w:val="004D550B"/>
    <w:rsid w:val="004D5B74"/>
    <w:rsid w:val="004D7070"/>
    <w:rsid w:val="004D77F0"/>
    <w:rsid w:val="004E0724"/>
    <w:rsid w:val="004E2397"/>
    <w:rsid w:val="004E2EC7"/>
    <w:rsid w:val="004E3527"/>
    <w:rsid w:val="004E37BF"/>
    <w:rsid w:val="004E3A25"/>
    <w:rsid w:val="004E3D18"/>
    <w:rsid w:val="004E40DB"/>
    <w:rsid w:val="004E416F"/>
    <w:rsid w:val="004E438F"/>
    <w:rsid w:val="004E47AC"/>
    <w:rsid w:val="004E4ABB"/>
    <w:rsid w:val="004E4DC1"/>
    <w:rsid w:val="004E608D"/>
    <w:rsid w:val="004E6973"/>
    <w:rsid w:val="004E74C3"/>
    <w:rsid w:val="004E7940"/>
    <w:rsid w:val="004E7BBC"/>
    <w:rsid w:val="004E7DE1"/>
    <w:rsid w:val="004E7EE8"/>
    <w:rsid w:val="004F1167"/>
    <w:rsid w:val="004F173F"/>
    <w:rsid w:val="004F1841"/>
    <w:rsid w:val="004F1B0F"/>
    <w:rsid w:val="004F229D"/>
    <w:rsid w:val="004F46B1"/>
    <w:rsid w:val="004F4C22"/>
    <w:rsid w:val="004F7A0D"/>
    <w:rsid w:val="004F7B11"/>
    <w:rsid w:val="005008F6"/>
    <w:rsid w:val="00501D1B"/>
    <w:rsid w:val="0050370F"/>
    <w:rsid w:val="00505417"/>
    <w:rsid w:val="00505705"/>
    <w:rsid w:val="00505B3A"/>
    <w:rsid w:val="005063B0"/>
    <w:rsid w:val="005067B2"/>
    <w:rsid w:val="00506C58"/>
    <w:rsid w:val="00507153"/>
    <w:rsid w:val="00507F47"/>
    <w:rsid w:val="00510517"/>
    <w:rsid w:val="00511DB2"/>
    <w:rsid w:val="0051202D"/>
    <w:rsid w:val="00512836"/>
    <w:rsid w:val="00513003"/>
    <w:rsid w:val="005133C8"/>
    <w:rsid w:val="00513516"/>
    <w:rsid w:val="0051392C"/>
    <w:rsid w:val="00513945"/>
    <w:rsid w:val="00513A8F"/>
    <w:rsid w:val="00514079"/>
    <w:rsid w:val="00514DF5"/>
    <w:rsid w:val="00516184"/>
    <w:rsid w:val="005167A2"/>
    <w:rsid w:val="005168A7"/>
    <w:rsid w:val="00517169"/>
    <w:rsid w:val="00517D40"/>
    <w:rsid w:val="0052072B"/>
    <w:rsid w:val="0052141B"/>
    <w:rsid w:val="0052144E"/>
    <w:rsid w:val="00521978"/>
    <w:rsid w:val="0052299E"/>
    <w:rsid w:val="0052377D"/>
    <w:rsid w:val="0052453B"/>
    <w:rsid w:val="005250DC"/>
    <w:rsid w:val="00525A22"/>
    <w:rsid w:val="00525BCD"/>
    <w:rsid w:val="00526314"/>
    <w:rsid w:val="00526C4C"/>
    <w:rsid w:val="00527543"/>
    <w:rsid w:val="00527569"/>
    <w:rsid w:val="00527798"/>
    <w:rsid w:val="00527E6B"/>
    <w:rsid w:val="00527F0C"/>
    <w:rsid w:val="005304A6"/>
    <w:rsid w:val="005305F5"/>
    <w:rsid w:val="00530D86"/>
    <w:rsid w:val="005322F5"/>
    <w:rsid w:val="005325FF"/>
    <w:rsid w:val="0053291F"/>
    <w:rsid w:val="005332A8"/>
    <w:rsid w:val="00533C1B"/>
    <w:rsid w:val="005342BF"/>
    <w:rsid w:val="005353E6"/>
    <w:rsid w:val="005356DF"/>
    <w:rsid w:val="00535FE1"/>
    <w:rsid w:val="0053618B"/>
    <w:rsid w:val="00536ECC"/>
    <w:rsid w:val="00537DC2"/>
    <w:rsid w:val="005401DA"/>
    <w:rsid w:val="00540321"/>
    <w:rsid w:val="00540E24"/>
    <w:rsid w:val="00540EB4"/>
    <w:rsid w:val="005419A0"/>
    <w:rsid w:val="005427AF"/>
    <w:rsid w:val="0054303A"/>
    <w:rsid w:val="0054372D"/>
    <w:rsid w:val="00544470"/>
    <w:rsid w:val="005448AD"/>
    <w:rsid w:val="00544C9A"/>
    <w:rsid w:val="00544DE4"/>
    <w:rsid w:val="00545186"/>
    <w:rsid w:val="00546293"/>
    <w:rsid w:val="005465BB"/>
    <w:rsid w:val="00546D7A"/>
    <w:rsid w:val="00547943"/>
    <w:rsid w:val="00551140"/>
    <w:rsid w:val="00552205"/>
    <w:rsid w:val="005528E0"/>
    <w:rsid w:val="005533FF"/>
    <w:rsid w:val="005537E6"/>
    <w:rsid w:val="00553BB0"/>
    <w:rsid w:val="00554463"/>
    <w:rsid w:val="00554BE9"/>
    <w:rsid w:val="00554FF7"/>
    <w:rsid w:val="005550E8"/>
    <w:rsid w:val="00555CC4"/>
    <w:rsid w:val="005561DF"/>
    <w:rsid w:val="00556211"/>
    <w:rsid w:val="00556C09"/>
    <w:rsid w:val="00556F2A"/>
    <w:rsid w:val="005602C0"/>
    <w:rsid w:val="00560763"/>
    <w:rsid w:val="0056169E"/>
    <w:rsid w:val="00562659"/>
    <w:rsid w:val="00562AF1"/>
    <w:rsid w:val="00562EC6"/>
    <w:rsid w:val="0056322D"/>
    <w:rsid w:val="00563C78"/>
    <w:rsid w:val="00564782"/>
    <w:rsid w:val="005657FA"/>
    <w:rsid w:val="005668BB"/>
    <w:rsid w:val="00566DD7"/>
    <w:rsid w:val="00570939"/>
    <w:rsid w:val="00570DF2"/>
    <w:rsid w:val="00571B26"/>
    <w:rsid w:val="00572062"/>
    <w:rsid w:val="005721A1"/>
    <w:rsid w:val="00572B19"/>
    <w:rsid w:val="00572D51"/>
    <w:rsid w:val="0057554E"/>
    <w:rsid w:val="00575BE4"/>
    <w:rsid w:val="00575EEF"/>
    <w:rsid w:val="00577596"/>
    <w:rsid w:val="00580445"/>
    <w:rsid w:val="005806A9"/>
    <w:rsid w:val="00580CCD"/>
    <w:rsid w:val="00580FB3"/>
    <w:rsid w:val="00581707"/>
    <w:rsid w:val="005822CA"/>
    <w:rsid w:val="00582F57"/>
    <w:rsid w:val="005831EB"/>
    <w:rsid w:val="0058328A"/>
    <w:rsid w:val="005833DC"/>
    <w:rsid w:val="00583D19"/>
    <w:rsid w:val="005849F3"/>
    <w:rsid w:val="00584C2E"/>
    <w:rsid w:val="005864F2"/>
    <w:rsid w:val="005865EF"/>
    <w:rsid w:val="00586851"/>
    <w:rsid w:val="0058694E"/>
    <w:rsid w:val="00586ECE"/>
    <w:rsid w:val="00587CEA"/>
    <w:rsid w:val="00587F2E"/>
    <w:rsid w:val="005907B6"/>
    <w:rsid w:val="005907CC"/>
    <w:rsid w:val="00590B77"/>
    <w:rsid w:val="00590D5C"/>
    <w:rsid w:val="00591D89"/>
    <w:rsid w:val="005921CA"/>
    <w:rsid w:val="00592321"/>
    <w:rsid w:val="00593258"/>
    <w:rsid w:val="0059551B"/>
    <w:rsid w:val="005958D7"/>
    <w:rsid w:val="00595BCD"/>
    <w:rsid w:val="00595DDD"/>
    <w:rsid w:val="0059617C"/>
    <w:rsid w:val="00596E2C"/>
    <w:rsid w:val="005A0332"/>
    <w:rsid w:val="005A0AB8"/>
    <w:rsid w:val="005A14B1"/>
    <w:rsid w:val="005A16F9"/>
    <w:rsid w:val="005A1E62"/>
    <w:rsid w:val="005A28CF"/>
    <w:rsid w:val="005A3324"/>
    <w:rsid w:val="005A35CE"/>
    <w:rsid w:val="005A4201"/>
    <w:rsid w:val="005A557A"/>
    <w:rsid w:val="005A685D"/>
    <w:rsid w:val="005A7426"/>
    <w:rsid w:val="005A7A74"/>
    <w:rsid w:val="005A7DDC"/>
    <w:rsid w:val="005B04B8"/>
    <w:rsid w:val="005B053D"/>
    <w:rsid w:val="005B0EC3"/>
    <w:rsid w:val="005B1048"/>
    <w:rsid w:val="005B1550"/>
    <w:rsid w:val="005B17ED"/>
    <w:rsid w:val="005B2FBE"/>
    <w:rsid w:val="005B302F"/>
    <w:rsid w:val="005B30E9"/>
    <w:rsid w:val="005B5030"/>
    <w:rsid w:val="005B5EEE"/>
    <w:rsid w:val="005B6585"/>
    <w:rsid w:val="005B68EA"/>
    <w:rsid w:val="005B7287"/>
    <w:rsid w:val="005B7CAB"/>
    <w:rsid w:val="005C0D5B"/>
    <w:rsid w:val="005C178C"/>
    <w:rsid w:val="005C1ED0"/>
    <w:rsid w:val="005C25F5"/>
    <w:rsid w:val="005C3621"/>
    <w:rsid w:val="005C3752"/>
    <w:rsid w:val="005C47E8"/>
    <w:rsid w:val="005C4854"/>
    <w:rsid w:val="005C4C36"/>
    <w:rsid w:val="005C52F0"/>
    <w:rsid w:val="005C5BEA"/>
    <w:rsid w:val="005C5E14"/>
    <w:rsid w:val="005C6251"/>
    <w:rsid w:val="005C64FB"/>
    <w:rsid w:val="005C752F"/>
    <w:rsid w:val="005D0B06"/>
    <w:rsid w:val="005D163E"/>
    <w:rsid w:val="005D25CC"/>
    <w:rsid w:val="005D3433"/>
    <w:rsid w:val="005D39F8"/>
    <w:rsid w:val="005D438D"/>
    <w:rsid w:val="005D43B9"/>
    <w:rsid w:val="005D48FB"/>
    <w:rsid w:val="005D49D1"/>
    <w:rsid w:val="005D4E5E"/>
    <w:rsid w:val="005D5491"/>
    <w:rsid w:val="005D62AE"/>
    <w:rsid w:val="005D68E4"/>
    <w:rsid w:val="005D7939"/>
    <w:rsid w:val="005E1309"/>
    <w:rsid w:val="005E15D9"/>
    <w:rsid w:val="005E1F19"/>
    <w:rsid w:val="005E21ED"/>
    <w:rsid w:val="005E2C77"/>
    <w:rsid w:val="005E2DD2"/>
    <w:rsid w:val="005E3129"/>
    <w:rsid w:val="005E3149"/>
    <w:rsid w:val="005E4AB7"/>
    <w:rsid w:val="005E6279"/>
    <w:rsid w:val="005E6964"/>
    <w:rsid w:val="005E749E"/>
    <w:rsid w:val="005F0F5F"/>
    <w:rsid w:val="005F1F1F"/>
    <w:rsid w:val="005F237A"/>
    <w:rsid w:val="005F335E"/>
    <w:rsid w:val="005F3846"/>
    <w:rsid w:val="005F3B3E"/>
    <w:rsid w:val="005F3F0E"/>
    <w:rsid w:val="005F40F7"/>
    <w:rsid w:val="005F47E3"/>
    <w:rsid w:val="005F573B"/>
    <w:rsid w:val="005F6835"/>
    <w:rsid w:val="005F69E0"/>
    <w:rsid w:val="005F6B91"/>
    <w:rsid w:val="005F71EB"/>
    <w:rsid w:val="0060006F"/>
    <w:rsid w:val="006001D4"/>
    <w:rsid w:val="00600BDB"/>
    <w:rsid w:val="00601C5D"/>
    <w:rsid w:val="006027E3"/>
    <w:rsid w:val="00602BEF"/>
    <w:rsid w:val="006034BA"/>
    <w:rsid w:val="00603648"/>
    <w:rsid w:val="00604262"/>
    <w:rsid w:val="006044F0"/>
    <w:rsid w:val="00604A9D"/>
    <w:rsid w:val="0060530A"/>
    <w:rsid w:val="00605C32"/>
    <w:rsid w:val="00606206"/>
    <w:rsid w:val="00606615"/>
    <w:rsid w:val="00606FF7"/>
    <w:rsid w:val="00607020"/>
    <w:rsid w:val="006074C5"/>
    <w:rsid w:val="00607A1F"/>
    <w:rsid w:val="00607DD1"/>
    <w:rsid w:val="00610C0C"/>
    <w:rsid w:val="00612A50"/>
    <w:rsid w:val="00614411"/>
    <w:rsid w:val="006147E7"/>
    <w:rsid w:val="00614CA2"/>
    <w:rsid w:val="00615B2D"/>
    <w:rsid w:val="0061628D"/>
    <w:rsid w:val="00616845"/>
    <w:rsid w:val="00616DD0"/>
    <w:rsid w:val="006207BE"/>
    <w:rsid w:val="006209D2"/>
    <w:rsid w:val="00621843"/>
    <w:rsid w:val="00622FC0"/>
    <w:rsid w:val="00622FCF"/>
    <w:rsid w:val="00623138"/>
    <w:rsid w:val="00624B59"/>
    <w:rsid w:val="006263FA"/>
    <w:rsid w:val="00626951"/>
    <w:rsid w:val="006274D4"/>
    <w:rsid w:val="00627572"/>
    <w:rsid w:val="00627E49"/>
    <w:rsid w:val="00627FF5"/>
    <w:rsid w:val="00630EE9"/>
    <w:rsid w:val="0063101E"/>
    <w:rsid w:val="0063168D"/>
    <w:rsid w:val="00631DEA"/>
    <w:rsid w:val="00632C2B"/>
    <w:rsid w:val="00632C85"/>
    <w:rsid w:val="00632EFE"/>
    <w:rsid w:val="0063375F"/>
    <w:rsid w:val="0063455D"/>
    <w:rsid w:val="006347B6"/>
    <w:rsid w:val="0063615B"/>
    <w:rsid w:val="00636537"/>
    <w:rsid w:val="00637407"/>
    <w:rsid w:val="00637A64"/>
    <w:rsid w:val="0064054E"/>
    <w:rsid w:val="0064071D"/>
    <w:rsid w:val="006409A2"/>
    <w:rsid w:val="00640C0C"/>
    <w:rsid w:val="00640F51"/>
    <w:rsid w:val="0064168C"/>
    <w:rsid w:val="00641E26"/>
    <w:rsid w:val="006423B8"/>
    <w:rsid w:val="00642B43"/>
    <w:rsid w:val="0064677E"/>
    <w:rsid w:val="00646830"/>
    <w:rsid w:val="00646B8A"/>
    <w:rsid w:val="00646DDD"/>
    <w:rsid w:val="00647226"/>
    <w:rsid w:val="00647804"/>
    <w:rsid w:val="00650815"/>
    <w:rsid w:val="00650ABA"/>
    <w:rsid w:val="00650CDA"/>
    <w:rsid w:val="0065199C"/>
    <w:rsid w:val="00651A39"/>
    <w:rsid w:val="00652620"/>
    <w:rsid w:val="00653A3C"/>
    <w:rsid w:val="00653D7F"/>
    <w:rsid w:val="006557C9"/>
    <w:rsid w:val="00655943"/>
    <w:rsid w:val="00655AB2"/>
    <w:rsid w:val="00655D4E"/>
    <w:rsid w:val="006569CC"/>
    <w:rsid w:val="00656D3A"/>
    <w:rsid w:val="00657027"/>
    <w:rsid w:val="00657BC6"/>
    <w:rsid w:val="00660285"/>
    <w:rsid w:val="006606A8"/>
    <w:rsid w:val="006609EE"/>
    <w:rsid w:val="00661A7E"/>
    <w:rsid w:val="006625DC"/>
    <w:rsid w:val="0066383F"/>
    <w:rsid w:val="00663AF5"/>
    <w:rsid w:val="00663F24"/>
    <w:rsid w:val="0066402A"/>
    <w:rsid w:val="006641C9"/>
    <w:rsid w:val="00664598"/>
    <w:rsid w:val="00664F0B"/>
    <w:rsid w:val="00665C22"/>
    <w:rsid w:val="00665FC1"/>
    <w:rsid w:val="0066615F"/>
    <w:rsid w:val="00667CE9"/>
    <w:rsid w:val="0067020A"/>
    <w:rsid w:val="00671867"/>
    <w:rsid w:val="006738AF"/>
    <w:rsid w:val="00674079"/>
    <w:rsid w:val="006740DC"/>
    <w:rsid w:val="00674828"/>
    <w:rsid w:val="0067482C"/>
    <w:rsid w:val="00674DD2"/>
    <w:rsid w:val="00674F24"/>
    <w:rsid w:val="006770DB"/>
    <w:rsid w:val="0067775E"/>
    <w:rsid w:val="00677CA7"/>
    <w:rsid w:val="0068101E"/>
    <w:rsid w:val="00681393"/>
    <w:rsid w:val="00681884"/>
    <w:rsid w:val="006822C1"/>
    <w:rsid w:val="006830C4"/>
    <w:rsid w:val="006833F2"/>
    <w:rsid w:val="00683FC2"/>
    <w:rsid w:val="00683FFC"/>
    <w:rsid w:val="0068453B"/>
    <w:rsid w:val="00684BCE"/>
    <w:rsid w:val="00684C24"/>
    <w:rsid w:val="00684F84"/>
    <w:rsid w:val="00685780"/>
    <w:rsid w:val="00685D85"/>
    <w:rsid w:val="00686733"/>
    <w:rsid w:val="006867E2"/>
    <w:rsid w:val="006875C5"/>
    <w:rsid w:val="00687887"/>
    <w:rsid w:val="00691474"/>
    <w:rsid w:val="00692395"/>
    <w:rsid w:val="006929F3"/>
    <w:rsid w:val="006938FE"/>
    <w:rsid w:val="00696463"/>
    <w:rsid w:val="00696830"/>
    <w:rsid w:val="00697AEA"/>
    <w:rsid w:val="006A0218"/>
    <w:rsid w:val="006A092E"/>
    <w:rsid w:val="006A0B27"/>
    <w:rsid w:val="006A114F"/>
    <w:rsid w:val="006A12F9"/>
    <w:rsid w:val="006A443E"/>
    <w:rsid w:val="006A4D29"/>
    <w:rsid w:val="006A5CC3"/>
    <w:rsid w:val="006A5D3B"/>
    <w:rsid w:val="006A63B6"/>
    <w:rsid w:val="006A7213"/>
    <w:rsid w:val="006B04FA"/>
    <w:rsid w:val="006B0702"/>
    <w:rsid w:val="006B4474"/>
    <w:rsid w:val="006B4686"/>
    <w:rsid w:val="006B4A82"/>
    <w:rsid w:val="006B4DC7"/>
    <w:rsid w:val="006B4E38"/>
    <w:rsid w:val="006B53E7"/>
    <w:rsid w:val="006B5D80"/>
    <w:rsid w:val="006B6604"/>
    <w:rsid w:val="006B6CF2"/>
    <w:rsid w:val="006B6D9A"/>
    <w:rsid w:val="006B715D"/>
    <w:rsid w:val="006C048D"/>
    <w:rsid w:val="006C0AE1"/>
    <w:rsid w:val="006C24C2"/>
    <w:rsid w:val="006C27FD"/>
    <w:rsid w:val="006C2D34"/>
    <w:rsid w:val="006C2F0E"/>
    <w:rsid w:val="006C3657"/>
    <w:rsid w:val="006C3905"/>
    <w:rsid w:val="006C3FC3"/>
    <w:rsid w:val="006C426B"/>
    <w:rsid w:val="006C4765"/>
    <w:rsid w:val="006C482F"/>
    <w:rsid w:val="006C4ABC"/>
    <w:rsid w:val="006C6452"/>
    <w:rsid w:val="006C73CB"/>
    <w:rsid w:val="006C7686"/>
    <w:rsid w:val="006C77E5"/>
    <w:rsid w:val="006C7D4E"/>
    <w:rsid w:val="006D04C4"/>
    <w:rsid w:val="006D08A6"/>
    <w:rsid w:val="006D1A2E"/>
    <w:rsid w:val="006D2472"/>
    <w:rsid w:val="006D261E"/>
    <w:rsid w:val="006D2CD1"/>
    <w:rsid w:val="006D3427"/>
    <w:rsid w:val="006D3967"/>
    <w:rsid w:val="006D3CBE"/>
    <w:rsid w:val="006D7B66"/>
    <w:rsid w:val="006E04F0"/>
    <w:rsid w:val="006E05B4"/>
    <w:rsid w:val="006E0709"/>
    <w:rsid w:val="006E0C2D"/>
    <w:rsid w:val="006E15DD"/>
    <w:rsid w:val="006E3E2C"/>
    <w:rsid w:val="006E5104"/>
    <w:rsid w:val="006E5724"/>
    <w:rsid w:val="006E6CA7"/>
    <w:rsid w:val="006E7533"/>
    <w:rsid w:val="006F0580"/>
    <w:rsid w:val="006F0B3A"/>
    <w:rsid w:val="006F2044"/>
    <w:rsid w:val="006F3978"/>
    <w:rsid w:val="006F3A64"/>
    <w:rsid w:val="006F4148"/>
    <w:rsid w:val="006F5060"/>
    <w:rsid w:val="006F6199"/>
    <w:rsid w:val="006F7902"/>
    <w:rsid w:val="00700963"/>
    <w:rsid w:val="00700B80"/>
    <w:rsid w:val="00700DBA"/>
    <w:rsid w:val="00701050"/>
    <w:rsid w:val="00701607"/>
    <w:rsid w:val="00701C67"/>
    <w:rsid w:val="0070321D"/>
    <w:rsid w:val="007037B4"/>
    <w:rsid w:val="00703885"/>
    <w:rsid w:val="00703CA9"/>
    <w:rsid w:val="00705096"/>
    <w:rsid w:val="00705B16"/>
    <w:rsid w:val="00706299"/>
    <w:rsid w:val="00707130"/>
    <w:rsid w:val="00707722"/>
    <w:rsid w:val="0071105D"/>
    <w:rsid w:val="0071128B"/>
    <w:rsid w:val="007114AB"/>
    <w:rsid w:val="00711893"/>
    <w:rsid w:val="00711AE9"/>
    <w:rsid w:val="007141D3"/>
    <w:rsid w:val="00714523"/>
    <w:rsid w:val="007148D7"/>
    <w:rsid w:val="0071514D"/>
    <w:rsid w:val="007155D8"/>
    <w:rsid w:val="00715B90"/>
    <w:rsid w:val="00716BAA"/>
    <w:rsid w:val="00716C2F"/>
    <w:rsid w:val="00716CA4"/>
    <w:rsid w:val="00716EB7"/>
    <w:rsid w:val="00716EDB"/>
    <w:rsid w:val="00717CF5"/>
    <w:rsid w:val="0072049B"/>
    <w:rsid w:val="00721A03"/>
    <w:rsid w:val="00724046"/>
    <w:rsid w:val="00724CFD"/>
    <w:rsid w:val="0072507B"/>
    <w:rsid w:val="0072545A"/>
    <w:rsid w:val="007267B4"/>
    <w:rsid w:val="007269ED"/>
    <w:rsid w:val="007274A9"/>
    <w:rsid w:val="0072753B"/>
    <w:rsid w:val="00727B80"/>
    <w:rsid w:val="007308D0"/>
    <w:rsid w:val="007327A1"/>
    <w:rsid w:val="00732A63"/>
    <w:rsid w:val="00732A9F"/>
    <w:rsid w:val="00733962"/>
    <w:rsid w:val="00733C47"/>
    <w:rsid w:val="007346D0"/>
    <w:rsid w:val="00734B61"/>
    <w:rsid w:val="00734BBF"/>
    <w:rsid w:val="00734DB6"/>
    <w:rsid w:val="007352DA"/>
    <w:rsid w:val="00735A7F"/>
    <w:rsid w:val="00735D19"/>
    <w:rsid w:val="007366BA"/>
    <w:rsid w:val="00736DEA"/>
    <w:rsid w:val="00737D35"/>
    <w:rsid w:val="0074030B"/>
    <w:rsid w:val="00740BD2"/>
    <w:rsid w:val="00741C16"/>
    <w:rsid w:val="00741E4D"/>
    <w:rsid w:val="00741F86"/>
    <w:rsid w:val="007427C1"/>
    <w:rsid w:val="00742E06"/>
    <w:rsid w:val="00742E2B"/>
    <w:rsid w:val="0074306E"/>
    <w:rsid w:val="007446A3"/>
    <w:rsid w:val="007464F4"/>
    <w:rsid w:val="007469A8"/>
    <w:rsid w:val="00746C02"/>
    <w:rsid w:val="00746C50"/>
    <w:rsid w:val="0074738F"/>
    <w:rsid w:val="007513CE"/>
    <w:rsid w:val="007524D7"/>
    <w:rsid w:val="00753638"/>
    <w:rsid w:val="00753C34"/>
    <w:rsid w:val="007545CE"/>
    <w:rsid w:val="00755531"/>
    <w:rsid w:val="007555C2"/>
    <w:rsid w:val="007565C0"/>
    <w:rsid w:val="007566FD"/>
    <w:rsid w:val="00756F8F"/>
    <w:rsid w:val="0075749C"/>
    <w:rsid w:val="00757880"/>
    <w:rsid w:val="007602E3"/>
    <w:rsid w:val="0076048D"/>
    <w:rsid w:val="00760B35"/>
    <w:rsid w:val="00760D79"/>
    <w:rsid w:val="0076241F"/>
    <w:rsid w:val="00762644"/>
    <w:rsid w:val="0076269A"/>
    <w:rsid w:val="00762CD6"/>
    <w:rsid w:val="0076301A"/>
    <w:rsid w:val="00763025"/>
    <w:rsid w:val="0076428F"/>
    <w:rsid w:val="00764903"/>
    <w:rsid w:val="00764B75"/>
    <w:rsid w:val="00764BEA"/>
    <w:rsid w:val="00764D4D"/>
    <w:rsid w:val="00765E99"/>
    <w:rsid w:val="00766068"/>
    <w:rsid w:val="00766CC6"/>
    <w:rsid w:val="007677AC"/>
    <w:rsid w:val="007701EB"/>
    <w:rsid w:val="00770302"/>
    <w:rsid w:val="00770DD4"/>
    <w:rsid w:val="00771D5D"/>
    <w:rsid w:val="0077220C"/>
    <w:rsid w:val="00773C16"/>
    <w:rsid w:val="0077471F"/>
    <w:rsid w:val="00775923"/>
    <w:rsid w:val="007765E9"/>
    <w:rsid w:val="0077683A"/>
    <w:rsid w:val="0077693F"/>
    <w:rsid w:val="007773DD"/>
    <w:rsid w:val="00777D73"/>
    <w:rsid w:val="0078086F"/>
    <w:rsid w:val="00782355"/>
    <w:rsid w:val="00782576"/>
    <w:rsid w:val="00782BDF"/>
    <w:rsid w:val="007832FC"/>
    <w:rsid w:val="00783930"/>
    <w:rsid w:val="0078708D"/>
    <w:rsid w:val="00790275"/>
    <w:rsid w:val="0079069D"/>
    <w:rsid w:val="00791007"/>
    <w:rsid w:val="007910D6"/>
    <w:rsid w:val="007924C4"/>
    <w:rsid w:val="007925DB"/>
    <w:rsid w:val="0079505C"/>
    <w:rsid w:val="0079534E"/>
    <w:rsid w:val="0079561E"/>
    <w:rsid w:val="00795BBC"/>
    <w:rsid w:val="00795DA4"/>
    <w:rsid w:val="00797C4A"/>
    <w:rsid w:val="007A2BED"/>
    <w:rsid w:val="007A4279"/>
    <w:rsid w:val="007A4CD0"/>
    <w:rsid w:val="007A4F8F"/>
    <w:rsid w:val="007A522F"/>
    <w:rsid w:val="007A5962"/>
    <w:rsid w:val="007A5B28"/>
    <w:rsid w:val="007A62D9"/>
    <w:rsid w:val="007A6701"/>
    <w:rsid w:val="007A7382"/>
    <w:rsid w:val="007A7AE7"/>
    <w:rsid w:val="007B0722"/>
    <w:rsid w:val="007B0A53"/>
    <w:rsid w:val="007B10E7"/>
    <w:rsid w:val="007B20BA"/>
    <w:rsid w:val="007B49C7"/>
    <w:rsid w:val="007B5234"/>
    <w:rsid w:val="007B5712"/>
    <w:rsid w:val="007B5F3B"/>
    <w:rsid w:val="007C08D0"/>
    <w:rsid w:val="007C08EE"/>
    <w:rsid w:val="007C1FDD"/>
    <w:rsid w:val="007C3E03"/>
    <w:rsid w:val="007C4468"/>
    <w:rsid w:val="007C44A8"/>
    <w:rsid w:val="007C60E9"/>
    <w:rsid w:val="007C6109"/>
    <w:rsid w:val="007C7623"/>
    <w:rsid w:val="007C7BAA"/>
    <w:rsid w:val="007C7D21"/>
    <w:rsid w:val="007C7F50"/>
    <w:rsid w:val="007D01A3"/>
    <w:rsid w:val="007D1494"/>
    <w:rsid w:val="007D155F"/>
    <w:rsid w:val="007D1E6B"/>
    <w:rsid w:val="007D2D5C"/>
    <w:rsid w:val="007D3010"/>
    <w:rsid w:val="007D36E8"/>
    <w:rsid w:val="007D5365"/>
    <w:rsid w:val="007D5450"/>
    <w:rsid w:val="007D5580"/>
    <w:rsid w:val="007D5F58"/>
    <w:rsid w:val="007D64D0"/>
    <w:rsid w:val="007D68B1"/>
    <w:rsid w:val="007D73EB"/>
    <w:rsid w:val="007D798A"/>
    <w:rsid w:val="007D7D3D"/>
    <w:rsid w:val="007E01B8"/>
    <w:rsid w:val="007E0675"/>
    <w:rsid w:val="007E08C5"/>
    <w:rsid w:val="007E18C3"/>
    <w:rsid w:val="007E1A43"/>
    <w:rsid w:val="007E2883"/>
    <w:rsid w:val="007E2BCB"/>
    <w:rsid w:val="007E2D98"/>
    <w:rsid w:val="007E3126"/>
    <w:rsid w:val="007E337D"/>
    <w:rsid w:val="007E33CE"/>
    <w:rsid w:val="007E4769"/>
    <w:rsid w:val="007E4A08"/>
    <w:rsid w:val="007E57DF"/>
    <w:rsid w:val="007E626E"/>
    <w:rsid w:val="007E66FC"/>
    <w:rsid w:val="007E67E9"/>
    <w:rsid w:val="007E68F5"/>
    <w:rsid w:val="007E712C"/>
    <w:rsid w:val="007E738B"/>
    <w:rsid w:val="007E74B7"/>
    <w:rsid w:val="007E7E1A"/>
    <w:rsid w:val="007E7F5C"/>
    <w:rsid w:val="007F0101"/>
    <w:rsid w:val="007F022C"/>
    <w:rsid w:val="007F0D33"/>
    <w:rsid w:val="007F138D"/>
    <w:rsid w:val="007F1D54"/>
    <w:rsid w:val="007F2F92"/>
    <w:rsid w:val="007F39E6"/>
    <w:rsid w:val="007F52A4"/>
    <w:rsid w:val="007F536D"/>
    <w:rsid w:val="007F5886"/>
    <w:rsid w:val="007F63A3"/>
    <w:rsid w:val="007F6968"/>
    <w:rsid w:val="007F7109"/>
    <w:rsid w:val="007F7540"/>
    <w:rsid w:val="007F78D4"/>
    <w:rsid w:val="007F7B37"/>
    <w:rsid w:val="007F7DE9"/>
    <w:rsid w:val="00800CC0"/>
    <w:rsid w:val="008016E9"/>
    <w:rsid w:val="00801AD9"/>
    <w:rsid w:val="00802BC2"/>
    <w:rsid w:val="00802E6F"/>
    <w:rsid w:val="0080328A"/>
    <w:rsid w:val="008047D6"/>
    <w:rsid w:val="00804A22"/>
    <w:rsid w:val="008064E9"/>
    <w:rsid w:val="00807275"/>
    <w:rsid w:val="00807E25"/>
    <w:rsid w:val="00810954"/>
    <w:rsid w:val="00810DD8"/>
    <w:rsid w:val="00811334"/>
    <w:rsid w:val="008121B1"/>
    <w:rsid w:val="00813656"/>
    <w:rsid w:val="00813A39"/>
    <w:rsid w:val="00813CC9"/>
    <w:rsid w:val="00814775"/>
    <w:rsid w:val="00814E7A"/>
    <w:rsid w:val="00815732"/>
    <w:rsid w:val="00815BF9"/>
    <w:rsid w:val="00815DEB"/>
    <w:rsid w:val="008168D1"/>
    <w:rsid w:val="00816AD8"/>
    <w:rsid w:val="008170EE"/>
    <w:rsid w:val="0081714F"/>
    <w:rsid w:val="00820741"/>
    <w:rsid w:val="00820A6F"/>
    <w:rsid w:val="008224FB"/>
    <w:rsid w:val="00822AB4"/>
    <w:rsid w:val="00822EBA"/>
    <w:rsid w:val="0082309D"/>
    <w:rsid w:val="008230BF"/>
    <w:rsid w:val="00824038"/>
    <w:rsid w:val="008243F1"/>
    <w:rsid w:val="00824804"/>
    <w:rsid w:val="00826177"/>
    <w:rsid w:val="0082627F"/>
    <w:rsid w:val="00826859"/>
    <w:rsid w:val="00830077"/>
    <w:rsid w:val="008315A2"/>
    <w:rsid w:val="00831738"/>
    <w:rsid w:val="00831EFE"/>
    <w:rsid w:val="0083252E"/>
    <w:rsid w:val="00833930"/>
    <w:rsid w:val="00834E8E"/>
    <w:rsid w:val="0083515A"/>
    <w:rsid w:val="00836528"/>
    <w:rsid w:val="00836A19"/>
    <w:rsid w:val="00836A1B"/>
    <w:rsid w:val="00836C41"/>
    <w:rsid w:val="0083719B"/>
    <w:rsid w:val="008372A1"/>
    <w:rsid w:val="008377B6"/>
    <w:rsid w:val="00841963"/>
    <w:rsid w:val="0084227C"/>
    <w:rsid w:val="0084243D"/>
    <w:rsid w:val="00842A22"/>
    <w:rsid w:val="00842CA3"/>
    <w:rsid w:val="00843611"/>
    <w:rsid w:val="00843D86"/>
    <w:rsid w:val="0084420A"/>
    <w:rsid w:val="0084452E"/>
    <w:rsid w:val="008455A7"/>
    <w:rsid w:val="00846F2C"/>
    <w:rsid w:val="00847C91"/>
    <w:rsid w:val="008508AF"/>
    <w:rsid w:val="0085157F"/>
    <w:rsid w:val="00851CAE"/>
    <w:rsid w:val="00851DEE"/>
    <w:rsid w:val="00853084"/>
    <w:rsid w:val="00853B30"/>
    <w:rsid w:val="00853DB5"/>
    <w:rsid w:val="008544D7"/>
    <w:rsid w:val="00854F81"/>
    <w:rsid w:val="0085501B"/>
    <w:rsid w:val="00856132"/>
    <w:rsid w:val="0085698A"/>
    <w:rsid w:val="00857386"/>
    <w:rsid w:val="00857B83"/>
    <w:rsid w:val="00857D04"/>
    <w:rsid w:val="0086032B"/>
    <w:rsid w:val="00861095"/>
    <w:rsid w:val="0086120F"/>
    <w:rsid w:val="008616CA"/>
    <w:rsid w:val="008623EB"/>
    <w:rsid w:val="00863204"/>
    <w:rsid w:val="008632CF"/>
    <w:rsid w:val="00863BAB"/>
    <w:rsid w:val="008656C5"/>
    <w:rsid w:val="00865835"/>
    <w:rsid w:val="00865B05"/>
    <w:rsid w:val="00865EE4"/>
    <w:rsid w:val="008671A7"/>
    <w:rsid w:val="008674E1"/>
    <w:rsid w:val="00867A00"/>
    <w:rsid w:val="0087117C"/>
    <w:rsid w:val="0087138C"/>
    <w:rsid w:val="0087209C"/>
    <w:rsid w:val="00872A67"/>
    <w:rsid w:val="00874022"/>
    <w:rsid w:val="00874502"/>
    <w:rsid w:val="008746F9"/>
    <w:rsid w:val="008752BF"/>
    <w:rsid w:val="00875F25"/>
    <w:rsid w:val="008761C8"/>
    <w:rsid w:val="00876554"/>
    <w:rsid w:val="00877298"/>
    <w:rsid w:val="008775B6"/>
    <w:rsid w:val="00877AB8"/>
    <w:rsid w:val="008802B3"/>
    <w:rsid w:val="00880888"/>
    <w:rsid w:val="00881B95"/>
    <w:rsid w:val="00881BAA"/>
    <w:rsid w:val="00881FCB"/>
    <w:rsid w:val="008827B9"/>
    <w:rsid w:val="0088310A"/>
    <w:rsid w:val="00884134"/>
    <w:rsid w:val="0088472E"/>
    <w:rsid w:val="00884C48"/>
    <w:rsid w:val="00884EFB"/>
    <w:rsid w:val="0088521D"/>
    <w:rsid w:val="0088523D"/>
    <w:rsid w:val="00885565"/>
    <w:rsid w:val="008867FB"/>
    <w:rsid w:val="00886A7E"/>
    <w:rsid w:val="00886EF0"/>
    <w:rsid w:val="00887097"/>
    <w:rsid w:val="00887753"/>
    <w:rsid w:val="00887DA3"/>
    <w:rsid w:val="00890669"/>
    <w:rsid w:val="008906A8"/>
    <w:rsid w:val="00890B3F"/>
    <w:rsid w:val="00891070"/>
    <w:rsid w:val="0089157C"/>
    <w:rsid w:val="00891BA5"/>
    <w:rsid w:val="00891E1D"/>
    <w:rsid w:val="0089332C"/>
    <w:rsid w:val="00893D18"/>
    <w:rsid w:val="00894178"/>
    <w:rsid w:val="00894503"/>
    <w:rsid w:val="008947B6"/>
    <w:rsid w:val="008948F2"/>
    <w:rsid w:val="00896504"/>
    <w:rsid w:val="00897262"/>
    <w:rsid w:val="00897332"/>
    <w:rsid w:val="008973B9"/>
    <w:rsid w:val="00897C8D"/>
    <w:rsid w:val="00897F9B"/>
    <w:rsid w:val="008A03AE"/>
    <w:rsid w:val="008A0D78"/>
    <w:rsid w:val="008A219F"/>
    <w:rsid w:val="008A28EF"/>
    <w:rsid w:val="008A2B93"/>
    <w:rsid w:val="008A2F8E"/>
    <w:rsid w:val="008A3F87"/>
    <w:rsid w:val="008A4212"/>
    <w:rsid w:val="008A519B"/>
    <w:rsid w:val="008A5A6D"/>
    <w:rsid w:val="008A6641"/>
    <w:rsid w:val="008A796C"/>
    <w:rsid w:val="008B2B21"/>
    <w:rsid w:val="008B32BC"/>
    <w:rsid w:val="008B331B"/>
    <w:rsid w:val="008B3830"/>
    <w:rsid w:val="008B3B59"/>
    <w:rsid w:val="008B3EBD"/>
    <w:rsid w:val="008B4CD0"/>
    <w:rsid w:val="008B4E17"/>
    <w:rsid w:val="008B5196"/>
    <w:rsid w:val="008B5357"/>
    <w:rsid w:val="008B5A03"/>
    <w:rsid w:val="008B5D7F"/>
    <w:rsid w:val="008B5E89"/>
    <w:rsid w:val="008B6305"/>
    <w:rsid w:val="008B69CB"/>
    <w:rsid w:val="008B75E9"/>
    <w:rsid w:val="008C1961"/>
    <w:rsid w:val="008C1BEB"/>
    <w:rsid w:val="008C2057"/>
    <w:rsid w:val="008C4153"/>
    <w:rsid w:val="008C4301"/>
    <w:rsid w:val="008C4350"/>
    <w:rsid w:val="008C45AA"/>
    <w:rsid w:val="008C48B0"/>
    <w:rsid w:val="008C4AB0"/>
    <w:rsid w:val="008C64F8"/>
    <w:rsid w:val="008C6529"/>
    <w:rsid w:val="008C65EF"/>
    <w:rsid w:val="008C72B2"/>
    <w:rsid w:val="008C7E6A"/>
    <w:rsid w:val="008D176D"/>
    <w:rsid w:val="008D30F8"/>
    <w:rsid w:val="008D3ABA"/>
    <w:rsid w:val="008D410F"/>
    <w:rsid w:val="008D46D1"/>
    <w:rsid w:val="008D482A"/>
    <w:rsid w:val="008D501F"/>
    <w:rsid w:val="008D50F5"/>
    <w:rsid w:val="008D53C9"/>
    <w:rsid w:val="008D5896"/>
    <w:rsid w:val="008D5926"/>
    <w:rsid w:val="008D5C43"/>
    <w:rsid w:val="008D737E"/>
    <w:rsid w:val="008D74C7"/>
    <w:rsid w:val="008D7649"/>
    <w:rsid w:val="008E095A"/>
    <w:rsid w:val="008E0CEB"/>
    <w:rsid w:val="008E1895"/>
    <w:rsid w:val="008E1974"/>
    <w:rsid w:val="008E20B4"/>
    <w:rsid w:val="008E2204"/>
    <w:rsid w:val="008E2426"/>
    <w:rsid w:val="008E25A9"/>
    <w:rsid w:val="008E2C59"/>
    <w:rsid w:val="008E3409"/>
    <w:rsid w:val="008E3721"/>
    <w:rsid w:val="008E3B7C"/>
    <w:rsid w:val="008E5040"/>
    <w:rsid w:val="008E5521"/>
    <w:rsid w:val="008E554D"/>
    <w:rsid w:val="008E5FC0"/>
    <w:rsid w:val="008E6CEC"/>
    <w:rsid w:val="008E6E4C"/>
    <w:rsid w:val="008F00D0"/>
    <w:rsid w:val="008F050C"/>
    <w:rsid w:val="008F1021"/>
    <w:rsid w:val="008F359B"/>
    <w:rsid w:val="008F35D2"/>
    <w:rsid w:val="008F381B"/>
    <w:rsid w:val="008F3990"/>
    <w:rsid w:val="008F529A"/>
    <w:rsid w:val="008F5943"/>
    <w:rsid w:val="008F65AD"/>
    <w:rsid w:val="008F6DAB"/>
    <w:rsid w:val="008F77B8"/>
    <w:rsid w:val="0090067B"/>
    <w:rsid w:val="0090070C"/>
    <w:rsid w:val="00900E61"/>
    <w:rsid w:val="009011B3"/>
    <w:rsid w:val="00902E59"/>
    <w:rsid w:val="00903DD1"/>
    <w:rsid w:val="00904425"/>
    <w:rsid w:val="00904722"/>
    <w:rsid w:val="00904AD3"/>
    <w:rsid w:val="009057E9"/>
    <w:rsid w:val="00905973"/>
    <w:rsid w:val="00905FB6"/>
    <w:rsid w:val="0090640A"/>
    <w:rsid w:val="00906738"/>
    <w:rsid w:val="00907D63"/>
    <w:rsid w:val="009117FF"/>
    <w:rsid w:val="0091181F"/>
    <w:rsid w:val="00911924"/>
    <w:rsid w:val="00911CA5"/>
    <w:rsid w:val="00911D13"/>
    <w:rsid w:val="009122FE"/>
    <w:rsid w:val="0091248E"/>
    <w:rsid w:val="009139E0"/>
    <w:rsid w:val="00913AD4"/>
    <w:rsid w:val="009143F1"/>
    <w:rsid w:val="009152C5"/>
    <w:rsid w:val="00915B5E"/>
    <w:rsid w:val="00915C34"/>
    <w:rsid w:val="009166A5"/>
    <w:rsid w:val="009167BD"/>
    <w:rsid w:val="00916B76"/>
    <w:rsid w:val="00917F9E"/>
    <w:rsid w:val="00920DED"/>
    <w:rsid w:val="0092160A"/>
    <w:rsid w:val="00923D6B"/>
    <w:rsid w:val="00923F88"/>
    <w:rsid w:val="00925595"/>
    <w:rsid w:val="00925A00"/>
    <w:rsid w:val="00926048"/>
    <w:rsid w:val="009261D8"/>
    <w:rsid w:val="0092630C"/>
    <w:rsid w:val="0092785C"/>
    <w:rsid w:val="00927905"/>
    <w:rsid w:val="00927B5E"/>
    <w:rsid w:val="00930C63"/>
    <w:rsid w:val="009311D5"/>
    <w:rsid w:val="0093193D"/>
    <w:rsid w:val="00931F52"/>
    <w:rsid w:val="009327E4"/>
    <w:rsid w:val="00932A62"/>
    <w:rsid w:val="009337CC"/>
    <w:rsid w:val="00933AE9"/>
    <w:rsid w:val="00934167"/>
    <w:rsid w:val="00934853"/>
    <w:rsid w:val="00934870"/>
    <w:rsid w:val="00934B2D"/>
    <w:rsid w:val="009360F8"/>
    <w:rsid w:val="00936141"/>
    <w:rsid w:val="00936330"/>
    <w:rsid w:val="00937489"/>
    <w:rsid w:val="00937C4A"/>
    <w:rsid w:val="00937FA3"/>
    <w:rsid w:val="00940078"/>
    <w:rsid w:val="00940291"/>
    <w:rsid w:val="0094107D"/>
    <w:rsid w:val="00942337"/>
    <w:rsid w:val="00942D11"/>
    <w:rsid w:val="00942D9F"/>
    <w:rsid w:val="009439C3"/>
    <w:rsid w:val="009447BF"/>
    <w:rsid w:val="00945E36"/>
    <w:rsid w:val="00946665"/>
    <w:rsid w:val="00947ABB"/>
    <w:rsid w:val="00947B46"/>
    <w:rsid w:val="00947B8B"/>
    <w:rsid w:val="00950480"/>
    <w:rsid w:val="009508FD"/>
    <w:rsid w:val="00950C1F"/>
    <w:rsid w:val="009511B5"/>
    <w:rsid w:val="00951E86"/>
    <w:rsid w:val="00952A28"/>
    <w:rsid w:val="00952CE3"/>
    <w:rsid w:val="00952D35"/>
    <w:rsid w:val="0095384E"/>
    <w:rsid w:val="00953B3A"/>
    <w:rsid w:val="00953F29"/>
    <w:rsid w:val="00954289"/>
    <w:rsid w:val="00954D33"/>
    <w:rsid w:val="00954FB6"/>
    <w:rsid w:val="009557B8"/>
    <w:rsid w:val="00955D3B"/>
    <w:rsid w:val="0095614F"/>
    <w:rsid w:val="009565A5"/>
    <w:rsid w:val="00956DA0"/>
    <w:rsid w:val="00956DBE"/>
    <w:rsid w:val="0096060E"/>
    <w:rsid w:val="0096183B"/>
    <w:rsid w:val="009625BB"/>
    <w:rsid w:val="00963280"/>
    <w:rsid w:val="009634C5"/>
    <w:rsid w:val="00963F93"/>
    <w:rsid w:val="00964A8F"/>
    <w:rsid w:val="00965806"/>
    <w:rsid w:val="00965974"/>
    <w:rsid w:val="00965BEB"/>
    <w:rsid w:val="00966194"/>
    <w:rsid w:val="009667C1"/>
    <w:rsid w:val="0096716C"/>
    <w:rsid w:val="00970C4E"/>
    <w:rsid w:val="00971294"/>
    <w:rsid w:val="009715E1"/>
    <w:rsid w:val="00971F7D"/>
    <w:rsid w:val="00972072"/>
    <w:rsid w:val="00973565"/>
    <w:rsid w:val="00973C9D"/>
    <w:rsid w:val="00974580"/>
    <w:rsid w:val="00974B35"/>
    <w:rsid w:val="00974B4C"/>
    <w:rsid w:val="00975C47"/>
    <w:rsid w:val="009768DD"/>
    <w:rsid w:val="00980153"/>
    <w:rsid w:val="009805BD"/>
    <w:rsid w:val="00981464"/>
    <w:rsid w:val="00981B63"/>
    <w:rsid w:val="0098250A"/>
    <w:rsid w:val="0098271F"/>
    <w:rsid w:val="00982741"/>
    <w:rsid w:val="0098295F"/>
    <w:rsid w:val="00982A68"/>
    <w:rsid w:val="00982B9A"/>
    <w:rsid w:val="0098378F"/>
    <w:rsid w:val="009838F6"/>
    <w:rsid w:val="0098391A"/>
    <w:rsid w:val="00983EEF"/>
    <w:rsid w:val="00983FAF"/>
    <w:rsid w:val="0098400D"/>
    <w:rsid w:val="009856AD"/>
    <w:rsid w:val="009860B8"/>
    <w:rsid w:val="00986EC4"/>
    <w:rsid w:val="00986F66"/>
    <w:rsid w:val="00987956"/>
    <w:rsid w:val="0099009B"/>
    <w:rsid w:val="00990673"/>
    <w:rsid w:val="0099068C"/>
    <w:rsid w:val="009913C6"/>
    <w:rsid w:val="00992137"/>
    <w:rsid w:val="00992F3D"/>
    <w:rsid w:val="009943AC"/>
    <w:rsid w:val="00994F17"/>
    <w:rsid w:val="009951C3"/>
    <w:rsid w:val="00995474"/>
    <w:rsid w:val="009962B7"/>
    <w:rsid w:val="00996546"/>
    <w:rsid w:val="009A0EBC"/>
    <w:rsid w:val="009A114A"/>
    <w:rsid w:val="009A14A3"/>
    <w:rsid w:val="009A1C75"/>
    <w:rsid w:val="009A234F"/>
    <w:rsid w:val="009A3154"/>
    <w:rsid w:val="009A31EC"/>
    <w:rsid w:val="009A4459"/>
    <w:rsid w:val="009A4684"/>
    <w:rsid w:val="009A5722"/>
    <w:rsid w:val="009A5EE0"/>
    <w:rsid w:val="009A664A"/>
    <w:rsid w:val="009A686E"/>
    <w:rsid w:val="009A705A"/>
    <w:rsid w:val="009A7660"/>
    <w:rsid w:val="009B0D05"/>
    <w:rsid w:val="009B1BE4"/>
    <w:rsid w:val="009B1DBD"/>
    <w:rsid w:val="009B200E"/>
    <w:rsid w:val="009B2056"/>
    <w:rsid w:val="009B2621"/>
    <w:rsid w:val="009B268D"/>
    <w:rsid w:val="009B2C06"/>
    <w:rsid w:val="009B2CA8"/>
    <w:rsid w:val="009B3955"/>
    <w:rsid w:val="009B3B05"/>
    <w:rsid w:val="009B3EA0"/>
    <w:rsid w:val="009B4017"/>
    <w:rsid w:val="009B4511"/>
    <w:rsid w:val="009B4B63"/>
    <w:rsid w:val="009B5D66"/>
    <w:rsid w:val="009B5EB8"/>
    <w:rsid w:val="009B65C2"/>
    <w:rsid w:val="009B6B81"/>
    <w:rsid w:val="009B6DAF"/>
    <w:rsid w:val="009B6F2C"/>
    <w:rsid w:val="009B6F41"/>
    <w:rsid w:val="009C09D2"/>
    <w:rsid w:val="009C14C7"/>
    <w:rsid w:val="009C18C0"/>
    <w:rsid w:val="009C1B6F"/>
    <w:rsid w:val="009C1CFF"/>
    <w:rsid w:val="009C2BCF"/>
    <w:rsid w:val="009C3398"/>
    <w:rsid w:val="009C3E33"/>
    <w:rsid w:val="009C4443"/>
    <w:rsid w:val="009C4F89"/>
    <w:rsid w:val="009C50DC"/>
    <w:rsid w:val="009C55CC"/>
    <w:rsid w:val="009C7825"/>
    <w:rsid w:val="009D0880"/>
    <w:rsid w:val="009D0B06"/>
    <w:rsid w:val="009D16C1"/>
    <w:rsid w:val="009D2052"/>
    <w:rsid w:val="009D214B"/>
    <w:rsid w:val="009D42EF"/>
    <w:rsid w:val="009D45B5"/>
    <w:rsid w:val="009D4AFA"/>
    <w:rsid w:val="009D5984"/>
    <w:rsid w:val="009D59D0"/>
    <w:rsid w:val="009D5D2C"/>
    <w:rsid w:val="009D5DDB"/>
    <w:rsid w:val="009D6520"/>
    <w:rsid w:val="009D66A1"/>
    <w:rsid w:val="009D6A14"/>
    <w:rsid w:val="009D7BDA"/>
    <w:rsid w:val="009D7DF6"/>
    <w:rsid w:val="009E0BFF"/>
    <w:rsid w:val="009E1560"/>
    <w:rsid w:val="009E15F3"/>
    <w:rsid w:val="009E21C0"/>
    <w:rsid w:val="009E21F2"/>
    <w:rsid w:val="009E2334"/>
    <w:rsid w:val="009E35BD"/>
    <w:rsid w:val="009E3B5B"/>
    <w:rsid w:val="009E40B4"/>
    <w:rsid w:val="009E444C"/>
    <w:rsid w:val="009E4D69"/>
    <w:rsid w:val="009E5A66"/>
    <w:rsid w:val="009E66E3"/>
    <w:rsid w:val="009E6895"/>
    <w:rsid w:val="009F018E"/>
    <w:rsid w:val="009F0BAB"/>
    <w:rsid w:val="009F0D5B"/>
    <w:rsid w:val="009F1650"/>
    <w:rsid w:val="009F2312"/>
    <w:rsid w:val="009F2774"/>
    <w:rsid w:val="009F2A53"/>
    <w:rsid w:val="009F3239"/>
    <w:rsid w:val="009F3ED4"/>
    <w:rsid w:val="009F450D"/>
    <w:rsid w:val="009F4590"/>
    <w:rsid w:val="009F461C"/>
    <w:rsid w:val="009F4F22"/>
    <w:rsid w:val="009F543D"/>
    <w:rsid w:val="009F5CAC"/>
    <w:rsid w:val="009F683F"/>
    <w:rsid w:val="009F70D7"/>
    <w:rsid w:val="009F76CC"/>
    <w:rsid w:val="009F7A7B"/>
    <w:rsid w:val="00A001BB"/>
    <w:rsid w:val="00A00779"/>
    <w:rsid w:val="00A010C5"/>
    <w:rsid w:val="00A01259"/>
    <w:rsid w:val="00A018AD"/>
    <w:rsid w:val="00A01A8A"/>
    <w:rsid w:val="00A01C59"/>
    <w:rsid w:val="00A01DE1"/>
    <w:rsid w:val="00A01E44"/>
    <w:rsid w:val="00A02C3C"/>
    <w:rsid w:val="00A04773"/>
    <w:rsid w:val="00A05957"/>
    <w:rsid w:val="00A06788"/>
    <w:rsid w:val="00A06907"/>
    <w:rsid w:val="00A06B79"/>
    <w:rsid w:val="00A10234"/>
    <w:rsid w:val="00A126F1"/>
    <w:rsid w:val="00A12F2C"/>
    <w:rsid w:val="00A14C62"/>
    <w:rsid w:val="00A14E62"/>
    <w:rsid w:val="00A1630D"/>
    <w:rsid w:val="00A16369"/>
    <w:rsid w:val="00A163C0"/>
    <w:rsid w:val="00A1672C"/>
    <w:rsid w:val="00A16A40"/>
    <w:rsid w:val="00A16D56"/>
    <w:rsid w:val="00A21444"/>
    <w:rsid w:val="00A219A1"/>
    <w:rsid w:val="00A22364"/>
    <w:rsid w:val="00A25F91"/>
    <w:rsid w:val="00A26DF2"/>
    <w:rsid w:val="00A30FE9"/>
    <w:rsid w:val="00A32612"/>
    <w:rsid w:val="00A32F33"/>
    <w:rsid w:val="00A34189"/>
    <w:rsid w:val="00A34B95"/>
    <w:rsid w:val="00A350FB"/>
    <w:rsid w:val="00A37311"/>
    <w:rsid w:val="00A3796C"/>
    <w:rsid w:val="00A37B77"/>
    <w:rsid w:val="00A40234"/>
    <w:rsid w:val="00A4037C"/>
    <w:rsid w:val="00A405F7"/>
    <w:rsid w:val="00A408E0"/>
    <w:rsid w:val="00A40E5E"/>
    <w:rsid w:val="00A41FC2"/>
    <w:rsid w:val="00A42585"/>
    <w:rsid w:val="00A43CAC"/>
    <w:rsid w:val="00A43E64"/>
    <w:rsid w:val="00A4533A"/>
    <w:rsid w:val="00A47426"/>
    <w:rsid w:val="00A50AD1"/>
    <w:rsid w:val="00A51454"/>
    <w:rsid w:val="00A520F1"/>
    <w:rsid w:val="00A521B2"/>
    <w:rsid w:val="00A52275"/>
    <w:rsid w:val="00A528C9"/>
    <w:rsid w:val="00A52D64"/>
    <w:rsid w:val="00A5306B"/>
    <w:rsid w:val="00A53A29"/>
    <w:rsid w:val="00A53D54"/>
    <w:rsid w:val="00A53E55"/>
    <w:rsid w:val="00A5457B"/>
    <w:rsid w:val="00A547DF"/>
    <w:rsid w:val="00A548E0"/>
    <w:rsid w:val="00A55C47"/>
    <w:rsid w:val="00A56077"/>
    <w:rsid w:val="00A57B71"/>
    <w:rsid w:val="00A57D3C"/>
    <w:rsid w:val="00A57D5D"/>
    <w:rsid w:val="00A60E7E"/>
    <w:rsid w:val="00A6116F"/>
    <w:rsid w:val="00A62936"/>
    <w:rsid w:val="00A63152"/>
    <w:rsid w:val="00A63311"/>
    <w:rsid w:val="00A63F68"/>
    <w:rsid w:val="00A64B94"/>
    <w:rsid w:val="00A64BEF"/>
    <w:rsid w:val="00A64E22"/>
    <w:rsid w:val="00A6578F"/>
    <w:rsid w:val="00A662C3"/>
    <w:rsid w:val="00A663C5"/>
    <w:rsid w:val="00A67928"/>
    <w:rsid w:val="00A67B9A"/>
    <w:rsid w:val="00A67D61"/>
    <w:rsid w:val="00A7026E"/>
    <w:rsid w:val="00A71935"/>
    <w:rsid w:val="00A72701"/>
    <w:rsid w:val="00A72756"/>
    <w:rsid w:val="00A72AC6"/>
    <w:rsid w:val="00A73175"/>
    <w:rsid w:val="00A74AF9"/>
    <w:rsid w:val="00A74C31"/>
    <w:rsid w:val="00A7590C"/>
    <w:rsid w:val="00A75D8E"/>
    <w:rsid w:val="00A76474"/>
    <w:rsid w:val="00A76B68"/>
    <w:rsid w:val="00A779BC"/>
    <w:rsid w:val="00A77B60"/>
    <w:rsid w:val="00A801BF"/>
    <w:rsid w:val="00A802D5"/>
    <w:rsid w:val="00A8221A"/>
    <w:rsid w:val="00A8281A"/>
    <w:rsid w:val="00A82D28"/>
    <w:rsid w:val="00A8311C"/>
    <w:rsid w:val="00A834FA"/>
    <w:rsid w:val="00A83EB1"/>
    <w:rsid w:val="00A83FD5"/>
    <w:rsid w:val="00A844F6"/>
    <w:rsid w:val="00A85F89"/>
    <w:rsid w:val="00A86F67"/>
    <w:rsid w:val="00A87E3E"/>
    <w:rsid w:val="00A9170F"/>
    <w:rsid w:val="00A9197F"/>
    <w:rsid w:val="00A92094"/>
    <w:rsid w:val="00A9297E"/>
    <w:rsid w:val="00A92B8D"/>
    <w:rsid w:val="00A92D01"/>
    <w:rsid w:val="00A93ED4"/>
    <w:rsid w:val="00A95316"/>
    <w:rsid w:val="00A954A9"/>
    <w:rsid w:val="00A9557C"/>
    <w:rsid w:val="00A95FD6"/>
    <w:rsid w:val="00A96216"/>
    <w:rsid w:val="00A96459"/>
    <w:rsid w:val="00A96AB8"/>
    <w:rsid w:val="00A97F9C"/>
    <w:rsid w:val="00AA1311"/>
    <w:rsid w:val="00AA1DBD"/>
    <w:rsid w:val="00AA237A"/>
    <w:rsid w:val="00AA25D6"/>
    <w:rsid w:val="00AA34AB"/>
    <w:rsid w:val="00AA3F8B"/>
    <w:rsid w:val="00AA5848"/>
    <w:rsid w:val="00AA5A22"/>
    <w:rsid w:val="00AA5C2B"/>
    <w:rsid w:val="00AA67A4"/>
    <w:rsid w:val="00AA734E"/>
    <w:rsid w:val="00AB06C0"/>
    <w:rsid w:val="00AB0B59"/>
    <w:rsid w:val="00AB0E67"/>
    <w:rsid w:val="00AB2DAE"/>
    <w:rsid w:val="00AB35C5"/>
    <w:rsid w:val="00AB3696"/>
    <w:rsid w:val="00AB38B0"/>
    <w:rsid w:val="00AB39D8"/>
    <w:rsid w:val="00AB47C0"/>
    <w:rsid w:val="00AB49C9"/>
    <w:rsid w:val="00AB53E4"/>
    <w:rsid w:val="00AB5443"/>
    <w:rsid w:val="00AB742F"/>
    <w:rsid w:val="00AB7890"/>
    <w:rsid w:val="00AB79B2"/>
    <w:rsid w:val="00AB79E4"/>
    <w:rsid w:val="00AB7C51"/>
    <w:rsid w:val="00AC159C"/>
    <w:rsid w:val="00AC1B0A"/>
    <w:rsid w:val="00AC39CC"/>
    <w:rsid w:val="00AC3AFC"/>
    <w:rsid w:val="00AC4453"/>
    <w:rsid w:val="00AC4927"/>
    <w:rsid w:val="00AC4D6B"/>
    <w:rsid w:val="00AC518B"/>
    <w:rsid w:val="00AC565B"/>
    <w:rsid w:val="00AC57CB"/>
    <w:rsid w:val="00AC5C09"/>
    <w:rsid w:val="00AC5C6E"/>
    <w:rsid w:val="00AC5C88"/>
    <w:rsid w:val="00AC68DB"/>
    <w:rsid w:val="00AC7334"/>
    <w:rsid w:val="00AC7B71"/>
    <w:rsid w:val="00AD03E9"/>
    <w:rsid w:val="00AD05B0"/>
    <w:rsid w:val="00AD07DA"/>
    <w:rsid w:val="00AD0AC8"/>
    <w:rsid w:val="00AD24F1"/>
    <w:rsid w:val="00AD276E"/>
    <w:rsid w:val="00AD36A8"/>
    <w:rsid w:val="00AD3C0E"/>
    <w:rsid w:val="00AD4270"/>
    <w:rsid w:val="00AD46F6"/>
    <w:rsid w:val="00AD5D94"/>
    <w:rsid w:val="00AD603A"/>
    <w:rsid w:val="00AD730B"/>
    <w:rsid w:val="00AD7E7D"/>
    <w:rsid w:val="00AE05AA"/>
    <w:rsid w:val="00AE0AD3"/>
    <w:rsid w:val="00AE339B"/>
    <w:rsid w:val="00AE3507"/>
    <w:rsid w:val="00AE3C37"/>
    <w:rsid w:val="00AE3D41"/>
    <w:rsid w:val="00AE4079"/>
    <w:rsid w:val="00AE4121"/>
    <w:rsid w:val="00AE4D9C"/>
    <w:rsid w:val="00AE6455"/>
    <w:rsid w:val="00AE650A"/>
    <w:rsid w:val="00AE757B"/>
    <w:rsid w:val="00AE775B"/>
    <w:rsid w:val="00AE77D9"/>
    <w:rsid w:val="00AF051C"/>
    <w:rsid w:val="00AF1223"/>
    <w:rsid w:val="00AF15CD"/>
    <w:rsid w:val="00AF1DE2"/>
    <w:rsid w:val="00AF251F"/>
    <w:rsid w:val="00AF2BEE"/>
    <w:rsid w:val="00AF3467"/>
    <w:rsid w:val="00AF4174"/>
    <w:rsid w:val="00AF4DEF"/>
    <w:rsid w:val="00AF54A1"/>
    <w:rsid w:val="00AF5EDA"/>
    <w:rsid w:val="00AF6ADF"/>
    <w:rsid w:val="00AF6DE0"/>
    <w:rsid w:val="00AF6DED"/>
    <w:rsid w:val="00AF7A7B"/>
    <w:rsid w:val="00B00459"/>
    <w:rsid w:val="00B00903"/>
    <w:rsid w:val="00B00D27"/>
    <w:rsid w:val="00B01990"/>
    <w:rsid w:val="00B02293"/>
    <w:rsid w:val="00B027A0"/>
    <w:rsid w:val="00B02DF7"/>
    <w:rsid w:val="00B02FCA"/>
    <w:rsid w:val="00B02FCB"/>
    <w:rsid w:val="00B031EF"/>
    <w:rsid w:val="00B032CF"/>
    <w:rsid w:val="00B03C08"/>
    <w:rsid w:val="00B054CC"/>
    <w:rsid w:val="00B05F2F"/>
    <w:rsid w:val="00B067AF"/>
    <w:rsid w:val="00B06F27"/>
    <w:rsid w:val="00B072E5"/>
    <w:rsid w:val="00B078A3"/>
    <w:rsid w:val="00B07D7D"/>
    <w:rsid w:val="00B10213"/>
    <w:rsid w:val="00B10D7C"/>
    <w:rsid w:val="00B11065"/>
    <w:rsid w:val="00B123C4"/>
    <w:rsid w:val="00B12EF1"/>
    <w:rsid w:val="00B14D0F"/>
    <w:rsid w:val="00B14DF4"/>
    <w:rsid w:val="00B16B2D"/>
    <w:rsid w:val="00B179FC"/>
    <w:rsid w:val="00B17C7E"/>
    <w:rsid w:val="00B17CE4"/>
    <w:rsid w:val="00B20CAB"/>
    <w:rsid w:val="00B20CFF"/>
    <w:rsid w:val="00B213A1"/>
    <w:rsid w:val="00B233E3"/>
    <w:rsid w:val="00B24957"/>
    <w:rsid w:val="00B24ADD"/>
    <w:rsid w:val="00B24D1F"/>
    <w:rsid w:val="00B24EEE"/>
    <w:rsid w:val="00B25100"/>
    <w:rsid w:val="00B25806"/>
    <w:rsid w:val="00B26F7F"/>
    <w:rsid w:val="00B27AE6"/>
    <w:rsid w:val="00B31302"/>
    <w:rsid w:val="00B324F9"/>
    <w:rsid w:val="00B338DC"/>
    <w:rsid w:val="00B34FC3"/>
    <w:rsid w:val="00B35AF6"/>
    <w:rsid w:val="00B35DA3"/>
    <w:rsid w:val="00B360BB"/>
    <w:rsid w:val="00B36A62"/>
    <w:rsid w:val="00B37043"/>
    <w:rsid w:val="00B3707A"/>
    <w:rsid w:val="00B373A1"/>
    <w:rsid w:val="00B41170"/>
    <w:rsid w:val="00B415F5"/>
    <w:rsid w:val="00B422CA"/>
    <w:rsid w:val="00B42C5A"/>
    <w:rsid w:val="00B431B0"/>
    <w:rsid w:val="00B434E8"/>
    <w:rsid w:val="00B43A08"/>
    <w:rsid w:val="00B43BC9"/>
    <w:rsid w:val="00B467B3"/>
    <w:rsid w:val="00B468AB"/>
    <w:rsid w:val="00B47A06"/>
    <w:rsid w:val="00B51888"/>
    <w:rsid w:val="00B51A2E"/>
    <w:rsid w:val="00B52B86"/>
    <w:rsid w:val="00B532D6"/>
    <w:rsid w:val="00B541BE"/>
    <w:rsid w:val="00B54A63"/>
    <w:rsid w:val="00B54C7A"/>
    <w:rsid w:val="00B54D0E"/>
    <w:rsid w:val="00B55891"/>
    <w:rsid w:val="00B5600A"/>
    <w:rsid w:val="00B567D1"/>
    <w:rsid w:val="00B57304"/>
    <w:rsid w:val="00B577D9"/>
    <w:rsid w:val="00B61409"/>
    <w:rsid w:val="00B61C43"/>
    <w:rsid w:val="00B62019"/>
    <w:rsid w:val="00B624E4"/>
    <w:rsid w:val="00B6320D"/>
    <w:rsid w:val="00B63333"/>
    <w:rsid w:val="00B63796"/>
    <w:rsid w:val="00B63DE1"/>
    <w:rsid w:val="00B6460F"/>
    <w:rsid w:val="00B64A3F"/>
    <w:rsid w:val="00B65C5D"/>
    <w:rsid w:val="00B66DB4"/>
    <w:rsid w:val="00B66FE0"/>
    <w:rsid w:val="00B67A31"/>
    <w:rsid w:val="00B71833"/>
    <w:rsid w:val="00B7212F"/>
    <w:rsid w:val="00B743BE"/>
    <w:rsid w:val="00B74C4A"/>
    <w:rsid w:val="00B755CA"/>
    <w:rsid w:val="00B7639F"/>
    <w:rsid w:val="00B76680"/>
    <w:rsid w:val="00B769EE"/>
    <w:rsid w:val="00B8001E"/>
    <w:rsid w:val="00B80374"/>
    <w:rsid w:val="00B81A97"/>
    <w:rsid w:val="00B827A3"/>
    <w:rsid w:val="00B82C28"/>
    <w:rsid w:val="00B83C3E"/>
    <w:rsid w:val="00B85C02"/>
    <w:rsid w:val="00B86B3E"/>
    <w:rsid w:val="00B91058"/>
    <w:rsid w:val="00B91A06"/>
    <w:rsid w:val="00B93888"/>
    <w:rsid w:val="00B948FC"/>
    <w:rsid w:val="00B949E4"/>
    <w:rsid w:val="00B94FE0"/>
    <w:rsid w:val="00B954C4"/>
    <w:rsid w:val="00B964BA"/>
    <w:rsid w:val="00B96CCA"/>
    <w:rsid w:val="00B96D5F"/>
    <w:rsid w:val="00B97A24"/>
    <w:rsid w:val="00BA0240"/>
    <w:rsid w:val="00BA0510"/>
    <w:rsid w:val="00BA090E"/>
    <w:rsid w:val="00BA0A3A"/>
    <w:rsid w:val="00BA12C6"/>
    <w:rsid w:val="00BA216C"/>
    <w:rsid w:val="00BA2DE6"/>
    <w:rsid w:val="00BA4B8B"/>
    <w:rsid w:val="00BA4E47"/>
    <w:rsid w:val="00BA4FB7"/>
    <w:rsid w:val="00BA587F"/>
    <w:rsid w:val="00BA6D65"/>
    <w:rsid w:val="00BA777C"/>
    <w:rsid w:val="00BB0008"/>
    <w:rsid w:val="00BB062B"/>
    <w:rsid w:val="00BB065B"/>
    <w:rsid w:val="00BB06CF"/>
    <w:rsid w:val="00BB1090"/>
    <w:rsid w:val="00BB12F9"/>
    <w:rsid w:val="00BB1579"/>
    <w:rsid w:val="00BB1B33"/>
    <w:rsid w:val="00BB2AAC"/>
    <w:rsid w:val="00BB2BA3"/>
    <w:rsid w:val="00BB41BA"/>
    <w:rsid w:val="00BB4225"/>
    <w:rsid w:val="00BB46B4"/>
    <w:rsid w:val="00BB57ED"/>
    <w:rsid w:val="00BB5BAE"/>
    <w:rsid w:val="00BB6236"/>
    <w:rsid w:val="00BB639A"/>
    <w:rsid w:val="00BB7456"/>
    <w:rsid w:val="00BB7E79"/>
    <w:rsid w:val="00BC043A"/>
    <w:rsid w:val="00BC1997"/>
    <w:rsid w:val="00BC1F53"/>
    <w:rsid w:val="00BC25F5"/>
    <w:rsid w:val="00BC2654"/>
    <w:rsid w:val="00BC26DA"/>
    <w:rsid w:val="00BC3317"/>
    <w:rsid w:val="00BC45A9"/>
    <w:rsid w:val="00BC499B"/>
    <w:rsid w:val="00BC49C0"/>
    <w:rsid w:val="00BC52CA"/>
    <w:rsid w:val="00BC57BA"/>
    <w:rsid w:val="00BC62D6"/>
    <w:rsid w:val="00BC6ED2"/>
    <w:rsid w:val="00BD06A2"/>
    <w:rsid w:val="00BD0D20"/>
    <w:rsid w:val="00BD1010"/>
    <w:rsid w:val="00BD1080"/>
    <w:rsid w:val="00BD18D0"/>
    <w:rsid w:val="00BD191F"/>
    <w:rsid w:val="00BD1D77"/>
    <w:rsid w:val="00BD2445"/>
    <w:rsid w:val="00BD2B1E"/>
    <w:rsid w:val="00BD3FD7"/>
    <w:rsid w:val="00BD498B"/>
    <w:rsid w:val="00BD4D06"/>
    <w:rsid w:val="00BD4EB8"/>
    <w:rsid w:val="00BD732D"/>
    <w:rsid w:val="00BD7DB2"/>
    <w:rsid w:val="00BE027F"/>
    <w:rsid w:val="00BE0589"/>
    <w:rsid w:val="00BE26BF"/>
    <w:rsid w:val="00BE2BC7"/>
    <w:rsid w:val="00BE36AB"/>
    <w:rsid w:val="00BE50CF"/>
    <w:rsid w:val="00BE51E7"/>
    <w:rsid w:val="00BE560B"/>
    <w:rsid w:val="00BE67F5"/>
    <w:rsid w:val="00BE6DF3"/>
    <w:rsid w:val="00BE7619"/>
    <w:rsid w:val="00BE7DA5"/>
    <w:rsid w:val="00BF018B"/>
    <w:rsid w:val="00BF04AB"/>
    <w:rsid w:val="00BF13C4"/>
    <w:rsid w:val="00BF2447"/>
    <w:rsid w:val="00BF24D3"/>
    <w:rsid w:val="00BF2854"/>
    <w:rsid w:val="00BF311C"/>
    <w:rsid w:val="00BF32CE"/>
    <w:rsid w:val="00BF3363"/>
    <w:rsid w:val="00BF48A9"/>
    <w:rsid w:val="00BF4A02"/>
    <w:rsid w:val="00BF61CF"/>
    <w:rsid w:val="00BF62F6"/>
    <w:rsid w:val="00BF6455"/>
    <w:rsid w:val="00BF6598"/>
    <w:rsid w:val="00BF6767"/>
    <w:rsid w:val="00BF6D7D"/>
    <w:rsid w:val="00BF6DD5"/>
    <w:rsid w:val="00BF71EB"/>
    <w:rsid w:val="00BF73EA"/>
    <w:rsid w:val="00BF7FFD"/>
    <w:rsid w:val="00C00406"/>
    <w:rsid w:val="00C0088E"/>
    <w:rsid w:val="00C0114E"/>
    <w:rsid w:val="00C01BE1"/>
    <w:rsid w:val="00C02878"/>
    <w:rsid w:val="00C03461"/>
    <w:rsid w:val="00C0393E"/>
    <w:rsid w:val="00C048BA"/>
    <w:rsid w:val="00C04BAF"/>
    <w:rsid w:val="00C04EB7"/>
    <w:rsid w:val="00C060AA"/>
    <w:rsid w:val="00C10C15"/>
    <w:rsid w:val="00C10F27"/>
    <w:rsid w:val="00C10F92"/>
    <w:rsid w:val="00C11137"/>
    <w:rsid w:val="00C12404"/>
    <w:rsid w:val="00C13057"/>
    <w:rsid w:val="00C13A7F"/>
    <w:rsid w:val="00C14068"/>
    <w:rsid w:val="00C14A30"/>
    <w:rsid w:val="00C14A5B"/>
    <w:rsid w:val="00C14F0E"/>
    <w:rsid w:val="00C15786"/>
    <w:rsid w:val="00C15C2D"/>
    <w:rsid w:val="00C16334"/>
    <w:rsid w:val="00C17510"/>
    <w:rsid w:val="00C17DF5"/>
    <w:rsid w:val="00C201B7"/>
    <w:rsid w:val="00C20C7C"/>
    <w:rsid w:val="00C20E1C"/>
    <w:rsid w:val="00C21AC9"/>
    <w:rsid w:val="00C22FAD"/>
    <w:rsid w:val="00C238AB"/>
    <w:rsid w:val="00C23ADC"/>
    <w:rsid w:val="00C258D4"/>
    <w:rsid w:val="00C262E7"/>
    <w:rsid w:val="00C26608"/>
    <w:rsid w:val="00C2683B"/>
    <w:rsid w:val="00C2698D"/>
    <w:rsid w:val="00C26DFA"/>
    <w:rsid w:val="00C27061"/>
    <w:rsid w:val="00C2710B"/>
    <w:rsid w:val="00C2777B"/>
    <w:rsid w:val="00C27FAD"/>
    <w:rsid w:val="00C30031"/>
    <w:rsid w:val="00C31394"/>
    <w:rsid w:val="00C31A6A"/>
    <w:rsid w:val="00C32DEA"/>
    <w:rsid w:val="00C33BDA"/>
    <w:rsid w:val="00C33CCB"/>
    <w:rsid w:val="00C345D6"/>
    <w:rsid w:val="00C35263"/>
    <w:rsid w:val="00C35CEA"/>
    <w:rsid w:val="00C3620A"/>
    <w:rsid w:val="00C36256"/>
    <w:rsid w:val="00C36BDD"/>
    <w:rsid w:val="00C37725"/>
    <w:rsid w:val="00C37C7C"/>
    <w:rsid w:val="00C406D4"/>
    <w:rsid w:val="00C40BF9"/>
    <w:rsid w:val="00C40E94"/>
    <w:rsid w:val="00C410EC"/>
    <w:rsid w:val="00C414BC"/>
    <w:rsid w:val="00C4180F"/>
    <w:rsid w:val="00C41964"/>
    <w:rsid w:val="00C419F0"/>
    <w:rsid w:val="00C42257"/>
    <w:rsid w:val="00C42C32"/>
    <w:rsid w:val="00C42E9D"/>
    <w:rsid w:val="00C4414A"/>
    <w:rsid w:val="00C448A1"/>
    <w:rsid w:val="00C448B5"/>
    <w:rsid w:val="00C449FD"/>
    <w:rsid w:val="00C4534B"/>
    <w:rsid w:val="00C454CD"/>
    <w:rsid w:val="00C45CF5"/>
    <w:rsid w:val="00C46715"/>
    <w:rsid w:val="00C47150"/>
    <w:rsid w:val="00C471A2"/>
    <w:rsid w:val="00C47BC6"/>
    <w:rsid w:val="00C500E9"/>
    <w:rsid w:val="00C520F4"/>
    <w:rsid w:val="00C52336"/>
    <w:rsid w:val="00C52944"/>
    <w:rsid w:val="00C548BD"/>
    <w:rsid w:val="00C54AC5"/>
    <w:rsid w:val="00C5538F"/>
    <w:rsid w:val="00C562B5"/>
    <w:rsid w:val="00C56646"/>
    <w:rsid w:val="00C56CD8"/>
    <w:rsid w:val="00C577EC"/>
    <w:rsid w:val="00C6104F"/>
    <w:rsid w:val="00C6226F"/>
    <w:rsid w:val="00C633BA"/>
    <w:rsid w:val="00C64927"/>
    <w:rsid w:val="00C662E5"/>
    <w:rsid w:val="00C7000F"/>
    <w:rsid w:val="00C70489"/>
    <w:rsid w:val="00C70508"/>
    <w:rsid w:val="00C70793"/>
    <w:rsid w:val="00C70E82"/>
    <w:rsid w:val="00C710DE"/>
    <w:rsid w:val="00C7169E"/>
    <w:rsid w:val="00C71F8C"/>
    <w:rsid w:val="00C72583"/>
    <w:rsid w:val="00C725D0"/>
    <w:rsid w:val="00C7352A"/>
    <w:rsid w:val="00C75E3D"/>
    <w:rsid w:val="00C77A41"/>
    <w:rsid w:val="00C80887"/>
    <w:rsid w:val="00C80D12"/>
    <w:rsid w:val="00C81733"/>
    <w:rsid w:val="00C817B9"/>
    <w:rsid w:val="00C81C2B"/>
    <w:rsid w:val="00C83916"/>
    <w:rsid w:val="00C83AD5"/>
    <w:rsid w:val="00C84461"/>
    <w:rsid w:val="00C84D1D"/>
    <w:rsid w:val="00C84FB2"/>
    <w:rsid w:val="00C851C5"/>
    <w:rsid w:val="00C86BDB"/>
    <w:rsid w:val="00C905AB"/>
    <w:rsid w:val="00C90CF6"/>
    <w:rsid w:val="00C932F4"/>
    <w:rsid w:val="00C9362C"/>
    <w:rsid w:val="00C948E7"/>
    <w:rsid w:val="00C94CD4"/>
    <w:rsid w:val="00C95104"/>
    <w:rsid w:val="00C95495"/>
    <w:rsid w:val="00C95BA4"/>
    <w:rsid w:val="00C97D65"/>
    <w:rsid w:val="00C97E65"/>
    <w:rsid w:val="00CA0B9F"/>
    <w:rsid w:val="00CA17F9"/>
    <w:rsid w:val="00CA1865"/>
    <w:rsid w:val="00CA1DA1"/>
    <w:rsid w:val="00CA1EE0"/>
    <w:rsid w:val="00CA3200"/>
    <w:rsid w:val="00CA3F0E"/>
    <w:rsid w:val="00CA5860"/>
    <w:rsid w:val="00CA5B6D"/>
    <w:rsid w:val="00CA6788"/>
    <w:rsid w:val="00CA67E4"/>
    <w:rsid w:val="00CA770E"/>
    <w:rsid w:val="00CA781F"/>
    <w:rsid w:val="00CA7951"/>
    <w:rsid w:val="00CA7EBF"/>
    <w:rsid w:val="00CB08C5"/>
    <w:rsid w:val="00CB1380"/>
    <w:rsid w:val="00CB1689"/>
    <w:rsid w:val="00CB1AC0"/>
    <w:rsid w:val="00CB1B85"/>
    <w:rsid w:val="00CB1CD3"/>
    <w:rsid w:val="00CB24AC"/>
    <w:rsid w:val="00CB2EF9"/>
    <w:rsid w:val="00CB31E2"/>
    <w:rsid w:val="00CB3615"/>
    <w:rsid w:val="00CB3B31"/>
    <w:rsid w:val="00CB423D"/>
    <w:rsid w:val="00CB5805"/>
    <w:rsid w:val="00CB6967"/>
    <w:rsid w:val="00CB6D72"/>
    <w:rsid w:val="00CC00FC"/>
    <w:rsid w:val="00CC011F"/>
    <w:rsid w:val="00CC1092"/>
    <w:rsid w:val="00CC1272"/>
    <w:rsid w:val="00CC1340"/>
    <w:rsid w:val="00CC17AD"/>
    <w:rsid w:val="00CC1B49"/>
    <w:rsid w:val="00CC207B"/>
    <w:rsid w:val="00CC2135"/>
    <w:rsid w:val="00CC28AE"/>
    <w:rsid w:val="00CC389B"/>
    <w:rsid w:val="00CC3EF8"/>
    <w:rsid w:val="00CC474B"/>
    <w:rsid w:val="00CC4853"/>
    <w:rsid w:val="00CC5387"/>
    <w:rsid w:val="00CC5BAA"/>
    <w:rsid w:val="00CC6246"/>
    <w:rsid w:val="00CC6F04"/>
    <w:rsid w:val="00CC6FF5"/>
    <w:rsid w:val="00CC713F"/>
    <w:rsid w:val="00CC744C"/>
    <w:rsid w:val="00CC79CA"/>
    <w:rsid w:val="00CC7AE8"/>
    <w:rsid w:val="00CD17D6"/>
    <w:rsid w:val="00CD238D"/>
    <w:rsid w:val="00CD261A"/>
    <w:rsid w:val="00CD2E35"/>
    <w:rsid w:val="00CD338F"/>
    <w:rsid w:val="00CD393D"/>
    <w:rsid w:val="00CD3A47"/>
    <w:rsid w:val="00CD4021"/>
    <w:rsid w:val="00CD4E7E"/>
    <w:rsid w:val="00CD62B3"/>
    <w:rsid w:val="00CD6CE5"/>
    <w:rsid w:val="00CD6E5E"/>
    <w:rsid w:val="00CD6EF3"/>
    <w:rsid w:val="00CD7972"/>
    <w:rsid w:val="00CE3514"/>
    <w:rsid w:val="00CE38DD"/>
    <w:rsid w:val="00CE48F6"/>
    <w:rsid w:val="00CE5E89"/>
    <w:rsid w:val="00CE672A"/>
    <w:rsid w:val="00CE7834"/>
    <w:rsid w:val="00CE785D"/>
    <w:rsid w:val="00CE7BDA"/>
    <w:rsid w:val="00CE7C20"/>
    <w:rsid w:val="00CF1724"/>
    <w:rsid w:val="00CF1C4A"/>
    <w:rsid w:val="00CF1DC6"/>
    <w:rsid w:val="00CF2217"/>
    <w:rsid w:val="00CF3183"/>
    <w:rsid w:val="00CF409D"/>
    <w:rsid w:val="00CF60A9"/>
    <w:rsid w:val="00CF6F85"/>
    <w:rsid w:val="00D000A1"/>
    <w:rsid w:val="00D01306"/>
    <w:rsid w:val="00D016A4"/>
    <w:rsid w:val="00D021E8"/>
    <w:rsid w:val="00D02A0F"/>
    <w:rsid w:val="00D032F3"/>
    <w:rsid w:val="00D0455C"/>
    <w:rsid w:val="00D05316"/>
    <w:rsid w:val="00D058CF"/>
    <w:rsid w:val="00D06348"/>
    <w:rsid w:val="00D06A72"/>
    <w:rsid w:val="00D07B90"/>
    <w:rsid w:val="00D105D8"/>
    <w:rsid w:val="00D1072F"/>
    <w:rsid w:val="00D11115"/>
    <w:rsid w:val="00D1151C"/>
    <w:rsid w:val="00D120E0"/>
    <w:rsid w:val="00D12168"/>
    <w:rsid w:val="00D12EFA"/>
    <w:rsid w:val="00D139BD"/>
    <w:rsid w:val="00D14263"/>
    <w:rsid w:val="00D151DA"/>
    <w:rsid w:val="00D15EB1"/>
    <w:rsid w:val="00D16AF1"/>
    <w:rsid w:val="00D16F6C"/>
    <w:rsid w:val="00D20E8D"/>
    <w:rsid w:val="00D21529"/>
    <w:rsid w:val="00D21F70"/>
    <w:rsid w:val="00D224BC"/>
    <w:rsid w:val="00D22AC8"/>
    <w:rsid w:val="00D23246"/>
    <w:rsid w:val="00D24CDA"/>
    <w:rsid w:val="00D252AA"/>
    <w:rsid w:val="00D25859"/>
    <w:rsid w:val="00D2591F"/>
    <w:rsid w:val="00D265AE"/>
    <w:rsid w:val="00D27DBF"/>
    <w:rsid w:val="00D30428"/>
    <w:rsid w:val="00D3079A"/>
    <w:rsid w:val="00D30C64"/>
    <w:rsid w:val="00D3287A"/>
    <w:rsid w:val="00D34B06"/>
    <w:rsid w:val="00D351AA"/>
    <w:rsid w:val="00D352D1"/>
    <w:rsid w:val="00D35638"/>
    <w:rsid w:val="00D365D0"/>
    <w:rsid w:val="00D36AEC"/>
    <w:rsid w:val="00D36F47"/>
    <w:rsid w:val="00D37246"/>
    <w:rsid w:val="00D404B2"/>
    <w:rsid w:val="00D405B0"/>
    <w:rsid w:val="00D41C4B"/>
    <w:rsid w:val="00D4259C"/>
    <w:rsid w:val="00D42D91"/>
    <w:rsid w:val="00D43960"/>
    <w:rsid w:val="00D43E5C"/>
    <w:rsid w:val="00D44DEB"/>
    <w:rsid w:val="00D44F68"/>
    <w:rsid w:val="00D452C7"/>
    <w:rsid w:val="00D452CD"/>
    <w:rsid w:val="00D45848"/>
    <w:rsid w:val="00D4635E"/>
    <w:rsid w:val="00D47FB7"/>
    <w:rsid w:val="00D5029F"/>
    <w:rsid w:val="00D50C9A"/>
    <w:rsid w:val="00D51237"/>
    <w:rsid w:val="00D528A8"/>
    <w:rsid w:val="00D52B49"/>
    <w:rsid w:val="00D53571"/>
    <w:rsid w:val="00D5383C"/>
    <w:rsid w:val="00D55032"/>
    <w:rsid w:val="00D56472"/>
    <w:rsid w:val="00D56577"/>
    <w:rsid w:val="00D605CF"/>
    <w:rsid w:val="00D610F9"/>
    <w:rsid w:val="00D61972"/>
    <w:rsid w:val="00D61BD1"/>
    <w:rsid w:val="00D627D5"/>
    <w:rsid w:val="00D62895"/>
    <w:rsid w:val="00D6387A"/>
    <w:rsid w:val="00D6388F"/>
    <w:rsid w:val="00D63D3D"/>
    <w:rsid w:val="00D648C8"/>
    <w:rsid w:val="00D64987"/>
    <w:rsid w:val="00D64F67"/>
    <w:rsid w:val="00D6507C"/>
    <w:rsid w:val="00D6545E"/>
    <w:rsid w:val="00D65C9F"/>
    <w:rsid w:val="00D66557"/>
    <w:rsid w:val="00D66927"/>
    <w:rsid w:val="00D67789"/>
    <w:rsid w:val="00D677F4"/>
    <w:rsid w:val="00D70103"/>
    <w:rsid w:val="00D7048F"/>
    <w:rsid w:val="00D71A8F"/>
    <w:rsid w:val="00D722FF"/>
    <w:rsid w:val="00D734C0"/>
    <w:rsid w:val="00D741EE"/>
    <w:rsid w:val="00D749E3"/>
    <w:rsid w:val="00D74D04"/>
    <w:rsid w:val="00D75253"/>
    <w:rsid w:val="00D75584"/>
    <w:rsid w:val="00D75F72"/>
    <w:rsid w:val="00D762FC"/>
    <w:rsid w:val="00D76307"/>
    <w:rsid w:val="00D77706"/>
    <w:rsid w:val="00D77C9B"/>
    <w:rsid w:val="00D8040B"/>
    <w:rsid w:val="00D817F1"/>
    <w:rsid w:val="00D81B83"/>
    <w:rsid w:val="00D82403"/>
    <w:rsid w:val="00D83708"/>
    <w:rsid w:val="00D84DDC"/>
    <w:rsid w:val="00D8581D"/>
    <w:rsid w:val="00D864D9"/>
    <w:rsid w:val="00D874FC"/>
    <w:rsid w:val="00D87CBC"/>
    <w:rsid w:val="00D87D90"/>
    <w:rsid w:val="00D87FDD"/>
    <w:rsid w:val="00D90801"/>
    <w:rsid w:val="00D90922"/>
    <w:rsid w:val="00D90AE9"/>
    <w:rsid w:val="00D90C10"/>
    <w:rsid w:val="00D91CA6"/>
    <w:rsid w:val="00D924F1"/>
    <w:rsid w:val="00D929BC"/>
    <w:rsid w:val="00D92B7E"/>
    <w:rsid w:val="00D93F91"/>
    <w:rsid w:val="00D9438A"/>
    <w:rsid w:val="00D947A7"/>
    <w:rsid w:val="00D94B73"/>
    <w:rsid w:val="00D95D42"/>
    <w:rsid w:val="00D95E2B"/>
    <w:rsid w:val="00D9629A"/>
    <w:rsid w:val="00D96AA5"/>
    <w:rsid w:val="00D96B44"/>
    <w:rsid w:val="00D97A71"/>
    <w:rsid w:val="00DA0155"/>
    <w:rsid w:val="00DA08D4"/>
    <w:rsid w:val="00DA0D10"/>
    <w:rsid w:val="00DA196D"/>
    <w:rsid w:val="00DA2409"/>
    <w:rsid w:val="00DA2746"/>
    <w:rsid w:val="00DA33FC"/>
    <w:rsid w:val="00DA3A98"/>
    <w:rsid w:val="00DA40F2"/>
    <w:rsid w:val="00DA440D"/>
    <w:rsid w:val="00DA4425"/>
    <w:rsid w:val="00DA55D2"/>
    <w:rsid w:val="00DA5943"/>
    <w:rsid w:val="00DA59E1"/>
    <w:rsid w:val="00DA7913"/>
    <w:rsid w:val="00DA79BC"/>
    <w:rsid w:val="00DA7AF7"/>
    <w:rsid w:val="00DB0700"/>
    <w:rsid w:val="00DB0FEA"/>
    <w:rsid w:val="00DB13B9"/>
    <w:rsid w:val="00DB3EDA"/>
    <w:rsid w:val="00DB5A78"/>
    <w:rsid w:val="00DB69AA"/>
    <w:rsid w:val="00DB6B1E"/>
    <w:rsid w:val="00DB77AA"/>
    <w:rsid w:val="00DB7AFE"/>
    <w:rsid w:val="00DC0130"/>
    <w:rsid w:val="00DC0289"/>
    <w:rsid w:val="00DC0BF9"/>
    <w:rsid w:val="00DC1C06"/>
    <w:rsid w:val="00DC1DC2"/>
    <w:rsid w:val="00DC2519"/>
    <w:rsid w:val="00DC2E10"/>
    <w:rsid w:val="00DC402B"/>
    <w:rsid w:val="00DC662E"/>
    <w:rsid w:val="00DC697D"/>
    <w:rsid w:val="00DD05B4"/>
    <w:rsid w:val="00DD08A3"/>
    <w:rsid w:val="00DD0AB2"/>
    <w:rsid w:val="00DD0BB6"/>
    <w:rsid w:val="00DD3043"/>
    <w:rsid w:val="00DD311A"/>
    <w:rsid w:val="00DD4400"/>
    <w:rsid w:val="00DD4763"/>
    <w:rsid w:val="00DD522D"/>
    <w:rsid w:val="00DD54BE"/>
    <w:rsid w:val="00DD7306"/>
    <w:rsid w:val="00DD79F6"/>
    <w:rsid w:val="00DD7A76"/>
    <w:rsid w:val="00DD7AA6"/>
    <w:rsid w:val="00DD7DD6"/>
    <w:rsid w:val="00DE0BA2"/>
    <w:rsid w:val="00DE0DBE"/>
    <w:rsid w:val="00DE0DCB"/>
    <w:rsid w:val="00DE15E2"/>
    <w:rsid w:val="00DE2111"/>
    <w:rsid w:val="00DE236D"/>
    <w:rsid w:val="00DE2F0D"/>
    <w:rsid w:val="00DE3A57"/>
    <w:rsid w:val="00DE3B03"/>
    <w:rsid w:val="00DE3FC2"/>
    <w:rsid w:val="00DE4296"/>
    <w:rsid w:val="00DE45D8"/>
    <w:rsid w:val="00DE4BD6"/>
    <w:rsid w:val="00DE53C1"/>
    <w:rsid w:val="00DE58D0"/>
    <w:rsid w:val="00DE6AED"/>
    <w:rsid w:val="00DE6DD9"/>
    <w:rsid w:val="00DF0029"/>
    <w:rsid w:val="00DF0932"/>
    <w:rsid w:val="00DF0986"/>
    <w:rsid w:val="00DF1C87"/>
    <w:rsid w:val="00DF1E5B"/>
    <w:rsid w:val="00DF2105"/>
    <w:rsid w:val="00DF2767"/>
    <w:rsid w:val="00DF3334"/>
    <w:rsid w:val="00DF437F"/>
    <w:rsid w:val="00DF44B8"/>
    <w:rsid w:val="00DF4B57"/>
    <w:rsid w:val="00DF55F3"/>
    <w:rsid w:val="00DF58F3"/>
    <w:rsid w:val="00DF76C6"/>
    <w:rsid w:val="00E006C9"/>
    <w:rsid w:val="00E00884"/>
    <w:rsid w:val="00E008ED"/>
    <w:rsid w:val="00E01562"/>
    <w:rsid w:val="00E01B24"/>
    <w:rsid w:val="00E0200B"/>
    <w:rsid w:val="00E02532"/>
    <w:rsid w:val="00E03C55"/>
    <w:rsid w:val="00E06D8C"/>
    <w:rsid w:val="00E076DF"/>
    <w:rsid w:val="00E07E46"/>
    <w:rsid w:val="00E1008D"/>
    <w:rsid w:val="00E10AB5"/>
    <w:rsid w:val="00E10B89"/>
    <w:rsid w:val="00E11328"/>
    <w:rsid w:val="00E116C2"/>
    <w:rsid w:val="00E12C37"/>
    <w:rsid w:val="00E13806"/>
    <w:rsid w:val="00E141A3"/>
    <w:rsid w:val="00E141C7"/>
    <w:rsid w:val="00E145D3"/>
    <w:rsid w:val="00E14F18"/>
    <w:rsid w:val="00E15195"/>
    <w:rsid w:val="00E15724"/>
    <w:rsid w:val="00E159FE"/>
    <w:rsid w:val="00E16502"/>
    <w:rsid w:val="00E17C56"/>
    <w:rsid w:val="00E17CAD"/>
    <w:rsid w:val="00E20294"/>
    <w:rsid w:val="00E21211"/>
    <w:rsid w:val="00E21737"/>
    <w:rsid w:val="00E2209E"/>
    <w:rsid w:val="00E2247E"/>
    <w:rsid w:val="00E225D0"/>
    <w:rsid w:val="00E23925"/>
    <w:rsid w:val="00E23A1E"/>
    <w:rsid w:val="00E24AB8"/>
    <w:rsid w:val="00E24EB1"/>
    <w:rsid w:val="00E25C37"/>
    <w:rsid w:val="00E25CF6"/>
    <w:rsid w:val="00E262B6"/>
    <w:rsid w:val="00E2695C"/>
    <w:rsid w:val="00E2707D"/>
    <w:rsid w:val="00E278FE"/>
    <w:rsid w:val="00E27B30"/>
    <w:rsid w:val="00E30A27"/>
    <w:rsid w:val="00E31685"/>
    <w:rsid w:val="00E319FB"/>
    <w:rsid w:val="00E31DB1"/>
    <w:rsid w:val="00E3223F"/>
    <w:rsid w:val="00E3283E"/>
    <w:rsid w:val="00E32AE6"/>
    <w:rsid w:val="00E32C02"/>
    <w:rsid w:val="00E348A7"/>
    <w:rsid w:val="00E35ECB"/>
    <w:rsid w:val="00E3682A"/>
    <w:rsid w:val="00E37658"/>
    <w:rsid w:val="00E37CCB"/>
    <w:rsid w:val="00E4092F"/>
    <w:rsid w:val="00E425E3"/>
    <w:rsid w:val="00E43697"/>
    <w:rsid w:val="00E44305"/>
    <w:rsid w:val="00E45A88"/>
    <w:rsid w:val="00E46401"/>
    <w:rsid w:val="00E4774E"/>
    <w:rsid w:val="00E478BD"/>
    <w:rsid w:val="00E479BC"/>
    <w:rsid w:val="00E50327"/>
    <w:rsid w:val="00E511D3"/>
    <w:rsid w:val="00E512C1"/>
    <w:rsid w:val="00E51720"/>
    <w:rsid w:val="00E51AA6"/>
    <w:rsid w:val="00E51B6E"/>
    <w:rsid w:val="00E51F78"/>
    <w:rsid w:val="00E52150"/>
    <w:rsid w:val="00E52FB2"/>
    <w:rsid w:val="00E537C2"/>
    <w:rsid w:val="00E54888"/>
    <w:rsid w:val="00E55205"/>
    <w:rsid w:val="00E5725E"/>
    <w:rsid w:val="00E6008D"/>
    <w:rsid w:val="00E60FA2"/>
    <w:rsid w:val="00E61010"/>
    <w:rsid w:val="00E63520"/>
    <w:rsid w:val="00E63950"/>
    <w:rsid w:val="00E640F1"/>
    <w:rsid w:val="00E64311"/>
    <w:rsid w:val="00E648CF"/>
    <w:rsid w:val="00E653B3"/>
    <w:rsid w:val="00E65C8C"/>
    <w:rsid w:val="00E65E8C"/>
    <w:rsid w:val="00E65EFC"/>
    <w:rsid w:val="00E66301"/>
    <w:rsid w:val="00E66C60"/>
    <w:rsid w:val="00E6775C"/>
    <w:rsid w:val="00E67D2A"/>
    <w:rsid w:val="00E700A3"/>
    <w:rsid w:val="00E702C5"/>
    <w:rsid w:val="00E705E9"/>
    <w:rsid w:val="00E7085A"/>
    <w:rsid w:val="00E71101"/>
    <w:rsid w:val="00E72025"/>
    <w:rsid w:val="00E742C9"/>
    <w:rsid w:val="00E7465F"/>
    <w:rsid w:val="00E748D2"/>
    <w:rsid w:val="00E760CB"/>
    <w:rsid w:val="00E77565"/>
    <w:rsid w:val="00E77A00"/>
    <w:rsid w:val="00E77DB4"/>
    <w:rsid w:val="00E80D75"/>
    <w:rsid w:val="00E810B4"/>
    <w:rsid w:val="00E81277"/>
    <w:rsid w:val="00E813DA"/>
    <w:rsid w:val="00E8165A"/>
    <w:rsid w:val="00E81C39"/>
    <w:rsid w:val="00E82222"/>
    <w:rsid w:val="00E824B0"/>
    <w:rsid w:val="00E82628"/>
    <w:rsid w:val="00E82FA6"/>
    <w:rsid w:val="00E83BEE"/>
    <w:rsid w:val="00E84141"/>
    <w:rsid w:val="00E84641"/>
    <w:rsid w:val="00E85192"/>
    <w:rsid w:val="00E85735"/>
    <w:rsid w:val="00E8628D"/>
    <w:rsid w:val="00E865B9"/>
    <w:rsid w:val="00E8705D"/>
    <w:rsid w:val="00E87628"/>
    <w:rsid w:val="00E902FC"/>
    <w:rsid w:val="00E90DE9"/>
    <w:rsid w:val="00E90DFC"/>
    <w:rsid w:val="00E9119D"/>
    <w:rsid w:val="00E920BA"/>
    <w:rsid w:val="00E92A55"/>
    <w:rsid w:val="00E92C63"/>
    <w:rsid w:val="00E93491"/>
    <w:rsid w:val="00E93D1F"/>
    <w:rsid w:val="00E940E7"/>
    <w:rsid w:val="00E944F5"/>
    <w:rsid w:val="00E9503D"/>
    <w:rsid w:val="00E95068"/>
    <w:rsid w:val="00E9550B"/>
    <w:rsid w:val="00E9571F"/>
    <w:rsid w:val="00E9723E"/>
    <w:rsid w:val="00EA03D2"/>
    <w:rsid w:val="00EA0AB4"/>
    <w:rsid w:val="00EA1DDF"/>
    <w:rsid w:val="00EA3F4F"/>
    <w:rsid w:val="00EA4633"/>
    <w:rsid w:val="00EA4684"/>
    <w:rsid w:val="00EA4F74"/>
    <w:rsid w:val="00EA5131"/>
    <w:rsid w:val="00EA519D"/>
    <w:rsid w:val="00EA5E7E"/>
    <w:rsid w:val="00EA6EF9"/>
    <w:rsid w:val="00EA7064"/>
    <w:rsid w:val="00EA7153"/>
    <w:rsid w:val="00EA78E2"/>
    <w:rsid w:val="00EA7B9E"/>
    <w:rsid w:val="00EB0609"/>
    <w:rsid w:val="00EB14FE"/>
    <w:rsid w:val="00EB293C"/>
    <w:rsid w:val="00EB5B84"/>
    <w:rsid w:val="00EB5F03"/>
    <w:rsid w:val="00EB5FCB"/>
    <w:rsid w:val="00EB6749"/>
    <w:rsid w:val="00EB72A7"/>
    <w:rsid w:val="00EB7E71"/>
    <w:rsid w:val="00EC2636"/>
    <w:rsid w:val="00EC31F5"/>
    <w:rsid w:val="00EC3DC3"/>
    <w:rsid w:val="00EC4150"/>
    <w:rsid w:val="00EC4525"/>
    <w:rsid w:val="00EC4B29"/>
    <w:rsid w:val="00EC5370"/>
    <w:rsid w:val="00EC5C77"/>
    <w:rsid w:val="00EC5ECE"/>
    <w:rsid w:val="00EC6450"/>
    <w:rsid w:val="00EC6736"/>
    <w:rsid w:val="00EC75FE"/>
    <w:rsid w:val="00ED0DAE"/>
    <w:rsid w:val="00ED14F5"/>
    <w:rsid w:val="00ED195C"/>
    <w:rsid w:val="00ED1AB4"/>
    <w:rsid w:val="00ED2589"/>
    <w:rsid w:val="00ED2FC3"/>
    <w:rsid w:val="00ED32C2"/>
    <w:rsid w:val="00ED33F6"/>
    <w:rsid w:val="00ED3418"/>
    <w:rsid w:val="00ED42BC"/>
    <w:rsid w:val="00ED53F2"/>
    <w:rsid w:val="00ED6012"/>
    <w:rsid w:val="00ED658E"/>
    <w:rsid w:val="00ED67A4"/>
    <w:rsid w:val="00ED6D38"/>
    <w:rsid w:val="00EE19CA"/>
    <w:rsid w:val="00EE2AAB"/>
    <w:rsid w:val="00EE3057"/>
    <w:rsid w:val="00EE4D96"/>
    <w:rsid w:val="00EE650F"/>
    <w:rsid w:val="00EE77F0"/>
    <w:rsid w:val="00EE7F58"/>
    <w:rsid w:val="00EF097D"/>
    <w:rsid w:val="00EF124E"/>
    <w:rsid w:val="00EF139B"/>
    <w:rsid w:val="00EF261D"/>
    <w:rsid w:val="00EF31C4"/>
    <w:rsid w:val="00EF3744"/>
    <w:rsid w:val="00EF38D1"/>
    <w:rsid w:val="00EF3AE2"/>
    <w:rsid w:val="00EF3B6E"/>
    <w:rsid w:val="00EF3F54"/>
    <w:rsid w:val="00EF46F0"/>
    <w:rsid w:val="00EF586E"/>
    <w:rsid w:val="00EF68E9"/>
    <w:rsid w:val="00EF6D32"/>
    <w:rsid w:val="00EF6F53"/>
    <w:rsid w:val="00EF707B"/>
    <w:rsid w:val="00EF786F"/>
    <w:rsid w:val="00F00402"/>
    <w:rsid w:val="00F0050C"/>
    <w:rsid w:val="00F00898"/>
    <w:rsid w:val="00F00A78"/>
    <w:rsid w:val="00F01577"/>
    <w:rsid w:val="00F02251"/>
    <w:rsid w:val="00F0316B"/>
    <w:rsid w:val="00F034AA"/>
    <w:rsid w:val="00F034CD"/>
    <w:rsid w:val="00F04444"/>
    <w:rsid w:val="00F046FC"/>
    <w:rsid w:val="00F04BDD"/>
    <w:rsid w:val="00F056FA"/>
    <w:rsid w:val="00F072CC"/>
    <w:rsid w:val="00F0771B"/>
    <w:rsid w:val="00F07BE2"/>
    <w:rsid w:val="00F10D28"/>
    <w:rsid w:val="00F11037"/>
    <w:rsid w:val="00F11267"/>
    <w:rsid w:val="00F115E8"/>
    <w:rsid w:val="00F11B2D"/>
    <w:rsid w:val="00F11E56"/>
    <w:rsid w:val="00F12135"/>
    <w:rsid w:val="00F1226C"/>
    <w:rsid w:val="00F12C35"/>
    <w:rsid w:val="00F142B5"/>
    <w:rsid w:val="00F15179"/>
    <w:rsid w:val="00F15349"/>
    <w:rsid w:val="00F1540A"/>
    <w:rsid w:val="00F1763C"/>
    <w:rsid w:val="00F17879"/>
    <w:rsid w:val="00F17E8B"/>
    <w:rsid w:val="00F2075C"/>
    <w:rsid w:val="00F20910"/>
    <w:rsid w:val="00F229F5"/>
    <w:rsid w:val="00F22D54"/>
    <w:rsid w:val="00F23230"/>
    <w:rsid w:val="00F233EF"/>
    <w:rsid w:val="00F23966"/>
    <w:rsid w:val="00F24006"/>
    <w:rsid w:val="00F242EA"/>
    <w:rsid w:val="00F24C16"/>
    <w:rsid w:val="00F24DE3"/>
    <w:rsid w:val="00F24FBF"/>
    <w:rsid w:val="00F25066"/>
    <w:rsid w:val="00F25A8D"/>
    <w:rsid w:val="00F25D48"/>
    <w:rsid w:val="00F265A3"/>
    <w:rsid w:val="00F26A5F"/>
    <w:rsid w:val="00F26BF6"/>
    <w:rsid w:val="00F27445"/>
    <w:rsid w:val="00F2751D"/>
    <w:rsid w:val="00F27560"/>
    <w:rsid w:val="00F27851"/>
    <w:rsid w:val="00F279EE"/>
    <w:rsid w:val="00F300ED"/>
    <w:rsid w:val="00F30224"/>
    <w:rsid w:val="00F30F4B"/>
    <w:rsid w:val="00F31AF1"/>
    <w:rsid w:val="00F31DF6"/>
    <w:rsid w:val="00F31F7E"/>
    <w:rsid w:val="00F3239A"/>
    <w:rsid w:val="00F32600"/>
    <w:rsid w:val="00F3284D"/>
    <w:rsid w:val="00F32ABA"/>
    <w:rsid w:val="00F32EC2"/>
    <w:rsid w:val="00F3336E"/>
    <w:rsid w:val="00F345BD"/>
    <w:rsid w:val="00F355CD"/>
    <w:rsid w:val="00F362F7"/>
    <w:rsid w:val="00F37B16"/>
    <w:rsid w:val="00F37CD5"/>
    <w:rsid w:val="00F406E8"/>
    <w:rsid w:val="00F40A18"/>
    <w:rsid w:val="00F40CD5"/>
    <w:rsid w:val="00F41478"/>
    <w:rsid w:val="00F42132"/>
    <w:rsid w:val="00F42F54"/>
    <w:rsid w:val="00F43617"/>
    <w:rsid w:val="00F443FB"/>
    <w:rsid w:val="00F447BA"/>
    <w:rsid w:val="00F454C7"/>
    <w:rsid w:val="00F45C7E"/>
    <w:rsid w:val="00F4606A"/>
    <w:rsid w:val="00F5050B"/>
    <w:rsid w:val="00F508FF"/>
    <w:rsid w:val="00F50F14"/>
    <w:rsid w:val="00F515D8"/>
    <w:rsid w:val="00F51A1C"/>
    <w:rsid w:val="00F5229C"/>
    <w:rsid w:val="00F52408"/>
    <w:rsid w:val="00F52E5B"/>
    <w:rsid w:val="00F53075"/>
    <w:rsid w:val="00F53546"/>
    <w:rsid w:val="00F535FC"/>
    <w:rsid w:val="00F53E8E"/>
    <w:rsid w:val="00F53FA8"/>
    <w:rsid w:val="00F5428F"/>
    <w:rsid w:val="00F57641"/>
    <w:rsid w:val="00F5766E"/>
    <w:rsid w:val="00F57A4A"/>
    <w:rsid w:val="00F57AC0"/>
    <w:rsid w:val="00F6070D"/>
    <w:rsid w:val="00F61639"/>
    <w:rsid w:val="00F61AB3"/>
    <w:rsid w:val="00F62C86"/>
    <w:rsid w:val="00F62E97"/>
    <w:rsid w:val="00F63218"/>
    <w:rsid w:val="00F63D1F"/>
    <w:rsid w:val="00F63DD8"/>
    <w:rsid w:val="00F63DE5"/>
    <w:rsid w:val="00F64307"/>
    <w:rsid w:val="00F646C5"/>
    <w:rsid w:val="00F6476C"/>
    <w:rsid w:val="00F65319"/>
    <w:rsid w:val="00F6547F"/>
    <w:rsid w:val="00F65550"/>
    <w:rsid w:val="00F65AFD"/>
    <w:rsid w:val="00F65FF0"/>
    <w:rsid w:val="00F6663B"/>
    <w:rsid w:val="00F668FC"/>
    <w:rsid w:val="00F66BAE"/>
    <w:rsid w:val="00F67919"/>
    <w:rsid w:val="00F67E1F"/>
    <w:rsid w:val="00F705D6"/>
    <w:rsid w:val="00F70F32"/>
    <w:rsid w:val="00F70FAB"/>
    <w:rsid w:val="00F71093"/>
    <w:rsid w:val="00F71121"/>
    <w:rsid w:val="00F711F1"/>
    <w:rsid w:val="00F71C8D"/>
    <w:rsid w:val="00F720B5"/>
    <w:rsid w:val="00F7215C"/>
    <w:rsid w:val="00F72E07"/>
    <w:rsid w:val="00F73214"/>
    <w:rsid w:val="00F7376D"/>
    <w:rsid w:val="00F7476E"/>
    <w:rsid w:val="00F747EC"/>
    <w:rsid w:val="00F76106"/>
    <w:rsid w:val="00F7627D"/>
    <w:rsid w:val="00F77490"/>
    <w:rsid w:val="00F8067B"/>
    <w:rsid w:val="00F809D6"/>
    <w:rsid w:val="00F817A7"/>
    <w:rsid w:val="00F81BD4"/>
    <w:rsid w:val="00F828E6"/>
    <w:rsid w:val="00F841E5"/>
    <w:rsid w:val="00F84C90"/>
    <w:rsid w:val="00F861AB"/>
    <w:rsid w:val="00F8640E"/>
    <w:rsid w:val="00F8684E"/>
    <w:rsid w:val="00F86CBF"/>
    <w:rsid w:val="00F87344"/>
    <w:rsid w:val="00F87904"/>
    <w:rsid w:val="00F91069"/>
    <w:rsid w:val="00F937A9"/>
    <w:rsid w:val="00F940F6"/>
    <w:rsid w:val="00F95F14"/>
    <w:rsid w:val="00F96A90"/>
    <w:rsid w:val="00F96E3A"/>
    <w:rsid w:val="00F96FDE"/>
    <w:rsid w:val="00FA0C3C"/>
    <w:rsid w:val="00FA1607"/>
    <w:rsid w:val="00FA1988"/>
    <w:rsid w:val="00FA2876"/>
    <w:rsid w:val="00FA2D52"/>
    <w:rsid w:val="00FA3BD2"/>
    <w:rsid w:val="00FA458B"/>
    <w:rsid w:val="00FA4746"/>
    <w:rsid w:val="00FA50F2"/>
    <w:rsid w:val="00FA558F"/>
    <w:rsid w:val="00FA5EE8"/>
    <w:rsid w:val="00FA6DAE"/>
    <w:rsid w:val="00FA6E8D"/>
    <w:rsid w:val="00FB01F9"/>
    <w:rsid w:val="00FB0894"/>
    <w:rsid w:val="00FB1121"/>
    <w:rsid w:val="00FB2227"/>
    <w:rsid w:val="00FB22B6"/>
    <w:rsid w:val="00FB2515"/>
    <w:rsid w:val="00FB2BFE"/>
    <w:rsid w:val="00FB3530"/>
    <w:rsid w:val="00FB3707"/>
    <w:rsid w:val="00FB3C52"/>
    <w:rsid w:val="00FB4909"/>
    <w:rsid w:val="00FB495E"/>
    <w:rsid w:val="00FB4CB9"/>
    <w:rsid w:val="00FB55FE"/>
    <w:rsid w:val="00FB7A01"/>
    <w:rsid w:val="00FB7DD4"/>
    <w:rsid w:val="00FC0106"/>
    <w:rsid w:val="00FC01E5"/>
    <w:rsid w:val="00FC0B18"/>
    <w:rsid w:val="00FC1377"/>
    <w:rsid w:val="00FC1492"/>
    <w:rsid w:val="00FC1656"/>
    <w:rsid w:val="00FC435C"/>
    <w:rsid w:val="00FC4535"/>
    <w:rsid w:val="00FC51D2"/>
    <w:rsid w:val="00FC5C84"/>
    <w:rsid w:val="00FC66E8"/>
    <w:rsid w:val="00FC67F9"/>
    <w:rsid w:val="00FC6892"/>
    <w:rsid w:val="00FD39CA"/>
    <w:rsid w:val="00FD3CAD"/>
    <w:rsid w:val="00FD4578"/>
    <w:rsid w:val="00FD4D92"/>
    <w:rsid w:val="00FD66E1"/>
    <w:rsid w:val="00FE2160"/>
    <w:rsid w:val="00FE2431"/>
    <w:rsid w:val="00FE2583"/>
    <w:rsid w:val="00FE2797"/>
    <w:rsid w:val="00FE2B6C"/>
    <w:rsid w:val="00FE3140"/>
    <w:rsid w:val="00FE41F7"/>
    <w:rsid w:val="00FE5651"/>
    <w:rsid w:val="00FE5F41"/>
    <w:rsid w:val="00FE6467"/>
    <w:rsid w:val="00FE6862"/>
    <w:rsid w:val="00FF0D15"/>
    <w:rsid w:val="00FF1AB5"/>
    <w:rsid w:val="00FF33EC"/>
    <w:rsid w:val="00FF47A4"/>
    <w:rsid w:val="00FF531B"/>
    <w:rsid w:val="00FF5996"/>
    <w:rsid w:val="00FF5CD0"/>
    <w:rsid w:val="00FF63E3"/>
    <w:rsid w:val="00FF6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92387"/>
  <w14:defaultImageDpi w14:val="300"/>
  <w15:docId w15:val="{D55B9FFF-6142-40F9-A6F9-D607DE58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24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nl-NL"/>
    </w:rPr>
  </w:style>
  <w:style w:type="paragraph" w:styleId="Heading2">
    <w:name w:val="heading 2"/>
    <w:basedOn w:val="Normal"/>
    <w:next w:val="Normal"/>
    <w:link w:val="Heading2Char"/>
    <w:uiPriority w:val="9"/>
    <w:unhideWhenUsed/>
    <w:qFormat/>
    <w:rsid w:val="00E14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4C4"/>
    <w:rPr>
      <w:rFonts w:asciiTheme="majorHAnsi" w:eastAsiaTheme="majorEastAsia" w:hAnsiTheme="majorHAnsi" w:cstheme="majorBidi"/>
      <w:b/>
      <w:bCs/>
      <w:color w:val="365F91" w:themeColor="accent1" w:themeShade="BF"/>
      <w:sz w:val="28"/>
      <w:szCs w:val="28"/>
      <w:lang w:val="nl-NL"/>
    </w:rPr>
  </w:style>
  <w:style w:type="paragraph" w:styleId="Bibliography">
    <w:name w:val="Bibliography"/>
    <w:basedOn w:val="Normal"/>
    <w:next w:val="Normal"/>
    <w:uiPriority w:val="37"/>
    <w:unhideWhenUsed/>
    <w:rsid w:val="007924C4"/>
  </w:style>
  <w:style w:type="paragraph" w:styleId="BalloonText">
    <w:name w:val="Balloon Text"/>
    <w:basedOn w:val="Normal"/>
    <w:link w:val="BalloonTextChar"/>
    <w:uiPriority w:val="99"/>
    <w:semiHidden/>
    <w:unhideWhenUsed/>
    <w:rsid w:val="007924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4C4"/>
    <w:rPr>
      <w:rFonts w:ascii="Lucida Grande" w:hAnsi="Lucida Grande" w:cs="Lucida Grande"/>
      <w:sz w:val="18"/>
      <w:szCs w:val="18"/>
    </w:rPr>
  </w:style>
  <w:style w:type="paragraph" w:styleId="FootnoteText">
    <w:name w:val="footnote text"/>
    <w:basedOn w:val="Normal"/>
    <w:link w:val="FootnoteTextChar"/>
    <w:uiPriority w:val="99"/>
    <w:unhideWhenUsed/>
    <w:rsid w:val="00CE7C20"/>
  </w:style>
  <w:style w:type="character" w:customStyle="1" w:styleId="FootnoteTextChar">
    <w:name w:val="Footnote Text Char"/>
    <w:basedOn w:val="DefaultParagraphFont"/>
    <w:link w:val="FootnoteText"/>
    <w:uiPriority w:val="99"/>
    <w:rsid w:val="00CE7C20"/>
  </w:style>
  <w:style w:type="character" w:styleId="FootnoteReference">
    <w:name w:val="footnote reference"/>
    <w:basedOn w:val="DefaultParagraphFont"/>
    <w:uiPriority w:val="99"/>
    <w:unhideWhenUsed/>
    <w:rsid w:val="00CE7C20"/>
    <w:rPr>
      <w:vertAlign w:val="superscript"/>
    </w:rPr>
  </w:style>
  <w:style w:type="character" w:styleId="Hyperlink">
    <w:name w:val="Hyperlink"/>
    <w:basedOn w:val="DefaultParagraphFont"/>
    <w:uiPriority w:val="99"/>
    <w:unhideWhenUsed/>
    <w:rsid w:val="009F683F"/>
    <w:rPr>
      <w:color w:val="0000FF" w:themeColor="hyperlink"/>
      <w:u w:val="single"/>
    </w:rPr>
  </w:style>
  <w:style w:type="character" w:styleId="FollowedHyperlink">
    <w:name w:val="FollowedHyperlink"/>
    <w:basedOn w:val="DefaultParagraphFont"/>
    <w:uiPriority w:val="99"/>
    <w:semiHidden/>
    <w:unhideWhenUsed/>
    <w:rsid w:val="007F78D4"/>
    <w:rPr>
      <w:color w:val="800080" w:themeColor="followedHyperlink"/>
      <w:u w:val="single"/>
    </w:rPr>
  </w:style>
  <w:style w:type="paragraph" w:styleId="Footer">
    <w:name w:val="footer"/>
    <w:basedOn w:val="Normal"/>
    <w:link w:val="FooterChar"/>
    <w:uiPriority w:val="99"/>
    <w:unhideWhenUsed/>
    <w:rsid w:val="00DE2111"/>
    <w:pPr>
      <w:tabs>
        <w:tab w:val="center" w:pos="4536"/>
        <w:tab w:val="right" w:pos="9072"/>
      </w:tabs>
    </w:pPr>
  </w:style>
  <w:style w:type="character" w:customStyle="1" w:styleId="FooterChar">
    <w:name w:val="Footer Char"/>
    <w:basedOn w:val="DefaultParagraphFont"/>
    <w:link w:val="Footer"/>
    <w:uiPriority w:val="99"/>
    <w:rsid w:val="00DE2111"/>
  </w:style>
  <w:style w:type="character" w:styleId="PageNumber">
    <w:name w:val="page number"/>
    <w:basedOn w:val="DefaultParagraphFont"/>
    <w:uiPriority w:val="99"/>
    <w:semiHidden/>
    <w:unhideWhenUsed/>
    <w:rsid w:val="00DE2111"/>
  </w:style>
  <w:style w:type="paragraph" w:styleId="Header">
    <w:name w:val="header"/>
    <w:basedOn w:val="Normal"/>
    <w:link w:val="HeaderChar"/>
    <w:uiPriority w:val="99"/>
    <w:unhideWhenUsed/>
    <w:rsid w:val="00265CF7"/>
    <w:pPr>
      <w:tabs>
        <w:tab w:val="center" w:pos="4536"/>
        <w:tab w:val="right" w:pos="9072"/>
      </w:tabs>
    </w:pPr>
  </w:style>
  <w:style w:type="character" w:customStyle="1" w:styleId="HeaderChar">
    <w:name w:val="Header Char"/>
    <w:basedOn w:val="DefaultParagraphFont"/>
    <w:link w:val="Header"/>
    <w:uiPriority w:val="99"/>
    <w:rsid w:val="00265CF7"/>
  </w:style>
  <w:style w:type="paragraph" w:styleId="TOCHeading">
    <w:name w:val="TOC Heading"/>
    <w:basedOn w:val="Heading1"/>
    <w:next w:val="Normal"/>
    <w:uiPriority w:val="39"/>
    <w:unhideWhenUsed/>
    <w:qFormat/>
    <w:rsid w:val="00D6507C"/>
    <w:pPr>
      <w:outlineLvl w:val="9"/>
    </w:pPr>
    <w:rPr>
      <w:lang w:val="en-US"/>
    </w:rPr>
  </w:style>
  <w:style w:type="paragraph" w:styleId="TOC1">
    <w:name w:val="toc 1"/>
    <w:basedOn w:val="Normal"/>
    <w:next w:val="Normal"/>
    <w:autoRedefine/>
    <w:uiPriority w:val="39"/>
    <w:unhideWhenUsed/>
    <w:rsid w:val="00D6507C"/>
    <w:pPr>
      <w:spacing w:before="120"/>
    </w:pPr>
    <w:rPr>
      <w:b/>
      <w:sz w:val="22"/>
      <w:szCs w:val="22"/>
    </w:rPr>
  </w:style>
  <w:style w:type="paragraph" w:styleId="TOC2">
    <w:name w:val="toc 2"/>
    <w:basedOn w:val="Normal"/>
    <w:next w:val="Normal"/>
    <w:autoRedefine/>
    <w:uiPriority w:val="39"/>
    <w:unhideWhenUsed/>
    <w:rsid w:val="00D6507C"/>
    <w:pPr>
      <w:ind w:left="240"/>
    </w:pPr>
    <w:rPr>
      <w:i/>
      <w:sz w:val="22"/>
      <w:szCs w:val="22"/>
    </w:rPr>
  </w:style>
  <w:style w:type="paragraph" w:styleId="TOC3">
    <w:name w:val="toc 3"/>
    <w:basedOn w:val="Normal"/>
    <w:next w:val="Normal"/>
    <w:autoRedefine/>
    <w:uiPriority w:val="39"/>
    <w:semiHidden/>
    <w:unhideWhenUsed/>
    <w:rsid w:val="00D6507C"/>
    <w:pPr>
      <w:ind w:left="480"/>
    </w:pPr>
    <w:rPr>
      <w:sz w:val="22"/>
      <w:szCs w:val="22"/>
    </w:rPr>
  </w:style>
  <w:style w:type="paragraph" w:styleId="TOC4">
    <w:name w:val="toc 4"/>
    <w:basedOn w:val="Normal"/>
    <w:next w:val="Normal"/>
    <w:autoRedefine/>
    <w:uiPriority w:val="39"/>
    <w:semiHidden/>
    <w:unhideWhenUsed/>
    <w:rsid w:val="00D6507C"/>
    <w:pPr>
      <w:ind w:left="720"/>
    </w:pPr>
    <w:rPr>
      <w:sz w:val="20"/>
      <w:szCs w:val="20"/>
    </w:rPr>
  </w:style>
  <w:style w:type="paragraph" w:styleId="TOC5">
    <w:name w:val="toc 5"/>
    <w:basedOn w:val="Normal"/>
    <w:next w:val="Normal"/>
    <w:autoRedefine/>
    <w:uiPriority w:val="39"/>
    <w:semiHidden/>
    <w:unhideWhenUsed/>
    <w:rsid w:val="00D6507C"/>
    <w:pPr>
      <w:ind w:left="960"/>
    </w:pPr>
    <w:rPr>
      <w:sz w:val="20"/>
      <w:szCs w:val="20"/>
    </w:rPr>
  </w:style>
  <w:style w:type="paragraph" w:styleId="TOC6">
    <w:name w:val="toc 6"/>
    <w:basedOn w:val="Normal"/>
    <w:next w:val="Normal"/>
    <w:autoRedefine/>
    <w:uiPriority w:val="39"/>
    <w:semiHidden/>
    <w:unhideWhenUsed/>
    <w:rsid w:val="00D6507C"/>
    <w:pPr>
      <w:ind w:left="1200"/>
    </w:pPr>
    <w:rPr>
      <w:sz w:val="20"/>
      <w:szCs w:val="20"/>
    </w:rPr>
  </w:style>
  <w:style w:type="paragraph" w:styleId="TOC7">
    <w:name w:val="toc 7"/>
    <w:basedOn w:val="Normal"/>
    <w:next w:val="Normal"/>
    <w:autoRedefine/>
    <w:uiPriority w:val="39"/>
    <w:semiHidden/>
    <w:unhideWhenUsed/>
    <w:rsid w:val="00D6507C"/>
    <w:pPr>
      <w:ind w:left="1440"/>
    </w:pPr>
    <w:rPr>
      <w:sz w:val="20"/>
      <w:szCs w:val="20"/>
    </w:rPr>
  </w:style>
  <w:style w:type="paragraph" w:styleId="TOC8">
    <w:name w:val="toc 8"/>
    <w:basedOn w:val="Normal"/>
    <w:next w:val="Normal"/>
    <w:autoRedefine/>
    <w:uiPriority w:val="39"/>
    <w:semiHidden/>
    <w:unhideWhenUsed/>
    <w:rsid w:val="00D6507C"/>
    <w:pPr>
      <w:ind w:left="1680"/>
    </w:pPr>
    <w:rPr>
      <w:sz w:val="20"/>
      <w:szCs w:val="20"/>
    </w:rPr>
  </w:style>
  <w:style w:type="paragraph" w:styleId="TOC9">
    <w:name w:val="toc 9"/>
    <w:basedOn w:val="Normal"/>
    <w:next w:val="Normal"/>
    <w:autoRedefine/>
    <w:uiPriority w:val="39"/>
    <w:semiHidden/>
    <w:unhideWhenUsed/>
    <w:rsid w:val="00D6507C"/>
    <w:pPr>
      <w:ind w:left="1920"/>
    </w:pPr>
    <w:rPr>
      <w:sz w:val="20"/>
      <w:szCs w:val="20"/>
    </w:rPr>
  </w:style>
  <w:style w:type="character" w:customStyle="1" w:styleId="Heading2Char">
    <w:name w:val="Heading 2 Char"/>
    <w:basedOn w:val="DefaultParagraphFont"/>
    <w:link w:val="Heading2"/>
    <w:uiPriority w:val="9"/>
    <w:rsid w:val="00E145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797">
      <w:bodyDiv w:val="1"/>
      <w:marLeft w:val="0"/>
      <w:marRight w:val="0"/>
      <w:marTop w:val="0"/>
      <w:marBottom w:val="0"/>
      <w:divBdr>
        <w:top w:val="none" w:sz="0" w:space="0" w:color="auto"/>
        <w:left w:val="none" w:sz="0" w:space="0" w:color="auto"/>
        <w:bottom w:val="none" w:sz="0" w:space="0" w:color="auto"/>
        <w:right w:val="none" w:sz="0" w:space="0" w:color="auto"/>
      </w:divBdr>
    </w:div>
    <w:div w:id="54935278">
      <w:bodyDiv w:val="1"/>
      <w:marLeft w:val="0"/>
      <w:marRight w:val="0"/>
      <w:marTop w:val="0"/>
      <w:marBottom w:val="0"/>
      <w:divBdr>
        <w:top w:val="none" w:sz="0" w:space="0" w:color="auto"/>
        <w:left w:val="none" w:sz="0" w:space="0" w:color="auto"/>
        <w:bottom w:val="none" w:sz="0" w:space="0" w:color="auto"/>
        <w:right w:val="none" w:sz="0" w:space="0" w:color="auto"/>
      </w:divBdr>
    </w:div>
    <w:div w:id="181555966">
      <w:bodyDiv w:val="1"/>
      <w:marLeft w:val="0"/>
      <w:marRight w:val="0"/>
      <w:marTop w:val="0"/>
      <w:marBottom w:val="0"/>
      <w:divBdr>
        <w:top w:val="none" w:sz="0" w:space="0" w:color="auto"/>
        <w:left w:val="none" w:sz="0" w:space="0" w:color="auto"/>
        <w:bottom w:val="none" w:sz="0" w:space="0" w:color="auto"/>
        <w:right w:val="none" w:sz="0" w:space="0" w:color="auto"/>
      </w:divBdr>
    </w:div>
    <w:div w:id="191312288">
      <w:bodyDiv w:val="1"/>
      <w:marLeft w:val="0"/>
      <w:marRight w:val="0"/>
      <w:marTop w:val="0"/>
      <w:marBottom w:val="0"/>
      <w:divBdr>
        <w:top w:val="none" w:sz="0" w:space="0" w:color="auto"/>
        <w:left w:val="none" w:sz="0" w:space="0" w:color="auto"/>
        <w:bottom w:val="none" w:sz="0" w:space="0" w:color="auto"/>
        <w:right w:val="none" w:sz="0" w:space="0" w:color="auto"/>
      </w:divBdr>
    </w:div>
    <w:div w:id="229116086">
      <w:bodyDiv w:val="1"/>
      <w:marLeft w:val="0"/>
      <w:marRight w:val="0"/>
      <w:marTop w:val="0"/>
      <w:marBottom w:val="0"/>
      <w:divBdr>
        <w:top w:val="none" w:sz="0" w:space="0" w:color="auto"/>
        <w:left w:val="none" w:sz="0" w:space="0" w:color="auto"/>
        <w:bottom w:val="none" w:sz="0" w:space="0" w:color="auto"/>
        <w:right w:val="none" w:sz="0" w:space="0" w:color="auto"/>
      </w:divBdr>
      <w:divsChild>
        <w:div w:id="2079326213">
          <w:marLeft w:val="0"/>
          <w:marRight w:val="0"/>
          <w:marTop w:val="0"/>
          <w:marBottom w:val="0"/>
          <w:divBdr>
            <w:top w:val="none" w:sz="0" w:space="0" w:color="auto"/>
            <w:left w:val="none" w:sz="0" w:space="0" w:color="auto"/>
            <w:bottom w:val="none" w:sz="0" w:space="0" w:color="auto"/>
            <w:right w:val="none" w:sz="0" w:space="0" w:color="auto"/>
          </w:divBdr>
        </w:div>
      </w:divsChild>
    </w:div>
    <w:div w:id="284433891">
      <w:bodyDiv w:val="1"/>
      <w:marLeft w:val="0"/>
      <w:marRight w:val="0"/>
      <w:marTop w:val="0"/>
      <w:marBottom w:val="0"/>
      <w:divBdr>
        <w:top w:val="none" w:sz="0" w:space="0" w:color="auto"/>
        <w:left w:val="none" w:sz="0" w:space="0" w:color="auto"/>
        <w:bottom w:val="none" w:sz="0" w:space="0" w:color="auto"/>
        <w:right w:val="none" w:sz="0" w:space="0" w:color="auto"/>
      </w:divBdr>
    </w:div>
    <w:div w:id="294213052">
      <w:bodyDiv w:val="1"/>
      <w:marLeft w:val="0"/>
      <w:marRight w:val="0"/>
      <w:marTop w:val="0"/>
      <w:marBottom w:val="0"/>
      <w:divBdr>
        <w:top w:val="none" w:sz="0" w:space="0" w:color="auto"/>
        <w:left w:val="none" w:sz="0" w:space="0" w:color="auto"/>
        <w:bottom w:val="none" w:sz="0" w:space="0" w:color="auto"/>
        <w:right w:val="none" w:sz="0" w:space="0" w:color="auto"/>
      </w:divBdr>
    </w:div>
    <w:div w:id="396322160">
      <w:bodyDiv w:val="1"/>
      <w:marLeft w:val="0"/>
      <w:marRight w:val="0"/>
      <w:marTop w:val="0"/>
      <w:marBottom w:val="0"/>
      <w:divBdr>
        <w:top w:val="none" w:sz="0" w:space="0" w:color="auto"/>
        <w:left w:val="none" w:sz="0" w:space="0" w:color="auto"/>
        <w:bottom w:val="none" w:sz="0" w:space="0" w:color="auto"/>
        <w:right w:val="none" w:sz="0" w:space="0" w:color="auto"/>
      </w:divBdr>
    </w:div>
    <w:div w:id="454560609">
      <w:bodyDiv w:val="1"/>
      <w:marLeft w:val="0"/>
      <w:marRight w:val="0"/>
      <w:marTop w:val="0"/>
      <w:marBottom w:val="0"/>
      <w:divBdr>
        <w:top w:val="none" w:sz="0" w:space="0" w:color="auto"/>
        <w:left w:val="none" w:sz="0" w:space="0" w:color="auto"/>
        <w:bottom w:val="none" w:sz="0" w:space="0" w:color="auto"/>
        <w:right w:val="none" w:sz="0" w:space="0" w:color="auto"/>
      </w:divBdr>
    </w:div>
    <w:div w:id="516501968">
      <w:bodyDiv w:val="1"/>
      <w:marLeft w:val="0"/>
      <w:marRight w:val="0"/>
      <w:marTop w:val="0"/>
      <w:marBottom w:val="0"/>
      <w:divBdr>
        <w:top w:val="none" w:sz="0" w:space="0" w:color="auto"/>
        <w:left w:val="none" w:sz="0" w:space="0" w:color="auto"/>
        <w:bottom w:val="none" w:sz="0" w:space="0" w:color="auto"/>
        <w:right w:val="none" w:sz="0" w:space="0" w:color="auto"/>
      </w:divBdr>
    </w:div>
    <w:div w:id="571700163">
      <w:bodyDiv w:val="1"/>
      <w:marLeft w:val="0"/>
      <w:marRight w:val="0"/>
      <w:marTop w:val="0"/>
      <w:marBottom w:val="0"/>
      <w:divBdr>
        <w:top w:val="none" w:sz="0" w:space="0" w:color="auto"/>
        <w:left w:val="none" w:sz="0" w:space="0" w:color="auto"/>
        <w:bottom w:val="none" w:sz="0" w:space="0" w:color="auto"/>
        <w:right w:val="none" w:sz="0" w:space="0" w:color="auto"/>
      </w:divBdr>
    </w:div>
    <w:div w:id="606812982">
      <w:bodyDiv w:val="1"/>
      <w:marLeft w:val="0"/>
      <w:marRight w:val="0"/>
      <w:marTop w:val="0"/>
      <w:marBottom w:val="0"/>
      <w:divBdr>
        <w:top w:val="none" w:sz="0" w:space="0" w:color="auto"/>
        <w:left w:val="none" w:sz="0" w:space="0" w:color="auto"/>
        <w:bottom w:val="none" w:sz="0" w:space="0" w:color="auto"/>
        <w:right w:val="none" w:sz="0" w:space="0" w:color="auto"/>
      </w:divBdr>
    </w:div>
    <w:div w:id="648703698">
      <w:bodyDiv w:val="1"/>
      <w:marLeft w:val="0"/>
      <w:marRight w:val="0"/>
      <w:marTop w:val="0"/>
      <w:marBottom w:val="0"/>
      <w:divBdr>
        <w:top w:val="none" w:sz="0" w:space="0" w:color="auto"/>
        <w:left w:val="none" w:sz="0" w:space="0" w:color="auto"/>
        <w:bottom w:val="none" w:sz="0" w:space="0" w:color="auto"/>
        <w:right w:val="none" w:sz="0" w:space="0" w:color="auto"/>
      </w:divBdr>
    </w:div>
    <w:div w:id="693726392">
      <w:bodyDiv w:val="1"/>
      <w:marLeft w:val="0"/>
      <w:marRight w:val="0"/>
      <w:marTop w:val="0"/>
      <w:marBottom w:val="0"/>
      <w:divBdr>
        <w:top w:val="none" w:sz="0" w:space="0" w:color="auto"/>
        <w:left w:val="none" w:sz="0" w:space="0" w:color="auto"/>
        <w:bottom w:val="none" w:sz="0" w:space="0" w:color="auto"/>
        <w:right w:val="none" w:sz="0" w:space="0" w:color="auto"/>
      </w:divBdr>
    </w:div>
    <w:div w:id="742140331">
      <w:bodyDiv w:val="1"/>
      <w:marLeft w:val="0"/>
      <w:marRight w:val="0"/>
      <w:marTop w:val="0"/>
      <w:marBottom w:val="0"/>
      <w:divBdr>
        <w:top w:val="none" w:sz="0" w:space="0" w:color="auto"/>
        <w:left w:val="none" w:sz="0" w:space="0" w:color="auto"/>
        <w:bottom w:val="none" w:sz="0" w:space="0" w:color="auto"/>
        <w:right w:val="none" w:sz="0" w:space="0" w:color="auto"/>
      </w:divBdr>
    </w:div>
    <w:div w:id="763770939">
      <w:bodyDiv w:val="1"/>
      <w:marLeft w:val="0"/>
      <w:marRight w:val="0"/>
      <w:marTop w:val="0"/>
      <w:marBottom w:val="0"/>
      <w:divBdr>
        <w:top w:val="none" w:sz="0" w:space="0" w:color="auto"/>
        <w:left w:val="none" w:sz="0" w:space="0" w:color="auto"/>
        <w:bottom w:val="none" w:sz="0" w:space="0" w:color="auto"/>
        <w:right w:val="none" w:sz="0" w:space="0" w:color="auto"/>
      </w:divBdr>
    </w:div>
    <w:div w:id="853225701">
      <w:bodyDiv w:val="1"/>
      <w:marLeft w:val="0"/>
      <w:marRight w:val="0"/>
      <w:marTop w:val="0"/>
      <w:marBottom w:val="0"/>
      <w:divBdr>
        <w:top w:val="none" w:sz="0" w:space="0" w:color="auto"/>
        <w:left w:val="none" w:sz="0" w:space="0" w:color="auto"/>
        <w:bottom w:val="none" w:sz="0" w:space="0" w:color="auto"/>
        <w:right w:val="none" w:sz="0" w:space="0" w:color="auto"/>
      </w:divBdr>
      <w:divsChild>
        <w:div w:id="1145589679">
          <w:marLeft w:val="0"/>
          <w:marRight w:val="0"/>
          <w:marTop w:val="0"/>
          <w:marBottom w:val="0"/>
          <w:divBdr>
            <w:top w:val="none" w:sz="0" w:space="0" w:color="auto"/>
            <w:left w:val="none" w:sz="0" w:space="0" w:color="auto"/>
            <w:bottom w:val="none" w:sz="0" w:space="0" w:color="auto"/>
            <w:right w:val="none" w:sz="0" w:space="0" w:color="auto"/>
          </w:divBdr>
        </w:div>
      </w:divsChild>
    </w:div>
    <w:div w:id="1120414959">
      <w:bodyDiv w:val="1"/>
      <w:marLeft w:val="0"/>
      <w:marRight w:val="0"/>
      <w:marTop w:val="0"/>
      <w:marBottom w:val="0"/>
      <w:divBdr>
        <w:top w:val="none" w:sz="0" w:space="0" w:color="auto"/>
        <w:left w:val="none" w:sz="0" w:space="0" w:color="auto"/>
        <w:bottom w:val="none" w:sz="0" w:space="0" w:color="auto"/>
        <w:right w:val="none" w:sz="0" w:space="0" w:color="auto"/>
      </w:divBdr>
    </w:div>
    <w:div w:id="1136340051">
      <w:bodyDiv w:val="1"/>
      <w:marLeft w:val="0"/>
      <w:marRight w:val="0"/>
      <w:marTop w:val="0"/>
      <w:marBottom w:val="0"/>
      <w:divBdr>
        <w:top w:val="none" w:sz="0" w:space="0" w:color="auto"/>
        <w:left w:val="none" w:sz="0" w:space="0" w:color="auto"/>
        <w:bottom w:val="none" w:sz="0" w:space="0" w:color="auto"/>
        <w:right w:val="none" w:sz="0" w:space="0" w:color="auto"/>
      </w:divBdr>
    </w:div>
    <w:div w:id="1240021868">
      <w:bodyDiv w:val="1"/>
      <w:marLeft w:val="0"/>
      <w:marRight w:val="0"/>
      <w:marTop w:val="0"/>
      <w:marBottom w:val="0"/>
      <w:divBdr>
        <w:top w:val="none" w:sz="0" w:space="0" w:color="auto"/>
        <w:left w:val="none" w:sz="0" w:space="0" w:color="auto"/>
        <w:bottom w:val="none" w:sz="0" w:space="0" w:color="auto"/>
        <w:right w:val="none" w:sz="0" w:space="0" w:color="auto"/>
      </w:divBdr>
    </w:div>
    <w:div w:id="1436704510">
      <w:bodyDiv w:val="1"/>
      <w:marLeft w:val="0"/>
      <w:marRight w:val="0"/>
      <w:marTop w:val="0"/>
      <w:marBottom w:val="0"/>
      <w:divBdr>
        <w:top w:val="none" w:sz="0" w:space="0" w:color="auto"/>
        <w:left w:val="none" w:sz="0" w:space="0" w:color="auto"/>
        <w:bottom w:val="none" w:sz="0" w:space="0" w:color="auto"/>
        <w:right w:val="none" w:sz="0" w:space="0" w:color="auto"/>
      </w:divBdr>
    </w:div>
    <w:div w:id="1517040497">
      <w:bodyDiv w:val="1"/>
      <w:marLeft w:val="0"/>
      <w:marRight w:val="0"/>
      <w:marTop w:val="0"/>
      <w:marBottom w:val="0"/>
      <w:divBdr>
        <w:top w:val="none" w:sz="0" w:space="0" w:color="auto"/>
        <w:left w:val="none" w:sz="0" w:space="0" w:color="auto"/>
        <w:bottom w:val="none" w:sz="0" w:space="0" w:color="auto"/>
        <w:right w:val="none" w:sz="0" w:space="0" w:color="auto"/>
      </w:divBdr>
    </w:div>
    <w:div w:id="1574008173">
      <w:bodyDiv w:val="1"/>
      <w:marLeft w:val="0"/>
      <w:marRight w:val="0"/>
      <w:marTop w:val="0"/>
      <w:marBottom w:val="0"/>
      <w:divBdr>
        <w:top w:val="none" w:sz="0" w:space="0" w:color="auto"/>
        <w:left w:val="none" w:sz="0" w:space="0" w:color="auto"/>
        <w:bottom w:val="none" w:sz="0" w:space="0" w:color="auto"/>
        <w:right w:val="none" w:sz="0" w:space="0" w:color="auto"/>
      </w:divBdr>
    </w:div>
    <w:div w:id="1612513284">
      <w:bodyDiv w:val="1"/>
      <w:marLeft w:val="0"/>
      <w:marRight w:val="0"/>
      <w:marTop w:val="0"/>
      <w:marBottom w:val="0"/>
      <w:divBdr>
        <w:top w:val="none" w:sz="0" w:space="0" w:color="auto"/>
        <w:left w:val="none" w:sz="0" w:space="0" w:color="auto"/>
        <w:bottom w:val="none" w:sz="0" w:space="0" w:color="auto"/>
        <w:right w:val="none" w:sz="0" w:space="0" w:color="auto"/>
      </w:divBdr>
    </w:div>
    <w:div w:id="1692217342">
      <w:bodyDiv w:val="1"/>
      <w:marLeft w:val="0"/>
      <w:marRight w:val="0"/>
      <w:marTop w:val="0"/>
      <w:marBottom w:val="0"/>
      <w:divBdr>
        <w:top w:val="none" w:sz="0" w:space="0" w:color="auto"/>
        <w:left w:val="none" w:sz="0" w:space="0" w:color="auto"/>
        <w:bottom w:val="none" w:sz="0" w:space="0" w:color="auto"/>
        <w:right w:val="none" w:sz="0" w:space="0" w:color="auto"/>
      </w:divBdr>
    </w:div>
    <w:div w:id="1754618986">
      <w:bodyDiv w:val="1"/>
      <w:marLeft w:val="0"/>
      <w:marRight w:val="0"/>
      <w:marTop w:val="0"/>
      <w:marBottom w:val="0"/>
      <w:divBdr>
        <w:top w:val="none" w:sz="0" w:space="0" w:color="auto"/>
        <w:left w:val="none" w:sz="0" w:space="0" w:color="auto"/>
        <w:bottom w:val="none" w:sz="0" w:space="0" w:color="auto"/>
        <w:right w:val="none" w:sz="0" w:space="0" w:color="auto"/>
      </w:divBdr>
    </w:div>
    <w:div w:id="1809857888">
      <w:bodyDiv w:val="1"/>
      <w:marLeft w:val="0"/>
      <w:marRight w:val="0"/>
      <w:marTop w:val="0"/>
      <w:marBottom w:val="0"/>
      <w:divBdr>
        <w:top w:val="none" w:sz="0" w:space="0" w:color="auto"/>
        <w:left w:val="none" w:sz="0" w:space="0" w:color="auto"/>
        <w:bottom w:val="none" w:sz="0" w:space="0" w:color="auto"/>
        <w:right w:val="none" w:sz="0" w:space="0" w:color="auto"/>
      </w:divBdr>
    </w:div>
    <w:div w:id="1922980303">
      <w:bodyDiv w:val="1"/>
      <w:marLeft w:val="0"/>
      <w:marRight w:val="0"/>
      <w:marTop w:val="0"/>
      <w:marBottom w:val="0"/>
      <w:divBdr>
        <w:top w:val="none" w:sz="0" w:space="0" w:color="auto"/>
        <w:left w:val="none" w:sz="0" w:space="0" w:color="auto"/>
        <w:bottom w:val="none" w:sz="0" w:space="0" w:color="auto"/>
        <w:right w:val="none" w:sz="0" w:space="0" w:color="auto"/>
      </w:divBdr>
    </w:div>
    <w:div w:id="1934169396">
      <w:bodyDiv w:val="1"/>
      <w:marLeft w:val="0"/>
      <w:marRight w:val="0"/>
      <w:marTop w:val="0"/>
      <w:marBottom w:val="0"/>
      <w:divBdr>
        <w:top w:val="none" w:sz="0" w:space="0" w:color="auto"/>
        <w:left w:val="none" w:sz="0" w:space="0" w:color="auto"/>
        <w:bottom w:val="none" w:sz="0" w:space="0" w:color="auto"/>
        <w:right w:val="none" w:sz="0" w:space="0" w:color="auto"/>
      </w:divBdr>
    </w:div>
    <w:div w:id="2024698737">
      <w:bodyDiv w:val="1"/>
      <w:marLeft w:val="0"/>
      <w:marRight w:val="0"/>
      <w:marTop w:val="0"/>
      <w:marBottom w:val="0"/>
      <w:divBdr>
        <w:top w:val="none" w:sz="0" w:space="0" w:color="auto"/>
        <w:left w:val="none" w:sz="0" w:space="0" w:color="auto"/>
        <w:bottom w:val="none" w:sz="0" w:space="0" w:color="auto"/>
        <w:right w:val="none" w:sz="0" w:space="0" w:color="auto"/>
      </w:divBdr>
    </w:div>
    <w:div w:id="2071927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Pau98</b:Tag>
    <b:SourceType>Report</b:SourceType>
    <b:Guid>{8D7F9BFB-A3A4-CE4D-93B1-A60D2FE57D0B}</b:Guid>
    <b:Author>
      <b:Author>
        <b:NameList>
          <b:Person>
            <b:Last>Gompers</b:Last>
            <b:First>Paul</b:First>
            <b:Middle>A.</b:Middle>
          </b:Person>
          <b:Person>
            <b:Last>Lerner</b:Last>
            <b:First>Josh</b:First>
          </b:Person>
        </b:NameList>
      </b:Author>
    </b:Author>
    <b:Title>What Drives Venture Capital Fundraising? </b:Title>
    <b:Institution>Harvard University National Bureau of Economic Research </b:Institution>
    <b:Year>1998</b:Year>
    <b:RefOrder>7</b:RefOrder>
  </b:Source>
  <b:Source>
    <b:Tag>Kam05</b:Tag>
    <b:SourceType>Report</b:SourceType>
    <b:Guid>{418B8CAB-5536-9648-A48B-B5A57574F38B}</b:Guid>
    <b:Title>Breder, lager, eenvoudiger? Een evaluatie van de belastingherziening 2001</b:Title>
    <b:Year>2005</b:Year>
    <b:Publisher>Tweede Kamer der Staten-Generaal</b:Publisher>
    <b:City>Nederland</b:City>
    <b:Author>
      <b:Author>
        <b:NameList>
          <b:Person>
            <b:Last>Kamerstuk</b:Last>
          </b:Person>
        </b:NameList>
      </b:Author>
    </b:Author>
    <b:RefOrder>1</b:RefOrder>
  </b:Source>
  <b:Source>
    <b:Tag>Tho13</b:Tag>
    <b:SourceType>BookSection</b:SourceType>
    <b:Guid>{BFEDCF81-ECE6-AD49-B595-20D4C56DACCE}</b:Guid>
    <b:Title>Capital in the 21st century</b:Title>
    <b:City>Paris</b:City>
    <b:Year>2013</b:Year>
    <b:Author>
      <b:Author>
        <b:NameList>
          <b:Person>
            <b:Last>Piketty</b:Last>
            <b:First>Thomas</b:First>
          </b:Person>
        </b:NameList>
      </b:Author>
      <b:BookAuthor>
        <b:NameList>
          <b:Person>
            <b:Last>Piketty</b:Last>
            <b:First>Thomas</b:First>
          </b:Person>
        </b:NameList>
      </b:BookAuthor>
    </b:Author>
    <b:BookTitle>Capital in the 21st century</b:BookTitle>
    <b:RefOrder>8</b:RefOrder>
  </b:Source>
  <b:Source>
    <b:Tag>Eur12</b:Tag>
    <b:SourceType>BookSection</b:SourceType>
    <b:Guid>{6595A893-8467-6F4A-A114-65AAAAEFF766}</b:Guid>
    <b:Author>
      <b:Author>
        <b:Corporate>European Commission</b:Corporate>
      </b:Author>
    </b:Author>
    <b:Title>Assessment of the 2012 national reform programme and convergence programme for The Netherlands</b:Title>
    <b:City>Brussels</b:City>
    <b:Year>2012</b:Year>
    <b:RefOrder>9</b:RefOrder>
  </b:Source>
  <b:Source>
    <b:Tag>Jac15</b:Tag>
    <b:SourceType>JournalArticle</b:SourceType>
    <b:Guid>{E645F06C-737C-2D48-B155-0E70813B9B52}</b:Guid>
    <b:Author>
      <b:Author>
        <b:NameList>
          <b:Person>
            <b:Last>Jacobs</b:Last>
            <b:First>Bas</b:First>
          </b:Person>
        </b:NameList>
      </b:Author>
    </b:Author>
    <b:Title>Belastingen op Kapitaalinkomen in Nederland</b:Title>
    <b:Year>2015</b:Year>
    <b:Volume>1</b:Volume>
    <b:JournalName>Tijdschrift voor openbare financien</b:JournalName>
    <b:Issue>47</b:Issue>
    <b:RefOrder>10</b:RefOrder>
  </b:Source>
  <b:Source>
    <b:Tag>Chr</b:Tag>
    <b:SourceType>Misc</b:SourceType>
    <b:Guid>{EC6272C6-0D70-2F4A-AFF2-3D19218381DD}</b:Guid>
    <b:Author>
      <b:Author>
        <b:NameList>
          <b:Person>
            <b:Last>Christiansen</b:Last>
            <b:First>Vidar</b:First>
          </b:Person>
        </b:NameList>
      </b:Author>
    </b:Author>
    <b:Title>Norwegian Income Tax Reforms</b:Title>
    <b:Publisher>University of Oslo</b:Publisher>
    <b:RefOrder>11</b:RefOrder>
  </b:Source>
  <b:Source>
    <b:Tag>Mir111</b:Tag>
    <b:SourceType>JournalArticle</b:SourceType>
    <b:Guid>{408B2B7E-6735-3E46-8E23-096B8D1A2575}</b:Guid>
    <b:Author>
      <b:Author>
        <b:NameList>
          <b:Person>
            <b:Last>Mirrlees</b:Last>
            <b:First>James</b:First>
          </b:Person>
          <b:Person>
            <b:Last>Stuart</b:Last>
            <b:First>Adam</b:First>
          </b:Person>
          <b:Person>
            <b:Last>Besley</b:Last>
            <b:First>Timothy</b:First>
          </b:Person>
          <b:Person>
            <b:Last>Blundell</b:Last>
            <b:First>Richard</b:First>
          </b:Person>
          <b:Person>
            <b:Last>Bond</b:Last>
            <b:First>Stephen</b:First>
          </b:Person>
          <b:Person>
            <b:Last>Chote</b:Last>
            <b:First>Robert</b:First>
          </b:Person>
          <b:Person>
            <b:Last>Gammie</b:Last>
            <b:First>Malcolm</b:First>
          </b:Person>
          <b:Person>
            <b:Last>Johnson</b:Last>
            <b:First>Paul</b:First>
          </b:Person>
          <b:Person>
            <b:Last>Myles</b:Last>
            <b:First>Gareth</b:First>
          </b:Person>
          <b:Person>
            <b:Last>Poterba</b:Last>
            <b:First>James</b:First>
          </b:Person>
        </b:NameList>
      </b:Author>
    </b:Author>
    <b:Title>The Mirrlees Review: Conclusions and Recommendations for Reform</b:Title>
    <b:JournalName>Journal of Applied Public Economics</b:JournalName>
    <b:Year>2011</b:Year>
    <b:RefOrder>12</b:RefOrder>
  </b:Source>
  <b:Source>
    <b:Tag>Jos83</b:Tag>
    <b:SourceType>JournalArticle</b:SourceType>
    <b:Guid>{48D8C79B-C30B-DB4A-88DF-91B600A92806}</b:Guid>
    <b:Author>
      <b:Author>
        <b:NameList>
          <b:Person>
            <b:Last>Stiglitz</b:Last>
            <b:First>Joseph</b:First>
            <b:Middle>E.</b:Middle>
          </b:Person>
        </b:NameList>
      </b:Author>
    </b:Author>
    <b:Title>SOME ASPECTS OF THE TAXATION OF CAPITAL GAINS</b:Title>
    <b:JournalName>NBER Working Paper Series</b:JournalName>
    <b:Year>1983</b:Year>
    <b:RefOrder>13</b:RefOrder>
  </b:Source>
  <b:Source>
    <b:Tag>Atk80</b:Tag>
    <b:SourceType>BookSection</b:SourceType>
    <b:Guid>{C8C8E29B-2599-294C-9CB7-83C8B9E2744E}</b:Guid>
    <b:Author>
      <b:Author>
        <b:NameList>
          <b:Person>
            <b:Last>Atkinson</b:Last>
            <b:First>Anthony</b:First>
            <b:Middle>B.</b:Middle>
          </b:Person>
          <b:Person>
            <b:Last>Stiglitz</b:Last>
            <b:First>Joseph</b:First>
            <b:Middle>E.</b:Middle>
          </b:Person>
        </b:NameList>
      </b:Author>
      <b:BookAuthor>
        <b:NameList>
          <b:Person>
            <b:Last>Atkinson</b:Last>
            <b:First>Anthony</b:First>
            <b:Middle>B.</b:Middle>
          </b:Person>
          <b:Person>
            <b:Last>Stiglitz</b:Last>
            <b:First>Joseph</b:First>
            <b:Middle>E.</b:Middle>
          </b:Person>
        </b:NameList>
      </b:BookAuthor>
    </b:Author>
    <b:Title>Lectures on Public Economics</b:Title>
    <b:Year>1980</b:Year>
    <b:BookTitle>Lectures on Public Economics</b:BookTitle>
    <b:RefOrder>14</b:RefOrder>
  </b:Source>
  <b:Source>
    <b:Tag>Bas15</b:Tag>
    <b:SourceType>BookSection</b:SourceType>
    <b:Guid>{E049003D-3605-974E-9F58-38B7C898BA02}</b:Guid>
    <b:Author>
      <b:Author>
        <b:NameList>
          <b:Person>
            <b:Last>Jacobs</b:Last>
            <b:First>Bas</b:First>
          </b:Person>
        </b:NameList>
      </b:Author>
      <b:BookAuthor>
        <b:NameList>
          <b:Person>
            <b:Last>Jacobs</b:Last>
            <b:First>Bas</b:First>
          </b:Person>
        </b:NameList>
      </b:BookAuthor>
    </b:Author>
    <b:Title>De Prijs van Gelijkheid</b:Title>
    <b:BookTitle>De Prijs van Gelijkheid</b:BookTitle>
    <b:City>Amsterdam</b:City>
    <b:Publisher>Prometheus</b:Publisher>
    <b:Year>2015</b:Year>
    <b:RefOrder>15</b:RefOrder>
  </b:Source>
  <b:Source>
    <b:Tag>Cno</b:Tag>
    <b:SourceType>Report</b:SourceType>
    <b:Guid>{96CC2D50-6F69-1548-AFCA-14877544960B}</b:Guid>
    <b:Title>Vermogensrendementsheffing: vondst of miskleun?</b:Title>
    <b:Publisher>Erasmus Universiteit Rotterdam</b:Publisher>
    <b:Author>
      <b:Author>
        <b:NameList>
          <b:Person>
            <b:Last>Cnossen</b:Last>
            <b:First>Sijbren</b:First>
          </b:Person>
        </b:NameList>
      </b:Author>
    </b:Author>
    <b:Department>Onderzoekcentrum Financieel Economisch Beleid (OCFEB)</b:Department>
    <b:RefOrder>16</b:RefOrder>
  </b:Source>
  <b:Source>
    <b:Tag>Mic13</b:Tag>
    <b:SourceType>Report</b:SourceType>
    <b:Guid>{38C18F86-868A-D34B-A972-9BFB9DB580BA}</b:Guid>
    <b:Author>
      <b:Author>
        <b:NameList>
          <b:Person>
            <b:Last>Harding</b:Last>
            <b:First>Michelle</b:First>
          </b:Person>
        </b:NameList>
      </b:Author>
    </b:Author>
    <b:Title>Taxation of Dividend, Interest, and Capital Gain Income </b:Title>
    <b:Institution>OECD</b:Institution>
    <b:Department>Taxation Working Papers</b:Department>
    <b:Publisher>OECD Publishing</b:Publisher>
    <b:Year>2013</b:Year>
    <b:RefOrder>2</b:RefOrder>
  </b:Source>
  <b:Source>
    <b:Tag>Fel78</b:Tag>
    <b:SourceType>JournalArticle</b:SourceType>
    <b:Guid>{B61E48C0-A774-3048-A849-44A5D6DDE826}</b:Guid>
    <b:Author>
      <b:Author>
        <b:NameList>
          <b:Person>
            <b:Last>Feldstein</b:Last>
            <b:First>Martin</b:First>
          </b:Person>
          <b:Person>
            <b:Last>Yitzhaki</b:Last>
            <b:First>Shlomo</b:First>
          </b:Person>
        </b:NameList>
      </b:Author>
    </b:Author>
    <b:Title>The Effects Of The Capital Gains Tax On The Selling And Switching Of Common Stock</b:Title>
    <b:Year>1978</b:Year>
    <b:JournalName>Journal of Public Economics 9</b:JournalName>
    <b:RefOrder>17</b:RefOrder>
  </b:Source>
  <b:Source>
    <b:Tag>Pet76</b:Tag>
    <b:SourceType>JournalArticle</b:SourceType>
    <b:Guid>{6076901D-5DA3-794C-8A3B-F6AE19FC97FE}</b:Guid>
    <b:Author>
      <b:Author>
        <b:NameList>
          <b:Person>
            <b:Last>Eilbott</b:Last>
            <b:First>Peter</b:First>
          </b:Person>
          <b:Person>
            <b:Last>Hersh</b:Last>
            <b:First>Larry</b:First>
          </b:Person>
        </b:NameList>
      </b:Author>
    </b:Author>
    <b:JournalName>Nebraska Journal of Economics &amp; Business.  , p21. 13p.</b:JournalName>
    <b:Year>1976</b:Year>
    <b:Volume>Vol. 15 </b:Volume>
    <b:Issue>Issue 1</b:Issue>
    <b:Pages>21-33</b:Pages>
    <b:RefOrder>18</b:RefOrder>
  </b:Source>
  <b:Source>
    <b:Tag>Yos95</b:Tag>
    <b:SourceType>JournalArticle</b:SourceType>
    <b:Guid>{3017732C-61BD-0E40-BA52-3AA039A9320B}</b:Guid>
    <b:Author>
      <b:Author>
        <b:NameList>
          <b:Person>
            <b:Last>Kanemoto</b:Last>
            <b:First>Yoshitsugu</b:First>
          </b:Person>
        </b:NameList>
      </b:Author>
    </b:Author>
    <b:Title>On the "Lock-in" Effectsof Capital Gains Taxation</b:Title>
    <b:JournalName>Journal of Urban Economics</b:JournalName>
    <b:Year>1995</b:Year>
    <b:Month>May</b:Month>
    <b:Day>5</b:Day>
    <b:Volume>40</b:Volume>
    <b:Pages>303-315</b:Pages>
    <b:RefOrder>19</b:RefOrder>
  </b:Source>
  <b:Source>
    <b:Tag>Car16</b:Tag>
    <b:SourceType>JournalArticle</b:SourceType>
    <b:Guid>{A06BFB73-1D88-FE43-BFC2-2305084F8127}</b:Guid>
    <b:Title>Taxation of capital gains and Lock-in effect in the Spanish Dual Income Tax</b:Title>
    <b:Year>2016</b:Year>
    <b:Pages>15-21</b:Pages>
    <b:Author>
      <b:Author>
        <b:NameList>
          <b:Person>
            <b:Last>Caro</b:Last>
            <b:First>Carlos</b:First>
            <b:Middle>Díaz</b:Middle>
          </b:Person>
          <b:Person>
            <b:Last>Cebada</b:Last>
            <b:First>Eva</b:First>
            <b:Middle>Crespo</b:Middle>
          </b:Person>
        </b:NameList>
      </b:Author>
    </b:Author>
    <b:JournalName>European Journal of Management and Business Economics</b:JournalName>
    <b:Month>January</b:Month>
    <b:Day>13</b:Day>
    <b:RefOrder>20</b:RefOrder>
  </b:Source>
  <b:Source>
    <b:Tag>Tho10</b:Tag>
    <b:SourceType>Report</b:SourceType>
    <b:Guid>{3E7EFECC-B16D-9345-A5A9-DFB9F46CD95A}</b:Guid>
    <b:Author>
      <b:Author>
        <b:NameList>
          <b:Person>
            <b:Last>Hungerford</b:Last>
            <b:First>Thomas</b:First>
            <b:Middle>L.</b:Middle>
          </b:Person>
        </b:NameList>
      </b:Author>
    </b:Author>
    <b:Title>The Economic Effects of Capital Gains Taxation</b:Title>
    <b:Institution>Congressional Research Service</b:Institution>
    <b:Publisher>Congressional Research Service</b:Publisher>
    <b:Year>2010</b:Year>
    <b:Pages>14</b:Pages>
    <b:RefOrder>21</b:RefOrder>
  </b:Source>
  <b:Source>
    <b:Tag>Jan91</b:Tag>
    <b:SourceType>Report</b:SourceType>
    <b:Guid>{B3F5E971-BD5B-EC43-9645-C866C72EBDBA}</b:Guid>
    <b:Author>
      <b:Author>
        <b:NameList>
          <b:Person>
            <b:Last>Gravelle</b:Last>
            <b:First>Jane</b:First>
            <b:Middle>G.</b:Middle>
          </b:Person>
        </b:NameList>
      </b:Author>
    </b:Author>
    <b:Title>Limits to Capital Gains Feedback Effects</b:Title>
    <b:Publisher>Congressional Research Service</b:Publisher>
    <b:Year>1991</b:Year>
    <b:RefOrder>22</b:RefOrder>
  </b:Source>
  <b:Source>
    <b:Tag>Jan14</b:Tag>
    <b:SourceType>Report</b:SourceType>
    <b:Guid>{2A8CC48D-6396-4840-94EE-1E64DC222738}</b:Guid>
    <b:Author>
      <b:Author>
        <b:NameList>
          <b:Person>
            <b:Last>Gravelle</b:Last>
            <b:First>Jane</b:First>
            <b:Middle>G.</b:Middle>
          </b:Person>
          <b:Person>
            <b:Last>Marples</b:Last>
            <b:First>Donald</b:First>
            <b:Middle>J.</b:Middle>
          </b:Person>
        </b:NameList>
      </b:Author>
    </b:Author>
    <b:Title>Tax Rates and Economic Growth</b:Title>
    <b:Publisher>Congressional Research Service</b:Publisher>
    <b:Year>2014</b:Year>
    <b:Pages>12</b:Pages>
    <b:RefOrder>23</b:RefOrder>
  </b:Source>
  <b:Source>
    <b:Tag>Leo11</b:Tag>
    <b:SourceType>Report</b:SourceType>
    <b:Guid>{7DE7D711-E4D8-414D-B2CC-1559DBC68260}</b:Guid>
    <b:Author>
      <b:Author>
        <b:NameList>
          <b:Person>
            <b:Last>Burman</b:Last>
            <b:First>Leonard.</b:First>
            <b:Middle>E.</b:Middle>
          </b:Person>
        </b:NameList>
      </b:Author>
    </b:Author>
    <b:Title>Tax Reform Options: Marginal Rates on High-Income Taxpayers, Capital Gains, and Dividends </b:Title>
    <b:Publisher>Senate Committee on Finance</b:Publisher>
    <b:Year>2011</b:Year>
    <b:RefOrder>24</b:RefOrder>
  </b:Source>
  <b:Source>
    <b:Tag>Cle14</b:Tag>
    <b:SourceType>BookSection</b:SourceType>
    <b:Guid>{DC5DE200-0CC0-9C4E-B48F-5BFF95DAFFB3}</b:Guid>
    <b:Title>The Economic Costs of Capital Gains Taxes in Canada</b:Title>
    <b:Publisher>The Fraser Institute</b:Publisher>
    <b:Year>2014</b:Year>
    <b:Pages>1-37</b:Pages>
    <b:Author>
      <b:Author>
        <b:NameList>
          <b:Person>
            <b:Last>Clemens</b:Last>
            <b:First>Jason</b:First>
          </b:Person>
          <b:Person>
            <b:Last>Lammam</b:Last>
            <b:First>Charles</b:First>
          </b:Person>
          <b:Person>
            <b:Last>Lo</b:Last>
            <b:First>Matthew</b:First>
          </b:Person>
        </b:NameList>
      </b:Author>
      <b:BookAuthor>
        <b:NameList>
          <b:Person>
            <b:Last>Clemens</b:Last>
            <b:First>Jason</b:First>
          </b:Person>
          <b:Person>
            <b:Last>Lammam</b:Last>
            <b:First>Charles</b:First>
          </b:Person>
          <b:Person>
            <b:Last>Lo</b:Last>
            <b:First>Matthew</b:First>
          </b:Person>
        </b:NameList>
      </b:BookAuthor>
    </b:Author>
    <b:BookTitle>Capital Gains Tax Reform in Canada: Lessons from Abroad</b:BookTitle>
    <b:CountryRegion>Canada</b:CountryRegion>
    <b:RefOrder>25</b:RefOrder>
  </b:Source>
  <b:Source>
    <b:Tag>Aar15</b:Tag>
    <b:SourceType>BookSection</b:SourceType>
    <b:Guid>{03E6C188-0AD6-9F4E-864A-A10B2F1333A6}</b:Guid>
    <b:Author>
      <b:Author>
        <b:NameList>
          <b:Person>
            <b:Last>Gerritsen</b:Last>
            <b:First>Aart</b:First>
            <b:Middle>F.</b:Middle>
          </b:Person>
          <b:Person>
            <b:Last>Jacobs</b:Last>
            <b:First>Bas</b:First>
          </b:Person>
          <b:Person>
            <b:Last>Rusu</b:Last>
            <b:First>Alexandra</b:First>
          </b:Person>
          <b:Person>
            <b:Last>Spiritus</b:Last>
            <b:First>Kevin</b:First>
          </b:Person>
        </b:NameList>
      </b:Author>
    </b:Author>
    <b:Title>Optimal Taxation of Capital Income when Individuals Have Different Returns</b:Title>
    <b:Publisher>Erasmus Universiteit Rotterdam</b:Publisher>
    <b:Year>2015</b:Year>
    <b:RefOrder>26</b:RefOrder>
  </b:Source>
  <b:Source>
    <b:Tag>Dia</b:Tag>
    <b:SourceType>JournalArticle</b:SourceType>
    <b:Guid>{DEE97042-4E08-D448-8E5B-6E304A04DDB1}</b:Guid>
    <b:Author>
      <b:Author>
        <b:NameList>
          <b:Person>
            <b:Last>Diamond</b:Last>
            <b:First>Peter</b:First>
            <b:Middle>A.</b:Middle>
          </b:Person>
          <b:Person>
            <b:Last>Saez</b:Last>
            <b:First>Emmanuel</b:First>
          </b:Person>
        </b:NameList>
      </b:Author>
    </b:Author>
    <b:Title>The Case for a Progressive Income Tax</b:Title>
    <b:Volume>25</b:Volume>
    <b:Pages>165-190</b:Pages>
    <b:JournalName>Journal of Economic Perspectives</b:JournalName>
    <b:Issue>4</b:Issue>
    <b:Year>2011</b:Year>
    <b:RefOrder>27</b:RefOrder>
  </b:Source>
  <b:Source>
    <b:Tag>Hel01</b:Tag>
    <b:SourceType>JournalArticle</b:SourceType>
    <b:Guid>{BCB2A11B-F410-3645-B280-66FBF779ABF2}</b:Guid>
    <b:Author>
      <b:Author>
        <b:NameList>
          <b:Person>
            <b:Last>Cremer</b:Last>
            <b:First>Helmuth</b:First>
          </b:Person>
          <b:Person>
            <b:Last>Pestieau</b:Last>
            <b:First>Pierre</b:First>
          </b:Person>
          <b:Person>
            <b:Last>Rochet</b:Last>
            <b:First>Jean-Charles</b:First>
          </b:Person>
        </b:NameList>
      </b:Author>
    </b:Author>
    <b:Title>Direct versus Indirect Taxation: The Design of Tax Structure Revisited</b:Title>
    <b:JournalName>International Economic Review</b:JournalName>
    <b:Year>2001</b:Year>
    <b:Volume>42</b:Volume>
    <b:Issue>3</b:Issue>
    <b:Pages>781-799</b:Pages>
    <b:RefOrder>28</b:RefOrder>
  </b:Source>
  <b:Source>
    <b:Tag>Tho131</b:Tag>
    <b:SourceType>JournalArticle</b:SourceType>
    <b:Guid>{76646549-F1F7-5E44-B8EF-6478EE9CCECE}</b:Guid>
    <b:Author>
      <b:Author>
        <b:NameList>
          <b:Person>
            <b:Last>Piketty</b:Last>
            <b:First>Thomas</b:First>
          </b:Person>
          <b:Person>
            <b:Last>Saez</b:Last>
            <b:First>Emmanuel</b:First>
          </b:Person>
        </b:NameList>
      </b:Author>
    </b:Author>
    <b:Title>A Theory of Optimal Inheritance Taxation</b:Title>
    <b:JournalName>Econometrica</b:JournalName>
    <b:Year>2013</b:Year>
    <b:Volume>81</b:Volume>
    <b:Issue>5</b:Issue>
    <b:Pages>1851-1886</b:Pages>
    <b:RefOrder>29</b:RefOrder>
  </b:Source>
  <b:Source>
    <b:Tag>Tho12</b:Tag>
    <b:SourceType>Report</b:SourceType>
    <b:Guid>{0338D181-7289-EA4E-87A9-1E6101657354}</b:Guid>
    <b:Title>Taxes and the Economy: An Economic Analysis of the Top Tax Rates Since 1945</b:Title>
    <b:Publisher>Congressional Research Service</b:Publisher>
    <b:Year>2012</b:Year>
    <b:Author>
      <b:Author>
        <b:NameList>
          <b:Person>
            <b:Last>Hungerford</b:Last>
            <b:First>Thomas</b:First>
            <b:Middle>L.</b:Middle>
          </b:Person>
        </b:NameList>
      </b:Author>
    </b:Author>
    <b:RefOrder>30</b:RefOrder>
  </b:Source>
  <b:Source>
    <b:Tag>Jam10</b:Tag>
    <b:SourceType>JournalArticle</b:SourceType>
    <b:Guid>{6AE42511-ECBB-8E47-B8E0-DCE07EEA1075}</b:Guid>
    <b:Author>
      <b:Author>
        <b:NameList>
          <b:Person>
            <b:Last>Banks</b:Last>
            <b:First>James</b:First>
          </b:Person>
          <b:Person>
            <b:Last>Diamond</b:Last>
            <b:First>Peter</b:First>
            <b:Middle>A.</b:Middle>
          </b:Person>
        </b:NameList>
      </b:Author>
    </b:Author>
    <b:Title>The Base for Direct Taxation</b:Title>
    <b:JournalName>The Mirrlees Review</b:JournalName>
    <b:Year>2010</b:Year>
    <b:Pages>548-648</b:Pages>
    <b:RefOrder>31</b:RefOrder>
  </b:Source>
  <b:Source>
    <b:Tag>Bas14</b:Tag>
    <b:SourceType>JournalArticle</b:SourceType>
    <b:Guid>{5C819D99-20B3-7642-AA91-41141FF018A1}</b:Guid>
    <b:Author>
      <b:Author>
        <b:NameList>
          <b:Person>
            <b:Last>Jacobs</b:Last>
            <b:First>Bas</b:First>
          </b:Person>
          <b:Person>
            <b:Last>Boadway</b:Last>
            <b:First>Robin</b:First>
          </b:Person>
        </b:NameList>
      </b:Author>
    </b:Author>
    <b:Title>Optimal Linear Commodity Taxation under Optimal Non-Linear Income Taxation</b:Title>
    <b:JournalName>Journal of Public Economics</b:JournalName>
    <b:Year>2014</b:Year>
    <b:Volume>117</b:Volume>
    <b:Issue>1</b:Issue>
    <b:Pages>201-210</b:Pages>
    <b:RefOrder>32</b:RefOrder>
  </b:Source>
  <b:Source>
    <b:Tag>Juk14</b:Tag>
    <b:SourceType>JournalArticle</b:SourceType>
    <b:Guid>{853A3F0F-3E40-8244-A162-E8D0D20252B8}</b:Guid>
    <b:Author>
      <b:Author>
        <b:NameList>
          <b:Person>
            <b:Last>Pirttilä</b:Last>
            <b:First>Jukka</b:First>
          </b:Person>
          <b:Person>
            <b:Last>Suoniemi</b:Last>
            <b:First>Ilpo</b:First>
          </b:Person>
        </b:NameList>
      </b:Author>
    </b:Author>
    <b:Title>Public Provision, Commodity Demand and Hours of Work: An Empirical Analysis</b:Title>
    <b:JournalName>Scandinavian Journal of Economics</b:JournalName>
    <b:Year>2014</b:Year>
    <b:Volume>116</b:Volume>
    <b:Issue>4</b:Issue>
    <b:Pages>1044-1067</b:Pages>
    <b:RefOrder>33</b:RefOrder>
  </b:Source>
  <b:Source>
    <b:Tag>Rog14</b:Tag>
    <b:SourceType>JournalArticle</b:SourceType>
    <b:Guid>{070BD15C-0F64-0C42-820D-B10717DB1FD1}</b:Guid>
    <b:Author>
      <b:Author>
        <b:NameList>
          <b:Person>
            <b:Last>Gordon</b:Last>
            <b:First>Roger</b:First>
            <b:Middle>H.</b:Middle>
          </b:Person>
          <b:Person>
            <b:Last>Kopczuk</b:Last>
            <b:First>Woijcech</b:First>
          </b:Person>
        </b:NameList>
      </b:Author>
    </b:Author>
    <b:Title>The Choice of the Personal Income Tax Base</b:Title>
    <b:Year>2014</b:Year>
    <b:Volume>118</b:Volume>
    <b:Pages>97-110</b:Pages>
    <b:RefOrder>34</b:RefOrder>
  </b:Source>
  <b:Source>
    <b:Tag>And02</b:Tag>
    <b:SourceType>JournalArticle</b:SourceType>
    <b:Guid>{23FAD8A1-5D2F-4D4A-9965-B51DC459E54B}</b:Guid>
    <b:Author>
      <b:Author>
        <b:NameList>
          <b:Person>
            <b:Last>Erosa</b:Last>
            <b:First>Andrés</b:First>
          </b:Person>
          <b:Person>
            <b:Last>Gervais</b:Last>
            <b:First>Martin</b:First>
          </b:Person>
        </b:NameList>
      </b:Author>
    </b:Author>
    <b:Title>Optimal Taxation in Life-Cycle Economies</b:Title>
    <b:JournalName>Journal of Economic Theory</b:JournalName>
    <b:Year>2002</b:Year>
    <b:Volume>105</b:Volume>
    <b:Issue>2</b:Issue>
    <b:Pages>338-369</b:Pages>
    <b:RefOrder>35</b:RefOrder>
  </b:Source>
  <b:Source>
    <b:Tag>Jua09</b:Tag>
    <b:SourceType>JournalArticle</b:SourceType>
    <b:Guid>{BD2009E1-2422-2C45-BAD8-67CCAB646BAC}</b:Guid>
    <b:Author>
      <b:Author>
        <b:NameList>
          <b:Person>
            <b:Last>Conesa</b:Last>
            <b:First>Juan</b:First>
            <b:Middle>C.</b:Middle>
          </b:Person>
          <b:Person>
            <b:Last>Kitao</b:Last>
            <b:First>Sagiri</b:First>
          </b:Person>
          <b:Person>
            <b:Last>Krueger</b:Last>
            <b:First>Dirk</b:First>
          </b:Person>
        </b:NameList>
      </b:Author>
    </b:Author>
    <b:Title>Taxing Capital? Not a Bad Idea After All</b:Title>
    <b:JournalName>American Economic Review</b:JournalName>
    <b:Year>2009</b:Year>
    <b:Volume>99</b:Volume>
    <b:Issue>1</b:Issue>
    <b:Pages>25-48</b:Pages>
    <b:RefOrder>36</b:RefOrder>
  </b:Source>
  <b:Source>
    <b:Tag>Ruu08</b:Tag>
    <b:SourceType>JournalArticle</b:SourceType>
    <b:Guid>{F0FC479C-0EBE-0E4D-89CD-1FB084F93654}</b:Guid>
    <b:Author>
      <b:Author>
        <b:NameList>
          <b:Person>
            <b:Last>Mooij</b:Last>
            <b:First>Ruud</b:First>
            <b:Middle>A. de</b:Middle>
          </b:Person>
          <b:Person>
            <b:Last>Nicodème</b:Last>
            <b:First>Gaëtan</b:First>
          </b:Person>
        </b:NameList>
      </b:Author>
    </b:Author>
    <b:Title>Corporate Tax Policy and Incorporation in the EU</b:Title>
    <b:JournalName>International Tax and Public Finance</b:JournalName>
    <b:Year>2008</b:Year>
    <b:Volume>15</b:Volume>
    <b:Issue>4</b:Issue>
    <b:Pages>478-498</b:Pages>
    <b:RefOrder>37</b:RefOrder>
  </b:Source>
  <b:Source>
    <b:Tag>Isa96</b:Tag>
    <b:SourceType>JournalArticle</b:SourceType>
    <b:Guid>{0E5B0B72-7F50-6043-AB18-3D8D8578617C}</b:Guid>
    <b:Author>
      <b:Author>
        <b:NameList>
          <b:Person>
            <b:Last>Correia</b:Last>
            <b:First>Isabel</b:First>
            <b:Middle>H.</b:Middle>
          </b:Person>
        </b:NameList>
      </b:Author>
    </b:Author>
    <b:Title>Should Capital Income be Taxed in the Steady State</b:Title>
    <b:JournalName>Journal of Public Economics</b:JournalName>
    <b:Year>1996</b:Year>
    <b:Volume>60</b:Volume>
    <b:Issue>1</b:Issue>
    <b:Pages>147-151</b:Pages>
    <b:RefOrder>38</b:RefOrder>
  </b:Source>
  <b:Source>
    <b:Tag>Vid08</b:Tag>
    <b:SourceType>JournalArticle</b:SourceType>
    <b:Guid>{7914A8F1-5AB0-AA46-A395-BE3AF1ED6961}</b:Guid>
    <b:Author>
      <b:Author>
        <b:NameList>
          <b:Person>
            <b:Last>Christiansen</b:Last>
            <b:First>Vidar</b:First>
          </b:Person>
          <b:Person>
            <b:Last>Tuomala</b:Last>
            <b:First>Matti</b:First>
          </b:Person>
        </b:NameList>
      </b:Author>
    </b:Author>
    <b:Title>On Taxing Capital Income with Income Shifting</b:Title>
    <b:JournalName>International Tax and Public Finance</b:JournalName>
    <b:Year>2008</b:Year>
    <b:Volume>15</b:Volume>
    <b:Issue>4</b:Issue>
    <b:Pages>527-545</b:Pages>
    <b:RefOrder>39</b:RefOrder>
  </b:Source>
  <b:Source>
    <b:Tag>Ora10</b:Tag>
    <b:SourceType>JournalArticle</b:SourceType>
    <b:Guid>{1E3D1C03-F65B-6C4C-A195-D04045C3A8C4}</b:Guid>
    <b:Author>
      <b:Author>
        <b:NameList>
          <b:Person>
            <b:Last>Attanasio</b:Last>
            <b:First>Orazio</b:First>
            <b:Middle>P.</b:Middle>
          </b:Person>
          <b:Person>
            <b:Last>Weber</b:Last>
            <b:First>Guilermo</b:First>
          </b:Person>
        </b:NameList>
      </b:Author>
    </b:Author>
    <b:Title>Consumption and Saving: Models of Intertemporal Allocation and their Implications for Public Policy</b:Title>
    <b:JournalName>Journal of Economic Literature</b:JournalName>
    <b:Year>2010</b:Year>
    <b:Volume>48</b:Volume>
    <b:Issue>3</b:Issue>
    <b:Pages>693-751</b:Pages>
    <b:RefOrder>5</b:RefOrder>
  </b:Source>
  <b:Source>
    <b:Tag>Gle86</b:Tag>
    <b:SourceType>JournalArticle</b:SourceType>
    <b:Guid>{540BD89D-69B9-C54B-ABFD-3F41DD1BA30F}</b:Guid>
    <b:Author>
      <b:Author>
        <b:NameList>
          <b:Person>
            <b:Last>Hubbard</b:Last>
            <b:First>Glenn</b:First>
            <b:Middle>R.</b:Middle>
          </b:Person>
          <b:Person>
            <b:Last>Judd</b:Last>
            <b:First>Kenneth</b:First>
            <b:Middle>L.</b:Middle>
          </b:Person>
        </b:NameList>
      </b:Author>
    </b:Author>
    <b:Title>Liquidity Constraints, Fiscal Policy, and Consumption, Brookings Papers on Economic Activity</b:Title>
    <b:Year>1986</b:Year>
    <b:Volume>1</b:Volume>
    <b:Pages>1-59</b:Pages>
    <b:RefOrder>40</b:RefOrder>
  </b:Source>
  <b:Source>
    <b:Tag>Mik</b:Tag>
    <b:SourceType>JournalArticle</b:SourceType>
    <b:Guid>{928C32E5-3EF1-B343-B628-CB657FBEB268}</b:Guid>
    <b:Author>
      <b:Author>
        <b:NameList>
          <b:Person>
            <b:Last>Golosov</b:Last>
            <b:First>Mikhail</b:First>
          </b:Person>
          <b:Person>
            <b:Last>Tsyvinski</b:Last>
            <b:First>Aleh</b:First>
          </b:Person>
          <b:Person>
            <b:Last>Werning</b:Last>
            <b:First>Iván</b:First>
          </b:Person>
        </b:NameList>
      </b:Author>
    </b:Author>
    <b:Title>New Dynamic Public Finance: A User's Guide</b:Title>
    <b:JournalName>NBER Macroeconomics Annual</b:JournalName>
    <b:Pages>317-363</b:Pages>
    <b:RefOrder>41</b:RefOrder>
  </b:Source>
  <b:Source>
    <b:Tag>Bas10</b:Tag>
    <b:SourceType>JournalArticle</b:SourceType>
    <b:Guid>{24BD856A-9E60-A04E-8D1E-E2D24ACFA483}</b:Guid>
    <b:Author>
      <b:Author>
        <b:NameList>
          <b:Person>
            <b:Last>Jacobs</b:Last>
            <b:First>Bas</b:First>
          </b:Person>
          <b:Person>
            <b:Last>Bovenberg</b:Last>
            <b:First>Lans</b:First>
            <b:Middle>A.</b:Middle>
          </b:Person>
        </b:NameList>
      </b:Author>
    </b:Author>
    <b:Title>Human Capital and Optimal Positive Taxation of Capital Income</b:Title>
    <b:JournalName>International Tax and Public Finance</b:JournalName>
    <b:Year>2010</b:Year>
    <b:Volume>17</b:Volume>
    <b:Issue>5</b:Issue>
    <b:Pages>451-478</b:Pages>
    <b:RefOrder>42</b:RefOrder>
  </b:Source>
  <b:Source>
    <b:Tag>Juk11</b:Tag>
    <b:SourceType>JournalArticle</b:SourceType>
    <b:Guid>{E43CA591-8303-F74F-934F-3BAD007ABB8F}</b:Guid>
    <b:Author>
      <b:Author>
        <b:NameList>
          <b:Person>
            <b:Last>Pirttilä</b:Last>
            <b:First>Jukka</b:First>
          </b:Person>
          <b:Person>
            <b:Last>Selin</b:Last>
            <b:First>Håkan</b:First>
          </b:Person>
        </b:NameList>
      </b:Author>
    </b:Author>
    <b:Title>Income Shifting within a Dual income Tax System: Evidence from the Finnish Tax Reform of 1993</b:Title>
    <b:JournalName>Scandinavian Journal of Economics</b:JournalName>
    <b:Year>2011</b:Year>
    <b:Volume>113</b:Volume>
    <b:Issue>3</b:Issue>
    <b:Pages>120-144</b:Pages>
    <b:RefOrder>43</b:RefOrder>
  </b:Source>
  <b:Source>
    <b:Tag>Gor95</b:Tag>
    <b:SourceType>BookSection</b:SourceType>
    <b:Guid>{F8584896-5BDD-DD41-9506-7483AE78E1B7}</b:Guid>
    <b:Author>
      <b:Author>
        <b:NameList>
          <b:Person>
            <b:Last>Gordon</b:Last>
            <b:First>Roger</b:First>
            <b:Middle>H.</b:Middle>
          </b:Person>
          <b:Person>
            <b:Last>MacKieMason</b:Last>
            <b:First>Jeffrey</b:First>
            <b:Middle>K.</b:Middle>
          </b:Person>
        </b:NameList>
      </b:Author>
      <b:BookAuthor>
        <b:NameList>
          <b:Person>
            <b:Last>Feldstein</b:Last>
            <b:First>Martin</b:First>
          </b:Person>
          <b:Person>
            <b:Last>Hines</b:Last>
            <b:First>James</b:First>
            <b:Middle>R.</b:Middle>
          </b:Person>
          <b:Person>
            <b:Last>Jr.</b:Last>
          </b:Person>
          <b:Person>
            <b:Last>Hubbard.</b:Last>
            <b:First>R.</b:First>
            <b:Middle>Glenn</b:Middle>
          </b:Person>
        </b:NameList>
      </b:BookAuthor>
    </b:Author>
    <b:Title>Why is There Corporate Taxation in a Small Open Economy? The Role of Transfer Pricing and Income Shifting</b:Title>
    <b:Publisher>University of Chicago Press</b:Publisher>
    <b:City>Chicago</b:City>
    <b:Year>1995</b:Year>
    <b:Pages>67-94</b:Pages>
    <b:BookTitle>The Effects of Taxation on Multinational Corporations</b:BookTitle>
    <b:RefOrder>44</b:RefOrder>
  </b:Source>
  <b:Source>
    <b:Tag>Rog00</b:Tag>
    <b:SourceType>BookSection</b:SourceType>
    <b:Guid>{2A9CCD9A-E2B4-6547-8791-8927F5538E8C}</b:Guid>
    <b:Author>
      <b:Author>
        <b:NameList>
          <b:Person>
            <b:Last>Gordon</b:Last>
            <b:First>Roger</b:First>
            <b:Middle>H.</b:Middle>
          </b:Person>
          <b:Person>
            <b:Last>Slemrod</b:Last>
            <b:First>Joel</b:First>
            <b:Middle>B.</b:Middle>
          </b:Person>
        </b:NameList>
      </b:Author>
      <b:BookAuthor>
        <b:NameList>
          <b:Person>
            <b:Last>Slemrod</b:Last>
            <b:First>Joel</b:First>
            <b:Middle>B.</b:Middle>
          </b:Person>
        </b:NameList>
      </b:BookAuthor>
    </b:Author>
    <b:Title>Are 'Real' Responses to Taxes Simply Income Shifting Between Corporate and Personal Tax Bases?</b:Title>
    <b:BookTitle>Does Atlas Shrug? The Economic Consequences of Taxing the Rich</b:BookTitle>
    <b:City>Cambridge</b:City>
    <b:Publisher>Harvard University Press</b:Publisher>
    <b:Year>2000</b:Year>
    <b:Pages>240-280</b:Pages>
    <b:RefOrder>45</b:RefOrder>
  </b:Source>
  <b:Source>
    <b:Tag>Rei11</b:Tag>
    <b:SourceType>JournalArticle</b:SourceType>
    <b:Guid>{193B3D1A-EDA4-254D-9595-DFA5D83FCD5B}</b:Guid>
    <b:Author>
      <b:Author>
        <b:NameList>
          <b:Person>
            <b:Last>Reis</b:Last>
            <b:First>Catarina</b:First>
          </b:Person>
        </b:NameList>
      </b:Author>
    </b:Author>
    <b:Title>Entrepreneurial Labour and Capital Taxation</b:Title>
    <b:Year>2011</b:Year>
    <b:Volume>15</b:Volume>
    <b:Pages>326-335</b:Pages>
    <b:JournalName>Macroeconomic Dynamics</b:JournalName>
    <b:Issue>3</b:Issue>
    <b:RefOrder>46</b:RefOrder>
  </b:Source>
  <b:Source>
    <b:Tag>Rao95</b:Tag>
    <b:SourceType>JournalArticle</b:SourceType>
    <b:Guid>{69EFED33-F90A-3747-BC85-274551DD2E7D}</b:Guid>
    <b:Author>
      <b:Author>
        <b:NameList>
          <b:Person>
            <b:Last>Aiyagari</b:Last>
            <b:First>Rao</b:First>
            <b:Middle>S.</b:Middle>
          </b:Person>
        </b:NameList>
      </b:Author>
    </b:Author>
    <b:Title>Optimal Capital Income Taxation with Incomplete Markets, Borrowing Constraints, and Constant Discounting</b:Title>
    <b:JournalName>Journal of Political Economy</b:JournalName>
    <b:Year>1995</b:Year>
    <b:Volume>103</b:Volume>
    <b:Issue>6</b:Issue>
    <b:Pages>1158-1175</b:Pages>
    <b:RefOrder>47</b:RefOrder>
  </b:Source>
  <b:Source>
    <b:Tag>Ant76</b:Tag>
    <b:SourceType>JournalArticle</b:SourceType>
    <b:Guid>{9D243382-9717-F343-8B05-B23CC1792E21}</b:Guid>
    <b:Author>
      <b:Author>
        <b:NameList>
          <b:Person>
            <b:Last>Atkinson</b:Last>
            <b:First>Anthony</b:First>
            <b:Middle>B.</b:Middle>
          </b:Person>
          <b:Person>
            <b:Last>Stiglitz</b:Last>
            <b:First>Joseph</b:First>
            <b:Middle>E.</b:Middle>
          </b:Person>
        </b:NameList>
      </b:Author>
    </b:Author>
    <b:Title>The Design of Tax Structure: Direct versus Indirect Taxation</b:Title>
    <b:JournalName>Journal of Public Economics</b:JournalName>
    <b:Year>1976</b:Year>
    <b:Volume>6</b:Volume>
    <b:Issue>1-2</b:Issue>
    <b:Pages>55-75</b:Pages>
    <b:RefOrder>48</b:RefOrder>
  </b:Source>
  <b:Source>
    <b:Tag>Edw80</b:Tag>
    <b:SourceType>BookSection</b:SourceType>
    <b:Guid>{9D31503F-2A8D-1646-B259-BE205226E93B}</b:Guid>
    <b:Title>Tax Policies towards Multinational Corporations in Developing Asian Countries</b:Title>
    <b:Publisher>Martinus Nijhoff Publishing</b:Publisher>
    <b:Year>1980</b:Year>
    <b:Pages>196-216</b:Pages>
    <b:Author>
      <b:Author>
        <b:NameList>
          <b:Person>
            <b:Last>van Roy</b:Last>
            <b:First>Edward</b:First>
          </b:Person>
        </b:NameList>
      </b:Author>
      <b:BookAuthor>
        <b:NameList>
          <b:Person>
            <b:Last>Adams</b:Last>
            <b:First>John</b:First>
          </b:Person>
        </b:NameList>
      </b:BookAuthor>
    </b:Author>
    <b:BookTitle>Institutional Economics: Contributions to the Development of Holistic Economics</b:BookTitle>
    <b:RefOrder>49</b:RefOrder>
  </b:Source>
  <b:Source>
    <b:Tag>OEC</b:Tag>
    <b:SourceType>InternetSite</b:SourceType>
    <b:Guid>{D3650D19-55F0-AE45-9A99-D605FDB2E9EE}</b:Guid>
    <b:Author>
      <b:Author>
        <b:Corporate>OECD</b:Corporate>
      </b:Author>
    </b:Author>
    <b:InternetSiteTitle>OECD.stat</b:InternetSiteTitle>
    <b:URL>https://stats.oecd.org/Index.aspx?lang=en&amp;SubSessionId=20c7bb7e-e75e-4e6c-89b6-5ba87cb8d721&amp;themetreeid=18#</b:URL>
    <b:RefOrder>4</b:RefOrder>
  </b:Source>
  <b:Source>
    <b:Tag>San85</b:Tag>
    <b:SourceType>JournalArticle</b:SourceType>
    <b:Guid>{75B15FD1-9597-C343-B8EB-6B7B2B8B9143}</b:Guid>
    <b:Author>
      <b:Author>
        <b:NameList>
          <b:Person>
            <b:Last>Sandmo</b:Last>
            <b:First>Agnar</b:First>
          </b:Person>
        </b:NameList>
      </b:Author>
    </b:Author>
    <b:Title>The Effects of Taxation on Savings and Risk Taking</b:Title>
    <b:Year>1985</b:Year>
    <b:JournalName> Handbook of Public Economics</b:JournalName>
    <b:Volume>1</b:Volume>
    <b:RefOrder>50</b:RefOrder>
  </b:Source>
  <b:Source>
    <b:Tag>JHa92</b:Tag>
    <b:SourceType>JournalArticle</b:SourceType>
    <b:Guid>{045211D1-5FF9-C745-9A0B-412F2703422B}</b:Guid>
    <b:Author>
      <b:Author>
        <b:NameList>
          <b:Person>
            <b:Last>J. Harold McClure</b:Last>
            <b:First>jr</b:First>
          </b:Person>
        </b:NameList>
      </b:Author>
    </b:Author>
    <b:Title>Does reducing the capital gains tax rate raise or lower investment</b:Title>
    <b:JournalName>Economic Letters</b:JournalName>
    <b:Year>1992</b:Year>
    <b:Volume>40</b:Volume>
    <b:Pages>207-210</b:Pages>
    <b:RefOrder>51</b:RefOrder>
  </b:Source>
  <b:Source>
    <b:Tag>Aue09</b:Tag>
    <b:SourceType>Report</b:SourceType>
    <b:Guid>{902E1AEB-B1B7-6B4D-A54B-CEBD153D2DB5}</b:Guid>
    <b:Author>
      <b:Author>
        <b:NameList>
          <b:Person>
            <b:Last>Auerbach</b:Last>
            <b:First>Alan</b:First>
            <b:Middle>J.</b:Middle>
          </b:Person>
        </b:NameList>
      </b:Author>
    </b:Author>
    <b:Title>Notes on Taxation and Risk Taking</b:Title>
    <b:Year>2009</b:Year>
    <b:Institution>Berkeley Law Scholarship Repository </b:Institution>
    <b:RefOrder>52</b:RefOrder>
  </b:Source>
  <b:Source>
    <b:Tag>Mar00</b:Tag>
    <b:SourceType>JournalArticle</b:SourceType>
    <b:Guid>{1DC6BA61-9DAB-884D-8039-EE2358567918}</b:Guid>
    <b:Title>Capitalization of capital gains taxes: evidence from stock price reactions to the 1997 rate reduction </b:Title>
    <b:Year>2000</b:Year>
    <b:Pages>69-85</b:Pages>
    <b:Author>
      <b:Author>
        <b:NameList>
          <b:Person>
            <b:Last>Lang</b:Last>
            <b:First>Mark</b:First>
            <b:Middle>H.</b:Middle>
          </b:Person>
          <b:Person>
            <b:Last>Shackelford</b:Last>
            <b:First>Douglas</b:First>
            <b:Middle>A.</b:Middle>
          </b:Person>
        </b:NameList>
      </b:Author>
    </b:Author>
    <b:JournalName>Journal of Public Economics</b:JournalName>
    <b:Volume>76</b:Volume>
    <b:RefOrder>53</b:RefOrder>
  </b:Source>
  <b:Source>
    <b:Tag>Agn70</b:Tag>
    <b:SourceType>JournalArticle</b:SourceType>
    <b:Guid>{A308D9D4-884D-B447-98E6-0393C7F68572}</b:Guid>
    <b:Author>
      <b:Author>
        <b:NameList>
          <b:Person>
            <b:Last>Sandmo</b:Last>
            <b:First>Agnar</b:First>
          </b:Person>
        </b:NameList>
      </b:Author>
    </b:Author>
    <b:Title>The effect of uncertainty on saving decisions</b:Title>
    <b:JournalName>Review of Economic Studies</b:JournalName>
    <b:Year>1970</b:Year>
    <b:Volume>37</b:Volume>
    <b:Pages>353-360</b:Pages>
    <b:RefOrder>54</b:RefOrder>
  </b:Source>
  <b:Source>
    <b:Tag>Wri69</b:Tag>
    <b:SourceType>BookSection</b:SourceType>
    <b:Guid>{D6A321E2-B141-624B-9741-622D1A120FEE}</b:Guid>
    <b:Author>
      <b:Author>
        <b:NameList>
          <b:Person>
            <b:Last>Wright</b:Last>
            <b:First>C</b:First>
          </b:Person>
        </b:NameList>
      </b:Author>
      <b:BookAuthor>
        <b:NameList>
          <b:Person>
            <b:Last>Harberger</b:Last>
            <b:First>A.</b:First>
            <b:Middle>C.</b:Middle>
          </b:Person>
          <b:Person>
            <b:Last>M. J. Bailey</b:Last>
            <b:First>eds.</b:First>
          </b:Person>
        </b:NameList>
      </b:BookAuthor>
    </b:Author>
    <b:Title>Saving and the rate of interest</b:Title>
    <b:Publisher>Brookings Institution</b:Publisher>
    <b:Year>1969</b:Year>
    <b:BookTitle>The taxation of income from capital</b:BookTitle>
    <b:CountryRegion>Washington, DC</b:CountryRegion>
    <b:RefOrder>55</b:RefOrder>
  </b:Source>
  <b:Source>
    <b:Tag>Eri97</b:Tag>
    <b:SourceType>JournalArticle</b:SourceType>
    <b:Guid>{A0E46D14-6859-DD44-A7F2-A358CD6ED873}</b:Guid>
    <b:Author>
      <b:Author>
        <b:NameList>
          <b:Person>
            <b:Last>Engen</b:Last>
            <b:First>Eric</b:First>
          </b:Person>
          <b:Person>
            <b:Last>Gravelle</b:Last>
            <b:First>Jane</b:First>
          </b:Person>
          <b:Person>
            <b:Last>Smetters</b:Last>
            <b:First>Kent</b:First>
            <b:Middle>A.</b:Middle>
          </b:Person>
        </b:NameList>
      </b:Author>
    </b:Author>
    <b:Title>Dynamic Tax Models: "Why They Do the Things They Do"</b:Title>
    <b:Year>1997</b:Year>
    <b:Volume>50</b:Volume>
    <b:Pages>631-656</b:Pages>
    <b:JournalName>National Tax Journal</b:JournalName>
    <b:Issue>3</b:Issue>
    <b:RefOrder>56</b:RefOrder>
  </b:Source>
  <b:Source>
    <b:Tag>EPh78</b:Tag>
    <b:SourceType>JournalArticle</b:SourceType>
    <b:Guid>{ED532E65-2664-7E49-8521-50E275ED6DCE}</b:Guid>
    <b:Author>
      <b:Author>
        <b:NameList>
          <b:Person>
            <b:Last>Howrey</b:Last>
            <b:First>E.</b:First>
            <b:Middle>Philip</b:Middle>
          </b:Person>
          <b:Person>
            <b:Last>Hymans</b:Last>
            <b:First>Saul</b:First>
            <b:Middle>H.</b:Middle>
          </b:Person>
        </b:NameList>
      </b:Author>
    </b:Author>
    <b:Title>"The Measurement and Determination of Loanable Funds Saving"</b:Title>
    <b:JournalName>Brookings Papers on Economic Activity</b:JournalName>
    <b:Year>1978</b:Year>
    <b:Volume>3</b:Volume>
    <b:Pages>655-705</b:Pages>
    <b:RefOrder>57</b:RefOrder>
  </b:Source>
  <b:Source>
    <b:Tag>Ger82</b:Tag>
    <b:SourceType>JournalArticle</b:SourceType>
    <b:Guid>{F8E9F714-33A0-6147-BA8A-A33C05C46DC7}</b:Guid>
    <b:Author>
      <b:Author>
        <b:NameList>
          <b:Person>
            <b:Last>Carlino</b:Last>
            <b:First>Gerald</b:First>
            <b:Middle>A.</b:Middle>
          </b:Person>
        </b:NameList>
      </b:Author>
    </b:Author>
    <b:Title>"Interest Rate Effects and Intertemporal Consumption"</b:Title>
    <b:JournalName>Journal of Monetary Economics</b:JournalName>
    <b:Year>1982</b:Year>
    <b:Volume>9</b:Volume>
    <b:Issue>2</b:Issue>
    <b:Pages>223-234</b:Pages>
    <b:RefOrder>58</b:RefOrder>
  </b:Source>
  <b:Source>
    <b:Tag>Irw83</b:Tag>
    <b:SourceType>JournalArticle</b:SourceType>
    <b:Guid>{03858369-224B-AF4B-927B-168375A56282}</b:Guid>
    <b:Author>
      <b:Author>
        <b:NameList>
          <b:Person>
            <b:Last>Friend</b:Last>
            <b:First>Irwin</b:First>
          </b:Person>
          <b:Person>
            <b:Last>Hasbrouck</b:Last>
            <b:First>Joel</b:First>
          </b:Person>
        </b:NameList>
      </b:Author>
    </b:Author>
    <b:Title>Saving and After Tax Rates of Return</b:Title>
    <b:JournalName>The Review of Economics and Statistics</b:JournalName>
    <b:Year>1983</b:Year>
    <b:Volume>65</b:Volume>
    <b:Issue>4</b:Issue>
    <b:Pages>537-543</b:Pages>
    <b:RefOrder>59</b:RefOrder>
  </b:Source>
  <b:Source>
    <b:Tag>Mic78</b:Tag>
    <b:SourceType>JournalArticle</b:SourceType>
    <b:Guid>{08ED0E92-CA69-D14C-B4B5-833E379820AF}</b:Guid>
    <b:Author>
      <b:Author>
        <b:NameList>
          <b:Person>
            <b:Last>Boskin</b:Last>
            <b:First>Michael</b:First>
          </b:Person>
        </b:NameList>
      </b:Author>
    </b:Author>
    <b:Title>Taxation, Saving, and the Rate of Interest</b:Title>
    <b:JournalName>Journal of Political Economy</b:JournalName>
    <b:Year>1978</b:Year>
    <b:Volume>86</b:Volume>
    <b:Issue>2</b:Issue>
    <b:Pages>S3-S27</b:Pages>
    <b:RefOrder>60</b:RefOrder>
  </b:Source>
  <b:Source>
    <b:Tag>Bos84</b:Tag>
    <b:SourceType>Report</b:SourceType>
    <b:Guid>{B6E3E3AA-CB30-B745-9DC3-147158785E6C}</b:Guid>
    <b:Author>
      <b:Author>
        <b:NameList>
          <b:Person>
            <b:Last>Bosworth</b:Last>
            <b:First>Barry</b:First>
          </b:Person>
        </b:NameList>
      </b:Author>
    </b:Author>
    <b:Title>Tax Incentives and Economic Growth</b:Title>
    <b:Publisher>The Brookings institution</b:Publisher>
    <b:Year>1984</b:Year>
    <b:Institution>The Brookings institution</b:Institution>
    <b:RefOrder>61</b:RefOrder>
  </b:Source>
  <b:Source>
    <b:Tag>Ski90</b:Tag>
    <b:SourceType>BookSection</b:SourceType>
    <b:Guid>{085527E7-CB51-D14A-83C2-EC180A88CAA0}</b:Guid>
    <b:Author>
      <b:Author>
        <b:NameList>
          <b:Person>
            <b:Last>Skinner</b:Last>
            <b:First>Jonathan</b:First>
          </b:Person>
          <b:Person>
            <b:Last>Feenberg</b:Last>
            <b:First>Daniel</b:First>
          </b:Person>
        </b:NameList>
      </b:Author>
      <b:BookAuthor>
        <b:NameList>
          <b:Person>
            <b:Last>Slemrod</b:Last>
            <b:First>Joel</b:First>
          </b:Person>
        </b:NameList>
      </b:BookAuthor>
    </b:Author>
    <b:Title>The Impact of the 1986 Tax Reform on Personal Saving</b:Title>
    <b:Publisher>MIT Press</b:Publisher>
    <b:City>Cambridge</b:City>
    <b:Year>1990</b:Year>
    <b:BookTitle>Do Taxes Matter? The Impact of The Tax Reform Act of 1986</b:BookTitle>
    <b:RefOrder>62</b:RefOrder>
  </b:Source>
  <b:Source>
    <b:Tag>Rog85</b:Tag>
    <b:SourceType>JournalArticle</b:SourceType>
    <b:Guid>{9B30A945-961C-EA43-A5C3-E8BFA790F779}</b:Guid>
    <b:Title>"Taxation of Corporate Capital Income: Tax Revenues versus Tax Distortions"</b:Title>
    <b:Year>1985</b:Year>
    <b:Volume>100</b:Volume>
    <b:Pages>1-27</b:Pages>
    <b:Author>
      <b:Author>
        <b:NameList>
          <b:Person>
            <b:Last>Gordon</b:Last>
            <b:First>Roger</b:First>
            <b:Middle>H.</b:Middle>
          </b:Person>
        </b:NameList>
      </b:Author>
    </b:Author>
    <b:JournalName>Quarterly Journal of Economics</b:JournalName>
    <b:Month>February</b:Month>
    <b:Issue>1</b:Issue>
    <b:RefOrder>63</b:RefOrder>
  </b:Source>
  <b:Source>
    <b:Tag>Lou94</b:Tag>
    <b:SourceType>JournalArticle</b:SourceType>
    <b:Guid>{DB6B996C-5D69-C345-84BF-FA2FEF005071}</b:Guid>
    <b:Author>
      <b:Author>
        <b:NameList>
          <b:Person>
            <b:Last>Kaplow</b:Last>
            <b:First>Louis</b:First>
          </b:Person>
        </b:NameList>
      </b:Author>
    </b:Author>
    <b:Title>"Taxation and Risk Taking: A General Equilibrium Perspective"</b:Title>
    <b:JournalName>National Tax Journal</b:JournalName>
    <b:Year>1994</b:Year>
    <b:Volume>47</b:Volume>
    <b:Issue>4</b:Issue>
    <b:Pages>789-798</b:Pages>
    <b:RefOrder>64</b:RefOrder>
  </b:Source>
  <b:Source>
    <b:Tag>Alv96</b:Tag>
    <b:SourceType>JournalArticle</b:SourceType>
    <b:Guid>{5461C1D5-2493-AF47-A82F-24F068D162F3}</b:Guid>
    <b:Author>
      <b:Author>
        <b:NameList>
          <b:Person>
            <b:Last>Warren</b:Last>
            <b:First>Alvin</b:First>
            <b:Middle>C Jr</b:Middle>
          </b:Person>
        </b:NameList>
      </b:Author>
    </b:Author>
    <b:Title>How Much Capital Income Taxed Under an Income Tax Would Be Exempt Under a Cash-Flow Tax?</b:Title>
    <b:JournalName>Tax Law Revie</b:JournalName>
    <b:Year>1996</b:Year>
    <b:Volume>52</b:Volume>
    <b:Issue>1</b:Issue>
    <b:Pages>1-16</b:Pages>
    <b:RefOrder>65</b:RefOrder>
  </b:Source>
  <b:Source>
    <b:Tag>Dav04</b:Tag>
    <b:SourceType>JournalArticle</b:SourceType>
    <b:Guid>{4EC5356A-9791-CA45-9ED4-60F906806A5F}</b:Guid>
    <b:Author>
      <b:Author>
        <b:NameList>
          <b:Person>
            <b:Last>Weisbach</b:Last>
            <b:First>David</b:First>
            <b:Middle>A.</b:Middle>
          </b:Person>
        </b:NameList>
      </b:Author>
    </b:Author>
    <b:Title>The (Non-)Taxation of Risk</b:Title>
    <b:JournalName>Tax Law Review</b:JournalName>
    <b:Year>2004</b:Year>
    <b:Volume>58</b:Volume>
    <b:Issue>1</b:Issue>
    <b:Pages>1-57</b:Pages>
    <b:RefOrder>66</b:RefOrder>
  </b:Source>
  <b:Source>
    <b:Tag>OEC06</b:Tag>
    <b:SourceType>Report</b:SourceType>
    <b:Guid>{DA0D09F8-81C0-7441-8C2B-8FDB0F500413}</b:Guid>
    <b:Title>Taxation of Capital Gains of Individuals - Policy Considerations and Approaches</b:Title>
    <b:Publisher>OECD Publishing</b:Publisher>
    <b:Year>2006</b:Year>
    <b:Author>
      <b:Author>
        <b:Corporate>OECD</b:Corporate>
      </b:Author>
    </b:Author>
    <b:Institution>OECD Tax Policy Studies</b:Institution>
    <b:RefOrder>6</b:RefOrder>
  </b:Source>
  <b:Source>
    <b:Tag>Fel76</b:Tag>
    <b:SourceType>JournalArticle</b:SourceType>
    <b:Guid>{7355E979-05B0-5B4B-AADB-4BB8D3ADA74D}</b:Guid>
    <b:Author>
      <b:Author>
        <b:NameList>
          <b:Person>
            <b:Last>Feldstein</b:Last>
            <b:First>M.</b:First>
            <b:Middle>S.</b:Middle>
          </b:Person>
        </b:NameList>
      </b:Author>
    </b:Author>
    <b:Title>Personal taxation and portfolio composition: An econometric analysis</b:Title>
    <b:Year>1976</b:Year>
    <b:Pages>631-650</b:Pages>
    <b:JournalName>Ecnometrica</b:JournalName>
    <b:Volume>44</b:Volume>
    <b:RefOrder>67</b:RefOrder>
  </b:Source>
  <b:Source>
    <b:Tag>Jac16</b:Tag>
    <b:SourceType>Report</b:SourceType>
    <b:Guid>{DF917252-81C3-F449-80D0-2044C014DA03}</b:Guid>
    <b:Author>
      <b:Author>
        <b:NameList>
          <b:Person>
            <b:Last>Jacobs</b:Last>
            <b:First>Bas</b:First>
          </b:Person>
          <b:Person>
            <b:Last>Rusu</b:Last>
            <b:First>Alexandra</b:First>
          </b:Person>
        </b:NameList>
      </b:Author>
    </b:Author>
    <b:Title>Why is the Long-Run Tax on Capital Income Zero? Reinterpreting the Chamley-Judd Result</b:Title>
    <b:Publisher>Erasmus University Rotterdam</b:Publisher>
    <b:Year>2016</b:Year>
    <b:Institution>Erasmus University Rotterdam, Tinebergen Institute</b:Institution>
    <b:Department>Erasmus School of Economics</b:Department>
    <b:RefOrder>68</b:RefOrder>
  </b:Source>
  <b:Source>
    <b:Tag>Phi10</b:Tag>
    <b:SourceType>BookSection</b:SourceType>
    <b:Guid>{7D5C27D1-D8CD-EC4F-BCBB-A4757E6BD3A9}</b:Guid>
    <b:Author>
      <b:Author>
        <b:NameList>
          <b:Person>
            <b:Last>Meghir</b:Last>
            <b:First>Costas</b:First>
          </b:Person>
          <b:Person>
            <b:Last>Philips</b:Last>
            <b:First>David</b:First>
          </b:Person>
        </b:NameList>
      </b:Author>
      <b:BookAuthor>
        <b:NameList>
          <b:Person>
            <b:Last>others</b:Last>
            <b:First>Stuart</b:First>
            <b:Middle>Adams and</b:Middle>
          </b:Person>
        </b:NameList>
      </b:BookAuthor>
    </b:Author>
    <b:Title>Labour Supply and Taxes</b:Title>
    <b:Publisher>Oxford University Press</b:Publisher>
    <b:City>Oxford</b:City>
    <b:Year>2010</b:Year>
    <b:Pages>202-274</b:Pages>
    <b:BookTitle>The Mirrlees Review</b:BookTitle>
    <b:RefOrder>69</b:RefOrder>
  </b:Source>
  <b:Source>
    <b:Tag>Rob00</b:Tag>
    <b:SourceType>BookSection</b:SourceType>
    <b:Guid>{95D83FC0-EB37-0643-9B6E-599576A39BBE}</b:Guid>
    <b:Author>
      <b:Author>
        <b:NameList>
          <b:Person>
            <b:Last>Moffit</b:Last>
            <b:First>Robert</b:First>
            <b:Middle>A.</b:Middle>
          </b:Person>
          <b:Person>
            <b:Last>Wilhelm</b:Last>
            <b:First>Mark</b:First>
            <b:Middle>O.</b:Middle>
          </b:Person>
        </b:NameList>
      </b:Author>
      <b:BookAuthor>
        <b:NameList>
          <b:Person>
            <b:Last>Slemrod</b:Last>
            <b:First>Joel</b:First>
            <b:Middle>B.</b:Middle>
          </b:Person>
        </b:NameList>
      </b:BookAuthor>
    </b:Author>
    <b:Title>Taxation and the Labor Supply Decisions of the Affluent</b:Title>
    <b:BookTitle>Does Atlas Shrug? The Economic Consequences of Taxing the Rich</b:BookTitle>
    <b:City>Cambridge</b:City>
    <b:Publisher>Harvard University Press</b:Publisher>
    <b:Year>2000</b:Year>
    <b:Pages>193-239</b:Pages>
    <b:RefOrder>70</b:RefOrder>
  </b:Source>
  <b:Source>
    <b:Tag>Sle00</b:Tag>
    <b:SourceType>JournalArticle</b:SourceType>
    <b:Guid>{47EC6757-6D28-2144-B8C2-3C41D1A5E9AE}</b:Guid>
    <b:Title>Leonard E.  Burman - The Labyrinth of Capital Gains Tax Policy- A  Guide for the Perplexed -- book review by Joel Slemrod</b:Title>
    <b:Year>2000</b:Year>
    <b:Volume>38</b:Volume>
    <b:Pages>657-659</b:Pages>
    <b:Author>
      <b:Author>
        <b:NameList>
          <b:Person>
            <b:Last>Slemrod</b:Last>
            <b:First>Joel</b:First>
          </b:Person>
        </b:NameList>
      </b:Author>
    </b:Author>
    <b:JournalName>Journal of Economic Literature</b:JournalName>
    <b:Issue>3</b:Issue>
    <b:RefOrder>71</b:RefOrder>
  </b:Source>
  <b:Source>
    <b:Tag>Joe</b:Tag>
    <b:SourceType>Report</b:SourceType>
    <b:Guid>{42533254-D89B-5B4A-9E76-7C509468BBE2}</b:Guid>
    <b:Author>
      <b:Author>
        <b:NameList>
          <b:Person>
            <b:Last>Slemrod</b:Last>
            <b:First>Joel</b:First>
          </b:Person>
          <b:Person>
            <b:Last>Feldstein</b:Last>
            <b:First>Martin</b:First>
          </b:Person>
        </b:NameList>
      </b:Author>
    </b:Author>
    <b:Title>The Lock-in Effect of the Capital Gains Tax: Some Time-Series Evidence</b:Title>
    <b:Publisher>National Bureau of Economic Research</b:Publisher>
    <b:City>Cambridge, Massachusetts</b:City>
    <b:Institution>National Bureau of Economic Research</b:Institution>
    <b:Year>1978</b:Year>
    <b:RefOrder>72</b:RefOrder>
  </b:Source>
  <b:Source>
    <b:Tag>Mar80</b:Tag>
    <b:SourceType>JournalArticle</b:SourceType>
    <b:Guid>{0479A600-A8C6-7B47-B1CA-7658B68269B1}</b:Guid>
    <b:Author>
      <b:Author>
        <b:NameList>
          <b:Person>
            <b:Last>Feldstein</b:Last>
            <b:First>Martin</b:First>
          </b:Person>
          <b:Person>
            <b:Last>Slemrod</b:Last>
            <b:First>Joel</b:First>
          </b:Person>
          <b:Person>
            <b:Last>Yitzhaki</b:Last>
            <b:First>Shlomo</b:First>
          </b:Person>
        </b:NameList>
      </b:Author>
    </b:Author>
    <b:Title>The Effects of Taxation on the Selling of Corporate Stock and the Realization of Capital Gains </b:Title>
    <b:JournalName>The Quarterly Journal of Economics</b:JournalName>
    <b:Publisher>Oxford University Press</b:Publisher>
    <b:Year>1980</b:Year>
    <b:Volume>94</b:Volume>
    <b:Issue>4</b:Issue>
    <b:Pages>777-791</b:Pages>
    <b:RefOrder>73</b:RefOrder>
  </b:Source>
  <b:Source>
    <b:Tag>Kug01</b:Tag>
    <b:SourceType>BookSection</b:SourceType>
    <b:Guid>{CC2B0570-0EAA-314C-B314-A409B345FEE1}</b:Guid>
    <b:Author>
      <b:Author>
        <b:NameList>
          <b:Person>
            <b:Last>Kugler</b:Last>
            <b:First>Peter</b:First>
          </b:Person>
          <b:Person>
            <b:Last>Lenz</b:Last>
            <b:First>Carlos</b:First>
          </b:Person>
        </b:NameList>
      </b:Author>
      <b:BookAuthor>
        <b:NameList>
          <b:Person>
            <b:Last>Grubel</b:Last>
            <b:First>Herbert</b:First>
            <b:Middle>G.</b:Middle>
          </b:Person>
        </b:NameList>
      </b:BookAuthor>
    </b:Author>
    <b:Title>Capital gains taxation - Evidence from Switzerland</b:Title>
    <b:Publisher>The Fraser Institute</b:Publisher>
    <b:Year>2001</b:Year>
    <b:BookTitle>International Evidence on the Effects of Having No Capital Gains Taxes </b:BookTitle>
    <b:RefOrder>74</b:RefOrder>
  </b:Source>
  <b:Source>
    <b:Tag>Ben07</b:Tag>
    <b:SourceType>JournalArticle</b:SourceType>
    <b:Guid>{98E8AEEA-9D55-6F45-99BC-8385CC494FDC}</b:Guid>
    <b:Title>Capital Gains Taxes and Acquisition Activity: Evidence of the Lock-in Effect </b:Title>
    <b:Year>2007</b:Year>
    <b:Volume>24</b:Volume>
    <b:Pages>315-344</b:Pages>
    <b:Author>
      <b:Author>
        <b:NameList>
          <b:Person>
            <b:Last>Ayers</b:Last>
            <b:First>Benjamin</b:First>
            <b:Middle>C.</b:Middle>
          </b:Person>
          <b:Person>
            <b:Last>Lefanowicz</b:Last>
            <b:First>Craig</b:First>
            <b:Middle>E.</b:Middle>
          </b:Person>
          <b:Person>
            <b:Last>Robinson</b:Last>
            <b:First>John</b:First>
            <b:Middle>R.</b:Middle>
          </b:Person>
        </b:NameList>
      </b:Author>
    </b:Author>
    <b:JournalName>Contemporary Accounting Research</b:JournalName>
    <b:Issue>2</b:Issue>
    <b:RefOrder>75</b:RefOrder>
  </b:Source>
  <b:Source>
    <b:Tag>Jam12</b:Tag>
    <b:SourceType>JournalArticle</b:SourceType>
    <b:Guid>{A0C05F2A-F526-394A-9877-A40B85F979B3}</b:Guid>
    <b:Author>
      <b:Author>
        <b:NameList>
          <b:Person>
            <b:Last>Chyz</b:Last>
            <b:First>James</b:First>
            <b:Middle>A.</b:Middle>
          </b:Person>
          <b:Person>
            <b:Last>Li</b:Last>
            <b:First>Oliver</b:First>
            <b:Middle>Zhen</b:Middle>
          </b:Person>
        </b:NameList>
      </b:Author>
    </b:Author>
    <b:Title>DO TAX SENSITIVE INVESTORS LIQUIDATE APPRECIATED SHARES AFTER A CAPITAL GAINS TAX RATE REDUCTION? </b:Title>
    <b:JournalName>National Tax Journal</b:JournalName>
    <b:Year>2012</b:Year>
    <b:Volume>65</b:Volume>
    <b:Issue>3</b:Issue>
    <b:Pages>595-628</b:Pages>
    <b:RefOrder>76</b:RefOrder>
  </b:Source>
  <b:Source>
    <b:Tag>Ada10</b:Tag>
    <b:SourceType>Report</b:SourceType>
    <b:Guid>{E087B280-FE4C-B040-AB82-16C9489953F9}</b:Guid>
    <b:Title>Estimated revenue losses from Capital Gains Tax increases</b:Title>
    <b:Year>2010</b:Year>
    <b:Institution>Adam Smith Institute</b:Institution>
    <b:Author>
      <b:Author>
        <b:Corporate>Adam Smith Institute</b:Corporate>
      </b:Author>
    </b:Author>
    <b:RefOrder>77</b:RefOrder>
  </b:Source>
  <b:Source>
    <b:Tag>Pet85</b:Tag>
    <b:SourceType>JournalArticle</b:SourceType>
    <b:Guid>{C585FA12-BB7B-1644-BCA8-662A1506D9F7}</b:Guid>
    <b:Title>The revenue effects of a lower capital gains tax</b:Title>
    <b:Year>1985</b:Year>
    <b:Pages>553-559</b:Pages>
    <b:Author>
      <b:Author>
        <b:NameList>
          <b:Person>
            <b:Last>Eilbott</b:Last>
            <b:First>Peter</b:First>
          </b:Person>
        </b:NameList>
      </b:Author>
    </b:Author>
    <b:JournalName>National Tax Journal</b:JournalName>
    <b:Volume>38</b:Volume>
    <b:Issue>4</b:Issue>
    <b:RefOrder>78</b:RefOrder>
  </b:Source>
  <b:Source>
    <b:Tag>Pau09</b:Tag>
    <b:SourceType>JournalArticle</b:SourceType>
    <b:Guid>{F1070692-B2F5-C34A-915A-E6D7E627001A}</b:Guid>
    <b:Author>
      <b:Author>
        <b:NameList>
          <b:Person>
            <b:Last>Evans</b:Last>
            <b:First>Paul</b:First>
            <b:Middle>D.</b:Middle>
          </b:Person>
        </b:NameList>
      </b:Author>
    </b:Author>
    <b:Title>THE RELATIONSHIP BETWEEN REALIZED CAPITAL GAINS AND THEIR MARGINAL RATE OF TAXATION, 1976-2004 </b:Title>
    <b:JournalName>Capital Gains Series</b:JournalName>
    <b:Year>2009</b:Year>
    <b:Volume>2</b:Volume>
    <b:RefOrder>79</b:RefOrder>
  </b:Source>
  <b:Source>
    <b:Tag>Jam89</b:Tag>
    <b:SourceType>JournalArticle</b:SourceType>
    <b:Guid>{BCD32212-7FF6-B34E-AF2E-6EECD970ACD9}</b:Guid>
    <b:Author>
      <b:Author>
        <b:NameList>
          <b:Person>
            <b:Last>Poterba</b:Last>
            <b:First>James</b:First>
            <b:Middle>M.</b:Middle>
          </b:Person>
        </b:NameList>
      </b:Author>
    </b:Author>
    <b:Title>Capital gains tax policy toward entrepreneurship</b:Title>
    <b:JournalName>National Tax Journal</b:JournalName>
    <b:Year>1989</b:Year>
    <b:Volume>42</b:Volume>
    <b:Issue>3</b:Issue>
    <b:Pages>375-389</b:Pages>
    <b:RefOrder>80</b:RefOrder>
  </b:Source>
  <b:Source>
    <b:Tag>Gen16</b:Tag>
    <b:SourceType>Report</b:SourceType>
    <b:Guid>{60792A87-FBAF-D043-97AC-AC8014ABAD8E}</b:Guid>
    <b:Author>
      <b:Author>
        <b:NameList>
          <b:Person>
            <b:Last>Gentry</b:Last>
            <b:First>William</b:First>
            <b:Middle>M.</b:Middle>
          </b:Person>
        </b:NameList>
      </b:Author>
    </b:Author>
    <b:Title>Capital Gains Taxation and Entrepreneurship</b:Title>
    <b:Year>2016</b:Year>
    <b:Institution>Williams College</b:Institution>
    <b:RefOrder>81</b:RefOrder>
  </b:Source>
  <b:Source>
    <b:Tag>Sea14</b:Tag>
    <b:SourceType>Report</b:SourceType>
    <b:Guid>{D2A89402-471C-CE48-884E-8F33599A4F2B}</b:Guid>
    <b:Author>
      <b:Author>
        <b:NameList>
          <b:Person>
            <b:Last>Speer</b:Last>
            <b:First>Sean</b:First>
          </b:Person>
          <b:Person>
            <b:Last>Palacios</b:Last>
            <b:First>Milagros</b:First>
          </b:Person>
          <b:Person>
            <b:Last>Lugo</b:Last>
            <b:First>Marco</b:First>
          </b:Person>
          <b:Person>
            <b:Last>Vaillancourt</b:Last>
            <b:First>Francois</b:First>
          </b:Person>
        </b:NameList>
      </b:Author>
    </b:Author>
    <b:Title>The Cost to Canadians of Complying With Personal IncomeTaxes</b:Title>
    <b:Institution>The Fraser Institute</b:Institution>
    <b:Publisher>The Fraser Institute</b:Publisher>
    <b:Year>2014</b:Year>
    <b:RefOrder>82</b:RefOrder>
  </b:Source>
  <b:Source>
    <b:Tag>Aue00</b:Tag>
    <b:SourceType>BookSection</b:SourceType>
    <b:Guid>{704B5C2D-1571-A849-AA90-627CED783B22}</b:Guid>
    <b:Author>
      <b:Author>
        <b:NameList>
          <b:Person>
            <b:Last>Auerbach</b:Last>
            <b:First>Alan</b:First>
            <b:Middle>J.</b:Middle>
          </b:Person>
          <b:Person>
            <b:Last>Burman</b:Last>
            <b:First>Leonard</b:First>
            <b:Middle>E.</b:Middle>
          </b:Person>
          <b:Person>
            <b:Last>Siegel</b:Last>
            <b:First>Jonathan</b:First>
            <b:Middle>M.</b:Middle>
          </b:Person>
        </b:NameList>
      </b:Author>
      <b:BookAuthor>
        <b:NameList>
          <b:Person>
            <b:Last>Slemrod</b:Last>
            <b:First>Joel</b:First>
            <b:Middle>B.</b:Middle>
          </b:Person>
        </b:NameList>
      </b:BookAuthor>
    </b:Author>
    <b:Title>Capital Gains Taxation and Tax Avoidance: New Evidence from Panel Data</b:Title>
    <b:Publisher>Harvard University Press</b:Publisher>
    <b:City>Cambridge</b:City>
    <b:Year>2000</b:Year>
    <b:Pages>355-388</b:Pages>
    <b:BookTitle>Does Atlas Shrug?</b:BookTitle>
    <b:RefOrder>83</b:RefOrder>
  </b:Source>
  <b:Source>
    <b:Tag>Rei111</b:Tag>
    <b:SourceType>JournalArticle</b:SourceType>
    <b:Guid>{61E651C0-2717-3D45-AF90-53C82064743B}</b:Guid>
    <b:Author>
      <b:Author>
        <b:NameList>
          <b:Person>
            <b:Last>Reis</b:Last>
            <b:First>Catarina</b:First>
          </b:Person>
        </b:NameList>
      </b:Author>
    </b:Author>
    <b:Title>Entrepreneurial labor and capital taxation</b:Title>
    <b:Year>2011</b:Year>
    <b:Volume>15</b:Volume>
    <b:Pages>326-335</b:Pages>
    <b:JournalName>Macroeconomic Dynamics</b:JournalName>
    <b:RefOrder>84</b:RefOrder>
  </b:Source>
  <b:Source>
    <b:Tag>Gor98</b:Tag>
    <b:SourceType>Report</b:SourceType>
    <b:Guid>{8E565460-E303-044B-B33D-5B6D8464E571}</b:Guid>
    <b:Author>
      <b:Author>
        <b:NameList>
          <b:Person>
            <b:Last>Gordon</b:Last>
            <b:First>Roger</b:First>
            <b:Middle>H.</b:Middle>
          </b:Person>
          <b:Person>
            <b:Last>Slemrod</b:Last>
            <b:First>Joel</b:First>
          </b:Person>
        </b:NameList>
      </b:Author>
    </b:Author>
    <b:Title>Are 'real' responses to taxes simply income shifting between corporate and personal tax bases</b:Title>
    <b:Publisher>National Bureau of Economic Research</b:Publisher>
    <b:Year>1998</b:Year>
    <b:Institution>National Bureau of Economic Research</b:Institution>
    <b:RefOrder>85</b:RefOrder>
  </b:Source>
  <b:Source>
    <b:Tag>Rog94</b:Tag>
    <b:SourceType>Report</b:SourceType>
    <b:Guid>{06BE5B0A-BF52-B84E-8364-A32D4D9934F3}</b:Guid>
    <b:Author>
      <b:Author>
        <b:NameList>
          <b:Person>
            <b:Last>Gordon</b:Last>
            <b:First>Roger</b:First>
            <b:Middle>H.</b:Middle>
          </b:Person>
          <b:Person>
            <b:Last>MacKie-Mason</b:Last>
            <b:First>Jeffrey</b:First>
            <b:Middle>K.</b:Middle>
          </b:Person>
        </b:NameList>
      </b:Author>
    </b:Author>
    <b:Title>Why is there corporate taxation in a small open economy? The role of transfer pricing and income shifting</b:Title>
    <b:Institution>National Bureau of Economic Research</b:Institution>
    <b:Publisher>National Bureau of Economic Research</b:Publisher>
    <b:Year>1994</b:Year>
    <b:RefOrder>86</b:RefOrder>
  </b:Source>
  <b:Source>
    <b:Tag>Car00</b:Tag>
    <b:SourceType>BookSection</b:SourceType>
    <b:Guid>{3811F30D-677A-914A-87EF-EC6E11123437}</b:Guid>
    <b:Author>
      <b:Author>
        <b:NameList>
          <b:Person>
            <b:Last>Carroll</b:Last>
            <b:First>C.D.</b:First>
          </b:Person>
        </b:NameList>
      </b:Author>
      <b:BookAuthor>
        <b:NameList>
          <b:Person>
            <b:Last>Slemrod</b:Last>
            <b:First>Joel</b:First>
            <b:Middle>B.</b:Middle>
          </b:Person>
        </b:NameList>
      </b:BookAuthor>
    </b:Author>
    <b:Title>Why do the rich save so much?</b:Title>
    <b:Publisher>Harvard University Press</b:Publisher>
    <b:City>Cambridge</b:City>
    <b:Year>2000</b:Year>
    <b:Pages>463-485</b:Pages>
    <b:BookTitle>Does Atlas Shrug? The economic consequences of taxing the rich</b:BookTitle>
    <b:RefOrder>87</b:RefOrder>
  </b:Source>
  <b:Source>
    <b:Tag>Gol12</b:Tag>
    <b:SourceType>JournalArticle</b:SourceType>
    <b:Guid>{FC4DC2F8-A99F-BE4C-977B-FA772008F189}</b:Guid>
    <b:Author>
      <b:Author>
        <b:NameList>
          <b:Person>
            <b:Last>Golosov</b:Last>
            <b:First>Mikhail</b:First>
          </b:Person>
          <b:Person>
            <b:Last>al</b:Last>
            <b:First>et</b:First>
          </b:Person>
        </b:NameList>
      </b:Author>
    </b:Author>
    <b:Title>preference heterogeneity and optimal capital income taxation</b:Title>
    <b:Year>2012</b:Year>
    <b:Volume>97</b:Volume>
    <b:Pages>160-175</b:Pages>
    <b:JournalName>Journal of Public Economics</b:JournalName>
    <b:RefOrder>88</b:RefOrder>
  </b:Source>
  <b:Source>
    <b:Tag>Pet11</b:Tag>
    <b:SourceType>JournalArticle</b:SourceType>
    <b:Guid>{594EEEE3-025E-E947-8CC6-81B202AFE7B4}</b:Guid>
    <b:Author>
      <b:Author>
        <b:NameList>
          <b:Person>
            <b:Last>Diamond</b:Last>
            <b:First>Peter</b:First>
          </b:Person>
          <b:Person>
            <b:Last>Spinnewijn</b:Last>
            <b:First>Johannes</b:First>
          </b:Person>
        </b:NameList>
      </b:Author>
    </b:Author>
    <b:Title>Capital Income Taxes with Heterogeneous Discount Rates </b:Title>
    <b:JournalName>American Economic Journal: Economic Policy</b:JournalName>
    <b:Year>2011</b:Year>
    <b:Volume>3</b:Volume>
    <b:Pages>52-76</b:Pages>
    <b:RefOrder>89</b:RefOrder>
  </b:Source>
  <b:Source>
    <b:Tag>Dan06</b:Tag>
    <b:SourceType>Report</b:SourceType>
    <b:Guid>{7272A2B9-3CD7-9A44-81B4-243075064E1A}</b:Guid>
    <b:Title>Who is “Behavioral”? Cognitive Ability and Anomalous Preferences</b:Title>
    <b:Publisher>Harvard University</b:Publisher>
    <b:Year>2006</b:Year>
    <b:Author>
      <b:Author>
        <b:NameList>
          <b:Person>
            <b:Last>Benjamin</b:Last>
            <b:First>Daniel</b:First>
          </b:Person>
          <b:Person>
            <b:Last>Brown</b:Last>
            <b:First>Sebastian</b:First>
          </b:Person>
          <b:Person>
            <b:Last>Shapiro</b:Last>
            <b:First>Jesse</b:First>
          </b:Person>
        </b:NameList>
      </b:Author>
    </b:Author>
    <b:RefOrder>90</b:RefOrder>
  </b:Source>
  <b:Source>
    <b:Tag>Jac</b:Tag>
    <b:SourceType>JournalArticle</b:SourceType>
    <b:Guid>{DF8765AD-3368-934B-A59E-EE5CDBD940DD}</b:Guid>
    <b:Author>
      <b:Author>
        <b:NameList>
          <b:Person>
            <b:Last>Jacobs</b:Last>
            <b:First>Bas</b:First>
          </b:Person>
          <b:Person>
            <b:Last>Schindler</b:Last>
            <b:First>Dirk</b:First>
          </b:Person>
        </b:NameList>
      </b:Author>
    </b:Author>
    <b:Title>On the Desirability of Taxing Capital Income in Optimal Social Insurance</b:Title>
    <b:Pages>853-868</b:Pages>
    <b:JournalName>Journal of Public Economics</b:JournalName>
    <b:Volume>96</b:Volume>
    <b:Issue>9-10</b:Issue>
    <b:Year>2012</b:Year>
    <b:RefOrder>91</b:RefOrder>
  </b:Source>
  <b:Source>
    <b:Tag>She89</b:Tag>
    <b:SourceType>JournalArticle</b:SourceType>
    <b:Guid>{3B750F2F-C846-1F4F-960D-26364AC71789}</b:Guid>
    <b:Author>
      <b:Author>
        <b:NameList>
          <b:Person>
            <b:Last>Shepherd</b:Last>
            <b:First>William</b:First>
            <b:Middle>G.</b:Middle>
          </b:Person>
        </b:NameList>
      </b:Author>
    </b:Author>
    <b:Title>Capital Gains as Economic Rent</b:Title>
    <b:Year>1989</b:Year>
    <b:Pages>155-172</b:Pages>
    <b:JournalName>Review of Social Economy</b:JournalName>
    <b:Volume>47</b:Volume>
    <b:Issue>2</b:Issue>
    <b:RefOrder>92</b:RefOrder>
  </b:Source>
  <b:Source>
    <b:Tag>Bas151</b:Tag>
    <b:SourceType>BookSection</b:SourceType>
    <b:Guid>{76CF318E-78A7-8E4B-AE13-55071C958BA8}</b:Guid>
    <b:Publisher>Prometheus</b:Publisher>
    <b:City>Rotterdam</b:City>
    <b:Year>2015</b:Year>
    <b:Pages>29-47</b:Pages>
    <b:Author>
      <b:BookAuthor>
        <b:NameList>
          <b:Person>
            <b:Last>Jacobs</b:Last>
            <b:First>Bas</b:First>
          </b:Person>
        </b:NameList>
      </b:BookAuthor>
    </b:Author>
    <b:BookTitle>De prijs van gelijkheid</b:BookTitle>
    <b:RefOrder>93</b:RefOrder>
  </b:Source>
  <b:Source>
    <b:Tag>Bas13</b:Tag>
    <b:SourceType>JournalArticle</b:SourceType>
    <b:Guid>{3D4579B2-48A9-2C4B-A2AB-7D0A26653F36}</b:Guid>
    <b:Title>From Optimal Tax Theory to Applied Tax Policy </b:Title>
    <b:Year>2013</b:Year>
    <b:Volume>69</b:Volume>
    <b:Pages>338 – 389 </b:Pages>
    <b:Author>
      <b:Author>
        <b:NameList>
          <b:Person>
            <b:Last>Jacobs</b:Last>
            <b:First>Bas</b:First>
          </b:Person>
        </b:NameList>
      </b:Author>
      <b:Editor>
        <b:NameList>
          <b:Person>
            <b:Last>Siebeck</b:Last>
            <b:First>Mohr</b:First>
          </b:Person>
        </b:NameList>
      </b:Editor>
    </b:Author>
    <b:JournalName>Finanzarchiv - Public Finance Analysis</b:JournalName>
    <b:Issue>3</b:Issue>
    <b:RefOrder>94</b:RefOrder>
  </b:Source>
  <b:Source>
    <b:Tag>JAM71</b:Tag>
    <b:SourceType>JournalArticle</b:SourceType>
    <b:Guid>{AF702F04-B205-4A4C-86DB-084706C5944F}</b:Guid>
    <b:Author>
      <b:Author>
        <b:NameList>
          <b:Person>
            <b:Last>Mirrlees</b:Last>
            <b:First>J.</b:First>
            <b:Middle>A.</b:Middle>
          </b:Person>
        </b:NameList>
      </b:Author>
    </b:Author>
    <b:Title>An exploration in the theory of optimum income taxation</b:Title>
    <b:JournalName>Review of Economic Statistics</b:JournalName>
    <b:Year>1971</b:Year>
    <b:Volume>38</b:Volume>
    <b:Pages>175-208</b:Pages>
    <b:RefOrder>95</b:RefOrder>
  </b:Source>
  <b:Source>
    <b:Tag>GAA78</b:Tag>
    <b:SourceType>JournalArticle</b:SourceType>
    <b:Guid>{D56CC80B-16B0-CD40-A847-7893FB2545E9}</b:Guid>
    <b:Author>
      <b:Author>
        <b:NameList>
          <b:Person>
            <b:Last>Akerlof</b:Last>
            <b:First>G.A.</b:First>
          </b:Person>
        </b:NameList>
      </b:Author>
    </b:Author>
    <b:Title>The Economics of ‘Tagging’ as Applied to the Optimal Income Tax, Welfare Programs, and Manpower Planning</b:Title>
    <b:JournalName>American Economic Review</b:JournalName>
    <b:Year>1978</b:Year>
    <b:Volume>68</b:Volume>
    <b:Pages>8-19</b:Pages>
    <b:RefOrder>3</b:RefOrder>
  </b:Source>
  <b:Source>
    <b:Tag>Eur15</b:Tag>
    <b:SourceType>Report</b:SourceType>
    <b:Guid>{9F6CC80D-991A-7548-8ED1-7AC75283A5A2}</b:Guid>
    <b:Author>
      <b:Author>
        <b:Corporate>European Commission</b:Corporate>
      </b:Author>
    </b:Author>
    <b:Title>Taxation Trends in the European Union</b:Title>
    <b:Publisher>European Commission</b:Publisher>
    <b:Year>2015</b:Year>
    <b:Comments>Data from Eurostat</b:Comments>
    <b:RefOrder>96</b:RefOrder>
  </b:Source>
  <b:Source>
    <b:Tag>Sti81</b:Tag>
    <b:SourceType>JournalArticle</b:SourceType>
    <b:Guid>{DB07AE10-C1F6-E649-9310-00C9C11B7EA1}</b:Guid>
    <b:Title>Credit Rationing in Markets with Imperfect Information </b:Title>
    <b:Year>1981</b:Year>
    <b:Pages>393-410</b:Pages>
    <b:Author>
      <b:Author>
        <b:NameList>
          <b:Person>
            <b:Last>Stiglitz</b:Last>
          </b:Person>
          <b:Person>
            <b:Last>Weiss</b:Last>
          </b:Person>
        </b:NameList>
      </b:Author>
    </b:Author>
    <b:JournalName>The American Economic Review</b:JournalName>
    <b:Volume>71</b:Volume>
    <b:Issue>3</b:Issue>
    <b:RefOrder>97</b:RefOrder>
  </b:Source>
  <b:Source>
    <b:Tag>LHS81</b:Tag>
    <b:SourceType>JournalArticle</b:SourceType>
    <b:Guid>{CAE61BB5-48F4-A14E-B6CB-2D18F280B5B1}</b:Guid>
    <b:Author>
      <b:Author>
        <b:NameList>
          <b:Person>
            <b:Last>Summers</b:Last>
            <b:First>L.H.</b:First>
          </b:Person>
        </b:NameList>
      </b:Author>
    </b:Author>
    <b:Title>Capital taxation and capital accumulation in a life-cycle growth model</b:Title>
    <b:JournalName>American Economic Review</b:JournalName>
    <b:Year>1981</b:Year>
    <b:Volume>71</b:Volume>
    <b:Pages>533-544</b:Pages>
    <b:RefOrder>98</b:RefOrder>
  </b:Source>
  <b:Source>
    <b:Tag>Att95</b:Tag>
    <b:SourceType>JournalArticle</b:SourceType>
    <b:Guid>{F3E88C24-A298-6B44-A8F8-1349302774BB}</b:Guid>
    <b:Author>
      <b:Author>
        <b:NameList>
          <b:Person>
            <b:Last>Attanasio</b:Last>
          </b:Person>
          <b:Person>
            <b:Last>Weber</b:Last>
          </b:Person>
        </b:NameList>
      </b:Author>
    </b:Author>
    <b:Title>Is consumption growth consistent with intertemporal optimization? Evidence from the consumer expenditure survey</b:Title>
    <b:JournalName>Journal of Political Economy</b:JournalName>
    <b:Year>1995</b:Year>
    <b:Volume>103</b:Volume>
    <b:Issue>6</b:Issue>
    <b:Pages>1121-1157</b:Pages>
    <b:RefOrder>99</b:RefOrder>
  </b:Source>
  <b:Source>
    <b:Tag>Att93</b:Tag>
    <b:SourceType>JournalArticle</b:SourceType>
    <b:Guid>{85B0A00E-0A07-8446-A300-E30F31188822}</b:Guid>
    <b:Author>
      <b:Author>
        <b:NameList>
          <b:Person>
            <b:Last>Attanasio</b:Last>
          </b:Person>
          <b:Person>
            <b:Last>Weber</b:Last>
          </b:Person>
        </b:NameList>
      </b:Author>
    </b:Author>
    <b:Title>Consumption Growth, the Interest Rate and Aggregation</b:Title>
    <b:JournalName>Review of Economic Studies</b:JournalName>
    <b:Year>1993</b:Year>
    <b:Volume>60</b:Volume>
    <b:Issue>3</b:Issue>
    <b:Pages>631-649</b:Pages>
    <b:RefOrder>100</b:RefOrder>
  </b:Source>
  <b:Source>
    <b:Tag>Sch06</b:Tag>
    <b:SourceType>JournalArticle</b:SourceType>
    <b:Guid>{4CE23550-2E63-5E43-ADC1-26C5111D5379}</b:Guid>
    <b:Author>
      <b:Author>
        <b:NameList>
          <b:Person>
            <b:Last>Scholz</b:Last>
          </b:Person>
          <b:Person>
            <b:Last>Seshadri</b:Last>
          </b:Person>
          <b:Person>
            <b:Last>Khitatrakun</b:Last>
          </b:Person>
        </b:NameList>
      </b:Author>
    </b:Author>
    <b:Title>Are Americans Saving 'Optimally' for Retirement</b:Title>
    <b:JournalName>Journal of Political Economy</b:JournalName>
    <b:Year>2006</b:Year>
    <b:Volume>114</b:Volume>
    <b:Issue>4</b:Issue>
    <b:Pages>607-643</b:Pages>
    <b:RefOrder>101</b:RefOrder>
  </b:Source>
  <b:Source>
    <b:Tag>Eng07</b:Tag>
    <b:SourceType>Report</b:SourceType>
    <b:Guid>{3DEE7752-3CAD-A14D-A5DE-091840D1D17E}</b:Guid>
    <b:Author>
      <b:Author>
        <b:NameList>
          <b:Person>
            <b:Last>Engelhardt</b:Last>
          </b:Person>
          <b:Person>
            <b:Last>Kumar</b:Last>
          </b:Person>
        </b:NameList>
      </b:Author>
    </b:Author>
    <b:Title>The Elasticity of Intertemporal Substitution: New Evidence from 401(k) Participation</b:Title>
    <b:Year>2007</b:Year>
    <b:RefOrder>102</b:RefOrder>
  </b:Source>
  <b:Source>
    <b:Tag>Ala91</b:Tag>
    <b:SourceType>JournalArticle</b:SourceType>
    <b:Guid>{3BACC1B1-3242-7B4F-AF6B-E5B1D234B8D3}</b:Guid>
    <b:Title>Retrospective Capital Gains Taxation</b:Title>
    <b:Year>1991</b:Year>
    <b:Pages>167-178</b:Pages>
    <b:Author>
      <b:Author>
        <b:NameList>
          <b:Person>
            <b:Last>Auerbach</b:Last>
            <b:First>Alan</b:First>
            <b:Middle>J.</b:Middle>
          </b:Person>
        </b:NameList>
      </b:Author>
    </b:Author>
    <b:JournalName>The American Economic Review</b:JournalName>
    <b:Volume>81</b:Volume>
    <b:Issue>1</b:Issue>
    <b:RefOrder>103</b:RefOrder>
  </b:Source>
  <b:Source>
    <b:Tag>Jam02</b:Tag>
    <b:SourceType>JournalArticle</b:SourceType>
    <b:Guid>{2FEAB2D8-B031-7A4D-8091-7FFCC8E4C279}</b:Guid>
    <b:Author>
      <b:Author>
        <b:NameList>
          <b:Person>
            <b:Last>Poterba</b:Last>
            <b:First>James</b:First>
            <b:Middle>M.</b:Middle>
          </b:Person>
        </b:NameList>
      </b:Author>
    </b:Author>
    <b:Title>Taxation, risk-taking, and household portfolio behavior</b:Title>
    <b:JournalName>Handbook of Public Economics</b:JournalName>
    <b:Year>2002</b:Year>
    <b:Volume>3</b:Volume>
    <b:Pages>1110-1156</b:Pages>
    <b:RefOrder>104</b:RefOrder>
  </b:Source>
  <b:Source>
    <b:Tag>Wil39</b:Tag>
    <b:SourceType>JournalArticle</b:SourceType>
    <b:Guid>{640F7B9C-31AE-9F4A-800F-EECBCAFF0B69}</b:Guid>
    <b:Author>
      <b:Author>
        <b:NameList>
          <b:Person>
            <b:Last>Vickrey</b:Last>
            <b:First>William</b:First>
          </b:Person>
        </b:NameList>
      </b:Author>
    </b:Author>
    <b:Title>Averaging income for income tax purposes</b:Title>
    <b:JournalName>Journal of Political Economy</b:JournalName>
    <b:Year>1939</b:Year>
    <b:Volume>47</b:Volume>
    <b:Pages>379-397</b:Pages>
    <b:RefOrder>105</b:RefOrder>
  </b:Source>
  <b:Source>
    <b:Tag>Men09</b:Tag>
    <b:SourceType>Report</b:SourceType>
    <b:Guid>{0AE799D6-A095-8648-9AAC-B69390BB863F}</b:Guid>
    <b:Author>
      <b:Author>
        <b:NameList>
          <b:Person>
            <b:Last>Menoncin</b:Last>
          </b:Person>
          <b:Person>
            <b:Last>Panteghini</b:Last>
          </b:Person>
        </b:NameList>
      </b:Author>
    </b:Author>
    <b:Title>Retrospective Capital Gains Taxation in the Real World</b:Title>
    <b:Year>2009</b:Year>
    <b:Institution>CESifo</b:Institution>
    <b:RefOrder>106</b:RefOrder>
  </b:Source>
  <b:Source>
    <b:Tag>Mil99</b:Tag>
    <b:SourceType>Report</b:SourceType>
    <b:Guid>{BB27D9AF-950A-A74E-A799-AB1F468F6562}</b:Guid>
    <b:Author>
      <b:Author>
        <b:NameList>
          <b:Person>
            <b:Last>Milligan</b:Last>
          </b:Person>
          <b:Person>
            <b:Last>Mintz</b:Last>
          </b:Person>
          <b:Person>
            <b:Last>Wilson</b:Last>
          </b:Person>
        </b:NameList>
      </b:Author>
    </b:Author>
    <b:Title>Capital Gains Taxation: Recent Empirical Evidence</b:Title>
    <b:Institution>The Heward Stikeman Institute.</b:Institution>
    <b:Publisher>University of Toronto</b:Publisher>
    <b:Year>1999</b:Year>
    <b:RefOrder>107</b:RefOrder>
  </b:Source>
  <b:Source>
    <b:Tag>Pik13</b:Tag>
    <b:SourceType>JournalArticle</b:SourceType>
    <b:Guid>{DD12B98B-A556-7D41-A768-692F428318C3}</b:Guid>
    <b:Author>
      <b:Author>
        <b:NameList>
          <b:Person>
            <b:Last>Piketty</b:Last>
          </b:Person>
          <b:Person>
            <b:Last>Saez</b:Last>
          </b:Person>
        </b:NameList>
      </b:Author>
    </b:Author>
    <b:Title>A theory of optimal inheritance taxation</b:Title>
    <b:Year>2013</b:Year>
    <b:Pages>1851-1886</b:Pages>
    <b:JournalName>Econometrica</b:JournalName>
    <b:Volume>81</b:Volume>
    <b:Issue>5</b:Issue>
    <b:RefOrder>108</b:RefOrder>
  </b:Source>
  <b:Source>
    <b:Tag>Dai06</b:Tag>
    <b:SourceType>Report</b:SourceType>
    <b:Guid>{A3D7EE67-D9A6-B146-AB00-4867A3F6BAF9}</b:Guid>
    <b:Author>
      <b:Author>
        <b:NameList>
          <b:Person>
            <b:Last>Dai</b:Last>
          </b:Person>
          <b:Person>
            <b:Last>Maydew</b:Last>
          </b:Person>
          <b:Person>
            <b:Last>Shackelford</b:Last>
          </b:Person>
          <b:Person>
            <b:Last>Zhang</b:Last>
          </b:Person>
        </b:NameList>
      </b:Author>
    </b:Author>
    <b:Title>Capital gains taxes and asset prices: capitalization or lock in?</b:Title>
    <b:Publisher>National Bureau of Economic Research</b:Publisher>
    <b:Year>2006</b:Year>
    <b:RefOrder>109</b:RefOrder>
  </b:Source>
  <b:Source>
    <b:Tag>Dau09</b:Tag>
    <b:SourceType>JournalArticle</b:SourceType>
    <b:Guid>{27AD1CF1-0C32-3D42-9CD2-34F3A4D50F87}</b:Guid>
    <b:Author>
      <b:Author>
        <b:NameList>
          <b:Person>
            <b:Last>Daunfeldt</b:Last>
          </b:Person>
          <b:Person>
            <b:Last>Praski-Stahlgren</b:Last>
          </b:Person>
          <b:Person>
            <b:Last>Rudholm</b:Last>
          </b:Person>
        </b:NameList>
      </b:Author>
    </b:Author>
    <b:Title>Do high taxes lock-in capital gains? Evidence from a dual income tax system</b:Title>
    <b:Year>2009</b:Year>
    <b:Pages>25-38</b:Pages>
    <b:JournalName>Public Choice</b:JournalName>
    <b:Volume>145</b:Volume>
    <b:RefOrder>110</b:RefOrder>
  </b:Source>
</b:Sources>
</file>

<file path=customXml/itemProps1.xml><?xml version="1.0" encoding="utf-8"?>
<ds:datastoreItem xmlns:ds="http://schemas.openxmlformats.org/officeDocument/2006/customXml" ds:itemID="{B31598D4-AEA3-4697-BF89-6E31481D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19469</Words>
  <Characters>107082</Characters>
  <Application>Microsoft Office Word</Application>
  <DocSecurity>0</DocSecurity>
  <Lines>892</Lines>
  <Paragraphs>252</Paragraphs>
  <ScaleCrop>false</ScaleCrop>
  <HeadingPairs>
    <vt:vector size="2" baseType="variant">
      <vt:variant>
        <vt:lpstr>Title</vt:lpstr>
      </vt:variant>
      <vt:variant>
        <vt:i4>1</vt:i4>
      </vt:variant>
    </vt:vector>
  </HeadingPairs>
  <TitlesOfParts>
    <vt:vector size="1" baseType="lpstr">
      <vt:lpstr/>
    </vt:vector>
  </TitlesOfParts>
  <Company>OIS</Company>
  <LinksUpToDate>false</LinksUpToDate>
  <CharactersWithSpaces>126299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Brabander</dc:creator>
  <cp:keywords/>
  <dc:description/>
  <cp:lastModifiedBy>M.M. Viola Gonzalez</cp:lastModifiedBy>
  <cp:revision>2</cp:revision>
  <dcterms:created xsi:type="dcterms:W3CDTF">2016-08-01T12:45:00Z</dcterms:created>
  <dcterms:modified xsi:type="dcterms:W3CDTF">2016-08-01T12:45:00Z</dcterms:modified>
</cp:coreProperties>
</file>