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C3" w:rsidRPr="00CF00C3" w:rsidRDefault="00CF00C3" w:rsidP="00CF00C3">
      <w:pPr>
        <w:autoSpaceDE w:val="0"/>
        <w:autoSpaceDN w:val="0"/>
        <w:adjustRightInd w:val="0"/>
        <w:rPr>
          <w:rFonts w:ascii="Times New Roman" w:hAnsi="Times New Roman" w:cs="Times New Roman"/>
          <w:b/>
          <w:color w:val="000000"/>
          <w:sz w:val="28"/>
          <w:szCs w:val="24"/>
          <w:lang w:val="en-US"/>
        </w:rPr>
      </w:pPr>
      <w:bookmarkStart w:id="0" w:name="_GoBack"/>
      <w:bookmarkEnd w:id="0"/>
      <w:r>
        <w:rPr>
          <w:rFonts w:ascii="Times New Roman" w:hAnsi="Times New Roman" w:cs="Times New Roman"/>
          <w:b/>
          <w:color w:val="000000"/>
          <w:sz w:val="28"/>
          <w:szCs w:val="24"/>
          <w:lang w:val="en-US"/>
        </w:rPr>
        <w:t>Compulsory Turnout in the Netherlands: Before and After</w:t>
      </w:r>
    </w:p>
    <w:p w:rsidR="00CF00C3" w:rsidRPr="00CF00C3" w:rsidRDefault="00CF00C3" w:rsidP="00CF00C3">
      <w:pPr>
        <w:autoSpaceDE w:val="0"/>
        <w:autoSpaceDN w:val="0"/>
        <w:adjustRightInd w:val="0"/>
        <w:rPr>
          <w:rFonts w:ascii="Times New Roman" w:hAnsi="Times New Roman" w:cs="Times New Roman"/>
          <w:color w:val="000000"/>
          <w:sz w:val="24"/>
          <w:szCs w:val="24"/>
          <w:lang w:val="en-US"/>
        </w:rPr>
      </w:pPr>
      <w:r w:rsidRPr="00CF00C3">
        <w:rPr>
          <w:rFonts w:ascii="Times New Roman" w:hAnsi="Times New Roman" w:cs="Times New Roman"/>
          <w:color w:val="000000"/>
          <w:sz w:val="24"/>
          <w:szCs w:val="24"/>
          <w:lang w:val="en-US"/>
        </w:rPr>
        <w:t>ERASMUS UNIVERSITY ROTTERDAM</w:t>
      </w:r>
    </w:p>
    <w:p w:rsidR="00CF00C3" w:rsidRPr="00CF00C3" w:rsidRDefault="00CF00C3" w:rsidP="00CF00C3">
      <w:pPr>
        <w:autoSpaceDE w:val="0"/>
        <w:autoSpaceDN w:val="0"/>
        <w:adjustRightInd w:val="0"/>
        <w:rPr>
          <w:rFonts w:ascii="Times New Roman" w:hAnsi="Times New Roman" w:cs="Times New Roman"/>
          <w:color w:val="000000"/>
          <w:sz w:val="24"/>
          <w:szCs w:val="24"/>
          <w:lang w:val="en-US"/>
        </w:rPr>
      </w:pPr>
      <w:r w:rsidRPr="00CF00C3">
        <w:rPr>
          <w:rFonts w:ascii="Times New Roman" w:hAnsi="Times New Roman" w:cs="Times New Roman"/>
          <w:color w:val="000000"/>
          <w:sz w:val="24"/>
          <w:szCs w:val="24"/>
          <w:lang w:val="en-US"/>
        </w:rPr>
        <w:t>Erasmus School of Economics</w:t>
      </w:r>
    </w:p>
    <w:p w:rsidR="00CF00C3" w:rsidRPr="00CF00C3" w:rsidRDefault="00CF00C3" w:rsidP="00CF00C3">
      <w:pPr>
        <w:autoSpaceDE w:val="0"/>
        <w:autoSpaceDN w:val="0"/>
        <w:adjustRightInd w:val="0"/>
        <w:rPr>
          <w:rFonts w:ascii="Times New Roman" w:hAnsi="Times New Roman" w:cs="Times New Roman"/>
          <w:color w:val="000000"/>
          <w:sz w:val="24"/>
          <w:szCs w:val="24"/>
          <w:lang w:val="en-US"/>
        </w:rPr>
      </w:pPr>
      <w:r w:rsidRPr="00CF00C3">
        <w:rPr>
          <w:rFonts w:ascii="Times New Roman" w:hAnsi="Times New Roman" w:cs="Times New Roman"/>
          <w:color w:val="000000"/>
          <w:sz w:val="24"/>
          <w:szCs w:val="24"/>
          <w:lang w:val="en-US"/>
        </w:rPr>
        <w:t>Department of Economics</w:t>
      </w:r>
    </w:p>
    <w:p w:rsidR="00CF00C3" w:rsidRPr="00CF00C3" w:rsidRDefault="00CF00C3" w:rsidP="00CF00C3">
      <w:pPr>
        <w:autoSpaceDE w:val="0"/>
        <w:autoSpaceDN w:val="0"/>
        <w:adjustRightInd w:val="0"/>
        <w:rPr>
          <w:rFonts w:ascii="Times New Roman" w:hAnsi="Times New Roman" w:cs="Times New Roman"/>
          <w:color w:val="000000"/>
          <w:sz w:val="24"/>
          <w:szCs w:val="24"/>
          <w:lang w:val="en-US"/>
        </w:rPr>
      </w:pPr>
    </w:p>
    <w:p w:rsidR="00CF00C3" w:rsidRPr="00CF00C3" w:rsidRDefault="00CF00C3" w:rsidP="00CF00C3">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Supervisor: Dana Sisak</w:t>
      </w:r>
    </w:p>
    <w:p w:rsidR="00CF00C3" w:rsidRPr="00CF00C3" w:rsidRDefault="00CF00C3" w:rsidP="00CF00C3">
      <w:pPr>
        <w:autoSpaceDE w:val="0"/>
        <w:autoSpaceDN w:val="0"/>
        <w:adjustRightInd w:val="0"/>
        <w:rPr>
          <w:rFonts w:ascii="Times New Roman" w:hAnsi="Times New Roman" w:cs="Times New Roman"/>
          <w:color w:val="000000"/>
          <w:sz w:val="24"/>
          <w:szCs w:val="24"/>
          <w:lang w:val="en-US"/>
        </w:rPr>
      </w:pPr>
    </w:p>
    <w:p w:rsidR="00CF00C3" w:rsidRPr="00CF00C3" w:rsidRDefault="00CF00C3" w:rsidP="00CF00C3">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Name: Jose Mari Romuald Mayuga Tuaño</w:t>
      </w:r>
    </w:p>
    <w:p w:rsidR="00CF00C3" w:rsidRPr="00CF00C3" w:rsidRDefault="00CF00C3" w:rsidP="00CF00C3">
      <w:pPr>
        <w:autoSpaceDE w:val="0"/>
        <w:autoSpaceDN w:val="0"/>
        <w:adjustRightInd w:val="0"/>
        <w:rPr>
          <w:rFonts w:ascii="Times New Roman" w:hAnsi="Times New Roman" w:cs="Times New Roman"/>
          <w:color w:val="000000"/>
          <w:sz w:val="24"/>
          <w:szCs w:val="24"/>
          <w:lang w:val="en-US"/>
        </w:rPr>
      </w:pPr>
      <w:r w:rsidRPr="00CF00C3">
        <w:rPr>
          <w:rFonts w:ascii="Times New Roman" w:hAnsi="Times New Roman" w:cs="Times New Roman"/>
          <w:color w:val="000000"/>
          <w:sz w:val="24"/>
          <w:szCs w:val="24"/>
          <w:lang w:val="en-US"/>
        </w:rPr>
        <w:t>Exam number:  xxx</w:t>
      </w:r>
    </w:p>
    <w:p w:rsidR="00CF00C3" w:rsidRDefault="00CF00C3" w:rsidP="00CF00C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E-mail address: </w:t>
      </w:r>
      <w:hyperlink r:id="rId8" w:history="1">
        <w:r w:rsidR="00933BCD" w:rsidRPr="00EC7D15">
          <w:rPr>
            <w:rStyle w:val="Hyperlink"/>
            <w:rFonts w:ascii="Times New Roman" w:hAnsi="Times New Roman" w:cs="Times New Roman"/>
            <w:sz w:val="24"/>
            <w:szCs w:val="24"/>
            <w:lang w:val="en-US"/>
          </w:rPr>
          <w:t>jose.tuano@gmail.com</w:t>
        </w:r>
      </w:hyperlink>
    </w:p>
    <w:p w:rsidR="00933BCD" w:rsidRDefault="00933BCD" w:rsidP="00CF00C3">
      <w:pPr>
        <w:rPr>
          <w:rFonts w:ascii="Times New Roman" w:hAnsi="Times New Roman" w:cs="Times New Roman"/>
          <w:color w:val="000000"/>
          <w:sz w:val="24"/>
          <w:szCs w:val="24"/>
          <w:lang w:val="en-US"/>
        </w:rPr>
      </w:pPr>
    </w:p>
    <w:p w:rsidR="00933BCD" w:rsidRPr="00933BCD" w:rsidRDefault="00933BCD" w:rsidP="00933BCD">
      <w:pPr>
        <w:rPr>
          <w:rFonts w:ascii="Times New Roman" w:hAnsi="Times New Roman" w:cs="Times New Roman"/>
          <w:color w:val="000000"/>
          <w:sz w:val="24"/>
          <w:szCs w:val="24"/>
        </w:rPr>
      </w:pPr>
    </w:p>
    <w:p w:rsidR="00CF00C3" w:rsidRPr="00CF00C3" w:rsidRDefault="00CF00C3">
      <w:pPr>
        <w:rPr>
          <w:rFonts w:ascii="Times New Roman" w:hAnsi="Times New Roman" w:cs="Times New Roman"/>
          <w:color w:val="000000"/>
          <w:sz w:val="24"/>
          <w:szCs w:val="24"/>
          <w:lang w:val="en-US"/>
        </w:rPr>
      </w:pPr>
      <w:r w:rsidRPr="00CF00C3">
        <w:rPr>
          <w:rFonts w:ascii="Times New Roman" w:hAnsi="Times New Roman" w:cs="Times New Roman"/>
          <w:color w:val="000000"/>
          <w:sz w:val="24"/>
          <w:szCs w:val="24"/>
          <w:lang w:val="en-US"/>
        </w:rPr>
        <w:br w:type="page"/>
      </w:r>
    </w:p>
    <w:p w:rsidR="00CF00C3" w:rsidRDefault="00CF00C3" w:rsidP="001A4BB9">
      <w:pPr>
        <w:spacing w:line="360" w:lineRule="auto"/>
        <w:jc w:val="both"/>
        <w:rPr>
          <w:rFonts w:ascii="Times New Roman" w:eastAsiaTheme="minorEastAsia" w:hAnsi="Times New Roman" w:cs="Times New Roman"/>
          <w:b/>
          <w:sz w:val="24"/>
        </w:rPr>
      </w:pPr>
      <w:r>
        <w:rPr>
          <w:rFonts w:ascii="Times New Roman" w:eastAsiaTheme="minorEastAsia" w:hAnsi="Times New Roman" w:cs="Times New Roman"/>
          <w:b/>
          <w:sz w:val="24"/>
        </w:rPr>
        <w:lastRenderedPageBreak/>
        <w:t xml:space="preserve">I </w:t>
      </w:r>
      <w:r w:rsidR="001E0EB3">
        <w:rPr>
          <w:rFonts w:ascii="Times New Roman" w:eastAsiaTheme="minorEastAsia" w:hAnsi="Times New Roman" w:cs="Times New Roman"/>
          <w:b/>
          <w:sz w:val="24"/>
        </w:rPr>
        <w:t>–</w:t>
      </w:r>
      <w:r>
        <w:rPr>
          <w:rFonts w:ascii="Times New Roman" w:eastAsiaTheme="minorEastAsia" w:hAnsi="Times New Roman" w:cs="Times New Roman"/>
          <w:b/>
          <w:sz w:val="24"/>
        </w:rPr>
        <w:t xml:space="preserve"> Introduction</w:t>
      </w:r>
    </w:p>
    <w:p w:rsidR="001E0EB3" w:rsidRDefault="001E0EB3" w:rsidP="001A4BB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b/>
          <w:sz w:val="24"/>
        </w:rPr>
        <w:tab/>
      </w:r>
      <w:r w:rsidR="00D3355B">
        <w:rPr>
          <w:rFonts w:ascii="Times New Roman" w:eastAsiaTheme="minorEastAsia" w:hAnsi="Times New Roman" w:cs="Times New Roman"/>
          <w:sz w:val="24"/>
        </w:rPr>
        <w:t xml:space="preserve">Compulsory turnout is somewhat of a rarity in modern politics. Out of the sovereign states in the world, </w:t>
      </w:r>
      <w:r w:rsidR="00B73363">
        <w:rPr>
          <w:rFonts w:ascii="Times New Roman" w:eastAsiaTheme="minorEastAsia" w:hAnsi="Times New Roman" w:cs="Times New Roman"/>
          <w:sz w:val="24"/>
        </w:rPr>
        <w:t>about</w:t>
      </w:r>
      <w:r w:rsidR="00D3355B">
        <w:rPr>
          <w:rFonts w:ascii="Times New Roman" w:eastAsiaTheme="minorEastAsia" w:hAnsi="Times New Roman" w:cs="Times New Roman"/>
          <w:sz w:val="24"/>
        </w:rPr>
        <w:t xml:space="preserve"> </w:t>
      </w:r>
      <w:r w:rsidR="00B110AC">
        <w:rPr>
          <w:rFonts w:ascii="Times New Roman" w:eastAsiaTheme="minorEastAsia" w:hAnsi="Times New Roman" w:cs="Times New Roman"/>
          <w:sz w:val="24"/>
        </w:rPr>
        <w:t>22</w:t>
      </w:r>
      <w:r w:rsidR="00D3355B">
        <w:rPr>
          <w:rFonts w:ascii="Times New Roman" w:eastAsiaTheme="minorEastAsia" w:hAnsi="Times New Roman" w:cs="Times New Roman"/>
          <w:sz w:val="24"/>
        </w:rPr>
        <w:t xml:space="preserve"> of these states </w:t>
      </w:r>
      <w:r w:rsidR="00B73363">
        <w:rPr>
          <w:rFonts w:ascii="Times New Roman" w:eastAsiaTheme="minorEastAsia" w:hAnsi="Times New Roman" w:cs="Times New Roman"/>
          <w:sz w:val="24"/>
        </w:rPr>
        <w:t xml:space="preserve">currently </w:t>
      </w:r>
      <w:r w:rsidR="00D3355B">
        <w:rPr>
          <w:rFonts w:ascii="Times New Roman" w:eastAsiaTheme="minorEastAsia" w:hAnsi="Times New Roman" w:cs="Times New Roman"/>
          <w:sz w:val="24"/>
        </w:rPr>
        <w:t>implement a form of compul</w:t>
      </w:r>
      <w:r w:rsidR="00D07D9E">
        <w:rPr>
          <w:rFonts w:ascii="Times New Roman" w:eastAsiaTheme="minorEastAsia" w:hAnsi="Times New Roman" w:cs="Times New Roman"/>
          <w:sz w:val="24"/>
        </w:rPr>
        <w:t>sory turnout</w:t>
      </w:r>
      <w:r w:rsidR="001D30BD">
        <w:rPr>
          <w:rFonts w:ascii="Times New Roman" w:eastAsiaTheme="minorEastAsia" w:hAnsi="Times New Roman" w:cs="Times New Roman"/>
          <w:sz w:val="24"/>
        </w:rPr>
        <w:t xml:space="preserve"> (</w:t>
      </w:r>
      <w:r w:rsidR="00B110AC">
        <w:rPr>
          <w:rFonts w:ascii="Times New Roman" w:eastAsiaTheme="minorEastAsia" w:hAnsi="Times New Roman" w:cs="Times New Roman"/>
          <w:sz w:val="24"/>
        </w:rPr>
        <w:t>World Factbook, 2013</w:t>
      </w:r>
      <w:r w:rsidR="001D30BD">
        <w:rPr>
          <w:rFonts w:ascii="Times New Roman" w:eastAsiaTheme="minorEastAsia" w:hAnsi="Times New Roman" w:cs="Times New Roman"/>
          <w:sz w:val="24"/>
        </w:rPr>
        <w:t>)</w:t>
      </w:r>
      <w:r w:rsidR="00B73363">
        <w:rPr>
          <w:rFonts w:ascii="Times New Roman" w:eastAsiaTheme="minorEastAsia" w:hAnsi="Times New Roman" w:cs="Times New Roman"/>
          <w:sz w:val="24"/>
        </w:rPr>
        <w:t>.</w:t>
      </w:r>
      <w:r w:rsidR="00D3355B">
        <w:rPr>
          <w:rFonts w:ascii="Times New Roman" w:eastAsiaTheme="minorEastAsia" w:hAnsi="Times New Roman" w:cs="Times New Roman"/>
          <w:sz w:val="24"/>
        </w:rPr>
        <w:t xml:space="preserve"> The first countries to implement the law, Liechtenstein and Belgium, did so in the 19</w:t>
      </w:r>
      <w:r w:rsidR="00D3355B" w:rsidRPr="00D3355B">
        <w:rPr>
          <w:rFonts w:ascii="Times New Roman" w:eastAsiaTheme="minorEastAsia" w:hAnsi="Times New Roman" w:cs="Times New Roman"/>
          <w:sz w:val="24"/>
          <w:vertAlign w:val="superscript"/>
        </w:rPr>
        <w:t>th</w:t>
      </w:r>
      <w:r w:rsidR="00D3355B">
        <w:rPr>
          <w:rFonts w:ascii="Times New Roman" w:eastAsiaTheme="minorEastAsia" w:hAnsi="Times New Roman" w:cs="Times New Roman"/>
          <w:sz w:val="24"/>
        </w:rPr>
        <w:t xml:space="preserve"> century, under the firm belief that it </w:t>
      </w:r>
      <w:r w:rsidR="00C22AA2">
        <w:rPr>
          <w:rFonts w:ascii="Times New Roman" w:eastAsiaTheme="minorEastAsia" w:hAnsi="Times New Roman" w:cs="Times New Roman"/>
          <w:sz w:val="24"/>
        </w:rPr>
        <w:t>improves the legitimacy of elected governments. This line of reasoning is quite logical considering the</w:t>
      </w:r>
      <w:r w:rsidR="001D30BD">
        <w:rPr>
          <w:rFonts w:ascii="Times New Roman" w:eastAsiaTheme="minorEastAsia" w:hAnsi="Times New Roman" w:cs="Times New Roman"/>
          <w:sz w:val="24"/>
        </w:rPr>
        <w:t xml:space="preserve"> well-documented</w:t>
      </w:r>
      <w:r w:rsidR="00C22AA2">
        <w:rPr>
          <w:rFonts w:ascii="Times New Roman" w:eastAsiaTheme="minorEastAsia" w:hAnsi="Times New Roman" w:cs="Times New Roman"/>
          <w:sz w:val="24"/>
        </w:rPr>
        <w:t xml:space="preserve"> effects </w:t>
      </w:r>
      <w:r w:rsidR="00C5213E">
        <w:rPr>
          <w:rFonts w:ascii="Times New Roman" w:eastAsiaTheme="minorEastAsia" w:hAnsi="Times New Roman" w:cs="Times New Roman"/>
          <w:sz w:val="24"/>
        </w:rPr>
        <w:t>that compulsory turnout</w:t>
      </w:r>
      <w:r w:rsidR="00C22AA2">
        <w:rPr>
          <w:rFonts w:ascii="Times New Roman" w:eastAsiaTheme="minorEastAsia" w:hAnsi="Times New Roman" w:cs="Times New Roman"/>
          <w:sz w:val="24"/>
        </w:rPr>
        <w:t xml:space="preserve"> has on voter turnout – approximately a 10-15% higher rate of turnout in countries that implement it (Pintor and Gratschew, 2004). As one of the main reasons for implementing the law, wider representation can be considered to be one of the key attributes of a healthy democ</w:t>
      </w:r>
      <w:r w:rsidR="00D07D9E">
        <w:rPr>
          <w:rFonts w:ascii="Times New Roman" w:eastAsiaTheme="minorEastAsia" w:hAnsi="Times New Roman" w:cs="Times New Roman"/>
          <w:sz w:val="24"/>
        </w:rPr>
        <w:t xml:space="preserve">racy. With a more economic viewpoint, wider representation can be interpreted as a greater degree </w:t>
      </w:r>
      <w:r w:rsidR="00C22AA2">
        <w:rPr>
          <w:rFonts w:ascii="Times New Roman" w:eastAsiaTheme="minorEastAsia" w:hAnsi="Times New Roman" w:cs="Times New Roman"/>
          <w:sz w:val="24"/>
        </w:rPr>
        <w:t>of political competition, particularly in countries that have a multi-party system. It is here that economic theory cross</w:t>
      </w:r>
      <w:r w:rsidR="00B73363">
        <w:rPr>
          <w:rFonts w:ascii="Times New Roman" w:eastAsiaTheme="minorEastAsia" w:hAnsi="Times New Roman" w:cs="Times New Roman"/>
          <w:sz w:val="24"/>
        </w:rPr>
        <w:t xml:space="preserve">es </w:t>
      </w:r>
      <w:r w:rsidR="00C22AA2">
        <w:rPr>
          <w:rFonts w:ascii="Times New Roman" w:eastAsiaTheme="minorEastAsia" w:hAnsi="Times New Roman" w:cs="Times New Roman"/>
          <w:sz w:val="24"/>
        </w:rPr>
        <w:t>over from</w:t>
      </w:r>
      <w:r w:rsidR="00B73363">
        <w:rPr>
          <w:rFonts w:ascii="Times New Roman" w:eastAsiaTheme="minorEastAsia" w:hAnsi="Times New Roman" w:cs="Times New Roman"/>
          <w:sz w:val="24"/>
        </w:rPr>
        <w:t xml:space="preserve"> the standard theories of perfect competition between firms to the political realm of inter-party competition, wherein the benefits of competitiveness are both realised. There is a number of literature that discuss the benefits of political competition. For example, Stigler (1972) considers it to be similar to market competition in that it accrues benefits to voters. </w:t>
      </w:r>
      <w:r w:rsidR="001D30BD">
        <w:rPr>
          <w:rFonts w:ascii="Times New Roman" w:eastAsiaTheme="minorEastAsia" w:hAnsi="Times New Roman" w:cs="Times New Roman"/>
          <w:sz w:val="24"/>
        </w:rPr>
        <w:t xml:space="preserve">Here, </w:t>
      </w:r>
      <w:r w:rsidR="00B73363">
        <w:rPr>
          <w:rFonts w:ascii="Times New Roman" w:eastAsiaTheme="minorEastAsia" w:hAnsi="Times New Roman" w:cs="Times New Roman"/>
          <w:sz w:val="24"/>
        </w:rPr>
        <w:t>Stigler refers to the more direct benefit</w:t>
      </w:r>
      <w:r w:rsidR="00B110AC">
        <w:rPr>
          <w:rFonts w:ascii="Times New Roman" w:eastAsiaTheme="minorEastAsia" w:hAnsi="Times New Roman" w:cs="Times New Roman"/>
          <w:sz w:val="24"/>
        </w:rPr>
        <w:t>s due to the increase of choice</w:t>
      </w:r>
      <w:r w:rsidR="00B73363">
        <w:rPr>
          <w:rFonts w:ascii="Times New Roman" w:eastAsiaTheme="minorEastAsia" w:hAnsi="Times New Roman" w:cs="Times New Roman"/>
          <w:sz w:val="24"/>
        </w:rPr>
        <w:t xml:space="preserve"> in terms of preferred policies. More indirectly, Galasso and Nannicini (2011) find evidence </w:t>
      </w:r>
      <w:r w:rsidR="00B110AC">
        <w:rPr>
          <w:rFonts w:ascii="Times New Roman" w:eastAsiaTheme="minorEastAsia" w:hAnsi="Times New Roman" w:cs="Times New Roman"/>
          <w:sz w:val="24"/>
        </w:rPr>
        <w:t xml:space="preserve">for </w:t>
      </w:r>
      <w:r w:rsidR="00B73363">
        <w:rPr>
          <w:rFonts w:ascii="Times New Roman" w:eastAsiaTheme="minorEastAsia" w:hAnsi="Times New Roman" w:cs="Times New Roman"/>
          <w:sz w:val="24"/>
        </w:rPr>
        <w:t xml:space="preserve">higher valence politicians being allocated by their parties into more competitive voter districts.  And so, naturally, a law that enforces higher representation should </w:t>
      </w:r>
      <w:r w:rsidR="00B73363">
        <w:rPr>
          <w:rFonts w:ascii="Times New Roman" w:eastAsiaTheme="minorEastAsia" w:hAnsi="Times New Roman" w:cs="Times New Roman"/>
          <w:i/>
          <w:sz w:val="24"/>
        </w:rPr>
        <w:t>de facto</w:t>
      </w:r>
      <w:r w:rsidR="00B73363">
        <w:rPr>
          <w:rFonts w:ascii="Times New Roman" w:eastAsiaTheme="minorEastAsia" w:hAnsi="Times New Roman" w:cs="Times New Roman"/>
          <w:sz w:val="24"/>
        </w:rPr>
        <w:t xml:space="preserve"> </w:t>
      </w:r>
      <w:r w:rsidR="00E661E1">
        <w:rPr>
          <w:rFonts w:ascii="Times New Roman" w:eastAsiaTheme="minorEastAsia" w:hAnsi="Times New Roman" w:cs="Times New Roman"/>
          <w:sz w:val="24"/>
        </w:rPr>
        <w:t xml:space="preserve">foster political competition and thus, a more legitimate democratic institution. This paper’s primary aim is to put this argument into question, specifically concerning compulsory </w:t>
      </w:r>
      <w:r w:rsidR="00C5213E">
        <w:rPr>
          <w:rFonts w:ascii="Times New Roman" w:eastAsiaTheme="minorEastAsia" w:hAnsi="Times New Roman" w:cs="Times New Roman"/>
          <w:sz w:val="24"/>
        </w:rPr>
        <w:t>turnout</w:t>
      </w:r>
      <w:r w:rsidR="00E661E1">
        <w:rPr>
          <w:rFonts w:ascii="Times New Roman" w:eastAsiaTheme="minorEastAsia" w:hAnsi="Times New Roman" w:cs="Times New Roman"/>
          <w:sz w:val="24"/>
        </w:rPr>
        <w:t>’s actual ability to enforce higher representation.</w:t>
      </w:r>
    </w:p>
    <w:p w:rsidR="00E661E1" w:rsidRPr="00B73363" w:rsidRDefault="00E661E1" w:rsidP="00F9207E">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ab/>
      </w:r>
      <w:r w:rsidR="00CE3030">
        <w:rPr>
          <w:rFonts w:ascii="Times New Roman" w:eastAsiaTheme="minorEastAsia" w:hAnsi="Times New Roman" w:cs="Times New Roman"/>
          <w:sz w:val="24"/>
        </w:rPr>
        <w:t>T</w:t>
      </w:r>
      <w:r>
        <w:rPr>
          <w:rFonts w:ascii="Times New Roman" w:eastAsiaTheme="minorEastAsia" w:hAnsi="Times New Roman" w:cs="Times New Roman"/>
          <w:sz w:val="24"/>
        </w:rPr>
        <w:t>his research is to the benefit of vote</w:t>
      </w:r>
      <w:r w:rsidR="001D30BD">
        <w:rPr>
          <w:rFonts w:ascii="Times New Roman" w:eastAsiaTheme="minorEastAsia" w:hAnsi="Times New Roman" w:cs="Times New Roman"/>
          <w:sz w:val="24"/>
        </w:rPr>
        <w:t>r welfare, as well as</w:t>
      </w:r>
      <w:r>
        <w:rPr>
          <w:rFonts w:ascii="Times New Roman" w:eastAsiaTheme="minorEastAsia" w:hAnsi="Times New Roman" w:cs="Times New Roman"/>
          <w:sz w:val="24"/>
        </w:rPr>
        <w:t xml:space="preserve"> to aid in the appropriate development of democratic institutions. Specifically, its conclusions may provide insight into the desirability of compulsory turnout as a means of achieving more democratic election outcomes. </w:t>
      </w:r>
      <w:r w:rsidR="001D30BD">
        <w:rPr>
          <w:rFonts w:ascii="Times New Roman" w:eastAsiaTheme="minorEastAsia" w:hAnsi="Times New Roman" w:cs="Times New Roman"/>
          <w:sz w:val="24"/>
        </w:rPr>
        <w:t xml:space="preserve">Scientifically, its conclusions can add </w:t>
      </w:r>
      <w:r>
        <w:rPr>
          <w:rFonts w:ascii="Times New Roman" w:eastAsiaTheme="minorEastAsia" w:hAnsi="Times New Roman" w:cs="Times New Roman"/>
          <w:sz w:val="24"/>
        </w:rPr>
        <w:t xml:space="preserve">to the already extensive </w:t>
      </w:r>
      <w:r w:rsidR="001D30BD">
        <w:rPr>
          <w:rFonts w:ascii="Times New Roman" w:eastAsiaTheme="minorEastAsia" w:hAnsi="Times New Roman" w:cs="Times New Roman"/>
          <w:sz w:val="24"/>
        </w:rPr>
        <w:t xml:space="preserve">span of </w:t>
      </w:r>
      <w:r>
        <w:rPr>
          <w:rFonts w:ascii="Times New Roman" w:eastAsiaTheme="minorEastAsia" w:hAnsi="Times New Roman" w:cs="Times New Roman"/>
          <w:sz w:val="24"/>
        </w:rPr>
        <w:t xml:space="preserve">literature on the topic </w:t>
      </w:r>
      <w:r w:rsidR="001D30BD">
        <w:rPr>
          <w:rFonts w:ascii="Times New Roman" w:eastAsiaTheme="minorEastAsia" w:hAnsi="Times New Roman" w:cs="Times New Roman"/>
          <w:sz w:val="24"/>
        </w:rPr>
        <w:t>with a</w:t>
      </w:r>
      <w:r>
        <w:rPr>
          <w:rFonts w:ascii="Times New Roman" w:eastAsiaTheme="minorEastAsia" w:hAnsi="Times New Roman" w:cs="Times New Roman"/>
          <w:sz w:val="24"/>
        </w:rPr>
        <w:t xml:space="preserve"> fresh perspective via that of political competition –</w:t>
      </w:r>
      <w:r w:rsidR="00D07D9E">
        <w:rPr>
          <w:rFonts w:ascii="Times New Roman" w:eastAsiaTheme="minorEastAsia" w:hAnsi="Times New Roman" w:cs="Times New Roman"/>
          <w:sz w:val="24"/>
        </w:rPr>
        <w:t xml:space="preserve"> the</w:t>
      </w:r>
      <w:r w:rsidR="001D30BD">
        <w:rPr>
          <w:rFonts w:ascii="Times New Roman" w:eastAsiaTheme="minorEastAsia" w:hAnsi="Times New Roman" w:cs="Times New Roman"/>
          <w:sz w:val="24"/>
        </w:rPr>
        <w:t xml:space="preserve"> </w:t>
      </w:r>
      <w:r w:rsidR="00933BCD">
        <w:rPr>
          <w:rFonts w:ascii="Times New Roman" w:eastAsiaTheme="minorEastAsia" w:hAnsi="Times New Roman" w:cs="Times New Roman"/>
          <w:sz w:val="24"/>
        </w:rPr>
        <w:t>related literature</w:t>
      </w:r>
      <w:r w:rsidR="00D07D9E">
        <w:rPr>
          <w:rFonts w:ascii="Times New Roman" w:eastAsiaTheme="minorEastAsia" w:hAnsi="Times New Roman" w:cs="Times New Roman"/>
          <w:sz w:val="24"/>
        </w:rPr>
        <w:t xml:space="preserve"> of which</w:t>
      </w:r>
      <w:r w:rsidR="00933BCD">
        <w:rPr>
          <w:rFonts w:ascii="Times New Roman" w:eastAsiaTheme="minorEastAsia" w:hAnsi="Times New Roman" w:cs="Times New Roman"/>
          <w:sz w:val="24"/>
        </w:rPr>
        <w:t xml:space="preserve"> </w:t>
      </w:r>
      <w:r>
        <w:rPr>
          <w:rFonts w:ascii="Times New Roman" w:eastAsiaTheme="minorEastAsia" w:hAnsi="Times New Roman" w:cs="Times New Roman"/>
          <w:sz w:val="24"/>
        </w:rPr>
        <w:t xml:space="preserve">will be discussed in section II. </w:t>
      </w:r>
      <w:r w:rsidR="00F9207E">
        <w:rPr>
          <w:rFonts w:ascii="Times New Roman" w:eastAsiaTheme="minorEastAsia" w:hAnsi="Times New Roman" w:cs="Times New Roman"/>
          <w:sz w:val="24"/>
        </w:rPr>
        <w:t>As a means to this</w:t>
      </w:r>
      <w:r>
        <w:rPr>
          <w:rFonts w:ascii="Times New Roman" w:eastAsiaTheme="minorEastAsia" w:hAnsi="Times New Roman" w:cs="Times New Roman"/>
          <w:sz w:val="24"/>
        </w:rPr>
        <w:t xml:space="preserve"> end, this paper makes use of Dutch political data from the years 1958 until 1978</w:t>
      </w:r>
      <w:r w:rsidR="00F9207E">
        <w:rPr>
          <w:rFonts w:ascii="Times New Roman" w:eastAsiaTheme="minorEastAsia" w:hAnsi="Times New Roman" w:cs="Times New Roman"/>
          <w:sz w:val="24"/>
        </w:rPr>
        <w:t xml:space="preserve"> – which will be explained at length in section III. Section III will also take note of key data characteristics, and propose alternate econometric methodologies. Section IV will present the paper’s primary results, as well provide interp</w:t>
      </w:r>
      <w:r w:rsidR="001D30BD">
        <w:rPr>
          <w:rFonts w:ascii="Times New Roman" w:eastAsiaTheme="minorEastAsia" w:hAnsi="Times New Roman" w:cs="Times New Roman"/>
          <w:sz w:val="24"/>
        </w:rPr>
        <w:t xml:space="preserve">retations of the findings, where </w:t>
      </w:r>
      <w:r w:rsidR="00F9207E">
        <w:rPr>
          <w:rFonts w:ascii="Times New Roman" w:eastAsiaTheme="minorEastAsia" w:hAnsi="Times New Roman" w:cs="Times New Roman"/>
          <w:sz w:val="24"/>
        </w:rPr>
        <w:t>section V proposes a mechanistic explanation</w:t>
      </w:r>
      <w:r w:rsidR="001D30BD">
        <w:rPr>
          <w:rFonts w:ascii="Times New Roman" w:eastAsiaTheme="minorEastAsia" w:hAnsi="Times New Roman" w:cs="Times New Roman"/>
          <w:sz w:val="24"/>
        </w:rPr>
        <w:t xml:space="preserve"> of these results</w:t>
      </w:r>
      <w:r w:rsidR="00F9207E">
        <w:rPr>
          <w:rFonts w:ascii="Times New Roman" w:eastAsiaTheme="minorEastAsia" w:hAnsi="Times New Roman" w:cs="Times New Roman"/>
          <w:sz w:val="24"/>
        </w:rPr>
        <w:t>. Section VI brings into question the i</w:t>
      </w:r>
      <w:r w:rsidR="001D30BD">
        <w:rPr>
          <w:rFonts w:ascii="Times New Roman" w:eastAsiaTheme="minorEastAsia" w:hAnsi="Times New Roman" w:cs="Times New Roman"/>
          <w:sz w:val="24"/>
        </w:rPr>
        <w:t>nternal valid</w:t>
      </w:r>
      <w:r w:rsidR="00D07D9E">
        <w:rPr>
          <w:rFonts w:ascii="Times New Roman" w:eastAsiaTheme="minorEastAsia" w:hAnsi="Times New Roman" w:cs="Times New Roman"/>
          <w:sz w:val="24"/>
        </w:rPr>
        <w:t>ity of the paper’s methodology</w:t>
      </w:r>
      <w:r w:rsidR="00F9207E">
        <w:rPr>
          <w:rFonts w:ascii="Times New Roman" w:eastAsiaTheme="minorEastAsia" w:hAnsi="Times New Roman" w:cs="Times New Roman"/>
          <w:sz w:val="24"/>
        </w:rPr>
        <w:t xml:space="preserve">, and </w:t>
      </w:r>
      <w:r w:rsidR="00F9207E">
        <w:rPr>
          <w:rFonts w:ascii="Times New Roman" w:eastAsiaTheme="minorEastAsia" w:hAnsi="Times New Roman" w:cs="Times New Roman"/>
          <w:sz w:val="24"/>
        </w:rPr>
        <w:lastRenderedPageBreak/>
        <w:t>finally sect</w:t>
      </w:r>
      <w:r w:rsidR="001D30BD">
        <w:rPr>
          <w:rFonts w:ascii="Times New Roman" w:eastAsiaTheme="minorEastAsia" w:hAnsi="Times New Roman" w:cs="Times New Roman"/>
          <w:sz w:val="24"/>
        </w:rPr>
        <w:t xml:space="preserve">ion VII makes conclusions on its findings </w:t>
      </w:r>
      <w:r w:rsidR="00F9207E">
        <w:rPr>
          <w:rFonts w:ascii="Times New Roman" w:eastAsiaTheme="minorEastAsia" w:hAnsi="Times New Roman" w:cs="Times New Roman"/>
          <w:sz w:val="24"/>
        </w:rPr>
        <w:t>– on which it bases</w:t>
      </w:r>
      <w:r w:rsidR="00D07D9E">
        <w:rPr>
          <w:rFonts w:ascii="Times New Roman" w:eastAsiaTheme="minorEastAsia" w:hAnsi="Times New Roman" w:cs="Times New Roman"/>
          <w:sz w:val="24"/>
        </w:rPr>
        <w:t xml:space="preserve"> policy suggestions </w:t>
      </w:r>
      <w:r w:rsidR="00F9207E">
        <w:rPr>
          <w:rFonts w:ascii="Times New Roman" w:eastAsiaTheme="minorEastAsia" w:hAnsi="Times New Roman" w:cs="Times New Roman"/>
          <w:sz w:val="24"/>
        </w:rPr>
        <w:t xml:space="preserve">and finally recommends some avenues for future research. </w:t>
      </w:r>
    </w:p>
    <w:p w:rsidR="001A4BB9" w:rsidRPr="00F65831" w:rsidRDefault="001A4BB9" w:rsidP="001A4BB9">
      <w:pPr>
        <w:spacing w:line="360" w:lineRule="auto"/>
        <w:jc w:val="both"/>
        <w:rPr>
          <w:rFonts w:ascii="Times New Roman" w:eastAsiaTheme="minorEastAsia" w:hAnsi="Times New Roman" w:cs="Times New Roman"/>
          <w:b/>
          <w:sz w:val="24"/>
        </w:rPr>
      </w:pPr>
      <w:r w:rsidRPr="00F65831">
        <w:rPr>
          <w:rFonts w:ascii="Times New Roman" w:eastAsiaTheme="minorEastAsia" w:hAnsi="Times New Roman" w:cs="Times New Roman"/>
          <w:b/>
          <w:sz w:val="24"/>
        </w:rPr>
        <w:t>II – Related Literature</w:t>
      </w:r>
    </w:p>
    <w:p w:rsidR="001A4BB9" w:rsidRDefault="001A4BB9" w:rsidP="001A4BB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b/>
        </w:rPr>
        <w:tab/>
      </w:r>
      <w:r w:rsidR="00784863">
        <w:rPr>
          <w:rFonts w:ascii="Times New Roman" w:eastAsiaTheme="minorEastAsia" w:hAnsi="Times New Roman" w:cs="Times New Roman"/>
          <w:sz w:val="24"/>
        </w:rPr>
        <w:t>Turnout</w:t>
      </w:r>
      <w:r w:rsidR="00D07D9E">
        <w:rPr>
          <w:rFonts w:ascii="Times New Roman" w:eastAsiaTheme="minorEastAsia" w:hAnsi="Times New Roman" w:cs="Times New Roman"/>
          <w:sz w:val="24"/>
        </w:rPr>
        <w:t xml:space="preserve"> in general</w:t>
      </w:r>
      <w:r>
        <w:rPr>
          <w:rFonts w:ascii="Times New Roman" w:eastAsiaTheme="minorEastAsia" w:hAnsi="Times New Roman" w:cs="Times New Roman"/>
          <w:sz w:val="24"/>
        </w:rPr>
        <w:t xml:space="preserve"> is</w:t>
      </w:r>
      <w:r w:rsidR="00784863">
        <w:rPr>
          <w:rFonts w:ascii="Times New Roman" w:eastAsiaTheme="minorEastAsia" w:hAnsi="Times New Roman" w:cs="Times New Roman"/>
          <w:sz w:val="24"/>
        </w:rPr>
        <w:t xml:space="preserve"> </w:t>
      </w:r>
      <w:r>
        <w:rPr>
          <w:rFonts w:ascii="Times New Roman" w:eastAsiaTheme="minorEastAsia" w:hAnsi="Times New Roman" w:cs="Times New Roman"/>
          <w:sz w:val="24"/>
        </w:rPr>
        <w:t>a lengthily discussed topic in the field of political economy, with theoretical and empirical literature covering various aspects. Conventional wisdom typically points out that higher voter turnout fosters a healthier democratic system, where it is said to promote</w:t>
      </w:r>
      <w:r w:rsidR="00D3355B">
        <w:rPr>
          <w:rFonts w:ascii="Times New Roman" w:eastAsiaTheme="minorEastAsia" w:hAnsi="Times New Roman" w:cs="Times New Roman"/>
          <w:sz w:val="24"/>
        </w:rPr>
        <w:t xml:space="preserve"> the</w:t>
      </w:r>
      <w:r>
        <w:rPr>
          <w:rFonts w:ascii="Times New Roman" w:eastAsiaTheme="minorEastAsia" w:hAnsi="Times New Roman" w:cs="Times New Roman"/>
          <w:sz w:val="24"/>
        </w:rPr>
        <w:t xml:space="preserve"> representation of opinions and policy stances. As such, much of the available literature discusses the determinants of voter turnout as well as key factors that play a role in shaping its patterns. For example, Knack (1992) find that the enforcement of voting norms through social sanctions can enhance voter turnout rates, indicating a strong effect of social pressures in influencing voter patterns. Alternatively, Matsusaka and Palda (1999) make use of three dozen explanatory variables on aggregate data for Canadian national elections between the years 1979 and 1988 to examine how well these variables can explain voting probabilities. They find that although variables such as age, education, and campaign spending can have significant effects on the probability of voting, their models are plagued by low R</w:t>
      </w:r>
      <w:r>
        <w:rPr>
          <w:rFonts w:ascii="Times New Roman" w:eastAsiaTheme="minorEastAsia" w:hAnsi="Times New Roman" w:cs="Times New Roman"/>
          <w:sz w:val="24"/>
          <w:vertAlign w:val="superscript"/>
        </w:rPr>
        <w:t>2</w:t>
      </w:r>
      <w:r>
        <w:rPr>
          <w:rFonts w:ascii="Times New Roman" w:eastAsiaTheme="minorEastAsia" w:hAnsi="Times New Roman" w:cs="Times New Roman"/>
          <w:sz w:val="24"/>
        </w:rPr>
        <w:t xml:space="preserve"> values. Similar results with models using past voting behaviour as a predictor of current behaviour give rise to the conclusion that the probability of whether or not a person votes is largely random. Another area of discussion is the role of an in</w:t>
      </w:r>
      <w:r w:rsidR="00D07D9E">
        <w:rPr>
          <w:rFonts w:ascii="Times New Roman" w:eastAsiaTheme="minorEastAsia" w:hAnsi="Times New Roman" w:cs="Times New Roman"/>
          <w:sz w:val="24"/>
        </w:rPr>
        <w:t>dividual’s economic status in his or he</w:t>
      </w:r>
      <w:r>
        <w:rPr>
          <w:rFonts w:ascii="Times New Roman" w:eastAsiaTheme="minorEastAsia" w:hAnsi="Times New Roman" w:cs="Times New Roman"/>
          <w:sz w:val="24"/>
        </w:rPr>
        <w:t>r voting decision. Rosenstone’s (1982) empirical findings using data on elections since 1896 in the United States find that under economic adversity, one’s scarce resources are spent mostly on physical and social necessities – of which active political participation is not a part of. Rosenstone attributes this behaviour to the increasing opportunity costs of political participation when one’s economic problems rise. These findings tie in closely with other articles such as that of Blais (2006) where it is found that voter turnout is more likely to be low in poorer countr</w:t>
      </w:r>
      <w:r w:rsidR="00AF7DE7">
        <w:rPr>
          <w:rFonts w:ascii="Times New Roman" w:eastAsiaTheme="minorEastAsia" w:hAnsi="Times New Roman" w:cs="Times New Roman"/>
          <w:sz w:val="24"/>
        </w:rPr>
        <w:t xml:space="preserve">ies. Another step further into </w:t>
      </w:r>
      <w:r>
        <w:rPr>
          <w:rFonts w:ascii="Times New Roman" w:eastAsiaTheme="minorEastAsia" w:hAnsi="Times New Roman" w:cs="Times New Roman"/>
          <w:sz w:val="24"/>
        </w:rPr>
        <w:t xml:space="preserve">turnout drivers delves into electoral systems – Blais and Carty (2006) show with data on 509 elections in 20 countries that higher turnout rates are more likely to be observed in proportional representation systems even when controlling for a wide selection control variables. </w:t>
      </w:r>
    </w:p>
    <w:p w:rsidR="001A4BB9" w:rsidRDefault="001A4BB9" w:rsidP="001A4BB9">
      <w:pPr>
        <w:spacing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Clearly, the discussion</w:t>
      </w:r>
      <w:r w:rsidR="00D07D9E">
        <w:rPr>
          <w:rFonts w:ascii="Times New Roman" w:eastAsiaTheme="minorEastAsia" w:hAnsi="Times New Roman" w:cs="Times New Roman"/>
          <w:sz w:val="24"/>
        </w:rPr>
        <w:t xml:space="preserve"> about which factors</w:t>
      </w:r>
      <w:r w:rsidR="00AF7DE7">
        <w:rPr>
          <w:rFonts w:ascii="Times New Roman" w:eastAsiaTheme="minorEastAsia" w:hAnsi="Times New Roman" w:cs="Times New Roman"/>
          <w:sz w:val="24"/>
        </w:rPr>
        <w:t xml:space="preserve"> influence </w:t>
      </w:r>
      <w:r>
        <w:rPr>
          <w:rFonts w:ascii="Times New Roman" w:eastAsiaTheme="minorEastAsia" w:hAnsi="Times New Roman" w:cs="Times New Roman"/>
          <w:sz w:val="24"/>
        </w:rPr>
        <w:t xml:space="preserve">turnout is extensive and in many ways quite difficult to accurately pin down. With a plethora of factors in play, it appears that perhaps the simplest way to resolve the issues of attempting to stimulate voter turnout lies in the use of compulsory </w:t>
      </w:r>
      <w:r w:rsidR="00AF7DE7">
        <w:rPr>
          <w:rFonts w:ascii="Times New Roman" w:eastAsiaTheme="minorEastAsia" w:hAnsi="Times New Roman" w:cs="Times New Roman"/>
          <w:sz w:val="24"/>
        </w:rPr>
        <w:t>turnout</w:t>
      </w:r>
      <w:r>
        <w:rPr>
          <w:rFonts w:ascii="Times New Roman" w:eastAsiaTheme="minorEastAsia" w:hAnsi="Times New Roman" w:cs="Times New Roman"/>
          <w:sz w:val="24"/>
        </w:rPr>
        <w:t xml:space="preserve"> mandates. The socially </w:t>
      </w:r>
      <w:r w:rsidR="00C5213E">
        <w:rPr>
          <w:rFonts w:ascii="Times New Roman" w:eastAsiaTheme="minorEastAsia" w:hAnsi="Times New Roman" w:cs="Times New Roman"/>
          <w:sz w:val="24"/>
        </w:rPr>
        <w:t>relevant premise of compulsory turnout</w:t>
      </w:r>
      <w:r>
        <w:rPr>
          <w:rFonts w:ascii="Times New Roman" w:eastAsiaTheme="minorEastAsia" w:hAnsi="Times New Roman" w:cs="Times New Roman"/>
          <w:sz w:val="24"/>
        </w:rPr>
        <w:t xml:space="preserve"> </w:t>
      </w:r>
      <w:r>
        <w:rPr>
          <w:rFonts w:ascii="Times New Roman" w:eastAsiaTheme="minorEastAsia" w:hAnsi="Times New Roman" w:cs="Times New Roman"/>
          <w:sz w:val="24"/>
        </w:rPr>
        <w:lastRenderedPageBreak/>
        <w:t xml:space="preserve">legislation is a healthier democracy via increased representation of a country’s opinions. However, is this necessarily true? Would an artificially driven increase in voter participation truly benefit the democratic health of a nation? </w:t>
      </w:r>
    </w:p>
    <w:p w:rsidR="001A4BB9" w:rsidRDefault="001A4BB9" w:rsidP="001A4BB9">
      <w:pPr>
        <w:spacing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This question – the central premise of this thesis – opens the door to the </w:t>
      </w:r>
      <w:r w:rsidR="00AF7DE7">
        <w:rPr>
          <w:rFonts w:ascii="Times New Roman" w:eastAsiaTheme="minorEastAsia" w:hAnsi="Times New Roman" w:cs="Times New Roman"/>
          <w:sz w:val="24"/>
        </w:rPr>
        <w:t xml:space="preserve">just as </w:t>
      </w:r>
      <w:r>
        <w:rPr>
          <w:rFonts w:ascii="Times New Roman" w:eastAsiaTheme="minorEastAsia" w:hAnsi="Times New Roman" w:cs="Times New Roman"/>
          <w:sz w:val="24"/>
        </w:rPr>
        <w:t>diverse literature on the desirability of compulsory</w:t>
      </w:r>
      <w:r w:rsidR="00C5213E">
        <w:rPr>
          <w:rFonts w:ascii="Times New Roman" w:eastAsiaTheme="minorEastAsia" w:hAnsi="Times New Roman" w:cs="Times New Roman"/>
          <w:sz w:val="24"/>
        </w:rPr>
        <w:t xml:space="preserve"> turnout</w:t>
      </w:r>
      <w:r>
        <w:rPr>
          <w:rFonts w:ascii="Times New Roman" w:eastAsiaTheme="minorEastAsia" w:hAnsi="Times New Roman" w:cs="Times New Roman"/>
          <w:sz w:val="24"/>
        </w:rPr>
        <w:t>. As with any topic of significance, there exists proponents and opponents each with different bases of reasoning – normative, positive, and practical. As stated above, the primary reasoni</w:t>
      </w:r>
      <w:r w:rsidR="00C5213E">
        <w:rPr>
          <w:rFonts w:ascii="Times New Roman" w:eastAsiaTheme="minorEastAsia" w:hAnsi="Times New Roman" w:cs="Times New Roman"/>
          <w:sz w:val="24"/>
        </w:rPr>
        <w:t>ng for implementing compulsory turnout</w:t>
      </w:r>
      <w:r>
        <w:rPr>
          <w:rFonts w:ascii="Times New Roman" w:eastAsiaTheme="minorEastAsia" w:hAnsi="Times New Roman" w:cs="Times New Roman"/>
          <w:sz w:val="24"/>
        </w:rPr>
        <w:t xml:space="preserve"> lies in the idea that maximum turnout is ideal for </w:t>
      </w:r>
      <w:r w:rsidR="00B110AC">
        <w:rPr>
          <w:rFonts w:ascii="Times New Roman" w:eastAsiaTheme="minorEastAsia" w:hAnsi="Times New Roman" w:cs="Times New Roman"/>
          <w:sz w:val="24"/>
        </w:rPr>
        <w:t xml:space="preserve">an </w:t>
      </w:r>
      <w:r>
        <w:rPr>
          <w:rFonts w:ascii="Times New Roman" w:eastAsiaTheme="minorEastAsia" w:hAnsi="Times New Roman" w:cs="Times New Roman"/>
          <w:sz w:val="24"/>
        </w:rPr>
        <w:t>unbiased and</w:t>
      </w:r>
      <w:r w:rsidR="00AF7DE7">
        <w:rPr>
          <w:rFonts w:ascii="Times New Roman" w:eastAsiaTheme="minorEastAsia" w:hAnsi="Times New Roman" w:cs="Times New Roman"/>
          <w:sz w:val="24"/>
        </w:rPr>
        <w:t xml:space="preserve"> </w:t>
      </w:r>
      <w:r>
        <w:rPr>
          <w:rFonts w:ascii="Times New Roman" w:eastAsiaTheme="minorEastAsia" w:hAnsi="Times New Roman" w:cs="Times New Roman"/>
          <w:sz w:val="24"/>
        </w:rPr>
        <w:t xml:space="preserve">healthy representation of an electorate’s </w:t>
      </w:r>
      <w:r w:rsidR="00D07D9E">
        <w:rPr>
          <w:rFonts w:ascii="Times New Roman" w:eastAsiaTheme="minorEastAsia" w:hAnsi="Times New Roman" w:cs="Times New Roman"/>
          <w:sz w:val="24"/>
        </w:rPr>
        <w:t>votes</w:t>
      </w:r>
      <w:r>
        <w:rPr>
          <w:rFonts w:ascii="Times New Roman" w:eastAsiaTheme="minorEastAsia" w:hAnsi="Times New Roman" w:cs="Times New Roman"/>
          <w:sz w:val="24"/>
        </w:rPr>
        <w:t>. The most pro</w:t>
      </w:r>
      <w:r w:rsidR="00C5213E">
        <w:rPr>
          <w:rFonts w:ascii="Times New Roman" w:eastAsiaTheme="minorEastAsia" w:hAnsi="Times New Roman" w:cs="Times New Roman"/>
          <w:sz w:val="24"/>
        </w:rPr>
        <w:t>minent proponent of compulsory turnout</w:t>
      </w:r>
      <w:r>
        <w:rPr>
          <w:rFonts w:ascii="Times New Roman" w:eastAsiaTheme="minorEastAsia" w:hAnsi="Times New Roman" w:cs="Times New Roman"/>
          <w:sz w:val="24"/>
        </w:rPr>
        <w:t xml:space="preserve"> is </w:t>
      </w:r>
      <w:r w:rsidR="00D07D9E">
        <w:rPr>
          <w:rFonts w:ascii="Times New Roman" w:eastAsiaTheme="minorEastAsia" w:hAnsi="Times New Roman" w:cs="Times New Roman"/>
          <w:sz w:val="24"/>
        </w:rPr>
        <w:t xml:space="preserve">Professor </w:t>
      </w:r>
      <w:r>
        <w:rPr>
          <w:rFonts w:ascii="Times New Roman" w:eastAsiaTheme="minorEastAsia" w:hAnsi="Times New Roman" w:cs="Times New Roman"/>
          <w:sz w:val="24"/>
        </w:rPr>
        <w:t xml:space="preserve">Arend Lijphart who </w:t>
      </w:r>
      <w:r w:rsidR="00AF7DE7">
        <w:rPr>
          <w:rFonts w:ascii="Times New Roman" w:eastAsiaTheme="minorEastAsia" w:hAnsi="Times New Roman" w:cs="Times New Roman"/>
          <w:sz w:val="24"/>
        </w:rPr>
        <w:t>finds</w:t>
      </w:r>
      <w:r>
        <w:rPr>
          <w:rFonts w:ascii="Times New Roman" w:eastAsiaTheme="minorEastAsia" w:hAnsi="Times New Roman" w:cs="Times New Roman"/>
          <w:sz w:val="24"/>
        </w:rPr>
        <w:t xml:space="preserve"> that the low voter turnout promotes socio-economic inequality in political representation</w:t>
      </w:r>
      <w:r w:rsidR="00B110AC">
        <w:rPr>
          <w:rFonts w:ascii="Times New Roman" w:eastAsiaTheme="minorEastAsia" w:hAnsi="Times New Roman" w:cs="Times New Roman"/>
          <w:sz w:val="24"/>
        </w:rPr>
        <w:t xml:space="preserve">. Thus, he stipulates that </w:t>
      </w:r>
      <w:r w:rsidR="00C5213E">
        <w:rPr>
          <w:rFonts w:ascii="Times New Roman" w:eastAsiaTheme="minorEastAsia" w:hAnsi="Times New Roman" w:cs="Times New Roman"/>
          <w:sz w:val="24"/>
        </w:rPr>
        <w:t xml:space="preserve">compulsory turnout </w:t>
      </w:r>
      <w:r>
        <w:rPr>
          <w:rFonts w:ascii="Times New Roman" w:eastAsiaTheme="minorEastAsia" w:hAnsi="Times New Roman" w:cs="Times New Roman"/>
          <w:sz w:val="24"/>
        </w:rPr>
        <w:t>is the optimal method of mitigating this issue</w:t>
      </w:r>
      <w:r w:rsidR="00D07D9E">
        <w:rPr>
          <w:rFonts w:ascii="Times New Roman" w:eastAsiaTheme="minorEastAsia" w:hAnsi="Times New Roman" w:cs="Times New Roman"/>
          <w:sz w:val="24"/>
        </w:rPr>
        <w:t xml:space="preserve"> (Lijphart, 1997)</w:t>
      </w:r>
      <w:r>
        <w:rPr>
          <w:rFonts w:ascii="Times New Roman" w:eastAsiaTheme="minorEastAsia" w:hAnsi="Times New Roman" w:cs="Times New Roman"/>
          <w:sz w:val="24"/>
        </w:rPr>
        <w:t xml:space="preserve">.  It may be relevant to note that Lijphart’s reasoning closely ties in with the previously discussed papers on economic adversity’s negative relationship voter turnout. Hooghe and Pelleriaux (1998) conduct a simulation based on survey results on what voters would do should compulsory </w:t>
      </w:r>
      <w:r w:rsidR="00C5213E">
        <w:rPr>
          <w:rFonts w:ascii="Times New Roman" w:eastAsiaTheme="minorEastAsia" w:hAnsi="Times New Roman" w:cs="Times New Roman"/>
          <w:sz w:val="24"/>
        </w:rPr>
        <w:t>turnout</w:t>
      </w:r>
      <w:r>
        <w:rPr>
          <w:rFonts w:ascii="Times New Roman" w:eastAsiaTheme="minorEastAsia" w:hAnsi="Times New Roman" w:cs="Times New Roman"/>
          <w:sz w:val="24"/>
        </w:rPr>
        <w:t xml:space="preserve"> be abolished in order to test Lijphart’s predictions. In line with the </w:t>
      </w:r>
      <w:r w:rsidR="00AF7DE7">
        <w:rPr>
          <w:rFonts w:ascii="Times New Roman" w:eastAsiaTheme="minorEastAsia" w:hAnsi="Times New Roman" w:cs="Times New Roman"/>
          <w:sz w:val="24"/>
        </w:rPr>
        <w:t>Lijphart’s theory</w:t>
      </w:r>
      <w:r>
        <w:rPr>
          <w:rFonts w:ascii="Times New Roman" w:eastAsiaTheme="minorEastAsia" w:hAnsi="Times New Roman" w:cs="Times New Roman"/>
          <w:sz w:val="24"/>
        </w:rPr>
        <w:t xml:space="preserve">, the authors discover that the ‘electoral weight’ of those with higher education would rise by 33%, whilst those with only elementary education would fall by 26%. It thus could follow that politicians are more likely to focus their attention on the groups within society in which their willingness to vote are higher – which in this case, is that of the highly educated. </w:t>
      </w:r>
    </w:p>
    <w:p w:rsidR="001A4BB9" w:rsidRDefault="001A4BB9" w:rsidP="001A4BB9">
      <w:pPr>
        <w:spacing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Ideologies also play a significant role in any democratic institution, and as such, it may be relevant to take note of any relationship between compulsory</w:t>
      </w:r>
      <w:r w:rsidR="00C5213E">
        <w:rPr>
          <w:rFonts w:ascii="Times New Roman" w:eastAsiaTheme="minorEastAsia" w:hAnsi="Times New Roman" w:cs="Times New Roman"/>
          <w:sz w:val="24"/>
        </w:rPr>
        <w:t xml:space="preserve"> turnout</w:t>
      </w:r>
      <w:r>
        <w:rPr>
          <w:rFonts w:ascii="Times New Roman" w:eastAsiaTheme="minorEastAsia" w:hAnsi="Times New Roman" w:cs="Times New Roman"/>
          <w:sz w:val="24"/>
        </w:rPr>
        <w:t xml:space="preserve"> legislation and ideological leanings. Mackerras and McAllister (1999) attempt to estimate this relationship </w:t>
      </w:r>
      <w:r w:rsidR="00C5213E">
        <w:rPr>
          <w:rFonts w:ascii="Times New Roman" w:eastAsiaTheme="minorEastAsia" w:hAnsi="Times New Roman" w:cs="Times New Roman"/>
          <w:sz w:val="24"/>
        </w:rPr>
        <w:t>under compulsory turnout</w:t>
      </w:r>
      <w:r>
        <w:rPr>
          <w:rFonts w:ascii="Times New Roman" w:eastAsiaTheme="minorEastAsia" w:hAnsi="Times New Roman" w:cs="Times New Roman"/>
          <w:sz w:val="24"/>
        </w:rPr>
        <w:t xml:space="preserve"> in Australia. By making use of the Australian Election Study Survey in 1996 – wherein voters were asked if and who they would vote for given that voting was instead voluntary – the authors discover that compulsory </w:t>
      </w:r>
      <w:r w:rsidR="00C5213E">
        <w:rPr>
          <w:rFonts w:ascii="Times New Roman" w:eastAsiaTheme="minorEastAsia" w:hAnsi="Times New Roman" w:cs="Times New Roman"/>
          <w:sz w:val="24"/>
        </w:rPr>
        <w:t>turnout</w:t>
      </w:r>
      <w:r>
        <w:rPr>
          <w:rFonts w:ascii="Times New Roman" w:eastAsiaTheme="minorEastAsia" w:hAnsi="Times New Roman" w:cs="Times New Roman"/>
          <w:sz w:val="24"/>
        </w:rPr>
        <w:t xml:space="preserve"> appears to disadvantage right-wing parties, and advantage left-wing and minority parties. There is also a section of literature dedicated to the effect of voter turnout, in general, on partisanship (McAllister and Mughan, 1986; Pacek and Radcliff, 1995). Both papers find results pointing towards a legitimate ideology effect, however, it cannot be said with certainty that these results can be accurately extrapola</w:t>
      </w:r>
      <w:r w:rsidR="00C5213E">
        <w:rPr>
          <w:rFonts w:ascii="Times New Roman" w:eastAsiaTheme="minorEastAsia" w:hAnsi="Times New Roman" w:cs="Times New Roman"/>
          <w:sz w:val="24"/>
        </w:rPr>
        <w:t>ted to a case under compulsory turnout</w:t>
      </w:r>
      <w:r>
        <w:rPr>
          <w:rFonts w:ascii="Times New Roman" w:eastAsiaTheme="minorEastAsia" w:hAnsi="Times New Roman" w:cs="Times New Roman"/>
          <w:sz w:val="24"/>
        </w:rPr>
        <w:t xml:space="preserve"> which may foster different outcomes. </w:t>
      </w:r>
    </w:p>
    <w:p w:rsidR="001A4BB9" w:rsidRDefault="001A4BB9" w:rsidP="00AF7DE7">
      <w:pPr>
        <w:spacing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The arguments against compulsory </w:t>
      </w:r>
      <w:r w:rsidR="00C5213E">
        <w:rPr>
          <w:rFonts w:ascii="Times New Roman" w:eastAsiaTheme="minorEastAsia" w:hAnsi="Times New Roman" w:cs="Times New Roman"/>
          <w:sz w:val="24"/>
        </w:rPr>
        <w:t>turnout</w:t>
      </w:r>
      <w:r>
        <w:rPr>
          <w:rFonts w:ascii="Times New Roman" w:eastAsiaTheme="minorEastAsia" w:hAnsi="Times New Roman" w:cs="Times New Roman"/>
          <w:sz w:val="24"/>
        </w:rPr>
        <w:t xml:space="preserve"> range from the philosophical to the economic. For example, some of the stated rea</w:t>
      </w:r>
      <w:r w:rsidR="00C5213E">
        <w:rPr>
          <w:rFonts w:ascii="Times New Roman" w:eastAsiaTheme="minorEastAsia" w:hAnsi="Times New Roman" w:cs="Times New Roman"/>
          <w:sz w:val="24"/>
        </w:rPr>
        <w:t>sons for abolishing compulsory turnout</w:t>
      </w:r>
      <w:r>
        <w:rPr>
          <w:rFonts w:ascii="Times New Roman" w:eastAsiaTheme="minorEastAsia" w:hAnsi="Times New Roman" w:cs="Times New Roman"/>
          <w:sz w:val="24"/>
        </w:rPr>
        <w:t xml:space="preserve"> in the Netherlands in 1967 included that a citizen has a right to choose whether to vote or not</w:t>
      </w:r>
      <w:r w:rsidR="00B110AC">
        <w:rPr>
          <w:rFonts w:ascii="Times New Roman" w:eastAsiaTheme="minorEastAsia" w:hAnsi="Times New Roman" w:cs="Times New Roman"/>
          <w:sz w:val="24"/>
        </w:rPr>
        <w:t>,</w:t>
      </w:r>
      <w:r>
        <w:rPr>
          <w:rFonts w:ascii="Times New Roman" w:eastAsiaTheme="minorEastAsia" w:hAnsi="Times New Roman" w:cs="Times New Roman"/>
          <w:sz w:val="24"/>
        </w:rPr>
        <w:t xml:space="preserve"> and that sanctions against non-voters are quite difficult to enforce </w:t>
      </w:r>
      <w:r>
        <w:rPr>
          <w:rFonts w:ascii="Times New Roman" w:eastAsia="Times New Roman" w:hAnsi="Times New Roman" w:cs="Times New Roman"/>
          <w:sz w:val="24"/>
          <w:szCs w:val="24"/>
        </w:rPr>
        <w:t xml:space="preserve">(Pintor and Gratschew, 2004). </w:t>
      </w:r>
      <w:r>
        <w:rPr>
          <w:rFonts w:ascii="Times New Roman" w:eastAsiaTheme="minorEastAsia" w:hAnsi="Times New Roman" w:cs="Times New Roman"/>
          <w:sz w:val="24"/>
        </w:rPr>
        <w:t xml:space="preserve">Hooghe and Pelleriaux (1998) also discuss the difficulty of enforcing the compulsory vote, by citing that in 1977, 5.1% of the electorate did not vote, whereas in 1995, the figure rose to 8.8%. They additionally discuss the limited priority that violators receive in judicial courts, as well as the fact that fines are rather small. </w:t>
      </w:r>
      <w:r>
        <w:rPr>
          <w:rFonts w:ascii="Times New Roman" w:eastAsia="Times New Roman" w:hAnsi="Times New Roman" w:cs="Times New Roman"/>
          <w:sz w:val="24"/>
          <w:szCs w:val="24"/>
        </w:rPr>
        <w:t xml:space="preserve">Another disadvantage under compulsory </w:t>
      </w:r>
      <w:r w:rsidR="00C5213E">
        <w:rPr>
          <w:rFonts w:ascii="Times New Roman" w:eastAsia="Times New Roman" w:hAnsi="Times New Roman" w:cs="Times New Roman"/>
          <w:sz w:val="24"/>
          <w:szCs w:val="24"/>
        </w:rPr>
        <w:t>turnout</w:t>
      </w:r>
      <w:r>
        <w:rPr>
          <w:rFonts w:ascii="Times New Roman" w:eastAsia="Times New Roman" w:hAnsi="Times New Roman" w:cs="Times New Roman"/>
          <w:sz w:val="24"/>
          <w:szCs w:val="24"/>
        </w:rPr>
        <w:t xml:space="preserve"> is the prevalence of invalid votes or “donkey ballots” – which is the case when a voter simply votes for the first placed candidate at top of the ballot. Mackerras and McAllister (1999) in particular, cite the higher rate of invalid votes as a clear disadvantage of compulsory </w:t>
      </w:r>
      <w:r w:rsidR="00C5213E">
        <w:rPr>
          <w:rFonts w:ascii="Times New Roman" w:eastAsia="Times New Roman" w:hAnsi="Times New Roman" w:cs="Times New Roman"/>
          <w:sz w:val="24"/>
          <w:szCs w:val="24"/>
        </w:rPr>
        <w:t>turnout</w:t>
      </w:r>
      <w:r>
        <w:rPr>
          <w:rFonts w:ascii="Times New Roman" w:eastAsia="Times New Roman" w:hAnsi="Times New Roman" w:cs="Times New Roman"/>
          <w:sz w:val="24"/>
          <w:szCs w:val="24"/>
        </w:rPr>
        <w:t xml:space="preserve">. Clearly, these voting phenomena can affect outcomes and may hinder true electoral representation. Furthermore, a </w:t>
      </w:r>
      <w:r w:rsidR="00D07D9E">
        <w:rPr>
          <w:rFonts w:ascii="Times New Roman" w:eastAsiaTheme="minorEastAsia" w:hAnsi="Times New Roman" w:cs="Times New Roman"/>
          <w:sz w:val="24"/>
        </w:rPr>
        <w:t xml:space="preserve">more </w:t>
      </w:r>
      <w:r w:rsidR="00B110AC">
        <w:rPr>
          <w:rFonts w:ascii="Times New Roman" w:eastAsiaTheme="minorEastAsia" w:hAnsi="Times New Roman" w:cs="Times New Roman"/>
          <w:sz w:val="24"/>
        </w:rPr>
        <w:t xml:space="preserve">theoretical </w:t>
      </w:r>
      <w:r w:rsidR="00D07D9E">
        <w:rPr>
          <w:rFonts w:ascii="Times New Roman" w:eastAsiaTheme="minorEastAsia" w:hAnsi="Times New Roman" w:cs="Times New Roman"/>
          <w:sz w:val="24"/>
        </w:rPr>
        <w:t xml:space="preserve">approach to </w:t>
      </w:r>
      <w:r>
        <w:rPr>
          <w:rFonts w:ascii="Times New Roman" w:eastAsiaTheme="minorEastAsia" w:hAnsi="Times New Roman" w:cs="Times New Roman"/>
          <w:sz w:val="24"/>
        </w:rPr>
        <w:t xml:space="preserve">the disadvantages of compulsory </w:t>
      </w:r>
      <w:r w:rsidR="00C5213E">
        <w:rPr>
          <w:rFonts w:ascii="Times New Roman" w:eastAsiaTheme="minorEastAsia" w:hAnsi="Times New Roman" w:cs="Times New Roman"/>
          <w:sz w:val="24"/>
        </w:rPr>
        <w:t>turnout</w:t>
      </w:r>
      <w:r>
        <w:rPr>
          <w:rFonts w:ascii="Times New Roman" w:eastAsiaTheme="minorEastAsia" w:hAnsi="Times New Roman" w:cs="Times New Roman"/>
          <w:sz w:val="24"/>
        </w:rPr>
        <w:t xml:space="preserve"> lies in the research by Krishna and Morgan (2012). Under a Condorcet-type model wherein voters have identical preferences but differences in the information they have on their preferences, the authors show that mandatory voting requirements are positively harmful. They argue that because it economizes on costs, voluntary voting can be considered welfare superior to compulsory </w:t>
      </w:r>
      <w:r w:rsidR="00AF7DE7">
        <w:rPr>
          <w:rFonts w:ascii="Times New Roman" w:eastAsiaTheme="minorEastAsia" w:hAnsi="Times New Roman" w:cs="Times New Roman"/>
          <w:sz w:val="24"/>
        </w:rPr>
        <w:t>turnout</w:t>
      </w:r>
      <w:r>
        <w:rPr>
          <w:rFonts w:ascii="Times New Roman" w:eastAsiaTheme="minorEastAsia" w:hAnsi="Times New Roman" w:cs="Times New Roman"/>
          <w:sz w:val="24"/>
        </w:rPr>
        <w:t xml:space="preserve">. </w:t>
      </w:r>
    </w:p>
    <w:p w:rsidR="00D07D9E" w:rsidRDefault="001A4BB9" w:rsidP="00B110AC">
      <w:pPr>
        <w:spacing w:line="360" w:lineRule="auto"/>
        <w:rPr>
          <w:rFonts w:ascii="Times New Roman" w:hAnsi="Times New Roman" w:cs="Times New Roman"/>
          <w:b/>
          <w:sz w:val="24"/>
          <w:szCs w:val="24"/>
        </w:rPr>
      </w:pPr>
      <w:r>
        <w:rPr>
          <w:rFonts w:ascii="Times New Roman" w:eastAsiaTheme="minorEastAsia" w:hAnsi="Times New Roman" w:cs="Times New Roman"/>
          <w:sz w:val="24"/>
        </w:rPr>
        <w:tab/>
        <w:t xml:space="preserve">In summary, the debate on compulsory </w:t>
      </w:r>
      <w:r w:rsidR="00AF7DE7">
        <w:rPr>
          <w:rFonts w:ascii="Times New Roman" w:eastAsiaTheme="minorEastAsia" w:hAnsi="Times New Roman" w:cs="Times New Roman"/>
          <w:sz w:val="24"/>
        </w:rPr>
        <w:t>turnout</w:t>
      </w:r>
      <w:r>
        <w:rPr>
          <w:rFonts w:ascii="Times New Roman" w:eastAsiaTheme="minorEastAsia" w:hAnsi="Times New Roman" w:cs="Times New Roman"/>
          <w:sz w:val="24"/>
        </w:rPr>
        <w:t xml:space="preserve"> is far from settled. This paper attempts to add quantitative results to the debate in order</w:t>
      </w:r>
      <w:r w:rsidR="00AF7DE7">
        <w:rPr>
          <w:rFonts w:ascii="Times New Roman" w:eastAsiaTheme="minorEastAsia" w:hAnsi="Times New Roman" w:cs="Times New Roman"/>
          <w:sz w:val="24"/>
        </w:rPr>
        <w:t xml:space="preserve"> to further examine compulsory turnout</w:t>
      </w:r>
      <w:r>
        <w:rPr>
          <w:rFonts w:ascii="Times New Roman" w:eastAsiaTheme="minorEastAsia" w:hAnsi="Times New Roman" w:cs="Times New Roman"/>
          <w:sz w:val="24"/>
        </w:rPr>
        <w:t>’s effectiveness in capturing an electorate’s political opinions. By approaching the problem from the political part</w:t>
      </w:r>
      <w:r w:rsidR="00933BCD">
        <w:rPr>
          <w:rFonts w:ascii="Times New Roman" w:eastAsiaTheme="minorEastAsia" w:hAnsi="Times New Roman" w:cs="Times New Roman"/>
          <w:sz w:val="24"/>
        </w:rPr>
        <w:t>y competitiveness perspective, this paper aims</w:t>
      </w:r>
      <w:r>
        <w:rPr>
          <w:rFonts w:ascii="Times New Roman" w:eastAsiaTheme="minorEastAsia" w:hAnsi="Times New Roman" w:cs="Times New Roman"/>
          <w:sz w:val="24"/>
        </w:rPr>
        <w:t xml:space="preserve"> to add to the existing literature in a fresh way. </w:t>
      </w:r>
      <w:r w:rsidR="00241244">
        <w:rPr>
          <w:rFonts w:ascii="Times New Roman" w:eastAsiaTheme="minorEastAsia" w:hAnsi="Times New Roman" w:cs="Times New Roman"/>
          <w:sz w:val="24"/>
        </w:rPr>
        <w:t>The following section explains more about the institutional setting of the Dutch political system – from which this paper’s dataset originates.</w:t>
      </w:r>
    </w:p>
    <w:p w:rsidR="001A4BB9" w:rsidRDefault="00CF00C3" w:rsidP="001A4BB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III.A. – </w:t>
      </w:r>
      <w:r w:rsidR="001A4BB9">
        <w:rPr>
          <w:rFonts w:ascii="Times New Roman" w:hAnsi="Times New Roman" w:cs="Times New Roman"/>
          <w:b/>
          <w:sz w:val="24"/>
          <w:szCs w:val="24"/>
        </w:rPr>
        <w:t xml:space="preserve">Institutional Setting </w:t>
      </w:r>
    </w:p>
    <w:p w:rsidR="001A4BB9" w:rsidRDefault="001A4BB9" w:rsidP="001A4BB9">
      <w:pPr>
        <w:spacing w:line="360" w:lineRule="auto"/>
        <w:jc w:val="both"/>
        <w:rPr>
          <w:rFonts w:ascii="Times New Roman" w:hAnsi="Times New Roman" w:cs="Times New Roman"/>
          <w:sz w:val="24"/>
          <w:szCs w:val="24"/>
        </w:rPr>
      </w:pPr>
      <w:r>
        <w:rPr>
          <w:rFonts w:ascii="Times New Roman" w:hAnsi="Times New Roman" w:cs="Times New Roman"/>
          <w:b/>
          <w:szCs w:val="24"/>
        </w:rPr>
        <w:tab/>
      </w:r>
      <w:r>
        <w:rPr>
          <w:rFonts w:ascii="Times New Roman" w:hAnsi="Times New Roman" w:cs="Times New Roman"/>
          <w:sz w:val="24"/>
          <w:szCs w:val="24"/>
        </w:rPr>
        <w:t>Dutch politics takes place within the framework of a parliamentary representative democracy with a multi-party system. The four primary pillars of Dutch government are the monarchy, the cabinet, the parliament, and the judicial system. The parliament or States General is th</w:t>
      </w:r>
      <w:r w:rsidR="00D07D9E">
        <w:rPr>
          <w:rFonts w:ascii="Times New Roman" w:hAnsi="Times New Roman" w:cs="Times New Roman"/>
          <w:sz w:val="24"/>
          <w:szCs w:val="24"/>
        </w:rPr>
        <w:t>e only institution between the prior-mentioned</w:t>
      </w:r>
      <w:r>
        <w:rPr>
          <w:rFonts w:ascii="Times New Roman" w:hAnsi="Times New Roman" w:cs="Times New Roman"/>
          <w:sz w:val="24"/>
          <w:szCs w:val="24"/>
        </w:rPr>
        <w:t xml:space="preserve"> four whose members are elected. The parliament is the bicameral legislature of the Netherlands and consists of the Senate and the House of Representatives. These four institutions make up the top layer of the primary Dutch political system, the second layer consists of provincial councils or the States-Provincial, </w:t>
      </w:r>
      <w:r>
        <w:rPr>
          <w:rFonts w:ascii="Times New Roman" w:hAnsi="Times New Roman" w:cs="Times New Roman"/>
          <w:sz w:val="24"/>
          <w:szCs w:val="24"/>
        </w:rPr>
        <w:lastRenderedPageBreak/>
        <w:t xml:space="preserve">and finally the third layer is made up of municipalities. All elections at each of these layers are direct, except for the Senate in which its 75 members are indirectly elected by provincial councillors. Other notable direct elections include those for the European Union, the occasional referenda, and those for the Dutch waterboards which manage the flood defence system of the Netherlands (Netherlands Institute </w:t>
      </w:r>
      <w:r w:rsidR="00D07D9E">
        <w:rPr>
          <w:rFonts w:ascii="Times New Roman" w:hAnsi="Times New Roman" w:cs="Times New Roman"/>
          <w:sz w:val="24"/>
          <w:szCs w:val="24"/>
        </w:rPr>
        <w:t>for Multiparty Democracy, 2016).</w:t>
      </w:r>
    </w:p>
    <w:p w:rsidR="001A4BB9" w:rsidRDefault="001A4BB9" w:rsidP="001A4B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political importance of the bicameral parliament is straightforward as both its houses are responsible for reviewing proposed legislation as well as the actions of the appointed cabinet. Between the two, the second chamber is considered more as the more important house since its members are permitted the right to propose and amend legislation. At the subnational level, the provincial council and municipalities also hold significant importance. Regional government is split between the 12 Dutch provinces, and are responsible for provincial public health, recreation, spatial planning decisions, and even determining the composition of the upper parliamentary house as mentioned above. In addition, it is also responsible for the municipality budgets and policies within its borders, as well as that of the Dutch waterboards. Even the lowest layer – the municipality – is charged with local governance, and currently consists of 418 independent municipalities responsible for education, localized spatial planning, as well as social security. Each of these layers have significant autonomy but are constrained by the bounds specified by the National government. </w:t>
      </w:r>
    </w:p>
    <w:p w:rsidR="001A4BB9" w:rsidRDefault="001A4BB9" w:rsidP="001A4BB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D346E">
        <w:rPr>
          <w:rFonts w:ascii="Times New Roman" w:hAnsi="Times New Roman" w:cs="Times New Roman"/>
          <w:sz w:val="24"/>
          <w:szCs w:val="24"/>
        </w:rPr>
        <w:t>Onto the subject in question – c</w:t>
      </w:r>
      <w:r>
        <w:rPr>
          <w:rFonts w:ascii="Times New Roman" w:hAnsi="Times New Roman" w:cs="Times New Roman"/>
          <w:sz w:val="24"/>
          <w:szCs w:val="24"/>
        </w:rPr>
        <w:t xml:space="preserve">ompulsory turnout in the Netherlands was imposed in the year 1917 alongside the Dutch proportional representation (PR) system. The two primary purposes </w:t>
      </w:r>
      <w:r w:rsidR="006D346E">
        <w:rPr>
          <w:rFonts w:ascii="Times New Roman" w:hAnsi="Times New Roman" w:cs="Times New Roman"/>
          <w:sz w:val="24"/>
          <w:szCs w:val="24"/>
        </w:rPr>
        <w:t xml:space="preserve">of its implementation </w:t>
      </w:r>
      <w:r>
        <w:rPr>
          <w:rFonts w:ascii="Times New Roman" w:hAnsi="Times New Roman" w:cs="Times New Roman"/>
          <w:sz w:val="24"/>
          <w:szCs w:val="24"/>
        </w:rPr>
        <w:t xml:space="preserve">were attributed to the idea that the act of voting is part of a citizen’s public duty, and that the new PR system required a 100 percent turnout for election results to be considered proportional. However, despite these reasons, the law was not popular and was eventually abolished in 1967 under recommendation from a specially assigned committee. The committee made arguments from a number of different standpoints; they </w:t>
      </w:r>
      <w:r w:rsidR="00B110AC">
        <w:rPr>
          <w:rFonts w:ascii="Times New Roman" w:hAnsi="Times New Roman" w:cs="Times New Roman"/>
          <w:sz w:val="24"/>
          <w:szCs w:val="24"/>
        </w:rPr>
        <w:t>believed that in the spirit of liberty</w:t>
      </w:r>
      <w:r>
        <w:rPr>
          <w:rFonts w:ascii="Times New Roman" w:hAnsi="Times New Roman" w:cs="Times New Roman"/>
          <w:sz w:val="24"/>
          <w:szCs w:val="24"/>
        </w:rPr>
        <w:t xml:space="preserve">, voting was a right that a citizen should be free to exercise or not. Practically, the enforcement of the law against non-voters was also considered to be particularly difficult, and finally, the committee believed that party politics ‘might be livelier’ if parties had to work harder to attract voters’ attention (Pintor and Gratschew, 2004). It is with this final point that this paper wishes to question – more specifically, whether or not party politics can be considered to have become “livelier”, i.e. more competitive upon the removal of compulsion. </w:t>
      </w:r>
    </w:p>
    <w:p w:rsidR="001A4BB9" w:rsidRPr="00316D0E" w:rsidRDefault="001A4BB9" w:rsidP="001A4B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Thus, to answer the questions raised about the desirability of compulsory turnout in the Netherlands, the data used records election results for the provincial councils in the years 1958 until 1978. Data on municipal elections were omitted since the parties included in the results for the provincial elections are the same for each municipality, whereas this does not hold for their municipal counterparts. The General elections for the 2</w:t>
      </w:r>
      <w:r w:rsidRPr="000801A0">
        <w:rPr>
          <w:rFonts w:ascii="Times New Roman" w:hAnsi="Times New Roman" w:cs="Times New Roman"/>
          <w:sz w:val="24"/>
          <w:szCs w:val="24"/>
          <w:vertAlign w:val="superscript"/>
        </w:rPr>
        <w:t>nd</w:t>
      </w:r>
      <w:r>
        <w:rPr>
          <w:rFonts w:ascii="Times New Roman" w:hAnsi="Times New Roman" w:cs="Times New Roman"/>
          <w:sz w:val="24"/>
          <w:szCs w:val="24"/>
        </w:rPr>
        <w:t xml:space="preserve"> Dutch House of Representatives were also omitted due to inconsistencies in the span between election years – for example, there were elections in 1971 followed by 1972. </w:t>
      </w:r>
      <w:r w:rsidR="006D346E">
        <w:rPr>
          <w:rFonts w:ascii="Times New Roman" w:hAnsi="Times New Roman" w:cs="Times New Roman"/>
          <w:sz w:val="24"/>
          <w:szCs w:val="24"/>
        </w:rPr>
        <w:t xml:space="preserve">The following sections elaborates on the nature of the data used, followed by an extensive discussion on alternative parametric methodologies. </w:t>
      </w:r>
    </w:p>
    <w:p w:rsidR="001A4BB9" w:rsidRDefault="00CF00C3" w:rsidP="001A4BB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III.B. – </w:t>
      </w:r>
      <w:r w:rsidR="001A4BB9">
        <w:rPr>
          <w:rFonts w:ascii="Times New Roman" w:hAnsi="Times New Roman" w:cs="Times New Roman"/>
          <w:b/>
          <w:sz w:val="24"/>
          <w:szCs w:val="24"/>
        </w:rPr>
        <w:t xml:space="preserve">Data </w:t>
      </w:r>
      <w:r w:rsidR="003F6466">
        <w:rPr>
          <w:rFonts w:ascii="Times New Roman" w:hAnsi="Times New Roman" w:cs="Times New Roman"/>
          <w:b/>
          <w:sz w:val="24"/>
          <w:szCs w:val="24"/>
        </w:rPr>
        <w:t>and Brief Statistics</w:t>
      </w:r>
    </w:p>
    <w:p w:rsidR="001A4BB9" w:rsidRDefault="001A4BB9" w:rsidP="001A4BB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data used in this research was retrieved from the Kiesraad (2016) databank, wherein the all the election results, provincial, general, or municipal are available from 1848 onwards. Kiesraad is the Netherland’s central electoral council and information centre on referend</w:t>
      </w:r>
      <w:r w:rsidR="00927419">
        <w:rPr>
          <w:rFonts w:ascii="Times New Roman" w:hAnsi="Times New Roman" w:cs="Times New Roman"/>
          <w:sz w:val="24"/>
          <w:szCs w:val="24"/>
        </w:rPr>
        <w:t>a</w:t>
      </w:r>
      <w:r>
        <w:rPr>
          <w:rFonts w:ascii="Times New Roman" w:hAnsi="Times New Roman" w:cs="Times New Roman"/>
          <w:sz w:val="24"/>
          <w:szCs w:val="24"/>
        </w:rPr>
        <w:t xml:space="preserve">, elections, and franchises. In addition, </w:t>
      </w:r>
      <w:r w:rsidR="00D9767B">
        <w:rPr>
          <w:rFonts w:ascii="Times New Roman" w:hAnsi="Times New Roman" w:cs="Times New Roman"/>
          <w:sz w:val="24"/>
          <w:szCs w:val="24"/>
        </w:rPr>
        <w:t>it</w:t>
      </w:r>
      <w:r>
        <w:rPr>
          <w:rFonts w:ascii="Times New Roman" w:hAnsi="Times New Roman" w:cs="Times New Roman"/>
          <w:sz w:val="24"/>
          <w:szCs w:val="24"/>
        </w:rPr>
        <w:t xml:space="preserve"> acts an advisory body to the government and parliament for any technical matters related to elections and voting. </w:t>
      </w:r>
    </w:p>
    <w:p w:rsidR="001A4BB9" w:rsidRDefault="00D9767B" w:rsidP="001A4BB9">
      <w:pPr>
        <w:spacing w:line="360" w:lineRule="auto"/>
        <w:jc w:val="both"/>
        <w:rPr>
          <w:rFonts w:ascii="Times New Roman" w:hAnsi="Times New Roman" w:cs="Times New Roman"/>
          <w:sz w:val="24"/>
          <w:szCs w:val="24"/>
        </w:rPr>
      </w:pPr>
      <w:r>
        <w:rPr>
          <w:rFonts w:ascii="Times New Roman" w:hAnsi="Times New Roman" w:cs="Times New Roman"/>
          <w:sz w:val="24"/>
          <w:szCs w:val="24"/>
        </w:rPr>
        <w:tab/>
        <w:t>As was stated in the previous section</w:t>
      </w:r>
      <w:r w:rsidR="001A4BB9">
        <w:rPr>
          <w:rFonts w:ascii="Times New Roman" w:hAnsi="Times New Roman" w:cs="Times New Roman"/>
          <w:sz w:val="24"/>
          <w:szCs w:val="24"/>
        </w:rPr>
        <w:t xml:space="preserve">, the elections under scrutiny are specifically that of provincial elections from 1958 until 1978. The data obtained from the Kiesraad databank contains election results under each municipality, such as the vote shares obtained by each party. In addition, data on the turnout rate – the percentage of those who are eligible to vote that had voted, the size of electorate – the number of citizen eligible to vote, the percentage of votes that were either blank or considered invalid out of the votes that were valid, and a set of unique identifier codes for each municipality – the Amsterdamse code and the CBS code – were also made available. </w:t>
      </w:r>
    </w:p>
    <w:p w:rsidR="001A4BB9" w:rsidRDefault="001A4BB9" w:rsidP="001A4BB9">
      <w:pPr>
        <w:spacing w:line="360" w:lineRule="auto"/>
        <w:jc w:val="both"/>
        <w:rPr>
          <w:rFonts w:ascii="Times New Roman" w:hAnsi="Times New Roman" w:cs="Times New Roman"/>
          <w:sz w:val="24"/>
          <w:szCs w:val="24"/>
        </w:rPr>
      </w:pPr>
      <w:r>
        <w:rPr>
          <w:rFonts w:ascii="Times New Roman" w:hAnsi="Times New Roman" w:cs="Times New Roman"/>
          <w:sz w:val="24"/>
          <w:szCs w:val="24"/>
        </w:rPr>
        <w:tab/>
        <w:t>With data for three election years before and after the abolishment of compulsory turnout in 1967, the set of data for the provincial elections is a balanced panel with approximately 802 observations in each</w:t>
      </w:r>
      <w:r w:rsidR="00927419">
        <w:rPr>
          <w:rFonts w:ascii="Times New Roman" w:hAnsi="Times New Roman" w:cs="Times New Roman"/>
          <w:sz w:val="24"/>
          <w:szCs w:val="24"/>
        </w:rPr>
        <w:t xml:space="preserve"> election</w:t>
      </w:r>
      <w:r>
        <w:rPr>
          <w:rFonts w:ascii="Times New Roman" w:hAnsi="Times New Roman" w:cs="Times New Roman"/>
          <w:sz w:val="24"/>
          <w:szCs w:val="24"/>
        </w:rPr>
        <w:t xml:space="preserve"> year, amounting to a total of 4812 observations over the entire span of the dataset. Between election years, it is common for some municipalities to change status or merge with one another. As such, discontinuous observations throughout the election periods were subsequently omitted to ensure the panel’s balance. Other observations that were omitted are those of the municipality Borssele and Maasdriel. Borssele had an electorate growth rate of over 1000% between the election years 1966 and 1970. It is likely that it was integrated with a number of other municipalities between the election years, or the result of a data entry error. The town of Maasdriel’s invalid vote value in 1966 for </w:t>
      </w:r>
      <w:r>
        <w:rPr>
          <w:rFonts w:ascii="Times New Roman" w:hAnsi="Times New Roman" w:cs="Times New Roman"/>
          <w:sz w:val="24"/>
          <w:szCs w:val="24"/>
        </w:rPr>
        <w:lastRenderedPageBreak/>
        <w:t>provincial elections is abnormally high at 127.20% versus the second highest value in the town of Putte is only 11.74%, clearly indicating an outlier presence. Furthermore, an interesting set of seemingly abnormal values are that of turnout rates greater than 100% for 6 different municipalities. However, these observations were not excluded since it was in fact po</w:t>
      </w:r>
      <w:r w:rsidR="006D346E">
        <w:rPr>
          <w:rFonts w:ascii="Times New Roman" w:hAnsi="Times New Roman" w:cs="Times New Roman"/>
          <w:sz w:val="24"/>
          <w:szCs w:val="24"/>
        </w:rPr>
        <w:t xml:space="preserve">ssible for a citizen to vote in other municipalities </w:t>
      </w:r>
      <w:r>
        <w:rPr>
          <w:rFonts w:ascii="Times New Roman" w:hAnsi="Times New Roman" w:cs="Times New Roman"/>
          <w:sz w:val="24"/>
          <w:szCs w:val="24"/>
        </w:rPr>
        <w:t xml:space="preserve">under certain conditions, and that the values in excess of 100% are not too high so as to be detrimental to the results’ integrity.  </w:t>
      </w:r>
    </w:p>
    <w:p w:rsidR="001A4BB9" w:rsidRDefault="001A4BB9" w:rsidP="001A4B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approach the research question from a perspective on political party competition, two different measures were used to quantify the level of competition within a municipality. The first measure is the Herfindahl index, which is typically used to quantify the degree of competitiveness in markets. More specifically, the Herfindahl calculates a value proportional to average market share, weighted by market share, and can take a value between 0 and 1. </w:t>
      </w:r>
      <w:r w:rsidR="006D346E">
        <w:rPr>
          <w:rFonts w:ascii="Times New Roman" w:hAnsi="Times New Roman" w:cs="Times New Roman"/>
          <w:sz w:val="24"/>
          <w:szCs w:val="24"/>
        </w:rPr>
        <w:t xml:space="preserve">Formally, the Herfindahl index is defined as the sum of squares of the market shares of firms in a market. </w:t>
      </w:r>
      <w:r>
        <w:rPr>
          <w:rFonts w:ascii="Times New Roman" w:hAnsi="Times New Roman" w:cs="Times New Roman"/>
          <w:sz w:val="24"/>
          <w:szCs w:val="24"/>
        </w:rPr>
        <w:t xml:space="preserve">Interpreting its value is quite intuitive, where values closer to 1 may indicate the presence of a monopoly, i.e. low competitiveness, and values closer to 0 indicate </w:t>
      </w:r>
      <w:r w:rsidR="006D346E">
        <w:rPr>
          <w:rFonts w:ascii="Times New Roman" w:hAnsi="Times New Roman" w:cs="Times New Roman"/>
          <w:sz w:val="24"/>
          <w:szCs w:val="24"/>
        </w:rPr>
        <w:t>g</w:t>
      </w:r>
      <w:r>
        <w:rPr>
          <w:rFonts w:ascii="Times New Roman" w:hAnsi="Times New Roman" w:cs="Times New Roman"/>
          <w:sz w:val="24"/>
          <w:szCs w:val="24"/>
        </w:rPr>
        <w:t>reater competitiveness. Despite the paucity of the Herfindahl’s use in the field of political economy, there appears to be no specific reason for it to not be used. By replacing market shares per firm with the vote shares received by each party, the inter-party competitiveness of a multi-party proportional representation system can be quantified. Since the Herfindahl index provides a measure specific to a municipality’s politics, it</w:t>
      </w:r>
      <w:r w:rsidR="006D346E">
        <w:rPr>
          <w:rFonts w:ascii="Times New Roman" w:hAnsi="Times New Roman" w:cs="Times New Roman"/>
          <w:sz w:val="24"/>
          <w:szCs w:val="24"/>
        </w:rPr>
        <w:t xml:space="preserve"> i</w:t>
      </w:r>
      <w:r>
        <w:rPr>
          <w:rFonts w:ascii="Times New Roman" w:hAnsi="Times New Roman" w:cs="Times New Roman"/>
          <w:sz w:val="24"/>
          <w:szCs w:val="24"/>
        </w:rPr>
        <w:t>s</w:t>
      </w:r>
      <w:r w:rsidR="006D346E">
        <w:rPr>
          <w:rFonts w:ascii="Times New Roman" w:hAnsi="Times New Roman" w:cs="Times New Roman"/>
          <w:sz w:val="24"/>
          <w:szCs w:val="24"/>
        </w:rPr>
        <w:t xml:space="preserve"> characteristically</w:t>
      </w:r>
      <w:r>
        <w:rPr>
          <w:rFonts w:ascii="Times New Roman" w:hAnsi="Times New Roman" w:cs="Times New Roman"/>
          <w:sz w:val="24"/>
          <w:szCs w:val="24"/>
        </w:rPr>
        <w:t xml:space="preserve"> endowed with a high degree of inter-municipal variability. As such, the Herfindahl index is also the paper’s most preferred measure of party competition.</w:t>
      </w:r>
    </w:p>
    <w:p w:rsidR="001A4BB9" w:rsidRDefault="001A4BB9" w:rsidP="001A4BB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measure for political competition</w:t>
      </w:r>
      <w:r w:rsidR="00FB4D40">
        <w:rPr>
          <w:rFonts w:ascii="Times New Roman" w:hAnsi="Times New Roman" w:cs="Times New Roman"/>
          <w:sz w:val="24"/>
          <w:szCs w:val="24"/>
        </w:rPr>
        <w:t xml:space="preserve"> </w:t>
      </w:r>
      <w:r>
        <w:rPr>
          <w:rFonts w:ascii="Times New Roman" w:hAnsi="Times New Roman" w:cs="Times New Roman"/>
          <w:sz w:val="24"/>
          <w:szCs w:val="24"/>
        </w:rPr>
        <w:t xml:space="preserve">is defined as the number of parties that obtain a vote share of at least 10% in a municipality. Quite clearly, this measure’s maximum value is at 10, where 10 parties can be considered to be very competitive against one another. Although the value of 10% can be considered </w:t>
      </w:r>
      <w:r w:rsidR="00FB4D40">
        <w:rPr>
          <w:rFonts w:ascii="Times New Roman" w:hAnsi="Times New Roman" w:cs="Times New Roman"/>
          <w:sz w:val="24"/>
          <w:szCs w:val="24"/>
        </w:rPr>
        <w:t xml:space="preserve">as </w:t>
      </w:r>
      <w:r>
        <w:rPr>
          <w:rFonts w:ascii="Times New Roman" w:hAnsi="Times New Roman" w:cs="Times New Roman"/>
          <w:sz w:val="24"/>
          <w:szCs w:val="24"/>
        </w:rPr>
        <w:t xml:space="preserve">an arbitrary choice of a threshold, it conveniently creates a measure scaled from 0 to 10. </w:t>
      </w:r>
      <w:r w:rsidR="00FB4D40">
        <w:rPr>
          <w:rFonts w:ascii="Times New Roman" w:hAnsi="Times New Roman" w:cs="Times New Roman"/>
          <w:sz w:val="24"/>
          <w:szCs w:val="24"/>
        </w:rPr>
        <w:t xml:space="preserve">This </w:t>
      </w:r>
      <w:r>
        <w:rPr>
          <w:rFonts w:ascii="Times New Roman" w:hAnsi="Times New Roman" w:cs="Times New Roman"/>
          <w:sz w:val="24"/>
          <w:szCs w:val="24"/>
        </w:rPr>
        <w:t>second measure of competitiveness also creates an opportunity to enhance the credibil</w:t>
      </w:r>
      <w:r w:rsidR="006D346E">
        <w:rPr>
          <w:rFonts w:ascii="Times New Roman" w:hAnsi="Times New Roman" w:cs="Times New Roman"/>
          <w:sz w:val="24"/>
          <w:szCs w:val="24"/>
        </w:rPr>
        <w:t>ity of results from primary analyse</w:t>
      </w:r>
      <w:r>
        <w:rPr>
          <w:rFonts w:ascii="Times New Roman" w:hAnsi="Times New Roman" w:cs="Times New Roman"/>
          <w:sz w:val="24"/>
          <w:szCs w:val="24"/>
        </w:rPr>
        <w:t>s under the Herfindahl index</w:t>
      </w:r>
      <w:r w:rsidR="00D9767B">
        <w:rPr>
          <w:rFonts w:ascii="Times New Roman" w:hAnsi="Times New Roman" w:cs="Times New Roman"/>
          <w:sz w:val="24"/>
          <w:szCs w:val="24"/>
        </w:rPr>
        <w:t xml:space="preserve"> – with the drawback being its lower degree of inter-municipal variation</w:t>
      </w:r>
      <w:r>
        <w:rPr>
          <w:rFonts w:ascii="Times New Roman" w:hAnsi="Times New Roman" w:cs="Times New Roman"/>
          <w:sz w:val="24"/>
          <w:szCs w:val="24"/>
        </w:rPr>
        <w:t xml:space="preserve">. </w:t>
      </w:r>
    </w:p>
    <w:p w:rsidR="006D346E" w:rsidRDefault="001A4BB9" w:rsidP="001A4BB9">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addition to the aforementioned variables th</w:t>
      </w:r>
      <w:r w:rsidR="00D9767B">
        <w:rPr>
          <w:rFonts w:ascii="Times New Roman" w:hAnsi="Times New Roman" w:cs="Times New Roman"/>
          <w:sz w:val="24"/>
          <w:szCs w:val="24"/>
        </w:rPr>
        <w:t>at were included in the dataset</w:t>
      </w:r>
      <w:r>
        <w:rPr>
          <w:rFonts w:ascii="Times New Roman" w:hAnsi="Times New Roman" w:cs="Times New Roman"/>
          <w:sz w:val="24"/>
          <w:szCs w:val="24"/>
        </w:rPr>
        <w:t xml:space="preserve">, a number of </w:t>
      </w:r>
      <w:r w:rsidR="006D346E">
        <w:rPr>
          <w:rFonts w:ascii="Times New Roman" w:hAnsi="Times New Roman" w:cs="Times New Roman"/>
          <w:sz w:val="24"/>
          <w:szCs w:val="24"/>
        </w:rPr>
        <w:t>v</w:t>
      </w:r>
      <w:r>
        <w:rPr>
          <w:rFonts w:ascii="Times New Roman" w:hAnsi="Times New Roman" w:cs="Times New Roman"/>
          <w:sz w:val="24"/>
          <w:szCs w:val="24"/>
        </w:rPr>
        <w:t>ariables were also created to aid in the</w:t>
      </w:r>
      <w:r w:rsidR="00D9767B">
        <w:rPr>
          <w:rFonts w:ascii="Times New Roman" w:hAnsi="Times New Roman" w:cs="Times New Roman"/>
          <w:sz w:val="24"/>
          <w:szCs w:val="24"/>
        </w:rPr>
        <w:t xml:space="preserve"> forthcoming analyses. Using its </w:t>
      </w:r>
      <w:r>
        <w:rPr>
          <w:rFonts w:ascii="Times New Roman" w:hAnsi="Times New Roman" w:cs="Times New Roman"/>
          <w:sz w:val="24"/>
          <w:szCs w:val="24"/>
        </w:rPr>
        <w:t xml:space="preserve">unique identifier codes, i.e. CBS codes and Amsterdamse codes, each municipality was matched with its corresponding province, which is identifiable either with a simple code using the first two </w:t>
      </w:r>
      <w:r>
        <w:rPr>
          <w:rFonts w:ascii="Times New Roman" w:hAnsi="Times New Roman" w:cs="Times New Roman"/>
          <w:sz w:val="24"/>
          <w:szCs w:val="24"/>
        </w:rPr>
        <w:lastRenderedPageBreak/>
        <w:t>letters</w:t>
      </w:r>
      <w:r w:rsidR="006D346E">
        <w:rPr>
          <w:rFonts w:ascii="Times New Roman" w:hAnsi="Times New Roman" w:cs="Times New Roman"/>
          <w:sz w:val="24"/>
          <w:szCs w:val="24"/>
        </w:rPr>
        <w:t xml:space="preserve"> of the province’s name, or the </w:t>
      </w:r>
      <w:r>
        <w:rPr>
          <w:rFonts w:ascii="Times New Roman" w:hAnsi="Times New Roman" w:cs="Times New Roman"/>
          <w:sz w:val="24"/>
          <w:szCs w:val="24"/>
        </w:rPr>
        <w:t>official CBS provincial code. This allows for the use of provincial dummy variables that can isolate significant effects specific to certain provinc</w:t>
      </w:r>
      <w:r w:rsidR="00CC3FE9">
        <w:rPr>
          <w:rFonts w:ascii="Times New Roman" w:hAnsi="Times New Roman" w:cs="Times New Roman"/>
          <w:sz w:val="24"/>
          <w:szCs w:val="24"/>
        </w:rPr>
        <w:t>es on the dependent variable</w:t>
      </w:r>
      <w:r w:rsidR="00F60175">
        <w:rPr>
          <w:rFonts w:ascii="Times New Roman" w:hAnsi="Times New Roman" w:cs="Times New Roman"/>
          <w:sz w:val="24"/>
          <w:szCs w:val="24"/>
        </w:rPr>
        <w:t xml:space="preserve">. </w:t>
      </w:r>
      <w:r w:rsidRPr="00F60175">
        <w:rPr>
          <w:rFonts w:ascii="Times New Roman" w:hAnsi="Times New Roman" w:cs="Times New Roman"/>
          <w:sz w:val="24"/>
          <w:szCs w:val="24"/>
        </w:rPr>
        <w:t>The</w:t>
      </w:r>
      <w:r>
        <w:rPr>
          <w:rFonts w:ascii="Times New Roman" w:hAnsi="Times New Roman" w:cs="Times New Roman"/>
          <w:sz w:val="24"/>
          <w:szCs w:val="24"/>
        </w:rPr>
        <w:t xml:space="preserve"> size of the municipality according to electorate size was also coded according to a settlement hierarchy adapted from the works of Konstantinos Doxiadis (1968) for the actual world settlement situation as of 2010. An explanation of the settlement hierarchy’s codes is available in the appendix (</w:t>
      </w:r>
      <w:r w:rsidR="00CA41D8">
        <w:rPr>
          <w:rFonts w:ascii="Times New Roman" w:hAnsi="Times New Roman" w:cs="Times New Roman"/>
          <w:sz w:val="24"/>
          <w:szCs w:val="24"/>
        </w:rPr>
        <w:t>Table A</w:t>
      </w:r>
      <w:r w:rsidR="00563E0B">
        <w:rPr>
          <w:rFonts w:ascii="Times New Roman" w:hAnsi="Times New Roman" w:cs="Times New Roman"/>
          <w:sz w:val="24"/>
          <w:szCs w:val="24"/>
        </w:rPr>
        <w:t>1</w:t>
      </w:r>
      <w:r w:rsidR="00D9767B">
        <w:rPr>
          <w:rFonts w:ascii="Times New Roman" w:hAnsi="Times New Roman" w:cs="Times New Roman"/>
          <w:sz w:val="24"/>
          <w:szCs w:val="24"/>
        </w:rPr>
        <w:t>.1.</w:t>
      </w:r>
      <w:r>
        <w:rPr>
          <w:rFonts w:ascii="Times New Roman" w:hAnsi="Times New Roman" w:cs="Times New Roman"/>
          <w:sz w:val="24"/>
          <w:szCs w:val="24"/>
        </w:rPr>
        <w:t xml:space="preserve">). Finally, a dummy variable – named </w:t>
      </w:r>
      <w:r>
        <w:rPr>
          <w:rFonts w:ascii="Times New Roman" w:hAnsi="Times New Roman" w:cs="Times New Roman"/>
          <w:i/>
          <w:sz w:val="24"/>
          <w:szCs w:val="24"/>
        </w:rPr>
        <w:t>Treatment</w:t>
      </w:r>
      <w:r>
        <w:rPr>
          <w:rFonts w:ascii="Times New Roman" w:hAnsi="Times New Roman" w:cs="Times New Roman"/>
          <w:sz w:val="24"/>
          <w:szCs w:val="24"/>
        </w:rPr>
        <w:t xml:space="preserve"> – indicates the years after which compulsory turno</w:t>
      </w:r>
      <w:r w:rsidR="00B81AD7">
        <w:rPr>
          <w:rFonts w:ascii="Times New Roman" w:hAnsi="Times New Roman" w:cs="Times New Roman"/>
          <w:sz w:val="24"/>
          <w:szCs w:val="24"/>
        </w:rPr>
        <w:t>ut was abolished, i.e. the years’ post-1967, and acts as a proxy for the policy change.</w:t>
      </w:r>
      <w:r w:rsidR="00D9767B">
        <w:rPr>
          <w:rFonts w:ascii="Times New Roman" w:hAnsi="Times New Roman" w:cs="Times New Roman"/>
          <w:sz w:val="24"/>
          <w:szCs w:val="24"/>
        </w:rPr>
        <w:t xml:space="preserve"> Note that, for convenience, each va</w:t>
      </w:r>
      <w:r w:rsidR="006D346E">
        <w:rPr>
          <w:rFonts w:ascii="Times New Roman" w:hAnsi="Times New Roman" w:cs="Times New Roman"/>
          <w:sz w:val="24"/>
          <w:szCs w:val="24"/>
        </w:rPr>
        <w:t>riable’s name was also coded</w:t>
      </w:r>
      <w:r w:rsidR="00D9767B">
        <w:rPr>
          <w:rFonts w:ascii="Times New Roman" w:hAnsi="Times New Roman" w:cs="Times New Roman"/>
          <w:sz w:val="24"/>
          <w:szCs w:val="24"/>
        </w:rPr>
        <w:t xml:space="preserve"> – the index of which is also available</w:t>
      </w:r>
      <w:r w:rsidR="006D346E">
        <w:rPr>
          <w:rFonts w:ascii="Times New Roman" w:hAnsi="Times New Roman" w:cs="Times New Roman"/>
          <w:sz w:val="24"/>
          <w:szCs w:val="24"/>
        </w:rPr>
        <w:t xml:space="preserve"> in the appendix (Table, A1.2). With the basic information</w:t>
      </w:r>
      <w:r w:rsidR="005A081B">
        <w:rPr>
          <w:rFonts w:ascii="Times New Roman" w:hAnsi="Times New Roman" w:cs="Times New Roman"/>
          <w:sz w:val="24"/>
          <w:szCs w:val="24"/>
        </w:rPr>
        <w:t xml:space="preserve"> on each variable laid out above, it naturally </w:t>
      </w:r>
      <w:r w:rsidR="006D346E">
        <w:rPr>
          <w:rFonts w:ascii="Times New Roman" w:hAnsi="Times New Roman" w:cs="Times New Roman"/>
          <w:sz w:val="24"/>
          <w:szCs w:val="24"/>
        </w:rPr>
        <w:t>follow</w:t>
      </w:r>
      <w:r w:rsidR="005A081B">
        <w:rPr>
          <w:rFonts w:ascii="Times New Roman" w:hAnsi="Times New Roman" w:cs="Times New Roman"/>
          <w:sz w:val="24"/>
          <w:szCs w:val="24"/>
        </w:rPr>
        <w:t>s that the next step</w:t>
      </w:r>
      <w:r w:rsidR="006D346E">
        <w:rPr>
          <w:rFonts w:ascii="Times New Roman" w:hAnsi="Times New Roman" w:cs="Times New Roman"/>
          <w:sz w:val="24"/>
          <w:szCs w:val="24"/>
        </w:rPr>
        <w:t xml:space="preserve"> is to investigate the specific idiosyncrasies of the relevant variables. </w:t>
      </w:r>
    </w:p>
    <w:p w:rsidR="002249A2" w:rsidRDefault="00563E0B" w:rsidP="00563E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summary statistics table (Table A2) in the appendix </w:t>
      </w:r>
      <w:r w:rsidR="001A4BB9">
        <w:rPr>
          <w:rFonts w:ascii="Times New Roman" w:hAnsi="Times New Roman" w:cs="Times New Roman"/>
          <w:sz w:val="24"/>
          <w:szCs w:val="24"/>
        </w:rPr>
        <w:t xml:space="preserve">contains the statistics for the relevant variables in order to examine their </w:t>
      </w:r>
      <w:r w:rsidR="00B110AC">
        <w:rPr>
          <w:rFonts w:ascii="Times New Roman" w:hAnsi="Times New Roman" w:cs="Times New Roman"/>
          <w:sz w:val="24"/>
          <w:szCs w:val="24"/>
        </w:rPr>
        <w:t>c</w:t>
      </w:r>
      <w:r w:rsidR="001A4BB9">
        <w:rPr>
          <w:rFonts w:ascii="Times New Roman" w:hAnsi="Times New Roman" w:cs="Times New Roman"/>
          <w:sz w:val="24"/>
          <w:szCs w:val="24"/>
        </w:rPr>
        <w:t>haracteristics</w:t>
      </w:r>
      <w:r>
        <w:rPr>
          <w:rFonts w:ascii="Times New Roman" w:hAnsi="Times New Roman" w:cs="Times New Roman"/>
          <w:sz w:val="24"/>
          <w:szCs w:val="24"/>
        </w:rPr>
        <w:t>. In the table, t</w:t>
      </w:r>
      <w:r w:rsidR="001A4BB9">
        <w:rPr>
          <w:rFonts w:ascii="Times New Roman" w:hAnsi="Times New Roman" w:cs="Times New Roman"/>
          <w:sz w:val="24"/>
          <w:szCs w:val="24"/>
        </w:rPr>
        <w:t xml:space="preserve">he skewness statistic characterises, quite obviously, the skewness of a variable’s distributions. Here, a value closer to one indicates that a distribution is approaches normality, where negative values indicate left-skewness and positive values indicate right-skewness. The most skewed distribution appears to be that of </w:t>
      </w:r>
      <w:r w:rsidR="001A4BB9" w:rsidRPr="00A12148">
        <w:rPr>
          <w:rFonts w:ascii="Times New Roman" w:hAnsi="Times New Roman" w:cs="Times New Roman"/>
          <w:i/>
          <w:sz w:val="24"/>
          <w:szCs w:val="24"/>
        </w:rPr>
        <w:t>Electorate</w:t>
      </w:r>
      <w:r w:rsidR="001A4BB9">
        <w:rPr>
          <w:rFonts w:ascii="Times New Roman" w:hAnsi="Times New Roman" w:cs="Times New Roman"/>
          <w:sz w:val="24"/>
          <w:szCs w:val="24"/>
        </w:rPr>
        <w:t xml:space="preserve">, which is unsurprising considering that electorate </w:t>
      </w:r>
      <w:r w:rsidR="005A081B">
        <w:rPr>
          <w:rFonts w:ascii="Times New Roman" w:hAnsi="Times New Roman" w:cs="Times New Roman"/>
          <w:sz w:val="24"/>
          <w:szCs w:val="24"/>
        </w:rPr>
        <w:t>is directly linked</w:t>
      </w:r>
      <w:r w:rsidR="001A4BB9">
        <w:rPr>
          <w:rFonts w:ascii="Times New Roman" w:hAnsi="Times New Roman" w:cs="Times New Roman"/>
          <w:sz w:val="24"/>
          <w:szCs w:val="24"/>
        </w:rPr>
        <w:t xml:space="preserve"> with a municipality’s population</w:t>
      </w:r>
      <w:r>
        <w:rPr>
          <w:rFonts w:ascii="Times New Roman" w:hAnsi="Times New Roman" w:cs="Times New Roman"/>
          <w:sz w:val="24"/>
          <w:szCs w:val="24"/>
        </w:rPr>
        <w:t xml:space="preserve"> – which is a commonly skewed variable</w:t>
      </w:r>
      <w:r w:rsidR="001A4BB9">
        <w:rPr>
          <w:rFonts w:ascii="Times New Roman" w:hAnsi="Times New Roman" w:cs="Times New Roman"/>
          <w:sz w:val="24"/>
          <w:szCs w:val="24"/>
        </w:rPr>
        <w:t>. The Netherlands’ municipalities</w:t>
      </w:r>
      <w:r>
        <w:rPr>
          <w:rFonts w:ascii="Times New Roman" w:hAnsi="Times New Roman" w:cs="Times New Roman"/>
          <w:sz w:val="24"/>
          <w:szCs w:val="24"/>
        </w:rPr>
        <w:t xml:space="preserve"> during this period</w:t>
      </w:r>
      <w:r w:rsidR="001A4BB9">
        <w:rPr>
          <w:rFonts w:ascii="Times New Roman" w:hAnsi="Times New Roman" w:cs="Times New Roman"/>
          <w:sz w:val="24"/>
          <w:szCs w:val="24"/>
        </w:rPr>
        <w:t xml:space="preserve"> largely consist</w:t>
      </w:r>
      <w:r w:rsidR="005A081B">
        <w:rPr>
          <w:rFonts w:ascii="Times New Roman" w:hAnsi="Times New Roman" w:cs="Times New Roman"/>
          <w:sz w:val="24"/>
          <w:szCs w:val="24"/>
        </w:rPr>
        <w:t>ed</w:t>
      </w:r>
      <w:r w:rsidR="001A4BB9">
        <w:rPr>
          <w:rFonts w:ascii="Times New Roman" w:hAnsi="Times New Roman" w:cs="Times New Roman"/>
          <w:sz w:val="24"/>
          <w:szCs w:val="24"/>
        </w:rPr>
        <w:t xml:space="preserve"> of towns with populations below 20,000 people, whereas there are only three large cities exceeding a population of 300,000 – which exp</w:t>
      </w:r>
      <w:r w:rsidR="005A081B">
        <w:rPr>
          <w:rFonts w:ascii="Times New Roman" w:hAnsi="Times New Roman" w:cs="Times New Roman"/>
          <w:sz w:val="24"/>
          <w:szCs w:val="24"/>
        </w:rPr>
        <w:t>lains the variable’s high degree of skewness</w:t>
      </w:r>
      <w:r w:rsidR="001A4BB9">
        <w:rPr>
          <w:rFonts w:ascii="Times New Roman" w:hAnsi="Times New Roman" w:cs="Times New Roman"/>
          <w:sz w:val="24"/>
          <w:szCs w:val="24"/>
        </w:rPr>
        <w:t xml:space="preserve">. Using a rule of thumb for interpreting skewness outlined by Bulmer (1979), other highly skewed variables – less than -1 and larger than 1 – are the </w:t>
      </w:r>
      <w:r w:rsidR="001A4BB9" w:rsidRPr="00A12148">
        <w:rPr>
          <w:rFonts w:ascii="Times New Roman" w:hAnsi="Times New Roman" w:cs="Times New Roman"/>
          <w:i/>
          <w:sz w:val="24"/>
          <w:szCs w:val="24"/>
        </w:rPr>
        <w:t>Herfindahl</w:t>
      </w:r>
      <w:r w:rsidR="001A4BB9">
        <w:rPr>
          <w:rFonts w:ascii="Times New Roman" w:hAnsi="Times New Roman" w:cs="Times New Roman"/>
          <w:sz w:val="24"/>
          <w:szCs w:val="24"/>
        </w:rPr>
        <w:t xml:space="preserve"> and </w:t>
      </w:r>
      <w:r w:rsidR="001A4BB9" w:rsidRPr="00A12148">
        <w:rPr>
          <w:rFonts w:ascii="Times New Roman" w:hAnsi="Times New Roman" w:cs="Times New Roman"/>
          <w:i/>
          <w:sz w:val="24"/>
          <w:szCs w:val="24"/>
        </w:rPr>
        <w:t>INBL</w:t>
      </w:r>
      <w:r w:rsidR="00CC3FE9">
        <w:rPr>
          <w:rFonts w:ascii="Times New Roman" w:hAnsi="Times New Roman" w:cs="Times New Roman"/>
          <w:sz w:val="24"/>
          <w:szCs w:val="24"/>
        </w:rPr>
        <w:t xml:space="preserve">. There is one moderately skewed variable, </w:t>
      </w:r>
      <w:r w:rsidR="001A4BB9" w:rsidRPr="00A12148">
        <w:rPr>
          <w:rFonts w:ascii="Times New Roman" w:hAnsi="Times New Roman" w:cs="Times New Roman"/>
          <w:i/>
          <w:sz w:val="24"/>
          <w:szCs w:val="24"/>
        </w:rPr>
        <w:t>Turnout</w:t>
      </w:r>
      <w:r w:rsidR="001A4BB9">
        <w:rPr>
          <w:rFonts w:ascii="Times New Roman" w:hAnsi="Times New Roman" w:cs="Times New Roman"/>
          <w:sz w:val="24"/>
          <w:szCs w:val="24"/>
        </w:rPr>
        <w:t xml:space="preserve"> – between -½ and -1 and between ½ and 1, and finally, </w:t>
      </w:r>
      <w:r w:rsidR="001A4BB9" w:rsidRPr="00A12148">
        <w:rPr>
          <w:rFonts w:ascii="Times New Roman" w:hAnsi="Times New Roman" w:cs="Times New Roman"/>
          <w:i/>
          <w:sz w:val="24"/>
          <w:szCs w:val="24"/>
        </w:rPr>
        <w:t>LT10VS</w:t>
      </w:r>
      <w:r w:rsidR="001A4BB9">
        <w:rPr>
          <w:rFonts w:ascii="Times New Roman" w:hAnsi="Times New Roman" w:cs="Times New Roman"/>
          <w:sz w:val="24"/>
          <w:szCs w:val="24"/>
        </w:rPr>
        <w:t xml:space="preserve"> can be considered as approximately symmetric – between -½ and ½. </w:t>
      </w:r>
      <w:r w:rsidR="001A4BB9" w:rsidRPr="00A12148">
        <w:rPr>
          <w:rFonts w:ascii="Times New Roman" w:hAnsi="Times New Roman" w:cs="Times New Roman"/>
          <w:i/>
          <w:sz w:val="24"/>
          <w:szCs w:val="24"/>
        </w:rPr>
        <w:t>Treatment</w:t>
      </w:r>
      <w:r w:rsidR="001A4BB9">
        <w:rPr>
          <w:rFonts w:ascii="Times New Roman" w:hAnsi="Times New Roman" w:cs="Times New Roman"/>
          <w:sz w:val="24"/>
          <w:szCs w:val="24"/>
        </w:rPr>
        <w:t xml:space="preserve"> </w:t>
      </w:r>
      <w:r w:rsidR="005A081B">
        <w:rPr>
          <w:rFonts w:ascii="Times New Roman" w:hAnsi="Times New Roman" w:cs="Times New Roman"/>
          <w:sz w:val="24"/>
          <w:szCs w:val="24"/>
        </w:rPr>
        <w:t>was</w:t>
      </w:r>
      <w:r w:rsidR="001A4BB9">
        <w:rPr>
          <w:rFonts w:ascii="Times New Roman" w:hAnsi="Times New Roman" w:cs="Times New Roman"/>
          <w:sz w:val="24"/>
          <w:szCs w:val="24"/>
        </w:rPr>
        <w:t xml:space="preserve"> added to</w:t>
      </w:r>
      <w:r w:rsidR="005A081B">
        <w:rPr>
          <w:rFonts w:ascii="Times New Roman" w:hAnsi="Times New Roman" w:cs="Times New Roman"/>
          <w:sz w:val="24"/>
          <w:szCs w:val="24"/>
        </w:rPr>
        <w:t xml:space="preserve"> the table in order to exhibit</w:t>
      </w:r>
      <w:r w:rsidR="001A4BB9">
        <w:rPr>
          <w:rFonts w:ascii="Times New Roman" w:hAnsi="Times New Roman" w:cs="Times New Roman"/>
          <w:sz w:val="24"/>
          <w:szCs w:val="24"/>
        </w:rPr>
        <w:t xml:space="preserve"> the balance of the panel – wherein the years of observation are 3 election years before and after the abolishment of compulsory turnout – characterised by a skewness of 0. The remainder of the stati</w:t>
      </w:r>
      <w:r w:rsidR="005A081B">
        <w:rPr>
          <w:rFonts w:ascii="Times New Roman" w:hAnsi="Times New Roman" w:cs="Times New Roman"/>
          <w:sz w:val="24"/>
          <w:szCs w:val="24"/>
        </w:rPr>
        <w:t>stics can also help reaffirm</w:t>
      </w:r>
      <w:r w:rsidR="001A4BB9">
        <w:rPr>
          <w:rFonts w:ascii="Times New Roman" w:hAnsi="Times New Roman" w:cs="Times New Roman"/>
          <w:sz w:val="24"/>
          <w:szCs w:val="24"/>
        </w:rPr>
        <w:t xml:space="preserve"> earlier checks for potential outliers; </w:t>
      </w:r>
      <w:r w:rsidR="005A081B">
        <w:rPr>
          <w:rFonts w:ascii="Times New Roman" w:hAnsi="Times New Roman" w:cs="Times New Roman"/>
          <w:sz w:val="24"/>
          <w:szCs w:val="24"/>
        </w:rPr>
        <w:t xml:space="preserve">as such, the </w:t>
      </w:r>
      <w:r w:rsidR="001A4BB9">
        <w:rPr>
          <w:rFonts w:ascii="Times New Roman" w:hAnsi="Times New Roman" w:cs="Times New Roman"/>
          <w:sz w:val="24"/>
          <w:szCs w:val="24"/>
        </w:rPr>
        <w:t xml:space="preserve">maximum values for the variables, other than for </w:t>
      </w:r>
      <w:r w:rsidR="001A4BB9" w:rsidRPr="00A12148">
        <w:rPr>
          <w:rFonts w:ascii="Times New Roman" w:hAnsi="Times New Roman" w:cs="Times New Roman"/>
          <w:i/>
          <w:sz w:val="24"/>
          <w:szCs w:val="24"/>
        </w:rPr>
        <w:t>Electorate</w:t>
      </w:r>
      <w:r w:rsidR="001A4BB9">
        <w:rPr>
          <w:rFonts w:ascii="Times New Roman" w:hAnsi="Times New Roman" w:cs="Times New Roman"/>
          <w:sz w:val="24"/>
          <w:szCs w:val="24"/>
        </w:rPr>
        <w:t xml:space="preserve">, do not appear to indicate the presence of </w:t>
      </w:r>
      <w:r w:rsidR="005A081B">
        <w:rPr>
          <w:rFonts w:ascii="Times New Roman" w:hAnsi="Times New Roman" w:cs="Times New Roman"/>
          <w:sz w:val="24"/>
          <w:szCs w:val="24"/>
        </w:rPr>
        <w:t>any outliers</w:t>
      </w:r>
      <w:r w:rsidR="001A4BB9">
        <w:rPr>
          <w:rFonts w:ascii="Times New Roman" w:hAnsi="Times New Roman" w:cs="Times New Roman"/>
          <w:sz w:val="24"/>
          <w:szCs w:val="24"/>
        </w:rPr>
        <w:t xml:space="preserve">. </w:t>
      </w:r>
    </w:p>
    <w:p w:rsidR="001A4BB9" w:rsidRDefault="001A4BB9" w:rsidP="002249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primary issue pertaining to skewness in variables is that it violates one of the assumptions of OLS regression estimation – namely that of multi-variate normality. Skewed distributions of variables indicates non-normality in their distributions and can cause </w:t>
      </w:r>
      <w:r>
        <w:rPr>
          <w:rFonts w:ascii="Times New Roman" w:hAnsi="Times New Roman" w:cs="Times New Roman"/>
          <w:sz w:val="24"/>
          <w:szCs w:val="24"/>
        </w:rPr>
        <w:lastRenderedPageBreak/>
        <w:t xml:space="preserve">disproportionate influences on parameter estimates due to the effect of extreme values on the value of the mean. For example, for </w:t>
      </w:r>
      <w:r>
        <w:rPr>
          <w:rFonts w:ascii="Times New Roman" w:hAnsi="Times New Roman" w:cs="Times New Roman"/>
          <w:i/>
          <w:sz w:val="24"/>
          <w:szCs w:val="24"/>
        </w:rPr>
        <w:t>Electorate</w:t>
      </w:r>
      <w:r>
        <w:rPr>
          <w:rFonts w:ascii="Times New Roman" w:hAnsi="Times New Roman" w:cs="Times New Roman"/>
          <w:sz w:val="24"/>
          <w:szCs w:val="24"/>
        </w:rPr>
        <w:t xml:space="preserve"> extremely high values push its mean far above the median – 9313.30 vs. 3567.50 – which can lower the value of its variance and hence provide inaccurate estimates of estimated coefficients and standard errors. Consequently, this implies that the estimated confidence intervals and significance probabilities are inaccurate. In order to avoid these issues, some variables will need to be transformed in order to satisfy the aforementioned assumption of multivariate normality. </w:t>
      </w:r>
    </w:p>
    <w:p w:rsidR="00563E0B" w:rsidRDefault="00CE74B6" w:rsidP="001A4BB9">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 As a preventive measure, </w:t>
      </w:r>
      <w:r w:rsidR="001A4BB9">
        <w:rPr>
          <w:rFonts w:ascii="Times New Roman" w:hAnsi="Times New Roman" w:cs="Times New Roman"/>
          <w:i/>
          <w:sz w:val="24"/>
          <w:szCs w:val="24"/>
        </w:rPr>
        <w:t>Electorate</w:t>
      </w:r>
      <w:r w:rsidR="001A4BB9">
        <w:rPr>
          <w:rFonts w:ascii="Times New Roman" w:hAnsi="Times New Roman" w:cs="Times New Roman"/>
          <w:sz w:val="24"/>
          <w:szCs w:val="24"/>
        </w:rPr>
        <w:t xml:space="preserve"> </w:t>
      </w:r>
      <w:r>
        <w:rPr>
          <w:rFonts w:ascii="Times New Roman" w:hAnsi="Times New Roman" w:cs="Times New Roman"/>
          <w:sz w:val="24"/>
          <w:szCs w:val="24"/>
        </w:rPr>
        <w:t>was transformed t</w:t>
      </w:r>
      <w:r w:rsidR="001A4BB9">
        <w:rPr>
          <w:rFonts w:ascii="Times New Roman" w:hAnsi="Times New Roman" w:cs="Times New Roman"/>
          <w:sz w:val="24"/>
          <w:szCs w:val="24"/>
        </w:rPr>
        <w:t xml:space="preserve">o </w:t>
      </w:r>
      <w:r>
        <w:rPr>
          <w:rFonts w:ascii="Times New Roman" w:hAnsi="Times New Roman" w:cs="Times New Roman"/>
          <w:sz w:val="24"/>
          <w:szCs w:val="24"/>
        </w:rPr>
        <w:t>“</w:t>
      </w:r>
      <w:r w:rsidR="001A4BB9">
        <w:rPr>
          <w:rFonts w:ascii="Times New Roman" w:hAnsi="Times New Roman" w:cs="Times New Roman"/>
          <w:i/>
          <w:sz w:val="24"/>
          <w:szCs w:val="24"/>
        </w:rPr>
        <w:t>ElevenElectorate</w:t>
      </w:r>
      <w:r>
        <w:rPr>
          <w:rFonts w:ascii="Times New Roman" w:hAnsi="Times New Roman" w:cs="Times New Roman"/>
          <w:i/>
          <w:sz w:val="24"/>
          <w:szCs w:val="24"/>
        </w:rPr>
        <w:t>”,</w:t>
      </w:r>
      <w:r w:rsidR="001A4BB9">
        <w:rPr>
          <w:rFonts w:ascii="Times New Roman" w:hAnsi="Times New Roman" w:cs="Times New Roman"/>
          <w:i/>
          <w:sz w:val="24"/>
          <w:szCs w:val="24"/>
        </w:rPr>
        <w:t xml:space="preserve"> </w:t>
      </w:r>
      <w:r w:rsidR="001A4BB9">
        <w:rPr>
          <w:rFonts w:ascii="Times New Roman" w:hAnsi="Times New Roman" w:cs="Times New Roman"/>
          <w:sz w:val="24"/>
          <w:szCs w:val="24"/>
        </w:rPr>
        <w:t xml:space="preserve">which </w:t>
      </w:r>
      <w:r>
        <w:rPr>
          <w:rFonts w:ascii="Times New Roman" w:hAnsi="Times New Roman" w:cs="Times New Roman"/>
          <w:sz w:val="24"/>
          <w:szCs w:val="24"/>
        </w:rPr>
        <w:t xml:space="preserve">is </w:t>
      </w:r>
      <w:r w:rsidR="001A4BB9">
        <w:rPr>
          <w:rFonts w:ascii="Times New Roman" w:hAnsi="Times New Roman" w:cs="Times New Roman"/>
          <w:sz w:val="24"/>
          <w:szCs w:val="24"/>
        </w:rPr>
        <w:t xml:space="preserve">generated by raising </w:t>
      </w:r>
      <w:r w:rsidR="001A4BB9">
        <w:rPr>
          <w:rFonts w:ascii="Times New Roman" w:hAnsi="Times New Roman" w:cs="Times New Roman"/>
          <w:i/>
          <w:sz w:val="24"/>
          <w:szCs w:val="24"/>
        </w:rPr>
        <w:t xml:space="preserve">Electorate </w:t>
      </w:r>
      <w:r w:rsidR="001A4BB9">
        <w:rPr>
          <w:rFonts w:ascii="Times New Roman" w:hAnsi="Times New Roman" w:cs="Times New Roman"/>
          <w:sz w:val="24"/>
          <w:szCs w:val="24"/>
        </w:rPr>
        <w:t xml:space="preserve">to the power </w:t>
      </w:r>
      <w:r>
        <w:rPr>
          <w:rFonts w:ascii="Times New Roman" w:hAnsi="Times New Roman" w:cs="Times New Roman"/>
          <w:sz w:val="24"/>
          <w:szCs w:val="24"/>
        </w:rPr>
        <w:t>of</w:t>
      </w:r>
      <m:oMath>
        <m:r>
          <w:rPr>
            <w:rFonts w:ascii="Cambria Math" w:hAnsi="Cambria Math" w:cs="Times New Roman"/>
            <w:sz w:val="24"/>
            <w:szCs w:val="24"/>
          </w:rPr>
          <m:t xml:space="preserve">  </m:t>
        </m:r>
        <m:f>
          <m:fPr>
            <m:type m:val="skw"/>
            <m:ctrlPr>
              <w:rPr>
                <w:rFonts w:ascii="Cambria Math" w:hAnsi="Cambria Math" w:cs="Times New Roman"/>
                <w:i/>
                <w:sz w:val="16"/>
                <w:szCs w:val="24"/>
              </w:rPr>
            </m:ctrlPr>
          </m:fPr>
          <m:num>
            <m:r>
              <w:rPr>
                <w:rFonts w:ascii="Cambria Math" w:hAnsi="Cambria Math" w:cs="Times New Roman"/>
                <w:sz w:val="16"/>
                <w:szCs w:val="24"/>
              </w:rPr>
              <m:t>1</m:t>
            </m:r>
          </m:num>
          <m:den>
            <m:r>
              <w:rPr>
                <w:rFonts w:ascii="Cambria Math" w:hAnsi="Cambria Math" w:cs="Times New Roman"/>
                <w:sz w:val="16"/>
                <w:szCs w:val="24"/>
              </w:rPr>
              <m:t>11</m:t>
            </m:r>
          </m:den>
        </m:f>
      </m:oMath>
      <w:r w:rsidR="001A4BB9" w:rsidRPr="00A12148">
        <w:rPr>
          <w:rFonts w:ascii="Times New Roman" w:eastAsiaTheme="minorEastAsia" w:hAnsi="Times New Roman" w:cs="Times New Roman"/>
          <w:sz w:val="24"/>
          <w:szCs w:val="24"/>
        </w:rPr>
        <w:t>.</w:t>
      </w:r>
      <w:r w:rsidR="001A4BB9">
        <w:rPr>
          <w:rFonts w:ascii="Times New Roman" w:eastAsiaTheme="minorEastAsia" w:hAnsi="Times New Roman" w:cs="Times New Roman"/>
          <w:sz w:val="24"/>
          <w:szCs w:val="24"/>
        </w:rPr>
        <w:t xml:space="preserve"> Although </w:t>
      </w:r>
      <w:r w:rsidR="002249A2">
        <w:rPr>
          <w:rFonts w:ascii="Times New Roman" w:eastAsiaTheme="minorEastAsia" w:hAnsi="Times New Roman" w:cs="Times New Roman"/>
          <w:sz w:val="24"/>
          <w:szCs w:val="24"/>
        </w:rPr>
        <w:t xml:space="preserve">the </w:t>
      </w:r>
      <w:r w:rsidR="001A4BB9">
        <w:rPr>
          <w:rFonts w:ascii="Times New Roman" w:eastAsiaTheme="minorEastAsia" w:hAnsi="Times New Roman" w:cs="Times New Roman"/>
          <w:i/>
          <w:sz w:val="24"/>
          <w:szCs w:val="24"/>
        </w:rPr>
        <w:t xml:space="preserve">Herfindahl’s </w:t>
      </w:r>
      <w:r w:rsidR="001A4BB9">
        <w:rPr>
          <w:rFonts w:ascii="Times New Roman" w:eastAsiaTheme="minorEastAsia" w:hAnsi="Times New Roman" w:cs="Times New Roman"/>
          <w:sz w:val="24"/>
          <w:szCs w:val="24"/>
        </w:rPr>
        <w:t>distribution is also highly skewed, as the main dependent variable of interest, its transformation is unnecessary.</w:t>
      </w:r>
      <w:r w:rsidR="00563E0B">
        <w:rPr>
          <w:rFonts w:ascii="Times New Roman" w:eastAsiaTheme="minorEastAsia" w:hAnsi="Times New Roman" w:cs="Times New Roman"/>
          <w:sz w:val="24"/>
          <w:szCs w:val="24"/>
        </w:rPr>
        <w:t xml:space="preserve"> Similarly, </w:t>
      </w:r>
      <w:r w:rsidR="00563E0B">
        <w:rPr>
          <w:rFonts w:ascii="Times New Roman" w:eastAsiaTheme="minorEastAsia" w:hAnsi="Times New Roman" w:cs="Times New Roman"/>
          <w:i/>
          <w:sz w:val="24"/>
          <w:szCs w:val="24"/>
        </w:rPr>
        <w:t>INBL</w:t>
      </w:r>
      <w:r w:rsidR="00563E0B">
        <w:rPr>
          <w:rFonts w:ascii="Times New Roman" w:eastAsiaTheme="minorEastAsia" w:hAnsi="Times New Roman" w:cs="Times New Roman"/>
          <w:sz w:val="24"/>
          <w:szCs w:val="24"/>
        </w:rPr>
        <w:t xml:space="preserve"> was not transformed due to its limited ability as a control variable.</w:t>
      </w:r>
      <w:r w:rsidR="005A081B">
        <w:rPr>
          <w:rFonts w:ascii="Times New Roman" w:eastAsiaTheme="minorEastAsia" w:hAnsi="Times New Roman" w:cs="Times New Roman"/>
          <w:sz w:val="24"/>
          <w:szCs w:val="24"/>
        </w:rPr>
        <w:t xml:space="preserve"> Note that </w:t>
      </w:r>
      <w:r w:rsidR="00563E0B">
        <w:rPr>
          <w:rFonts w:ascii="Times New Roman" w:eastAsiaTheme="minorEastAsia" w:hAnsi="Times New Roman" w:cs="Times New Roman"/>
          <w:i/>
          <w:sz w:val="24"/>
          <w:szCs w:val="24"/>
        </w:rPr>
        <w:t>INBL</w:t>
      </w:r>
      <w:r w:rsidR="00563E0B">
        <w:rPr>
          <w:rFonts w:ascii="Times New Roman" w:eastAsiaTheme="minorEastAsia" w:hAnsi="Times New Roman" w:cs="Times New Roman"/>
          <w:sz w:val="24"/>
          <w:szCs w:val="24"/>
        </w:rPr>
        <w:t xml:space="preserve">’s role will be discussed more clearly much later in the paper. The results of the transformation </w:t>
      </w:r>
      <w:r w:rsidR="005A081B">
        <w:rPr>
          <w:rFonts w:ascii="Times New Roman" w:eastAsiaTheme="minorEastAsia" w:hAnsi="Times New Roman" w:cs="Times New Roman"/>
          <w:sz w:val="24"/>
          <w:szCs w:val="24"/>
        </w:rPr>
        <w:t xml:space="preserve">(Appendix, Table A3) </w:t>
      </w:r>
      <w:r w:rsidR="00563E0B">
        <w:rPr>
          <w:rFonts w:ascii="Times New Roman" w:eastAsiaTheme="minorEastAsia" w:hAnsi="Times New Roman" w:cs="Times New Roman"/>
          <w:sz w:val="24"/>
          <w:szCs w:val="24"/>
        </w:rPr>
        <w:t>are quite successful</w:t>
      </w:r>
      <w:r w:rsidR="001A4BB9">
        <w:rPr>
          <w:rFonts w:ascii="Times New Roman" w:eastAsiaTheme="minorEastAsia" w:hAnsi="Times New Roman" w:cs="Times New Roman"/>
          <w:sz w:val="24"/>
          <w:szCs w:val="24"/>
        </w:rPr>
        <w:t xml:space="preserve">, where </w:t>
      </w:r>
      <w:r w:rsidR="001A4BB9">
        <w:rPr>
          <w:rFonts w:ascii="Times New Roman" w:eastAsiaTheme="minorEastAsia" w:hAnsi="Times New Roman" w:cs="Times New Roman"/>
          <w:i/>
          <w:sz w:val="24"/>
          <w:szCs w:val="24"/>
        </w:rPr>
        <w:t xml:space="preserve">ElevenElectorate </w:t>
      </w:r>
      <w:r w:rsidR="005A081B">
        <w:rPr>
          <w:rFonts w:ascii="Times New Roman" w:eastAsiaTheme="minorEastAsia" w:hAnsi="Times New Roman" w:cs="Times New Roman"/>
          <w:sz w:val="24"/>
          <w:szCs w:val="24"/>
        </w:rPr>
        <w:t>can now be seen to be</w:t>
      </w:r>
      <w:r w:rsidR="001A4BB9">
        <w:rPr>
          <w:rFonts w:ascii="Times New Roman" w:eastAsiaTheme="minorEastAsia" w:hAnsi="Times New Roman" w:cs="Times New Roman"/>
          <w:sz w:val="24"/>
          <w:szCs w:val="24"/>
        </w:rPr>
        <w:t xml:space="preserve"> only moderately skewed</w:t>
      </w:r>
      <w:r w:rsidR="00563E0B">
        <w:rPr>
          <w:rFonts w:ascii="Times New Roman" w:eastAsiaTheme="minorEastAsia" w:hAnsi="Times New Roman" w:cs="Times New Roman"/>
          <w:sz w:val="24"/>
          <w:szCs w:val="24"/>
        </w:rPr>
        <w:t xml:space="preserve">. </w:t>
      </w:r>
    </w:p>
    <w:p w:rsidR="00CB37B9" w:rsidRPr="00B110AC" w:rsidRDefault="001A4BB9" w:rsidP="005A081B">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addition to </w:t>
      </w:r>
      <w:r w:rsidR="005A081B">
        <w:rPr>
          <w:rFonts w:ascii="Times New Roman" w:eastAsiaTheme="minorEastAsia" w:hAnsi="Times New Roman" w:cs="Times New Roman"/>
          <w:sz w:val="24"/>
          <w:szCs w:val="24"/>
        </w:rPr>
        <w:t xml:space="preserve">the above </w:t>
      </w:r>
      <w:r>
        <w:rPr>
          <w:rFonts w:ascii="Times New Roman" w:eastAsiaTheme="minorEastAsia" w:hAnsi="Times New Roman" w:cs="Times New Roman"/>
          <w:sz w:val="24"/>
          <w:szCs w:val="24"/>
        </w:rPr>
        <w:t xml:space="preserve">summary statistics, observing the correlations between selected variables may also provide some preliminary insight into the forthcoming analysis. To confirm that our two measures of political competition roughly measure the same thing, both </w:t>
      </w:r>
      <w:r>
        <w:rPr>
          <w:rFonts w:ascii="Times New Roman" w:eastAsiaTheme="minorEastAsia" w:hAnsi="Times New Roman" w:cs="Times New Roman"/>
          <w:i/>
          <w:sz w:val="24"/>
          <w:szCs w:val="24"/>
        </w:rPr>
        <w:t>Herfindahl</w:t>
      </w:r>
      <w:r>
        <w:rPr>
          <w:rFonts w:ascii="Times New Roman" w:eastAsiaTheme="minorEastAsia" w:hAnsi="Times New Roman" w:cs="Times New Roman"/>
          <w:sz w:val="24"/>
          <w:szCs w:val="24"/>
        </w:rPr>
        <w:t xml:space="preserve"> and </w:t>
      </w:r>
      <w:r>
        <w:rPr>
          <w:rFonts w:ascii="Times New Roman" w:eastAsiaTheme="minorEastAsia" w:hAnsi="Times New Roman" w:cs="Times New Roman"/>
          <w:i/>
          <w:sz w:val="24"/>
          <w:szCs w:val="24"/>
        </w:rPr>
        <w:t>LT10VS</w:t>
      </w:r>
      <w:r>
        <w:rPr>
          <w:rFonts w:ascii="Times New Roman" w:eastAsiaTheme="minorEastAsia" w:hAnsi="Times New Roman" w:cs="Times New Roman"/>
          <w:sz w:val="24"/>
          <w:szCs w:val="24"/>
        </w:rPr>
        <w:t xml:space="preserve"> share a correlation coefficient of -0.8226 – </w:t>
      </w:r>
      <w:r w:rsidR="002249A2">
        <w:rPr>
          <w:rFonts w:ascii="Times New Roman" w:eastAsiaTheme="minorEastAsia" w:hAnsi="Times New Roman" w:cs="Times New Roman"/>
          <w:sz w:val="24"/>
          <w:szCs w:val="24"/>
        </w:rPr>
        <w:t>strongly</w:t>
      </w:r>
      <w:r>
        <w:rPr>
          <w:rFonts w:ascii="Times New Roman" w:eastAsiaTheme="minorEastAsia" w:hAnsi="Times New Roman" w:cs="Times New Roman"/>
          <w:sz w:val="24"/>
          <w:szCs w:val="24"/>
        </w:rPr>
        <w:t xml:space="preserve"> negative. Intuitively, this makes sense as decreases in the Herfindahl index imply an increase in competition, whilst a decrease in the number of parties that receive at least a 10% vote share in a municipality essentially points to a decrease in competition. It should therefore follow that the results under the forthcoming analysis should follow similar interpretations, but should have estimated coefficients</w:t>
      </w:r>
      <w:r w:rsidR="00151087">
        <w:rPr>
          <w:rFonts w:ascii="Times New Roman" w:eastAsiaTheme="minorEastAsia" w:hAnsi="Times New Roman" w:cs="Times New Roman"/>
          <w:sz w:val="24"/>
          <w:szCs w:val="24"/>
        </w:rPr>
        <w:t xml:space="preserve"> with opposite signs</w:t>
      </w:r>
      <w:r>
        <w:rPr>
          <w:rFonts w:ascii="Times New Roman" w:eastAsiaTheme="minorEastAsia" w:hAnsi="Times New Roman" w:cs="Times New Roman"/>
          <w:sz w:val="24"/>
          <w:szCs w:val="24"/>
        </w:rPr>
        <w:t>.</w:t>
      </w:r>
      <w:r w:rsidR="005A081B">
        <w:rPr>
          <w:rFonts w:ascii="Times New Roman" w:eastAsiaTheme="minorEastAsia" w:hAnsi="Times New Roman" w:cs="Times New Roman"/>
          <w:sz w:val="24"/>
          <w:szCs w:val="24"/>
        </w:rPr>
        <w:t xml:space="preserve"> In addition to correlation analyses, a</w:t>
      </w:r>
      <w:r w:rsidR="00CB37B9">
        <w:rPr>
          <w:rFonts w:ascii="Times New Roman" w:eastAsiaTheme="minorEastAsia" w:hAnsi="Times New Roman" w:cs="Times New Roman"/>
          <w:sz w:val="24"/>
          <w:szCs w:val="24"/>
        </w:rPr>
        <w:t xml:space="preserve"> statistics by classification table may also help provide some context to observe in which direction the most relevant variables move after the abolishment of compulsory turnout in 1967. The values under each variable denotes its mean value grouped by </w:t>
      </w:r>
      <w:r w:rsidR="00CB37B9">
        <w:rPr>
          <w:rFonts w:ascii="Times New Roman" w:eastAsiaTheme="minorEastAsia" w:hAnsi="Times New Roman" w:cs="Times New Roman"/>
          <w:i/>
          <w:sz w:val="24"/>
          <w:szCs w:val="24"/>
        </w:rPr>
        <w:t>treatment</w:t>
      </w:r>
      <w:r w:rsidR="00CB37B9">
        <w:rPr>
          <w:rFonts w:ascii="Times New Roman" w:eastAsiaTheme="minorEastAsia" w:hAnsi="Times New Roman" w:cs="Times New Roman"/>
          <w:sz w:val="24"/>
          <w:szCs w:val="24"/>
        </w:rPr>
        <w:t xml:space="preserve"> before (0) and after (1) the said abolishment</w:t>
      </w:r>
      <w:r w:rsidR="00563E0B">
        <w:rPr>
          <w:rFonts w:ascii="Times New Roman" w:eastAsiaTheme="minorEastAsia" w:hAnsi="Times New Roman" w:cs="Times New Roman"/>
          <w:sz w:val="24"/>
          <w:szCs w:val="24"/>
        </w:rPr>
        <w:t xml:space="preserve"> (Table A4).</w:t>
      </w:r>
      <w:r w:rsidR="00B110AC">
        <w:rPr>
          <w:rFonts w:ascii="Times New Roman" w:eastAsiaTheme="minorEastAsia" w:hAnsi="Times New Roman" w:cs="Times New Roman"/>
          <w:sz w:val="24"/>
          <w:szCs w:val="24"/>
        </w:rPr>
        <w:t xml:space="preserve"> Clearly, in the years post-1967 turnout rates dropped significantly from a mean of 0.9476 to 0.7795, coinciding with decreases in the </w:t>
      </w:r>
      <w:r w:rsidR="00B110AC">
        <w:rPr>
          <w:rFonts w:ascii="Times New Roman" w:eastAsiaTheme="minorEastAsia" w:hAnsi="Times New Roman" w:cs="Times New Roman"/>
          <w:i/>
          <w:sz w:val="24"/>
          <w:szCs w:val="24"/>
        </w:rPr>
        <w:t xml:space="preserve">Herfindahl </w:t>
      </w:r>
      <w:r w:rsidR="00B110AC">
        <w:rPr>
          <w:rFonts w:ascii="Times New Roman" w:eastAsiaTheme="minorEastAsia" w:hAnsi="Times New Roman" w:cs="Times New Roman"/>
          <w:sz w:val="24"/>
          <w:szCs w:val="24"/>
        </w:rPr>
        <w:t xml:space="preserve">from 0.4301 to 0.3150 as well increases in </w:t>
      </w:r>
      <w:r w:rsidR="00B110AC">
        <w:rPr>
          <w:rFonts w:ascii="Times New Roman" w:eastAsiaTheme="minorEastAsia" w:hAnsi="Times New Roman" w:cs="Times New Roman"/>
          <w:i/>
          <w:sz w:val="24"/>
          <w:szCs w:val="24"/>
        </w:rPr>
        <w:t xml:space="preserve">LT10VS </w:t>
      </w:r>
      <w:r w:rsidR="00B110AC">
        <w:rPr>
          <w:rFonts w:ascii="Times New Roman" w:eastAsiaTheme="minorEastAsia" w:hAnsi="Times New Roman" w:cs="Times New Roman"/>
          <w:sz w:val="24"/>
          <w:szCs w:val="24"/>
        </w:rPr>
        <w:t>from 2.74 to 2.96. Indeed, these co</w:t>
      </w:r>
      <w:r w:rsidR="00F3218B">
        <w:rPr>
          <w:rFonts w:ascii="Times New Roman" w:eastAsiaTheme="minorEastAsia" w:hAnsi="Times New Roman" w:cs="Times New Roman"/>
          <w:sz w:val="24"/>
          <w:szCs w:val="24"/>
        </w:rPr>
        <w:t xml:space="preserve">unter-intuitive inferences raises the question as to why this would happen after the abolishment of compulsory turnout. </w:t>
      </w:r>
    </w:p>
    <w:p w:rsidR="00B81AD7" w:rsidRDefault="005A081B" w:rsidP="003F646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With these</w:t>
      </w:r>
      <w:r w:rsidR="00CB37B9">
        <w:rPr>
          <w:rFonts w:ascii="Times New Roman" w:eastAsiaTheme="minorEastAsia" w:hAnsi="Times New Roman" w:cs="Times New Roman"/>
          <w:sz w:val="24"/>
          <w:szCs w:val="24"/>
        </w:rPr>
        <w:t xml:space="preserve"> preliminary </w:t>
      </w:r>
      <w:r>
        <w:rPr>
          <w:rFonts w:ascii="Times New Roman" w:eastAsiaTheme="minorEastAsia" w:hAnsi="Times New Roman" w:cs="Times New Roman"/>
          <w:sz w:val="24"/>
          <w:szCs w:val="24"/>
        </w:rPr>
        <w:t>analyse</w:t>
      </w:r>
      <w:r w:rsidR="00CB37B9">
        <w:rPr>
          <w:rFonts w:ascii="Times New Roman" w:eastAsiaTheme="minorEastAsia" w:hAnsi="Times New Roman" w:cs="Times New Roman"/>
          <w:sz w:val="24"/>
          <w:szCs w:val="24"/>
        </w:rPr>
        <w:t>s, it</w:t>
      </w:r>
      <w:r>
        <w:rPr>
          <w:rFonts w:ascii="Times New Roman" w:eastAsiaTheme="minorEastAsia" w:hAnsi="Times New Roman" w:cs="Times New Roman"/>
          <w:sz w:val="24"/>
          <w:szCs w:val="24"/>
        </w:rPr>
        <w:t xml:space="preserve"> would</w:t>
      </w:r>
      <w:r w:rsidR="00CB37B9">
        <w:rPr>
          <w:rFonts w:ascii="Times New Roman" w:eastAsiaTheme="minorEastAsia" w:hAnsi="Times New Roman" w:cs="Times New Roman"/>
          <w:sz w:val="24"/>
          <w:szCs w:val="24"/>
        </w:rPr>
        <w:t xml:space="preserve"> be useful to discuss in detail the hypothes</w:t>
      </w:r>
      <w:r w:rsidR="00927419">
        <w:rPr>
          <w:rFonts w:ascii="Times New Roman" w:eastAsiaTheme="minorEastAsia" w:hAnsi="Times New Roman" w:cs="Times New Roman"/>
          <w:sz w:val="24"/>
          <w:szCs w:val="24"/>
        </w:rPr>
        <w:t>i</w:t>
      </w:r>
      <w:r w:rsidR="00CB37B9">
        <w:rPr>
          <w:rFonts w:ascii="Times New Roman" w:eastAsiaTheme="minorEastAsia" w:hAnsi="Times New Roman" w:cs="Times New Roman"/>
          <w:sz w:val="24"/>
          <w:szCs w:val="24"/>
        </w:rPr>
        <w:t xml:space="preserve">s of this paper. The area of focus lies in the effect of </w:t>
      </w:r>
      <w:r w:rsidR="004F4E2E">
        <w:rPr>
          <w:rFonts w:ascii="Times New Roman" w:eastAsiaTheme="minorEastAsia" w:hAnsi="Times New Roman" w:cs="Times New Roman"/>
          <w:i/>
          <w:sz w:val="24"/>
          <w:szCs w:val="24"/>
        </w:rPr>
        <w:t>Turnout</w:t>
      </w:r>
      <w:r w:rsidR="004F4E2E">
        <w:rPr>
          <w:rFonts w:ascii="Times New Roman" w:eastAsiaTheme="minorEastAsia" w:hAnsi="Times New Roman" w:cs="Times New Roman"/>
          <w:sz w:val="24"/>
          <w:szCs w:val="24"/>
        </w:rPr>
        <w:t xml:space="preserve"> as a result of </w:t>
      </w:r>
      <w:r w:rsidR="004F4E2E">
        <w:rPr>
          <w:rFonts w:ascii="Times New Roman" w:eastAsiaTheme="minorEastAsia" w:hAnsi="Times New Roman" w:cs="Times New Roman"/>
          <w:i/>
          <w:sz w:val="24"/>
          <w:szCs w:val="24"/>
        </w:rPr>
        <w:t>Treatment</w:t>
      </w:r>
      <w:r w:rsidR="00CB37B9">
        <w:rPr>
          <w:rFonts w:ascii="Times New Roman" w:eastAsiaTheme="minorEastAsia" w:hAnsi="Times New Roman" w:cs="Times New Roman"/>
          <w:sz w:val="24"/>
          <w:szCs w:val="24"/>
        </w:rPr>
        <w:t xml:space="preserve"> on the competitive environment between parties, measured by the </w:t>
      </w:r>
      <w:r w:rsidR="00CB37B9">
        <w:rPr>
          <w:rFonts w:ascii="Times New Roman" w:eastAsiaTheme="minorEastAsia" w:hAnsi="Times New Roman" w:cs="Times New Roman"/>
          <w:i/>
          <w:sz w:val="24"/>
          <w:szCs w:val="24"/>
        </w:rPr>
        <w:t>Herfindahl</w:t>
      </w:r>
      <w:r>
        <w:rPr>
          <w:rFonts w:ascii="Times New Roman" w:eastAsiaTheme="minorEastAsia" w:hAnsi="Times New Roman" w:cs="Times New Roman"/>
          <w:sz w:val="24"/>
          <w:szCs w:val="24"/>
        </w:rPr>
        <w:t xml:space="preserve"> or</w:t>
      </w:r>
      <w:r w:rsidR="00CB37B9">
        <w:rPr>
          <w:rFonts w:ascii="Times New Roman" w:eastAsiaTheme="minorEastAsia" w:hAnsi="Times New Roman" w:cs="Times New Roman"/>
          <w:sz w:val="24"/>
          <w:szCs w:val="24"/>
        </w:rPr>
        <w:t xml:space="preserve"> </w:t>
      </w:r>
      <w:r w:rsidR="00CB37B9">
        <w:rPr>
          <w:rFonts w:ascii="Times New Roman" w:eastAsiaTheme="minorEastAsia" w:hAnsi="Times New Roman" w:cs="Times New Roman"/>
          <w:i/>
          <w:sz w:val="24"/>
          <w:szCs w:val="24"/>
        </w:rPr>
        <w:t>LT10VS</w:t>
      </w:r>
      <w:r w:rsidR="00EB6F2F">
        <w:rPr>
          <w:rFonts w:ascii="Times New Roman" w:eastAsiaTheme="minorEastAsia" w:hAnsi="Times New Roman" w:cs="Times New Roman"/>
          <w:sz w:val="24"/>
          <w:szCs w:val="24"/>
        </w:rPr>
        <w:t xml:space="preserve">. </w:t>
      </w:r>
      <w:r w:rsidR="009F4CC0">
        <w:rPr>
          <w:rFonts w:ascii="Times New Roman" w:eastAsiaTheme="minorEastAsia" w:hAnsi="Times New Roman" w:cs="Times New Roman"/>
          <w:sz w:val="24"/>
          <w:szCs w:val="24"/>
        </w:rPr>
        <w:t xml:space="preserve">As opposed to the conventional wisdom that higher </w:t>
      </w:r>
      <w:r w:rsidR="00927419">
        <w:rPr>
          <w:rFonts w:ascii="Times New Roman" w:eastAsiaTheme="minorEastAsia" w:hAnsi="Times New Roman" w:cs="Times New Roman"/>
          <w:i/>
          <w:sz w:val="24"/>
          <w:szCs w:val="24"/>
        </w:rPr>
        <w:t>T</w:t>
      </w:r>
      <w:r w:rsidR="009F4CC0">
        <w:rPr>
          <w:rFonts w:ascii="Times New Roman" w:eastAsiaTheme="minorEastAsia" w:hAnsi="Times New Roman" w:cs="Times New Roman"/>
          <w:i/>
          <w:sz w:val="24"/>
          <w:szCs w:val="24"/>
        </w:rPr>
        <w:t xml:space="preserve">urnout </w:t>
      </w:r>
      <w:r w:rsidR="009F4CC0">
        <w:rPr>
          <w:rFonts w:ascii="Times New Roman" w:eastAsiaTheme="minorEastAsia" w:hAnsi="Times New Roman" w:cs="Times New Roman"/>
          <w:sz w:val="24"/>
          <w:szCs w:val="24"/>
        </w:rPr>
        <w:t xml:space="preserve">rates improves electoral representation, </w:t>
      </w:r>
      <w:r w:rsidR="004F4E2E">
        <w:rPr>
          <w:rFonts w:ascii="Times New Roman" w:eastAsiaTheme="minorEastAsia" w:hAnsi="Times New Roman" w:cs="Times New Roman"/>
          <w:sz w:val="24"/>
          <w:szCs w:val="24"/>
        </w:rPr>
        <w:t>this paper aims to test whether this holds</w:t>
      </w:r>
      <w:r w:rsidR="009F4CC0">
        <w:rPr>
          <w:rFonts w:ascii="Times New Roman" w:eastAsiaTheme="minorEastAsia" w:hAnsi="Times New Roman" w:cs="Times New Roman"/>
          <w:sz w:val="24"/>
          <w:szCs w:val="24"/>
        </w:rPr>
        <w:t xml:space="preserve"> true</w:t>
      </w:r>
      <w:r w:rsidR="004F4E2E">
        <w:rPr>
          <w:rFonts w:ascii="Times New Roman" w:eastAsiaTheme="minorEastAsia" w:hAnsi="Times New Roman" w:cs="Times New Roman"/>
          <w:sz w:val="24"/>
          <w:szCs w:val="24"/>
        </w:rPr>
        <w:t xml:space="preserve"> in this context</w:t>
      </w:r>
      <w:r w:rsidR="009F4CC0">
        <w:rPr>
          <w:rFonts w:ascii="Times New Roman" w:eastAsiaTheme="minorEastAsia" w:hAnsi="Times New Roman" w:cs="Times New Roman"/>
          <w:sz w:val="24"/>
          <w:szCs w:val="24"/>
        </w:rPr>
        <w:t xml:space="preserve">. </w:t>
      </w:r>
      <w:r w:rsidR="004F4E2E">
        <w:rPr>
          <w:rFonts w:ascii="Times New Roman" w:eastAsiaTheme="minorEastAsia" w:hAnsi="Times New Roman" w:cs="Times New Roman"/>
          <w:sz w:val="24"/>
          <w:szCs w:val="24"/>
        </w:rPr>
        <w:t>All three</w:t>
      </w:r>
      <w:r w:rsidR="00B81AD7">
        <w:rPr>
          <w:rFonts w:ascii="Times New Roman" w:eastAsiaTheme="minorEastAsia" w:hAnsi="Times New Roman" w:cs="Times New Roman"/>
          <w:sz w:val="24"/>
          <w:szCs w:val="24"/>
        </w:rPr>
        <w:t xml:space="preserve"> potential method</w:t>
      </w:r>
      <w:r w:rsidR="004F4E2E">
        <w:rPr>
          <w:rFonts w:ascii="Times New Roman" w:eastAsiaTheme="minorEastAsia" w:hAnsi="Times New Roman" w:cs="Times New Roman"/>
          <w:sz w:val="24"/>
          <w:szCs w:val="24"/>
        </w:rPr>
        <w:t xml:space="preserve">s for estimation discussed below make use of </w:t>
      </w:r>
      <w:r w:rsidR="004F4E2E">
        <w:rPr>
          <w:rFonts w:ascii="Times New Roman" w:eastAsiaTheme="minorEastAsia" w:hAnsi="Times New Roman" w:cs="Times New Roman"/>
          <w:i/>
          <w:sz w:val="24"/>
          <w:szCs w:val="24"/>
        </w:rPr>
        <w:t>Turnout</w:t>
      </w:r>
      <w:r w:rsidR="004F4E2E">
        <w:rPr>
          <w:rFonts w:ascii="Times New Roman" w:eastAsiaTheme="minorEastAsia" w:hAnsi="Times New Roman" w:cs="Times New Roman"/>
          <w:sz w:val="24"/>
          <w:szCs w:val="24"/>
        </w:rPr>
        <w:t xml:space="preserve"> as its primary independent variable, and hence, the hypothesis to be tested is as follows: </w:t>
      </w:r>
    </w:p>
    <w:p w:rsidR="00B81AD7" w:rsidRDefault="00B81AD7" w:rsidP="005C4C0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w:t>
      </w:r>
      <w:r>
        <w:rPr>
          <w:rFonts w:ascii="Times New Roman" w:eastAsiaTheme="minorEastAsia" w:hAnsi="Times New Roman" w:cs="Times New Roman"/>
          <w:b/>
          <w:sz w:val="24"/>
          <w:szCs w:val="24"/>
          <w:vertAlign w:val="subscript"/>
        </w:rPr>
        <w:t>1</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The estimated effect of </w:t>
      </w:r>
      <w:r>
        <w:rPr>
          <w:rFonts w:ascii="Times New Roman" w:eastAsiaTheme="minorEastAsia" w:hAnsi="Times New Roman" w:cs="Times New Roman"/>
          <w:i/>
          <w:sz w:val="24"/>
          <w:szCs w:val="24"/>
        </w:rPr>
        <w:t>Turnout</w:t>
      </w:r>
      <w:r w:rsidR="009A049D">
        <w:rPr>
          <w:rFonts w:ascii="Times New Roman" w:eastAsiaTheme="minorEastAsia" w:hAnsi="Times New Roman" w:cs="Times New Roman"/>
          <w:sz w:val="24"/>
          <w:szCs w:val="24"/>
        </w:rPr>
        <w:t xml:space="preserve"> on inter-party competition </w:t>
      </w:r>
      <w:r>
        <w:rPr>
          <w:rFonts w:ascii="Times New Roman" w:eastAsiaTheme="minorEastAsia" w:hAnsi="Times New Roman" w:cs="Times New Roman"/>
          <w:sz w:val="24"/>
          <w:szCs w:val="24"/>
        </w:rPr>
        <w:t>is positive and significant, and as such the abolishment o</w:t>
      </w:r>
      <w:r w:rsidR="005116A4">
        <w:rPr>
          <w:rFonts w:ascii="Times New Roman" w:eastAsiaTheme="minorEastAsia" w:hAnsi="Times New Roman" w:cs="Times New Roman"/>
          <w:sz w:val="24"/>
          <w:szCs w:val="24"/>
        </w:rPr>
        <w:t xml:space="preserve">f compulsory </w:t>
      </w:r>
      <w:r w:rsidR="00AF7DE7">
        <w:rPr>
          <w:rFonts w:ascii="Times New Roman" w:eastAsiaTheme="minorEastAsia" w:hAnsi="Times New Roman" w:cs="Times New Roman"/>
          <w:sz w:val="24"/>
          <w:szCs w:val="24"/>
        </w:rPr>
        <w:t>turnout</w:t>
      </w:r>
      <w:r w:rsidR="005116A4">
        <w:rPr>
          <w:rFonts w:ascii="Times New Roman" w:eastAsiaTheme="minorEastAsia" w:hAnsi="Times New Roman" w:cs="Times New Roman"/>
          <w:sz w:val="24"/>
          <w:szCs w:val="24"/>
        </w:rPr>
        <w:t xml:space="preserve"> </w:t>
      </w:r>
      <w:r w:rsidR="00F3218B">
        <w:rPr>
          <w:rFonts w:ascii="Times New Roman" w:eastAsiaTheme="minorEastAsia" w:hAnsi="Times New Roman" w:cs="Times New Roman"/>
          <w:sz w:val="24"/>
          <w:szCs w:val="24"/>
        </w:rPr>
        <w:t>can be</w:t>
      </w:r>
      <w:r w:rsidR="005116A4">
        <w:rPr>
          <w:rFonts w:ascii="Times New Roman" w:eastAsiaTheme="minorEastAsia" w:hAnsi="Times New Roman" w:cs="Times New Roman"/>
          <w:sz w:val="24"/>
          <w:szCs w:val="24"/>
        </w:rPr>
        <w:t xml:space="preserve"> positively associated with inter-party competition. </w:t>
      </w:r>
    </w:p>
    <w:p w:rsidR="003F6466" w:rsidRDefault="003F6466" w:rsidP="005C4C0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With this paper’s intentions thoroughly discussed, the question now remains </w:t>
      </w:r>
      <w:r w:rsidR="005A081B">
        <w:rPr>
          <w:rFonts w:ascii="Times New Roman" w:eastAsiaTheme="minorEastAsia" w:hAnsi="Times New Roman" w:cs="Times New Roman"/>
          <w:sz w:val="24"/>
          <w:szCs w:val="24"/>
        </w:rPr>
        <w:t xml:space="preserve">about which </w:t>
      </w:r>
      <w:r>
        <w:rPr>
          <w:rFonts w:ascii="Times New Roman" w:eastAsiaTheme="minorEastAsia" w:hAnsi="Times New Roman" w:cs="Times New Roman"/>
          <w:sz w:val="24"/>
          <w:szCs w:val="24"/>
        </w:rPr>
        <w:t xml:space="preserve">precise methodology </w:t>
      </w:r>
      <w:r w:rsidR="005A081B">
        <w:rPr>
          <w:rFonts w:ascii="Times New Roman" w:eastAsiaTheme="minorEastAsia" w:hAnsi="Times New Roman" w:cs="Times New Roman"/>
          <w:sz w:val="24"/>
          <w:szCs w:val="24"/>
        </w:rPr>
        <w:t>will be used to obtain its results</w:t>
      </w:r>
      <w:r>
        <w:rPr>
          <w:rFonts w:ascii="Times New Roman" w:eastAsiaTheme="minorEastAsia" w:hAnsi="Times New Roman" w:cs="Times New Roman"/>
          <w:sz w:val="24"/>
          <w:szCs w:val="24"/>
        </w:rPr>
        <w:t xml:space="preserve">. </w:t>
      </w:r>
    </w:p>
    <w:p w:rsidR="001A4BB9" w:rsidRDefault="00FB4D40" w:rsidP="001A4BB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III.C. – </w:t>
      </w:r>
      <w:r w:rsidR="001A4BB9">
        <w:rPr>
          <w:rFonts w:ascii="Times New Roman" w:hAnsi="Times New Roman" w:cs="Times New Roman"/>
          <w:b/>
          <w:sz w:val="24"/>
          <w:szCs w:val="24"/>
        </w:rPr>
        <w:t>Methodology</w:t>
      </w:r>
    </w:p>
    <w:p w:rsidR="001A4BB9" w:rsidRDefault="001A4BB9" w:rsidP="005A081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There are three potential methodologies that can potentially be used for the forthcoming analysis: an Ordinary Least Squares (OLS) model with the </w:t>
      </w:r>
      <w:r>
        <w:rPr>
          <w:rFonts w:ascii="Times New Roman" w:hAnsi="Times New Roman" w:cs="Times New Roman"/>
          <w:i/>
          <w:sz w:val="24"/>
          <w:szCs w:val="24"/>
        </w:rPr>
        <w:t xml:space="preserve">Herfindahl </w:t>
      </w:r>
      <w:r>
        <w:rPr>
          <w:rFonts w:ascii="Times New Roman" w:hAnsi="Times New Roman" w:cs="Times New Roman"/>
          <w:sz w:val="24"/>
          <w:szCs w:val="24"/>
        </w:rPr>
        <w:t xml:space="preserve">index regressed on </w:t>
      </w:r>
      <w:r w:rsidR="00C05ED9">
        <w:rPr>
          <w:rFonts w:ascii="Times New Roman" w:hAnsi="Times New Roman" w:cs="Times New Roman"/>
          <w:i/>
          <w:sz w:val="24"/>
          <w:szCs w:val="24"/>
        </w:rPr>
        <w:t>Turnout</w:t>
      </w:r>
      <w:r>
        <w:rPr>
          <w:rFonts w:ascii="Times New Roman" w:hAnsi="Times New Roman" w:cs="Times New Roman"/>
          <w:i/>
          <w:sz w:val="24"/>
          <w:szCs w:val="24"/>
        </w:rPr>
        <w:t xml:space="preserve"> </w:t>
      </w:r>
      <w:r>
        <w:rPr>
          <w:rFonts w:ascii="Times New Roman" w:hAnsi="Times New Roman" w:cs="Times New Roman"/>
          <w:sz w:val="24"/>
          <w:szCs w:val="24"/>
        </w:rPr>
        <w:t xml:space="preserve">along </w:t>
      </w:r>
      <w:r w:rsidR="00F3218B">
        <w:rPr>
          <w:rFonts w:ascii="Times New Roman" w:hAnsi="Times New Roman" w:cs="Times New Roman"/>
          <w:sz w:val="24"/>
          <w:szCs w:val="24"/>
        </w:rPr>
        <w:t>with a host of control variables</w:t>
      </w:r>
      <w:r w:rsidR="00DB7895">
        <w:rPr>
          <w:rFonts w:ascii="Times New Roman" w:hAnsi="Times New Roman" w:cs="Times New Roman"/>
          <w:sz w:val="24"/>
          <w:szCs w:val="24"/>
        </w:rPr>
        <w:t xml:space="preserve">, a Fixed Effects (FE) model </w:t>
      </w:r>
      <w:r>
        <w:rPr>
          <w:rFonts w:ascii="Times New Roman" w:hAnsi="Times New Roman" w:cs="Times New Roman"/>
          <w:sz w:val="24"/>
          <w:szCs w:val="24"/>
        </w:rPr>
        <w:t xml:space="preserve">to </w:t>
      </w:r>
      <w:r w:rsidR="00C05ED9">
        <w:rPr>
          <w:rFonts w:ascii="Times New Roman" w:hAnsi="Times New Roman" w:cs="Times New Roman"/>
          <w:sz w:val="24"/>
          <w:szCs w:val="24"/>
        </w:rPr>
        <w:t xml:space="preserve">control for within and between </w:t>
      </w:r>
      <w:r>
        <w:rPr>
          <w:rFonts w:ascii="Times New Roman" w:hAnsi="Times New Roman" w:cs="Times New Roman"/>
          <w:sz w:val="24"/>
          <w:szCs w:val="24"/>
        </w:rPr>
        <w:t>municipal</w:t>
      </w:r>
      <w:r w:rsidR="00C05ED9">
        <w:rPr>
          <w:rFonts w:ascii="Times New Roman" w:hAnsi="Times New Roman" w:cs="Times New Roman"/>
          <w:sz w:val="24"/>
          <w:szCs w:val="24"/>
        </w:rPr>
        <w:t xml:space="preserve"> </w:t>
      </w:r>
      <w:r>
        <w:rPr>
          <w:rFonts w:ascii="Times New Roman" w:hAnsi="Times New Roman" w:cs="Times New Roman"/>
          <w:sz w:val="24"/>
          <w:szCs w:val="24"/>
        </w:rPr>
        <w:t xml:space="preserve">variation, and finally, estimation of the effect of </w:t>
      </w:r>
      <w:r>
        <w:rPr>
          <w:rFonts w:ascii="Times New Roman" w:hAnsi="Times New Roman" w:cs="Times New Roman"/>
          <w:i/>
          <w:sz w:val="24"/>
          <w:szCs w:val="24"/>
        </w:rPr>
        <w:t>Turnout</w:t>
      </w:r>
      <w:r>
        <w:rPr>
          <w:rFonts w:ascii="Times New Roman" w:hAnsi="Times New Roman" w:cs="Times New Roman"/>
          <w:sz w:val="24"/>
          <w:szCs w:val="24"/>
        </w:rPr>
        <w:t xml:space="preserve"> on the </w:t>
      </w:r>
      <w:r>
        <w:rPr>
          <w:rFonts w:ascii="Times New Roman" w:hAnsi="Times New Roman" w:cs="Times New Roman"/>
          <w:i/>
          <w:sz w:val="24"/>
          <w:szCs w:val="24"/>
        </w:rPr>
        <w:t xml:space="preserve">Herfindahl </w:t>
      </w:r>
      <w:r>
        <w:rPr>
          <w:rFonts w:ascii="Times New Roman" w:hAnsi="Times New Roman" w:cs="Times New Roman"/>
          <w:sz w:val="24"/>
          <w:szCs w:val="24"/>
        </w:rPr>
        <w:t xml:space="preserve">via an instrumental variable – </w:t>
      </w:r>
      <w:r>
        <w:rPr>
          <w:rFonts w:ascii="Times New Roman" w:hAnsi="Times New Roman" w:cs="Times New Roman"/>
          <w:i/>
          <w:sz w:val="24"/>
          <w:szCs w:val="24"/>
        </w:rPr>
        <w:t xml:space="preserve">Treatment – </w:t>
      </w:r>
      <w:r w:rsidR="00DB7895">
        <w:rPr>
          <w:rFonts w:ascii="Times New Roman" w:hAnsi="Times New Roman" w:cs="Times New Roman"/>
          <w:sz w:val="24"/>
          <w:szCs w:val="24"/>
        </w:rPr>
        <w:t xml:space="preserve">through a </w:t>
      </w:r>
      <w:r>
        <w:rPr>
          <w:rFonts w:ascii="Times New Roman" w:hAnsi="Times New Roman" w:cs="Times New Roman"/>
          <w:sz w:val="24"/>
          <w:szCs w:val="24"/>
        </w:rPr>
        <w:t>T</w:t>
      </w:r>
      <w:r w:rsidR="00FB4D40">
        <w:rPr>
          <w:rFonts w:ascii="Times New Roman" w:hAnsi="Times New Roman" w:cs="Times New Roman"/>
          <w:sz w:val="24"/>
          <w:szCs w:val="24"/>
        </w:rPr>
        <w:t>wo Stage Least Squares (TSLS)</w:t>
      </w:r>
      <w:r>
        <w:rPr>
          <w:rFonts w:ascii="Times New Roman" w:hAnsi="Times New Roman" w:cs="Times New Roman"/>
          <w:sz w:val="24"/>
          <w:szCs w:val="24"/>
        </w:rPr>
        <w:t xml:space="preserve"> </w:t>
      </w:r>
      <w:r w:rsidR="00DB7895">
        <w:rPr>
          <w:rFonts w:ascii="Times New Roman" w:hAnsi="Times New Roman" w:cs="Times New Roman"/>
          <w:sz w:val="24"/>
          <w:szCs w:val="24"/>
        </w:rPr>
        <w:t>model</w:t>
      </w:r>
      <w:r>
        <w:rPr>
          <w:rFonts w:ascii="Times New Roman" w:hAnsi="Times New Roman" w:cs="Times New Roman"/>
          <w:sz w:val="24"/>
          <w:szCs w:val="24"/>
        </w:rPr>
        <w:t>.</w:t>
      </w:r>
    </w:p>
    <w:p w:rsidR="003B1C1F" w:rsidRDefault="00DB7895" w:rsidP="009660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methodology, </w:t>
      </w:r>
      <w:r w:rsidR="00FB4D40">
        <w:rPr>
          <w:rFonts w:ascii="Times New Roman" w:hAnsi="Times New Roman" w:cs="Times New Roman"/>
          <w:sz w:val="24"/>
          <w:szCs w:val="24"/>
        </w:rPr>
        <w:t xml:space="preserve">OLS regression, with </w:t>
      </w:r>
      <w:r w:rsidR="001A4BB9">
        <w:rPr>
          <w:rFonts w:ascii="Times New Roman" w:hAnsi="Times New Roman" w:cs="Times New Roman"/>
          <w:sz w:val="24"/>
          <w:szCs w:val="24"/>
        </w:rPr>
        <w:t>control variables is the most susceptible to omitted variable bias</w:t>
      </w:r>
      <w:r w:rsidR="00FB4D40">
        <w:rPr>
          <w:rFonts w:ascii="Times New Roman" w:hAnsi="Times New Roman" w:cs="Times New Roman"/>
          <w:sz w:val="24"/>
          <w:szCs w:val="24"/>
        </w:rPr>
        <w:t xml:space="preserve"> (OVB)</w:t>
      </w:r>
      <w:r w:rsidR="001A4BB9">
        <w:rPr>
          <w:rFonts w:ascii="Times New Roman" w:hAnsi="Times New Roman" w:cs="Times New Roman"/>
          <w:sz w:val="24"/>
          <w:szCs w:val="24"/>
        </w:rPr>
        <w:t xml:space="preserve"> given that it cannot immediately control for unobserved time-invariant or </w:t>
      </w:r>
      <w:r>
        <w:rPr>
          <w:rFonts w:ascii="Times New Roman" w:hAnsi="Times New Roman" w:cs="Times New Roman"/>
          <w:sz w:val="24"/>
          <w:szCs w:val="24"/>
        </w:rPr>
        <w:t>time-</w:t>
      </w:r>
      <w:r w:rsidR="001A4BB9">
        <w:rPr>
          <w:rFonts w:ascii="Times New Roman" w:hAnsi="Times New Roman" w:cs="Times New Roman"/>
          <w:sz w:val="24"/>
          <w:szCs w:val="24"/>
        </w:rPr>
        <w:t>variant variables, observed or unobserved. Instead the only omitted variables that can be controlled for are constrained to those already within the dataset of the researcher. The estimated effects are thus quite simple in terms of their interpretation and explanation in that they directly estimate the relationships between each of the</w:t>
      </w:r>
      <w:r w:rsidR="00FB4D40">
        <w:rPr>
          <w:rFonts w:ascii="Times New Roman" w:hAnsi="Times New Roman" w:cs="Times New Roman"/>
          <w:sz w:val="24"/>
          <w:szCs w:val="24"/>
        </w:rPr>
        <w:t xml:space="preserve"> independent</w:t>
      </w:r>
      <w:r w:rsidR="001A4BB9">
        <w:rPr>
          <w:rFonts w:ascii="Times New Roman" w:hAnsi="Times New Roman" w:cs="Times New Roman"/>
          <w:sz w:val="24"/>
          <w:szCs w:val="24"/>
        </w:rPr>
        <w:t xml:space="preserve"> variables and the dependent variable – the </w:t>
      </w:r>
      <w:r w:rsidR="001A4BB9">
        <w:rPr>
          <w:rFonts w:ascii="Times New Roman" w:hAnsi="Times New Roman" w:cs="Times New Roman"/>
          <w:i/>
          <w:sz w:val="24"/>
          <w:szCs w:val="24"/>
        </w:rPr>
        <w:t>Herfindahl</w:t>
      </w:r>
      <w:r w:rsidR="001A4BB9">
        <w:rPr>
          <w:rFonts w:ascii="Times New Roman" w:hAnsi="Times New Roman" w:cs="Times New Roman"/>
          <w:sz w:val="24"/>
          <w:szCs w:val="24"/>
        </w:rPr>
        <w:t xml:space="preserve">. </w:t>
      </w:r>
      <w:r w:rsidR="004D5E6F">
        <w:rPr>
          <w:rFonts w:ascii="Times New Roman" w:hAnsi="Times New Roman" w:cs="Times New Roman"/>
          <w:sz w:val="24"/>
          <w:szCs w:val="24"/>
        </w:rPr>
        <w:t xml:space="preserve">It may be relevant to </w:t>
      </w:r>
      <w:r w:rsidR="00F3218B">
        <w:rPr>
          <w:rFonts w:ascii="Times New Roman" w:hAnsi="Times New Roman" w:cs="Times New Roman"/>
          <w:sz w:val="24"/>
          <w:szCs w:val="24"/>
        </w:rPr>
        <w:t>reiterate</w:t>
      </w:r>
      <w:r w:rsidR="004D5E6F">
        <w:rPr>
          <w:rFonts w:ascii="Times New Roman" w:hAnsi="Times New Roman" w:cs="Times New Roman"/>
          <w:sz w:val="24"/>
          <w:szCs w:val="24"/>
        </w:rPr>
        <w:t xml:space="preserve"> that the </w:t>
      </w:r>
      <w:r w:rsidR="004D5E6F">
        <w:rPr>
          <w:rFonts w:ascii="Times New Roman" w:hAnsi="Times New Roman" w:cs="Times New Roman"/>
          <w:i/>
          <w:sz w:val="24"/>
          <w:szCs w:val="24"/>
        </w:rPr>
        <w:t xml:space="preserve">Turnout </w:t>
      </w:r>
      <w:r w:rsidR="004D5E6F">
        <w:rPr>
          <w:rFonts w:ascii="Times New Roman" w:hAnsi="Times New Roman" w:cs="Times New Roman"/>
          <w:sz w:val="24"/>
          <w:szCs w:val="24"/>
        </w:rPr>
        <w:t xml:space="preserve">rate acts the mechanism through which </w:t>
      </w:r>
      <w:r w:rsidR="004D5E6F">
        <w:rPr>
          <w:rFonts w:ascii="Times New Roman" w:hAnsi="Times New Roman" w:cs="Times New Roman"/>
          <w:i/>
          <w:sz w:val="24"/>
          <w:szCs w:val="24"/>
        </w:rPr>
        <w:t xml:space="preserve">Treatment </w:t>
      </w:r>
      <w:r w:rsidR="004D5E6F">
        <w:rPr>
          <w:rFonts w:ascii="Times New Roman" w:hAnsi="Times New Roman" w:cs="Times New Roman"/>
          <w:sz w:val="24"/>
          <w:szCs w:val="24"/>
        </w:rPr>
        <w:t xml:space="preserve">affects our measures of competition. As such, the inclusion of the variable </w:t>
      </w:r>
      <w:r w:rsidR="004F4E2E">
        <w:rPr>
          <w:rFonts w:ascii="Times New Roman" w:hAnsi="Times New Roman" w:cs="Times New Roman"/>
          <w:i/>
          <w:sz w:val="24"/>
          <w:szCs w:val="24"/>
        </w:rPr>
        <w:t>Treatment</w:t>
      </w:r>
      <w:r w:rsidR="004D5E6F">
        <w:rPr>
          <w:rFonts w:ascii="Times New Roman" w:hAnsi="Times New Roman" w:cs="Times New Roman"/>
          <w:i/>
          <w:sz w:val="24"/>
          <w:szCs w:val="24"/>
        </w:rPr>
        <w:t xml:space="preserve"> </w:t>
      </w:r>
      <w:r w:rsidR="004D5E6F">
        <w:rPr>
          <w:rFonts w:ascii="Times New Roman" w:hAnsi="Times New Roman" w:cs="Times New Roman"/>
          <w:sz w:val="24"/>
          <w:szCs w:val="24"/>
        </w:rPr>
        <w:t xml:space="preserve">under the OLS </w:t>
      </w:r>
      <w:r w:rsidR="004F4E2E">
        <w:rPr>
          <w:rFonts w:ascii="Times New Roman" w:hAnsi="Times New Roman" w:cs="Times New Roman"/>
          <w:sz w:val="24"/>
          <w:szCs w:val="24"/>
        </w:rPr>
        <w:t>and</w:t>
      </w:r>
      <w:r w:rsidR="004D5E6F">
        <w:rPr>
          <w:rFonts w:ascii="Times New Roman" w:hAnsi="Times New Roman" w:cs="Times New Roman"/>
          <w:sz w:val="24"/>
          <w:szCs w:val="24"/>
        </w:rPr>
        <w:t xml:space="preserve"> FE methodologies would in fact weaken the estimated effect of </w:t>
      </w:r>
      <w:r w:rsidR="004F4E2E">
        <w:rPr>
          <w:rFonts w:ascii="Times New Roman" w:hAnsi="Times New Roman" w:cs="Times New Roman"/>
          <w:i/>
          <w:sz w:val="24"/>
          <w:szCs w:val="24"/>
        </w:rPr>
        <w:t>Turnout</w:t>
      </w:r>
      <w:r w:rsidR="004D5E6F">
        <w:rPr>
          <w:rFonts w:ascii="Times New Roman" w:hAnsi="Times New Roman" w:cs="Times New Roman"/>
          <w:i/>
          <w:sz w:val="24"/>
          <w:szCs w:val="24"/>
        </w:rPr>
        <w:t xml:space="preserve">, </w:t>
      </w:r>
      <w:r w:rsidR="004D5E6F">
        <w:rPr>
          <w:rFonts w:ascii="Times New Roman" w:hAnsi="Times New Roman" w:cs="Times New Roman"/>
          <w:sz w:val="24"/>
          <w:szCs w:val="24"/>
        </w:rPr>
        <w:t>which</w:t>
      </w:r>
      <w:r w:rsidR="00802C9A">
        <w:rPr>
          <w:rFonts w:ascii="Times New Roman" w:hAnsi="Times New Roman" w:cs="Times New Roman"/>
          <w:sz w:val="24"/>
          <w:szCs w:val="24"/>
        </w:rPr>
        <w:t xml:space="preserve"> is counter-productive for the purpose</w:t>
      </w:r>
      <w:r w:rsidR="004D5E6F">
        <w:rPr>
          <w:rFonts w:ascii="Times New Roman" w:hAnsi="Times New Roman" w:cs="Times New Roman"/>
          <w:sz w:val="24"/>
          <w:szCs w:val="24"/>
        </w:rPr>
        <w:t xml:space="preserve"> of this paper. </w:t>
      </w:r>
      <w:r w:rsidR="001A4BB9">
        <w:rPr>
          <w:rFonts w:ascii="Times New Roman" w:hAnsi="Times New Roman" w:cs="Times New Roman"/>
          <w:sz w:val="24"/>
          <w:szCs w:val="24"/>
        </w:rPr>
        <w:t>A simple version of thi</w:t>
      </w:r>
      <w:r w:rsidR="00802C9A">
        <w:rPr>
          <w:rFonts w:ascii="Times New Roman" w:hAnsi="Times New Roman" w:cs="Times New Roman"/>
          <w:sz w:val="24"/>
          <w:szCs w:val="24"/>
        </w:rPr>
        <w:t xml:space="preserve">s model directly estimates the </w:t>
      </w:r>
      <w:r w:rsidR="001A4BB9">
        <w:rPr>
          <w:rFonts w:ascii="Times New Roman" w:hAnsi="Times New Roman" w:cs="Times New Roman"/>
          <w:sz w:val="24"/>
          <w:szCs w:val="24"/>
        </w:rPr>
        <w:t xml:space="preserve">effect of </w:t>
      </w:r>
      <w:r w:rsidR="004F4E2E">
        <w:rPr>
          <w:rFonts w:ascii="Times New Roman" w:hAnsi="Times New Roman" w:cs="Times New Roman"/>
          <w:i/>
          <w:sz w:val="24"/>
          <w:szCs w:val="24"/>
        </w:rPr>
        <w:t xml:space="preserve">Turnout </w:t>
      </w:r>
      <w:r w:rsidR="001A4BB9">
        <w:rPr>
          <w:rFonts w:ascii="Times New Roman" w:hAnsi="Times New Roman" w:cs="Times New Roman"/>
          <w:sz w:val="24"/>
          <w:szCs w:val="24"/>
        </w:rPr>
        <w:t xml:space="preserve">on the </w:t>
      </w:r>
      <w:r w:rsidR="001A4BB9">
        <w:rPr>
          <w:rFonts w:ascii="Times New Roman" w:hAnsi="Times New Roman" w:cs="Times New Roman"/>
          <w:i/>
          <w:sz w:val="24"/>
          <w:szCs w:val="24"/>
        </w:rPr>
        <w:t>Herfindahl</w:t>
      </w:r>
      <w:r w:rsidR="00802C9A">
        <w:rPr>
          <w:rFonts w:ascii="Times New Roman" w:hAnsi="Times New Roman" w:cs="Times New Roman"/>
          <w:i/>
          <w:sz w:val="24"/>
          <w:szCs w:val="24"/>
        </w:rPr>
        <w:t xml:space="preserve"> </w:t>
      </w:r>
      <w:r w:rsidR="004F4E2E">
        <w:rPr>
          <w:rFonts w:ascii="Times New Roman" w:hAnsi="Times New Roman" w:cs="Times New Roman"/>
          <w:sz w:val="24"/>
          <w:szCs w:val="24"/>
        </w:rPr>
        <w:t xml:space="preserve">index </w:t>
      </w:r>
      <w:r w:rsidR="00802C9A">
        <w:rPr>
          <w:rFonts w:ascii="Times New Roman" w:hAnsi="Times New Roman" w:cs="Times New Roman"/>
          <w:sz w:val="24"/>
          <w:szCs w:val="24"/>
        </w:rPr>
        <w:t>without any contro</w:t>
      </w:r>
      <w:r w:rsidR="00C05ED9">
        <w:rPr>
          <w:rFonts w:ascii="Times New Roman" w:hAnsi="Times New Roman" w:cs="Times New Roman"/>
          <w:sz w:val="24"/>
          <w:szCs w:val="24"/>
        </w:rPr>
        <w:t>l variables</w:t>
      </w:r>
      <w:r w:rsidR="00802C9A">
        <w:rPr>
          <w:rFonts w:ascii="Times New Roman" w:hAnsi="Times New Roman" w:cs="Times New Roman"/>
          <w:sz w:val="24"/>
          <w:szCs w:val="24"/>
        </w:rPr>
        <w:t xml:space="preserve">. </w:t>
      </w:r>
      <w:r w:rsidR="001A4BB9">
        <w:rPr>
          <w:rFonts w:ascii="Times New Roman" w:hAnsi="Times New Roman" w:cs="Times New Roman"/>
          <w:sz w:val="24"/>
          <w:szCs w:val="24"/>
        </w:rPr>
        <w:t xml:space="preserve">However, this estimation is – as mentioned earlier – susceptible to a host of biases. </w:t>
      </w:r>
      <w:r w:rsidR="00802C9A">
        <w:rPr>
          <w:rFonts w:ascii="Times New Roman" w:hAnsi="Times New Roman" w:cs="Times New Roman"/>
          <w:sz w:val="24"/>
          <w:szCs w:val="24"/>
        </w:rPr>
        <w:t>In order to mitigate the possibility of any sort of bias</w:t>
      </w:r>
      <w:r w:rsidR="001A4BB9">
        <w:rPr>
          <w:rFonts w:ascii="Times New Roman" w:hAnsi="Times New Roman" w:cs="Times New Roman"/>
          <w:sz w:val="24"/>
          <w:szCs w:val="24"/>
        </w:rPr>
        <w:t xml:space="preserve">, </w:t>
      </w:r>
      <w:r w:rsidR="004822BF">
        <w:rPr>
          <w:rFonts w:ascii="Times New Roman" w:hAnsi="Times New Roman" w:cs="Times New Roman"/>
          <w:sz w:val="24"/>
          <w:szCs w:val="24"/>
        </w:rPr>
        <w:t xml:space="preserve">the OLS results table </w:t>
      </w:r>
      <w:r w:rsidR="00802C9A">
        <w:rPr>
          <w:rFonts w:ascii="Times New Roman" w:hAnsi="Times New Roman" w:cs="Times New Roman"/>
          <w:sz w:val="24"/>
          <w:szCs w:val="24"/>
        </w:rPr>
        <w:lastRenderedPageBreak/>
        <w:t>exhibits the most relevant models with an assortment of control variables. This sort of vigorous testing can identify which controls are important and thus can help i</w:t>
      </w:r>
      <w:r>
        <w:rPr>
          <w:rFonts w:ascii="Times New Roman" w:hAnsi="Times New Roman" w:cs="Times New Roman"/>
          <w:sz w:val="24"/>
          <w:szCs w:val="24"/>
        </w:rPr>
        <w:t>dentify the most suitable model for the purpose of this paper (Appendix, Table A</w:t>
      </w:r>
      <w:r w:rsidR="00B850FA">
        <w:rPr>
          <w:rFonts w:ascii="Times New Roman" w:hAnsi="Times New Roman" w:cs="Times New Roman"/>
          <w:sz w:val="24"/>
          <w:szCs w:val="24"/>
        </w:rPr>
        <w:t>.</w:t>
      </w:r>
      <w:r>
        <w:rPr>
          <w:rFonts w:ascii="Times New Roman" w:hAnsi="Times New Roman" w:cs="Times New Roman"/>
          <w:sz w:val="24"/>
          <w:szCs w:val="24"/>
        </w:rPr>
        <w:t>5).</w:t>
      </w:r>
    </w:p>
    <w:p w:rsidR="00A47AD4" w:rsidRPr="00A47AD4" w:rsidRDefault="00CE74B6" w:rsidP="005A08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is evidenced in th</w:t>
      </w:r>
      <w:r w:rsidR="00D3631C">
        <w:rPr>
          <w:rFonts w:ascii="Times New Roman" w:hAnsi="Times New Roman" w:cs="Times New Roman"/>
          <w:sz w:val="24"/>
          <w:szCs w:val="24"/>
        </w:rPr>
        <w:t xml:space="preserve">e estimation results, </w:t>
      </w:r>
      <w:r w:rsidR="003B1C1F">
        <w:rPr>
          <w:rFonts w:ascii="Times New Roman" w:hAnsi="Times New Roman" w:cs="Times New Roman"/>
          <w:sz w:val="24"/>
          <w:szCs w:val="24"/>
        </w:rPr>
        <w:t xml:space="preserve">evidence of omitted variable bias are present </w:t>
      </w:r>
      <w:r w:rsidR="00F3218B">
        <w:rPr>
          <w:rFonts w:ascii="Times New Roman" w:hAnsi="Times New Roman" w:cs="Times New Roman"/>
          <w:sz w:val="24"/>
          <w:szCs w:val="24"/>
        </w:rPr>
        <w:t xml:space="preserve">under </w:t>
      </w:r>
      <w:r w:rsidR="003B1C1F">
        <w:rPr>
          <w:rFonts w:ascii="Times New Roman" w:hAnsi="Times New Roman" w:cs="Times New Roman"/>
          <w:sz w:val="24"/>
          <w:szCs w:val="24"/>
        </w:rPr>
        <w:t xml:space="preserve">both Models II and III. </w:t>
      </w:r>
      <w:r w:rsidR="003B1C1F">
        <w:rPr>
          <w:rFonts w:ascii="Times New Roman" w:hAnsi="Times New Roman" w:cs="Times New Roman"/>
          <w:i/>
          <w:sz w:val="24"/>
          <w:szCs w:val="24"/>
        </w:rPr>
        <w:t xml:space="preserve">ElevenElectorate’s </w:t>
      </w:r>
      <w:r w:rsidR="00D3631C">
        <w:rPr>
          <w:rFonts w:ascii="Times New Roman" w:hAnsi="Times New Roman" w:cs="Times New Roman"/>
          <w:sz w:val="24"/>
          <w:szCs w:val="24"/>
        </w:rPr>
        <w:t>addition as a cont</w:t>
      </w:r>
      <w:r w:rsidR="003B1C1F">
        <w:rPr>
          <w:rFonts w:ascii="Times New Roman" w:hAnsi="Times New Roman" w:cs="Times New Roman"/>
          <w:sz w:val="24"/>
          <w:szCs w:val="24"/>
        </w:rPr>
        <w:t>rol on its own under model II appears to have contributed towards an upward bias in its absence from Model I</w:t>
      </w:r>
      <w:r w:rsidR="00D3631C">
        <w:rPr>
          <w:rFonts w:ascii="Times New Roman" w:hAnsi="Times New Roman" w:cs="Times New Roman"/>
          <w:sz w:val="24"/>
          <w:szCs w:val="24"/>
        </w:rPr>
        <w:t xml:space="preserve">. </w:t>
      </w:r>
      <w:r w:rsidR="003B1C1F">
        <w:rPr>
          <w:rFonts w:ascii="Times New Roman" w:hAnsi="Times New Roman" w:cs="Times New Roman"/>
          <w:sz w:val="24"/>
          <w:szCs w:val="24"/>
        </w:rPr>
        <w:t xml:space="preserve">This is indeed confirmed by a quick check on its correlation coefficients with both the </w:t>
      </w:r>
      <w:r w:rsidR="003B1C1F">
        <w:rPr>
          <w:rFonts w:ascii="Times New Roman" w:hAnsi="Times New Roman" w:cs="Times New Roman"/>
          <w:i/>
          <w:sz w:val="24"/>
          <w:szCs w:val="24"/>
        </w:rPr>
        <w:t xml:space="preserve">Herfindahl </w:t>
      </w:r>
      <w:r w:rsidR="003B1C1F">
        <w:rPr>
          <w:rFonts w:ascii="Times New Roman" w:hAnsi="Times New Roman" w:cs="Times New Roman"/>
          <w:sz w:val="24"/>
          <w:szCs w:val="24"/>
        </w:rPr>
        <w:t xml:space="preserve">index and </w:t>
      </w:r>
      <w:r w:rsidR="003B1C1F">
        <w:rPr>
          <w:rFonts w:ascii="Times New Roman" w:hAnsi="Times New Roman" w:cs="Times New Roman"/>
          <w:i/>
          <w:sz w:val="24"/>
          <w:szCs w:val="24"/>
        </w:rPr>
        <w:t xml:space="preserve">Turnout, </w:t>
      </w:r>
      <w:r w:rsidR="00F3218B">
        <w:rPr>
          <w:rFonts w:ascii="Times New Roman" w:hAnsi="Times New Roman" w:cs="Times New Roman"/>
          <w:sz w:val="24"/>
          <w:szCs w:val="24"/>
        </w:rPr>
        <w:t>which are</w:t>
      </w:r>
      <w:r w:rsidR="003B1C1F">
        <w:rPr>
          <w:rFonts w:ascii="Times New Roman" w:hAnsi="Times New Roman" w:cs="Times New Roman"/>
          <w:sz w:val="24"/>
          <w:szCs w:val="24"/>
        </w:rPr>
        <w:t xml:space="preserve"> both negative.</w:t>
      </w:r>
      <w:r w:rsidR="008D5E30">
        <w:rPr>
          <w:rFonts w:ascii="Times New Roman" w:hAnsi="Times New Roman" w:cs="Times New Roman"/>
          <w:sz w:val="24"/>
          <w:szCs w:val="24"/>
        </w:rPr>
        <w:t xml:space="preserve"> This intuitively suggests that an electorate in larger towns tend to have more competitive elections, but also tend to have smaller turnout rates. </w:t>
      </w:r>
      <w:r w:rsidR="003B1C1F">
        <w:rPr>
          <w:rFonts w:ascii="Times New Roman" w:hAnsi="Times New Roman" w:cs="Times New Roman"/>
          <w:sz w:val="24"/>
          <w:szCs w:val="24"/>
        </w:rPr>
        <w:t>In contrast</w:t>
      </w:r>
      <w:r w:rsidR="00D3631C">
        <w:rPr>
          <w:rFonts w:ascii="Times New Roman" w:hAnsi="Times New Roman" w:cs="Times New Roman"/>
          <w:sz w:val="24"/>
          <w:szCs w:val="24"/>
        </w:rPr>
        <w:t xml:space="preserve">, </w:t>
      </w:r>
      <w:r w:rsidR="003B1C1F">
        <w:rPr>
          <w:rFonts w:ascii="Times New Roman" w:hAnsi="Times New Roman" w:cs="Times New Roman"/>
          <w:sz w:val="24"/>
          <w:szCs w:val="24"/>
        </w:rPr>
        <w:t xml:space="preserve">the addition of both provincial and municipal size controls led to an increase in the </w:t>
      </w:r>
      <w:r w:rsidR="003B1C1F">
        <w:rPr>
          <w:rFonts w:ascii="Times New Roman" w:hAnsi="Times New Roman" w:cs="Times New Roman"/>
          <w:i/>
          <w:sz w:val="24"/>
          <w:szCs w:val="24"/>
        </w:rPr>
        <w:t xml:space="preserve">Turnout’s </w:t>
      </w:r>
      <w:r w:rsidR="003B1C1F">
        <w:rPr>
          <w:rFonts w:ascii="Times New Roman" w:hAnsi="Times New Roman" w:cs="Times New Roman"/>
          <w:sz w:val="24"/>
          <w:szCs w:val="24"/>
        </w:rPr>
        <w:t xml:space="preserve">estimator indicating the existence of a downward bias in their absence. A quick check by varying the inclusion of either set of control dummy variables </w:t>
      </w:r>
      <w:r w:rsidR="008E0672">
        <w:rPr>
          <w:rFonts w:ascii="Times New Roman" w:hAnsi="Times New Roman" w:cs="Times New Roman"/>
          <w:sz w:val="24"/>
          <w:szCs w:val="24"/>
        </w:rPr>
        <w:t xml:space="preserve">indicates that the set of provincial dummies contribute the most to changes in </w:t>
      </w:r>
      <w:r w:rsidR="008E0672">
        <w:rPr>
          <w:rFonts w:ascii="Times New Roman" w:hAnsi="Times New Roman" w:cs="Times New Roman"/>
          <w:i/>
          <w:sz w:val="24"/>
          <w:szCs w:val="24"/>
        </w:rPr>
        <w:t xml:space="preserve">Turnout’s </w:t>
      </w:r>
      <w:r w:rsidR="008E0672">
        <w:rPr>
          <w:rFonts w:ascii="Times New Roman" w:hAnsi="Times New Roman" w:cs="Times New Roman"/>
          <w:sz w:val="24"/>
          <w:szCs w:val="24"/>
        </w:rPr>
        <w:t>estimated coefficient. This is unsurprising considering that municipal size is characteristically direct</w:t>
      </w:r>
      <w:r w:rsidR="008D5E30">
        <w:rPr>
          <w:rFonts w:ascii="Times New Roman" w:hAnsi="Times New Roman" w:cs="Times New Roman"/>
          <w:sz w:val="24"/>
          <w:szCs w:val="24"/>
        </w:rPr>
        <w:t xml:space="preserve">ly related to </w:t>
      </w:r>
      <w:r w:rsidR="008D5E30">
        <w:rPr>
          <w:rFonts w:ascii="Times New Roman" w:hAnsi="Times New Roman" w:cs="Times New Roman"/>
          <w:i/>
          <w:sz w:val="24"/>
          <w:szCs w:val="24"/>
        </w:rPr>
        <w:t>ElevenElectorate</w:t>
      </w:r>
      <w:r w:rsidR="008E0672">
        <w:rPr>
          <w:rFonts w:ascii="Times New Roman" w:hAnsi="Times New Roman" w:cs="Times New Roman"/>
          <w:sz w:val="24"/>
          <w:szCs w:val="24"/>
        </w:rPr>
        <w:t xml:space="preserve">. </w:t>
      </w:r>
      <w:r w:rsidR="008D5E30">
        <w:rPr>
          <w:rFonts w:ascii="Times New Roman" w:hAnsi="Times New Roman" w:cs="Times New Roman"/>
          <w:sz w:val="24"/>
          <w:szCs w:val="24"/>
        </w:rPr>
        <w:t xml:space="preserve">Intuitively, the strong impact accounted for by the provincial dummies point out that certain provinces tend to be less competitive for some reasons. For example, the degree of religiousness in certain provinces. </w:t>
      </w:r>
      <w:r w:rsidR="008E0672">
        <w:rPr>
          <w:rFonts w:ascii="Times New Roman" w:hAnsi="Times New Roman" w:cs="Times New Roman"/>
          <w:sz w:val="24"/>
          <w:szCs w:val="24"/>
        </w:rPr>
        <w:t xml:space="preserve">The key takeaway from these results however, is that the estimated coefficient under all three OLS models is positive and significant at least at the 5% level. Therefore, under these results, this paper’s hypothesis </w:t>
      </w:r>
      <w:r w:rsidR="008E0672">
        <w:rPr>
          <w:rFonts w:ascii="Times New Roman" w:hAnsi="Times New Roman" w:cs="Times New Roman"/>
          <w:b/>
          <w:sz w:val="24"/>
          <w:szCs w:val="24"/>
        </w:rPr>
        <w:t>H</w:t>
      </w:r>
      <w:r w:rsidR="008E0672">
        <w:rPr>
          <w:rFonts w:ascii="Times New Roman" w:hAnsi="Times New Roman" w:cs="Times New Roman"/>
          <w:b/>
          <w:sz w:val="24"/>
          <w:szCs w:val="24"/>
          <w:vertAlign w:val="subscript"/>
        </w:rPr>
        <w:t>1</w:t>
      </w:r>
      <w:r w:rsidR="008E0672">
        <w:rPr>
          <w:rFonts w:ascii="Times New Roman" w:hAnsi="Times New Roman" w:cs="Times New Roman"/>
          <w:b/>
          <w:sz w:val="24"/>
          <w:szCs w:val="24"/>
        </w:rPr>
        <w:t xml:space="preserve"> </w:t>
      </w:r>
      <w:r w:rsidR="008E0672">
        <w:rPr>
          <w:rFonts w:ascii="Times New Roman" w:hAnsi="Times New Roman" w:cs="Times New Roman"/>
          <w:sz w:val="24"/>
          <w:szCs w:val="24"/>
        </w:rPr>
        <w:t>cannot be rejected. Nonetheless, a</w:t>
      </w:r>
      <w:r w:rsidR="009660D6">
        <w:rPr>
          <w:rFonts w:ascii="Times New Roman" w:hAnsi="Times New Roman" w:cs="Times New Roman"/>
          <w:sz w:val="24"/>
          <w:szCs w:val="24"/>
        </w:rPr>
        <w:t>lthough it</w:t>
      </w:r>
      <w:r w:rsidR="00A47AD4">
        <w:rPr>
          <w:rFonts w:ascii="Times New Roman" w:hAnsi="Times New Roman" w:cs="Times New Roman"/>
          <w:sz w:val="24"/>
          <w:szCs w:val="24"/>
        </w:rPr>
        <w:t xml:space="preserve"> </w:t>
      </w:r>
      <w:r w:rsidR="008E0672">
        <w:rPr>
          <w:rFonts w:ascii="Times New Roman" w:hAnsi="Times New Roman" w:cs="Times New Roman"/>
          <w:sz w:val="24"/>
          <w:szCs w:val="24"/>
        </w:rPr>
        <w:t>appears</w:t>
      </w:r>
      <w:r w:rsidR="00A47AD4">
        <w:rPr>
          <w:rFonts w:ascii="Times New Roman" w:hAnsi="Times New Roman" w:cs="Times New Roman"/>
          <w:sz w:val="24"/>
          <w:szCs w:val="24"/>
        </w:rPr>
        <w:t xml:space="preserve"> that this paper’s research ca</w:t>
      </w:r>
      <w:r w:rsidR="009660D6">
        <w:rPr>
          <w:rFonts w:ascii="Times New Roman" w:hAnsi="Times New Roman" w:cs="Times New Roman"/>
          <w:sz w:val="24"/>
          <w:szCs w:val="24"/>
        </w:rPr>
        <w:t xml:space="preserve">n be considered done and dusted, </w:t>
      </w:r>
      <w:r w:rsidR="00A47AD4">
        <w:rPr>
          <w:rFonts w:ascii="Times New Roman" w:hAnsi="Times New Roman" w:cs="Times New Roman"/>
          <w:sz w:val="24"/>
          <w:szCs w:val="24"/>
        </w:rPr>
        <w:t xml:space="preserve">there is still the large possibility that unobserved variables or variables unavailable from the dataset are correlated with </w:t>
      </w:r>
      <w:r w:rsidR="009660D6">
        <w:rPr>
          <w:rFonts w:ascii="Times New Roman" w:hAnsi="Times New Roman" w:cs="Times New Roman"/>
          <w:sz w:val="24"/>
          <w:szCs w:val="24"/>
        </w:rPr>
        <w:t xml:space="preserve">both </w:t>
      </w:r>
      <w:r w:rsidR="009660D6">
        <w:rPr>
          <w:rFonts w:ascii="Times New Roman" w:hAnsi="Times New Roman" w:cs="Times New Roman"/>
          <w:i/>
          <w:sz w:val="24"/>
          <w:szCs w:val="24"/>
        </w:rPr>
        <w:t xml:space="preserve">Turnout </w:t>
      </w:r>
      <w:r w:rsidR="009660D6">
        <w:rPr>
          <w:rFonts w:ascii="Times New Roman" w:hAnsi="Times New Roman" w:cs="Times New Roman"/>
          <w:sz w:val="24"/>
          <w:szCs w:val="24"/>
        </w:rPr>
        <w:t>a</w:t>
      </w:r>
      <w:r w:rsidR="00E62901">
        <w:rPr>
          <w:rFonts w:ascii="Times New Roman" w:hAnsi="Times New Roman" w:cs="Times New Roman"/>
          <w:sz w:val="24"/>
          <w:szCs w:val="24"/>
        </w:rPr>
        <w:t xml:space="preserve">nd </w:t>
      </w:r>
      <w:r w:rsidR="00A47AD4">
        <w:rPr>
          <w:rFonts w:ascii="Times New Roman" w:hAnsi="Times New Roman" w:cs="Times New Roman"/>
          <w:sz w:val="24"/>
          <w:szCs w:val="24"/>
        </w:rPr>
        <w:t xml:space="preserve">the </w:t>
      </w:r>
      <w:r w:rsidR="00A47AD4" w:rsidRPr="00533FA8">
        <w:rPr>
          <w:rFonts w:ascii="Times New Roman" w:hAnsi="Times New Roman" w:cs="Times New Roman"/>
          <w:i/>
          <w:sz w:val="24"/>
          <w:szCs w:val="24"/>
        </w:rPr>
        <w:t>Herfindahl</w:t>
      </w:r>
      <w:r w:rsidR="00A47AD4">
        <w:rPr>
          <w:rFonts w:ascii="Times New Roman" w:hAnsi="Times New Roman" w:cs="Times New Roman"/>
          <w:sz w:val="24"/>
          <w:szCs w:val="24"/>
        </w:rPr>
        <w:t xml:space="preserve"> index. </w:t>
      </w:r>
    </w:p>
    <w:p w:rsidR="00E62901" w:rsidRDefault="00E62901" w:rsidP="005A081B">
      <w:pPr>
        <w:spacing w:line="360" w:lineRule="auto"/>
        <w:ind w:firstLine="720"/>
        <w:jc w:val="both"/>
        <w:rPr>
          <w:rFonts w:ascii="Times New Roman" w:hAnsi="Times New Roman" w:cs="Times New Roman"/>
          <w:sz w:val="24"/>
          <w:szCs w:val="24"/>
        </w:rPr>
      </w:pPr>
      <w:r w:rsidRPr="00B339A2">
        <w:rPr>
          <w:rFonts w:ascii="Times New Roman" w:hAnsi="Times New Roman" w:cs="Times New Roman"/>
          <w:sz w:val="24"/>
          <w:szCs w:val="24"/>
        </w:rPr>
        <w:t>Therefore, the second potential method</w:t>
      </w:r>
      <w:r>
        <w:rPr>
          <w:rFonts w:ascii="Times New Roman" w:hAnsi="Times New Roman" w:cs="Times New Roman"/>
          <w:sz w:val="24"/>
          <w:szCs w:val="24"/>
        </w:rPr>
        <w:t xml:space="preserve"> – a</w:t>
      </w:r>
      <w:r w:rsidR="0083430F">
        <w:rPr>
          <w:rFonts w:ascii="Times New Roman" w:hAnsi="Times New Roman" w:cs="Times New Roman"/>
          <w:sz w:val="24"/>
          <w:szCs w:val="24"/>
        </w:rPr>
        <w:t xml:space="preserve"> Fixed Effects model </w:t>
      </w:r>
      <w:r w:rsidR="001A4BB9">
        <w:rPr>
          <w:rFonts w:ascii="Times New Roman" w:hAnsi="Times New Roman" w:cs="Times New Roman"/>
          <w:sz w:val="24"/>
          <w:szCs w:val="24"/>
        </w:rPr>
        <w:t xml:space="preserve">– includes a </w:t>
      </w:r>
      <w:r w:rsidR="00A20FD8">
        <w:rPr>
          <w:rFonts w:ascii="Times New Roman" w:hAnsi="Times New Roman" w:cs="Times New Roman"/>
          <w:sz w:val="24"/>
          <w:szCs w:val="24"/>
        </w:rPr>
        <w:t>large</w:t>
      </w:r>
      <w:r w:rsidR="001A4BB9">
        <w:rPr>
          <w:rFonts w:ascii="Times New Roman" w:hAnsi="Times New Roman" w:cs="Times New Roman"/>
          <w:sz w:val="24"/>
          <w:szCs w:val="24"/>
        </w:rPr>
        <w:t xml:space="preserve"> array of</w:t>
      </w:r>
      <w:r w:rsidR="0097012F">
        <w:rPr>
          <w:rFonts w:ascii="Times New Roman" w:hAnsi="Times New Roman" w:cs="Times New Roman"/>
          <w:sz w:val="24"/>
          <w:szCs w:val="24"/>
        </w:rPr>
        <w:t xml:space="preserve"> cross-section and period dummies to taking into account inter-municipal differences as well as inter-period differences. </w:t>
      </w:r>
      <w:r>
        <w:rPr>
          <w:rFonts w:ascii="Times New Roman" w:hAnsi="Times New Roman" w:cs="Times New Roman"/>
          <w:sz w:val="24"/>
          <w:szCs w:val="24"/>
        </w:rPr>
        <w:t>Note that, in principle, this should also take into account municipal size and provincial differences, thereby removing their necessity. The municipal dummy variables</w:t>
      </w:r>
      <w:r w:rsidR="00F3218B">
        <w:rPr>
          <w:rFonts w:ascii="Times New Roman" w:hAnsi="Times New Roman" w:cs="Times New Roman"/>
          <w:sz w:val="24"/>
          <w:szCs w:val="24"/>
        </w:rPr>
        <w:t xml:space="preserve"> therefore</w:t>
      </w:r>
      <w:r>
        <w:rPr>
          <w:rFonts w:ascii="Times New Roman" w:hAnsi="Times New Roman" w:cs="Times New Roman"/>
          <w:sz w:val="24"/>
          <w:szCs w:val="24"/>
        </w:rPr>
        <w:t xml:space="preserve"> </w:t>
      </w:r>
      <w:r w:rsidR="001A4BB9">
        <w:rPr>
          <w:rFonts w:ascii="Times New Roman" w:hAnsi="Times New Roman" w:cs="Times New Roman"/>
          <w:sz w:val="24"/>
          <w:szCs w:val="24"/>
        </w:rPr>
        <w:t xml:space="preserve">allow the model to </w:t>
      </w:r>
      <w:r w:rsidR="0083430F">
        <w:rPr>
          <w:rFonts w:ascii="Times New Roman" w:hAnsi="Times New Roman" w:cs="Times New Roman"/>
          <w:sz w:val="24"/>
          <w:szCs w:val="24"/>
        </w:rPr>
        <w:t xml:space="preserve">more precisely </w:t>
      </w:r>
      <w:r w:rsidR="001A4BB9">
        <w:rPr>
          <w:rFonts w:ascii="Times New Roman" w:hAnsi="Times New Roman" w:cs="Times New Roman"/>
          <w:sz w:val="24"/>
          <w:szCs w:val="24"/>
        </w:rPr>
        <w:t xml:space="preserve">estimate intra-municipal variation, i.e. how the </w:t>
      </w:r>
      <w:r w:rsidR="001A4BB9" w:rsidRPr="001F44C6">
        <w:rPr>
          <w:rFonts w:ascii="Times New Roman" w:hAnsi="Times New Roman" w:cs="Times New Roman"/>
          <w:i/>
          <w:sz w:val="24"/>
          <w:szCs w:val="24"/>
        </w:rPr>
        <w:t>Herfindahl</w:t>
      </w:r>
      <w:r w:rsidR="001A4BB9">
        <w:rPr>
          <w:rFonts w:ascii="Times New Roman" w:hAnsi="Times New Roman" w:cs="Times New Roman"/>
          <w:sz w:val="24"/>
          <w:szCs w:val="24"/>
        </w:rPr>
        <w:t xml:space="preserve"> change</w:t>
      </w:r>
      <w:r w:rsidR="00F3218B">
        <w:rPr>
          <w:rFonts w:ascii="Times New Roman" w:hAnsi="Times New Roman" w:cs="Times New Roman"/>
          <w:sz w:val="24"/>
          <w:szCs w:val="24"/>
        </w:rPr>
        <w:t>s</w:t>
      </w:r>
      <w:r w:rsidR="001A4BB9">
        <w:rPr>
          <w:rFonts w:ascii="Times New Roman" w:hAnsi="Times New Roman" w:cs="Times New Roman"/>
          <w:sz w:val="24"/>
          <w:szCs w:val="24"/>
        </w:rPr>
        <w:t xml:space="preserve"> over time</w:t>
      </w:r>
      <w:r w:rsidR="0083430F">
        <w:rPr>
          <w:rFonts w:ascii="Times New Roman" w:hAnsi="Times New Roman" w:cs="Times New Roman"/>
          <w:sz w:val="24"/>
          <w:szCs w:val="24"/>
        </w:rPr>
        <w:t xml:space="preserve"> within municipalities</w:t>
      </w:r>
      <w:r w:rsidR="001A4BB9">
        <w:rPr>
          <w:rFonts w:ascii="Times New Roman" w:hAnsi="Times New Roman" w:cs="Times New Roman"/>
          <w:sz w:val="24"/>
          <w:szCs w:val="24"/>
        </w:rPr>
        <w:t xml:space="preserve">. </w:t>
      </w:r>
      <w:r w:rsidR="00F3218B">
        <w:rPr>
          <w:rFonts w:ascii="Times New Roman" w:hAnsi="Times New Roman" w:cs="Times New Roman"/>
          <w:sz w:val="24"/>
          <w:szCs w:val="24"/>
        </w:rPr>
        <w:t>On the other hand,</w:t>
      </w:r>
      <w:r w:rsidR="0097012F">
        <w:rPr>
          <w:rFonts w:ascii="Times New Roman" w:hAnsi="Times New Roman" w:cs="Times New Roman"/>
          <w:sz w:val="24"/>
          <w:szCs w:val="24"/>
        </w:rPr>
        <w:t xml:space="preserve"> the period dummy variables</w:t>
      </w:r>
      <w:r w:rsidR="00021898">
        <w:rPr>
          <w:rFonts w:ascii="Times New Roman" w:hAnsi="Times New Roman" w:cs="Times New Roman"/>
          <w:sz w:val="24"/>
          <w:szCs w:val="24"/>
        </w:rPr>
        <w:t xml:space="preserve"> isolate results from effects specific to any specific election year. Therefore, any time-varying variables correlated with </w:t>
      </w:r>
      <w:r w:rsidR="00021898">
        <w:rPr>
          <w:rFonts w:ascii="Times New Roman" w:hAnsi="Times New Roman" w:cs="Times New Roman"/>
          <w:i/>
          <w:sz w:val="24"/>
          <w:szCs w:val="24"/>
        </w:rPr>
        <w:t xml:space="preserve">Turnout </w:t>
      </w:r>
      <w:r w:rsidR="00021898">
        <w:rPr>
          <w:rFonts w:ascii="Times New Roman" w:hAnsi="Times New Roman" w:cs="Times New Roman"/>
          <w:sz w:val="24"/>
          <w:szCs w:val="24"/>
        </w:rPr>
        <w:t xml:space="preserve">primarily via a time-based relationship are </w:t>
      </w:r>
      <w:r w:rsidR="00F3218B">
        <w:rPr>
          <w:rFonts w:ascii="Times New Roman" w:hAnsi="Times New Roman" w:cs="Times New Roman"/>
          <w:sz w:val="24"/>
          <w:szCs w:val="24"/>
        </w:rPr>
        <w:t xml:space="preserve">also </w:t>
      </w:r>
      <w:r w:rsidR="00021898">
        <w:rPr>
          <w:rFonts w:ascii="Times New Roman" w:hAnsi="Times New Roman" w:cs="Times New Roman"/>
          <w:sz w:val="24"/>
          <w:szCs w:val="24"/>
        </w:rPr>
        <w:t xml:space="preserve">no longer necessary to include. </w:t>
      </w:r>
      <w:r w:rsidR="000006D7">
        <w:rPr>
          <w:rFonts w:ascii="Times New Roman" w:hAnsi="Times New Roman" w:cs="Times New Roman"/>
          <w:sz w:val="24"/>
          <w:szCs w:val="24"/>
        </w:rPr>
        <w:t>However, the question remains as to which combination of fixed effects are the most desirable for the purposes of this paper, and as such</w:t>
      </w:r>
      <w:r w:rsidR="00021898">
        <w:rPr>
          <w:rFonts w:ascii="Times New Roman" w:hAnsi="Times New Roman" w:cs="Times New Roman"/>
          <w:sz w:val="24"/>
          <w:szCs w:val="24"/>
        </w:rPr>
        <w:t xml:space="preserve">, two different variations of the FE model are also presented in the appendix (Table A.5). </w:t>
      </w:r>
    </w:p>
    <w:p w:rsidR="00214748" w:rsidRPr="00EA79D6" w:rsidRDefault="00021898" w:rsidP="005A081B">
      <w:pPr>
        <w:spacing w:line="360" w:lineRule="auto"/>
        <w:ind w:firstLine="720"/>
        <w:jc w:val="both"/>
      </w:pPr>
      <w:r>
        <w:rPr>
          <w:rFonts w:ascii="Times New Roman" w:hAnsi="Times New Roman" w:cs="Times New Roman"/>
          <w:sz w:val="24"/>
          <w:szCs w:val="24"/>
        </w:rPr>
        <w:lastRenderedPageBreak/>
        <w:t>The two presented variations of the FE model present results under the cross-section fixed effects on their own as well as results under both types of fixed effects</w:t>
      </w:r>
      <w:r w:rsidR="0097012F">
        <w:rPr>
          <w:rFonts w:ascii="Times New Roman" w:hAnsi="Times New Roman" w:cs="Times New Roman"/>
          <w:sz w:val="24"/>
          <w:szCs w:val="24"/>
        </w:rPr>
        <w:t xml:space="preserve">. </w:t>
      </w:r>
      <w:r w:rsidR="008D5E30">
        <w:rPr>
          <w:rFonts w:ascii="Times New Roman" w:hAnsi="Times New Roman" w:cs="Times New Roman"/>
          <w:sz w:val="24"/>
          <w:szCs w:val="24"/>
        </w:rPr>
        <w:t>Although the latter is not shown in the results table</w:t>
      </w:r>
      <w:r>
        <w:rPr>
          <w:rFonts w:ascii="Times New Roman" w:hAnsi="Times New Roman" w:cs="Times New Roman"/>
          <w:sz w:val="24"/>
          <w:szCs w:val="24"/>
        </w:rPr>
        <w:t>,</w:t>
      </w:r>
      <w:r w:rsidR="0097012F">
        <w:rPr>
          <w:rFonts w:ascii="Times New Roman" w:hAnsi="Times New Roman" w:cs="Times New Roman"/>
          <w:sz w:val="24"/>
          <w:szCs w:val="24"/>
        </w:rPr>
        <w:t xml:space="preserve"> inter-municipal differe</w:t>
      </w:r>
      <w:r>
        <w:rPr>
          <w:rFonts w:ascii="Times New Roman" w:hAnsi="Times New Roman" w:cs="Times New Roman"/>
          <w:sz w:val="24"/>
          <w:szCs w:val="24"/>
        </w:rPr>
        <w:t>nces on its own (Model IV</w:t>
      </w:r>
      <w:r w:rsidR="0097012F">
        <w:rPr>
          <w:rFonts w:ascii="Times New Roman" w:hAnsi="Times New Roman" w:cs="Times New Roman"/>
          <w:sz w:val="24"/>
          <w:szCs w:val="24"/>
        </w:rPr>
        <w:t>) t</w:t>
      </w:r>
      <w:r w:rsidR="000006D7">
        <w:rPr>
          <w:rFonts w:ascii="Times New Roman" w:hAnsi="Times New Roman" w:cs="Times New Roman"/>
          <w:sz w:val="24"/>
          <w:szCs w:val="24"/>
        </w:rPr>
        <w:t xml:space="preserve">ends to play a stronger role in terms of explaining variation in the </w:t>
      </w:r>
      <w:r w:rsidR="000006D7">
        <w:rPr>
          <w:rFonts w:ascii="Times New Roman" w:hAnsi="Times New Roman" w:cs="Times New Roman"/>
          <w:i/>
          <w:sz w:val="24"/>
          <w:szCs w:val="24"/>
        </w:rPr>
        <w:t>Herfindahl</w:t>
      </w:r>
      <w:r w:rsidR="000006D7">
        <w:rPr>
          <w:rFonts w:ascii="Times New Roman" w:hAnsi="Times New Roman" w:cs="Times New Roman"/>
          <w:sz w:val="24"/>
          <w:szCs w:val="24"/>
        </w:rPr>
        <w:t xml:space="preserve"> than </w:t>
      </w:r>
      <w:r>
        <w:rPr>
          <w:rFonts w:ascii="Times New Roman" w:hAnsi="Times New Roman" w:cs="Times New Roman"/>
          <w:sz w:val="24"/>
          <w:szCs w:val="24"/>
        </w:rPr>
        <w:t xml:space="preserve">period fixed effects on their own. </w:t>
      </w:r>
      <w:r w:rsidR="000006D7">
        <w:rPr>
          <w:rFonts w:ascii="Times New Roman" w:hAnsi="Times New Roman" w:cs="Times New Roman"/>
          <w:sz w:val="24"/>
          <w:szCs w:val="24"/>
        </w:rPr>
        <w:t>By comparing the results to the base model without either effects</w:t>
      </w:r>
      <w:r>
        <w:rPr>
          <w:rFonts w:ascii="Times New Roman" w:hAnsi="Times New Roman" w:cs="Times New Roman"/>
          <w:sz w:val="24"/>
          <w:szCs w:val="24"/>
        </w:rPr>
        <w:t xml:space="preserve"> (Model I)</w:t>
      </w:r>
      <w:r w:rsidR="000006D7">
        <w:rPr>
          <w:rFonts w:ascii="Times New Roman" w:hAnsi="Times New Roman" w:cs="Times New Roman"/>
          <w:sz w:val="24"/>
          <w:szCs w:val="24"/>
        </w:rPr>
        <w:t xml:space="preserve">, it is also apparent that inter-municipal differences are responsible for a downward bias on the effect of turnout. This reflects the same findings found under the prior OLS analysis, where provincial differences were also observed to have a downward bias on </w:t>
      </w:r>
      <w:r w:rsidR="000006D7">
        <w:rPr>
          <w:rFonts w:ascii="Times New Roman" w:hAnsi="Times New Roman" w:cs="Times New Roman"/>
          <w:i/>
          <w:sz w:val="24"/>
          <w:szCs w:val="24"/>
        </w:rPr>
        <w:t xml:space="preserve">Turnout’s </w:t>
      </w:r>
      <w:r w:rsidR="000006D7">
        <w:rPr>
          <w:rFonts w:ascii="Times New Roman" w:hAnsi="Times New Roman" w:cs="Times New Roman"/>
          <w:sz w:val="24"/>
          <w:szCs w:val="24"/>
        </w:rPr>
        <w:t>estimated effect.</w:t>
      </w:r>
      <w:r>
        <w:rPr>
          <w:rFonts w:ascii="Times New Roman" w:hAnsi="Times New Roman" w:cs="Times New Roman"/>
          <w:sz w:val="24"/>
          <w:szCs w:val="24"/>
        </w:rPr>
        <w:t xml:space="preserve"> Clearly, however the cross-section fixed effects seem to contribute to a much stronger degree of downward bias than the provincial dummy controls</w:t>
      </w:r>
      <w:r w:rsidR="002F487C">
        <w:rPr>
          <w:rFonts w:ascii="Times New Roman" w:hAnsi="Times New Roman" w:cs="Times New Roman"/>
          <w:sz w:val="24"/>
          <w:szCs w:val="24"/>
        </w:rPr>
        <w:t xml:space="preserve"> under OLS</w:t>
      </w:r>
      <w:r>
        <w:rPr>
          <w:rFonts w:ascii="Times New Roman" w:hAnsi="Times New Roman" w:cs="Times New Roman"/>
          <w:sz w:val="24"/>
          <w:szCs w:val="24"/>
        </w:rPr>
        <w:t xml:space="preserve">. </w:t>
      </w:r>
      <w:r w:rsidR="008D5E30">
        <w:rPr>
          <w:rFonts w:ascii="Times New Roman" w:hAnsi="Times New Roman" w:cs="Times New Roman"/>
          <w:sz w:val="24"/>
          <w:szCs w:val="24"/>
        </w:rPr>
        <w:t>Intuitively, this means that greater variation between municipalities, for example, religious beliefs or socioeconomic status, is taken into account</w:t>
      </w:r>
      <w:r w:rsidR="00B047F8">
        <w:rPr>
          <w:rFonts w:ascii="Times New Roman" w:hAnsi="Times New Roman" w:cs="Times New Roman"/>
          <w:sz w:val="24"/>
          <w:szCs w:val="24"/>
        </w:rPr>
        <w:t xml:space="preserve">. On the other hand, </w:t>
      </w:r>
      <w:r w:rsidR="008D5E30">
        <w:rPr>
          <w:rFonts w:ascii="Times New Roman" w:hAnsi="Times New Roman" w:cs="Times New Roman"/>
          <w:sz w:val="24"/>
          <w:szCs w:val="24"/>
        </w:rPr>
        <w:t xml:space="preserve">the variations accounted for between provinces – which </w:t>
      </w:r>
      <w:r w:rsidR="002F487C">
        <w:rPr>
          <w:rFonts w:ascii="Times New Roman" w:hAnsi="Times New Roman" w:cs="Times New Roman"/>
          <w:sz w:val="24"/>
          <w:szCs w:val="24"/>
        </w:rPr>
        <w:t>averages out differences</w:t>
      </w:r>
      <w:r w:rsidR="008D5E30">
        <w:rPr>
          <w:rFonts w:ascii="Times New Roman" w:hAnsi="Times New Roman" w:cs="Times New Roman"/>
          <w:sz w:val="24"/>
          <w:szCs w:val="24"/>
        </w:rPr>
        <w:t xml:space="preserve"> between municipalities for</w:t>
      </w:r>
      <w:r w:rsidR="002F487C">
        <w:rPr>
          <w:rFonts w:ascii="Times New Roman" w:hAnsi="Times New Roman" w:cs="Times New Roman"/>
          <w:sz w:val="24"/>
          <w:szCs w:val="24"/>
        </w:rPr>
        <w:t xml:space="preserve"> entire provinces </w:t>
      </w:r>
      <w:r w:rsidR="00B047F8">
        <w:rPr>
          <w:rFonts w:ascii="Times New Roman" w:hAnsi="Times New Roman" w:cs="Times New Roman"/>
          <w:sz w:val="24"/>
          <w:szCs w:val="24"/>
        </w:rPr>
        <w:t>–</w:t>
      </w:r>
      <w:r w:rsidR="002F487C">
        <w:rPr>
          <w:rFonts w:ascii="Times New Roman" w:hAnsi="Times New Roman" w:cs="Times New Roman"/>
          <w:sz w:val="24"/>
          <w:szCs w:val="24"/>
        </w:rPr>
        <w:t xml:space="preserve"> provide less explanatory power</w:t>
      </w:r>
      <w:r w:rsidR="008D5E30">
        <w:rPr>
          <w:rFonts w:ascii="Times New Roman" w:hAnsi="Times New Roman" w:cs="Times New Roman"/>
          <w:sz w:val="24"/>
          <w:szCs w:val="24"/>
        </w:rPr>
        <w:t xml:space="preserve">. </w:t>
      </w:r>
      <w:r w:rsidR="00214748">
        <w:rPr>
          <w:rFonts w:ascii="Times New Roman" w:hAnsi="Times New Roman" w:cs="Times New Roman"/>
          <w:sz w:val="24"/>
          <w:szCs w:val="24"/>
        </w:rPr>
        <w:t xml:space="preserve">Evidently, the results obtained via either OLS or FE models are largely similar in terms of the direction of their estimates, but remain quantitatively different. </w:t>
      </w:r>
      <w:r w:rsidR="00FF3628">
        <w:rPr>
          <w:rFonts w:ascii="Times New Roman" w:hAnsi="Times New Roman" w:cs="Times New Roman"/>
          <w:sz w:val="24"/>
          <w:szCs w:val="24"/>
        </w:rPr>
        <w:t xml:space="preserve">The most relevant difference can be found in the magnitude of the estimated effect of </w:t>
      </w:r>
      <w:r w:rsidR="00FF3628">
        <w:rPr>
          <w:rFonts w:ascii="Times New Roman" w:hAnsi="Times New Roman" w:cs="Times New Roman"/>
          <w:i/>
          <w:sz w:val="24"/>
          <w:szCs w:val="24"/>
        </w:rPr>
        <w:t>Turnout</w:t>
      </w:r>
      <w:r w:rsidR="00FF3628">
        <w:rPr>
          <w:rFonts w:ascii="Times New Roman" w:hAnsi="Times New Roman" w:cs="Times New Roman"/>
          <w:sz w:val="24"/>
          <w:szCs w:val="24"/>
        </w:rPr>
        <w:t xml:space="preserve"> between models III and V, where the result under the FE estimation is much higher. Furthermore, the measure-of-fit as measured by each model’s R</w:t>
      </w:r>
      <w:r w:rsidR="00FF3628">
        <w:rPr>
          <w:rFonts w:ascii="Times New Roman" w:hAnsi="Times New Roman" w:cs="Times New Roman"/>
          <w:sz w:val="24"/>
          <w:szCs w:val="24"/>
          <w:vertAlign w:val="superscript"/>
        </w:rPr>
        <w:t>2</w:t>
      </w:r>
      <w:r w:rsidR="00FF3628">
        <w:rPr>
          <w:rFonts w:ascii="Times New Roman" w:hAnsi="Times New Roman" w:cs="Times New Roman"/>
          <w:sz w:val="24"/>
          <w:szCs w:val="24"/>
        </w:rPr>
        <w:t xml:space="preserve"> is also much higher under model V which is 0.8622 versus model III’s R</w:t>
      </w:r>
      <w:r w:rsidR="00FF3628">
        <w:rPr>
          <w:rFonts w:ascii="Times New Roman" w:hAnsi="Times New Roman" w:cs="Times New Roman"/>
          <w:sz w:val="24"/>
          <w:szCs w:val="24"/>
          <w:vertAlign w:val="superscript"/>
        </w:rPr>
        <w:t>2</w:t>
      </w:r>
      <w:r w:rsidR="00FF3628">
        <w:rPr>
          <w:rFonts w:ascii="Times New Roman" w:hAnsi="Times New Roman" w:cs="Times New Roman"/>
          <w:sz w:val="24"/>
          <w:szCs w:val="24"/>
        </w:rPr>
        <w:t xml:space="preserve"> at 0.6018. This indeed contributes to the earlier observed fact that inter-municipal differences account for more variation that provincial dummy variables under OLS estimation. </w:t>
      </w:r>
      <w:r w:rsidR="0003565F">
        <w:rPr>
          <w:rFonts w:ascii="Times New Roman" w:hAnsi="Times New Roman" w:cs="Times New Roman"/>
          <w:sz w:val="24"/>
          <w:szCs w:val="24"/>
        </w:rPr>
        <w:t xml:space="preserve">The results nonetheless can be considered qualitatively identical, wherein the FE model also finds the coefficient of </w:t>
      </w:r>
      <w:r w:rsidR="0003565F">
        <w:rPr>
          <w:rFonts w:ascii="Times New Roman" w:hAnsi="Times New Roman" w:cs="Times New Roman"/>
          <w:i/>
          <w:sz w:val="24"/>
          <w:szCs w:val="24"/>
        </w:rPr>
        <w:t xml:space="preserve">Turnout </w:t>
      </w:r>
      <w:r w:rsidR="0003565F">
        <w:rPr>
          <w:rFonts w:ascii="Times New Roman" w:hAnsi="Times New Roman" w:cs="Times New Roman"/>
          <w:sz w:val="24"/>
          <w:szCs w:val="24"/>
        </w:rPr>
        <w:t>to be significant at the 1% level</w:t>
      </w:r>
      <w:r w:rsidR="00FF3628">
        <w:rPr>
          <w:rFonts w:ascii="Times New Roman" w:hAnsi="Times New Roman" w:cs="Times New Roman"/>
          <w:sz w:val="24"/>
          <w:szCs w:val="24"/>
        </w:rPr>
        <w:t xml:space="preserve"> under model V</w:t>
      </w:r>
      <w:r w:rsidR="0003565F">
        <w:rPr>
          <w:rFonts w:ascii="Times New Roman" w:hAnsi="Times New Roman" w:cs="Times New Roman"/>
          <w:sz w:val="24"/>
          <w:szCs w:val="24"/>
        </w:rPr>
        <w:t xml:space="preserve"> and positive. Hence, the paper’s hypothesis, </w:t>
      </w:r>
      <w:r w:rsidR="0003565F">
        <w:rPr>
          <w:rFonts w:ascii="Times New Roman" w:hAnsi="Times New Roman" w:cs="Times New Roman"/>
          <w:b/>
          <w:sz w:val="24"/>
          <w:szCs w:val="24"/>
        </w:rPr>
        <w:t>H</w:t>
      </w:r>
      <w:r w:rsidR="0003565F">
        <w:rPr>
          <w:rFonts w:ascii="Times New Roman" w:hAnsi="Times New Roman" w:cs="Times New Roman"/>
          <w:b/>
          <w:sz w:val="24"/>
          <w:szCs w:val="24"/>
          <w:vertAlign w:val="subscript"/>
        </w:rPr>
        <w:t>1</w:t>
      </w:r>
      <w:r w:rsidR="0003565F">
        <w:rPr>
          <w:rFonts w:ascii="Times New Roman" w:hAnsi="Times New Roman" w:cs="Times New Roman"/>
          <w:sz w:val="24"/>
          <w:szCs w:val="24"/>
        </w:rPr>
        <w:t xml:space="preserve">, under </w:t>
      </w:r>
      <w:r w:rsidR="00FF3628">
        <w:rPr>
          <w:rFonts w:ascii="Times New Roman" w:hAnsi="Times New Roman" w:cs="Times New Roman"/>
          <w:sz w:val="24"/>
          <w:szCs w:val="24"/>
        </w:rPr>
        <w:t>either methodology</w:t>
      </w:r>
      <w:r w:rsidR="0003565F">
        <w:rPr>
          <w:rFonts w:ascii="Times New Roman" w:hAnsi="Times New Roman" w:cs="Times New Roman"/>
          <w:sz w:val="24"/>
          <w:szCs w:val="24"/>
        </w:rPr>
        <w:t xml:space="preserve"> cannot be rejected</w:t>
      </w:r>
      <w:r w:rsidR="00FF3628">
        <w:rPr>
          <w:rFonts w:ascii="Times New Roman" w:hAnsi="Times New Roman" w:cs="Times New Roman"/>
          <w:sz w:val="24"/>
          <w:szCs w:val="24"/>
        </w:rPr>
        <w:t>, thereby</w:t>
      </w:r>
      <w:r w:rsidR="0003565F">
        <w:rPr>
          <w:rFonts w:ascii="Times New Roman" w:hAnsi="Times New Roman" w:cs="Times New Roman"/>
          <w:sz w:val="24"/>
          <w:szCs w:val="24"/>
        </w:rPr>
        <w:t xml:space="preserve"> providing further evidence for this paper’s research question. </w:t>
      </w:r>
      <w:r w:rsidR="00EA79D6">
        <w:rPr>
          <w:rFonts w:ascii="Times New Roman" w:hAnsi="Times New Roman" w:cs="Times New Roman"/>
          <w:sz w:val="24"/>
          <w:szCs w:val="24"/>
        </w:rPr>
        <w:t>Note however, that the interpretations of both results are conceptually different. Du</w:t>
      </w:r>
      <w:r w:rsidR="00F3218B">
        <w:rPr>
          <w:rFonts w:ascii="Times New Roman" w:hAnsi="Times New Roman" w:cs="Times New Roman"/>
          <w:sz w:val="24"/>
          <w:szCs w:val="24"/>
        </w:rPr>
        <w:t>e to the nature of how the FE model V estimates</w:t>
      </w:r>
      <w:r w:rsidR="00EA79D6">
        <w:rPr>
          <w:rFonts w:ascii="Times New Roman" w:hAnsi="Times New Roman" w:cs="Times New Roman"/>
          <w:sz w:val="24"/>
          <w:szCs w:val="24"/>
        </w:rPr>
        <w:t xml:space="preserve"> coefficients, the results read that an increase in the turnout rate, </w:t>
      </w:r>
      <w:r w:rsidR="00FF3628">
        <w:rPr>
          <w:rFonts w:ascii="Times New Roman" w:hAnsi="Times New Roman" w:cs="Times New Roman"/>
          <w:sz w:val="24"/>
          <w:szCs w:val="24"/>
        </w:rPr>
        <w:t>irrespective of municipality or election year</w:t>
      </w:r>
      <w:r w:rsidR="00EA79D6">
        <w:rPr>
          <w:rFonts w:ascii="Times New Roman" w:hAnsi="Times New Roman" w:cs="Times New Roman"/>
          <w:sz w:val="24"/>
          <w:szCs w:val="24"/>
        </w:rPr>
        <w:t xml:space="preserve">, </w:t>
      </w:r>
      <w:r w:rsidR="00FF3628">
        <w:rPr>
          <w:rFonts w:ascii="Times New Roman" w:hAnsi="Times New Roman" w:cs="Times New Roman"/>
          <w:sz w:val="24"/>
          <w:szCs w:val="24"/>
        </w:rPr>
        <w:t xml:space="preserve">is generally associated with </w:t>
      </w:r>
      <w:r w:rsidR="00EA79D6">
        <w:rPr>
          <w:rFonts w:ascii="Times New Roman" w:hAnsi="Times New Roman" w:cs="Times New Roman"/>
          <w:sz w:val="24"/>
          <w:szCs w:val="24"/>
        </w:rPr>
        <w:t xml:space="preserve">an increase in the </w:t>
      </w:r>
      <w:r w:rsidR="00EA79D6">
        <w:rPr>
          <w:rFonts w:ascii="Times New Roman" w:hAnsi="Times New Roman" w:cs="Times New Roman"/>
          <w:i/>
          <w:sz w:val="24"/>
          <w:szCs w:val="24"/>
        </w:rPr>
        <w:t xml:space="preserve">Herfindahl </w:t>
      </w:r>
      <w:r w:rsidR="00EA79D6">
        <w:rPr>
          <w:rFonts w:ascii="Times New Roman" w:hAnsi="Times New Roman" w:cs="Times New Roman"/>
          <w:sz w:val="24"/>
          <w:szCs w:val="24"/>
        </w:rPr>
        <w:t xml:space="preserve">index. </w:t>
      </w:r>
      <w:r w:rsidR="00FF3628">
        <w:rPr>
          <w:rFonts w:ascii="Times New Roman" w:hAnsi="Times New Roman" w:cs="Times New Roman"/>
          <w:sz w:val="24"/>
          <w:szCs w:val="24"/>
        </w:rPr>
        <w:t xml:space="preserve">Note that due to conditionality of these results, </w:t>
      </w:r>
      <w:r w:rsidR="00FF3628">
        <w:rPr>
          <w:rFonts w:ascii="Times New Roman" w:hAnsi="Times New Roman" w:cs="Times New Roman"/>
          <w:i/>
          <w:sz w:val="24"/>
          <w:szCs w:val="24"/>
        </w:rPr>
        <w:t xml:space="preserve">Turnout </w:t>
      </w:r>
      <w:r w:rsidR="00FF3628">
        <w:rPr>
          <w:rFonts w:ascii="Times New Roman" w:hAnsi="Times New Roman" w:cs="Times New Roman"/>
          <w:sz w:val="24"/>
          <w:szCs w:val="24"/>
        </w:rPr>
        <w:t>is in fact estimated in isolation from the influence of the policy change – particularly due to the use of the period fixed effects.</w:t>
      </w:r>
      <w:r w:rsidR="00F3218B">
        <w:rPr>
          <w:rFonts w:ascii="Times New Roman" w:hAnsi="Times New Roman" w:cs="Times New Roman"/>
          <w:sz w:val="24"/>
          <w:szCs w:val="24"/>
        </w:rPr>
        <w:t xml:space="preserve"> This means that any estimated effect of </w:t>
      </w:r>
      <w:r w:rsidR="00F3218B">
        <w:rPr>
          <w:rFonts w:ascii="Times New Roman" w:hAnsi="Times New Roman" w:cs="Times New Roman"/>
          <w:i/>
          <w:sz w:val="24"/>
          <w:szCs w:val="24"/>
        </w:rPr>
        <w:t xml:space="preserve">Turnout </w:t>
      </w:r>
      <w:r w:rsidR="00F3218B">
        <w:rPr>
          <w:rFonts w:ascii="Times New Roman" w:hAnsi="Times New Roman" w:cs="Times New Roman"/>
          <w:sz w:val="24"/>
          <w:szCs w:val="24"/>
        </w:rPr>
        <w:t xml:space="preserve">is generalised over the entire investigation period and unspecific to any municipality or election year. </w:t>
      </w:r>
      <w:r w:rsidR="00EA79D6">
        <w:rPr>
          <w:rFonts w:ascii="Times New Roman" w:hAnsi="Times New Roman" w:cs="Times New Roman"/>
          <w:sz w:val="24"/>
          <w:szCs w:val="24"/>
        </w:rPr>
        <w:t>In contrast</w:t>
      </w:r>
      <w:r w:rsidR="00FF3628">
        <w:rPr>
          <w:rFonts w:ascii="Times New Roman" w:hAnsi="Times New Roman" w:cs="Times New Roman"/>
          <w:sz w:val="24"/>
          <w:szCs w:val="24"/>
        </w:rPr>
        <w:t xml:space="preserve"> to the FE results’ interpretations however</w:t>
      </w:r>
      <w:r w:rsidR="00EA79D6">
        <w:rPr>
          <w:rFonts w:ascii="Times New Roman" w:hAnsi="Times New Roman" w:cs="Times New Roman"/>
          <w:sz w:val="24"/>
          <w:szCs w:val="24"/>
        </w:rPr>
        <w:t>, t</w:t>
      </w:r>
      <w:r w:rsidR="00FF3628">
        <w:rPr>
          <w:rFonts w:ascii="Times New Roman" w:hAnsi="Times New Roman" w:cs="Times New Roman"/>
          <w:sz w:val="24"/>
          <w:szCs w:val="24"/>
        </w:rPr>
        <w:t xml:space="preserve">he results under the OLS model III </w:t>
      </w:r>
      <w:r w:rsidR="00EA79D6">
        <w:rPr>
          <w:rFonts w:ascii="Times New Roman" w:hAnsi="Times New Roman" w:cs="Times New Roman"/>
          <w:sz w:val="24"/>
          <w:szCs w:val="24"/>
        </w:rPr>
        <w:t xml:space="preserve">read that an increase in the turnout rate, conditional on the control variables in place over the span of the investigation period, leads to an increase in the </w:t>
      </w:r>
      <w:r w:rsidR="00EA79D6">
        <w:rPr>
          <w:rFonts w:ascii="Times New Roman" w:hAnsi="Times New Roman" w:cs="Times New Roman"/>
          <w:i/>
          <w:sz w:val="24"/>
          <w:szCs w:val="24"/>
        </w:rPr>
        <w:t xml:space="preserve">Herfindahl </w:t>
      </w:r>
      <w:r w:rsidR="00EA79D6">
        <w:rPr>
          <w:rFonts w:ascii="Times New Roman" w:hAnsi="Times New Roman" w:cs="Times New Roman"/>
          <w:sz w:val="24"/>
          <w:szCs w:val="24"/>
        </w:rPr>
        <w:t xml:space="preserve">index. </w:t>
      </w:r>
      <w:r w:rsidR="00EA79D6">
        <w:rPr>
          <w:rFonts w:ascii="Times New Roman" w:hAnsi="Times New Roman" w:cs="Times New Roman"/>
          <w:sz w:val="24"/>
          <w:szCs w:val="24"/>
        </w:rPr>
        <w:lastRenderedPageBreak/>
        <w:t>Therefore, although the interpretations lead to similar</w:t>
      </w:r>
      <w:r w:rsidR="00F3218B">
        <w:rPr>
          <w:rFonts w:ascii="Times New Roman" w:hAnsi="Times New Roman" w:cs="Times New Roman"/>
          <w:sz w:val="24"/>
          <w:szCs w:val="24"/>
        </w:rPr>
        <w:t xml:space="preserve"> qualitative</w:t>
      </w:r>
      <w:r w:rsidR="00EA79D6">
        <w:rPr>
          <w:rFonts w:ascii="Times New Roman" w:hAnsi="Times New Roman" w:cs="Times New Roman"/>
          <w:sz w:val="24"/>
          <w:szCs w:val="24"/>
        </w:rPr>
        <w:t xml:space="preserve"> conclusions, they are not the same. </w:t>
      </w:r>
    </w:p>
    <w:p w:rsidR="007D5509" w:rsidRDefault="007B25C3" w:rsidP="005A08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3565F">
        <w:rPr>
          <w:rFonts w:ascii="Times New Roman" w:hAnsi="Times New Roman" w:cs="Times New Roman"/>
          <w:sz w:val="24"/>
          <w:szCs w:val="24"/>
        </w:rPr>
        <w:t xml:space="preserve">he final methodology – a TSLS model – still </w:t>
      </w:r>
      <w:r>
        <w:rPr>
          <w:rFonts w:ascii="Times New Roman" w:hAnsi="Times New Roman" w:cs="Times New Roman"/>
          <w:sz w:val="24"/>
          <w:szCs w:val="24"/>
        </w:rPr>
        <w:t xml:space="preserve">however </w:t>
      </w:r>
      <w:r w:rsidR="0003565F">
        <w:rPr>
          <w:rFonts w:ascii="Times New Roman" w:hAnsi="Times New Roman" w:cs="Times New Roman"/>
          <w:sz w:val="24"/>
          <w:szCs w:val="24"/>
        </w:rPr>
        <w:t xml:space="preserve">remains of interest. Despite the earlier findings under OLS and FE analysis, unlike the TSLS model, both analyses do not make use of </w:t>
      </w:r>
      <w:r w:rsidR="0003565F">
        <w:rPr>
          <w:rFonts w:ascii="Times New Roman" w:hAnsi="Times New Roman" w:cs="Times New Roman"/>
          <w:i/>
          <w:sz w:val="24"/>
          <w:szCs w:val="24"/>
        </w:rPr>
        <w:t>Treatment</w:t>
      </w:r>
      <w:r w:rsidR="0003565F">
        <w:rPr>
          <w:rFonts w:ascii="Times New Roman" w:hAnsi="Times New Roman" w:cs="Times New Roman"/>
          <w:sz w:val="24"/>
          <w:szCs w:val="24"/>
        </w:rPr>
        <w:t xml:space="preserve">. Considering </w:t>
      </w:r>
      <w:r w:rsidR="0003565F">
        <w:rPr>
          <w:rFonts w:ascii="Times New Roman" w:hAnsi="Times New Roman" w:cs="Times New Roman"/>
          <w:i/>
          <w:sz w:val="24"/>
          <w:szCs w:val="24"/>
        </w:rPr>
        <w:t xml:space="preserve">Treatment </w:t>
      </w:r>
      <w:r w:rsidR="0003565F">
        <w:rPr>
          <w:rFonts w:ascii="Times New Roman" w:hAnsi="Times New Roman" w:cs="Times New Roman"/>
          <w:sz w:val="24"/>
          <w:szCs w:val="24"/>
        </w:rPr>
        <w:t xml:space="preserve">and </w:t>
      </w:r>
      <w:r w:rsidR="0003565F">
        <w:rPr>
          <w:rFonts w:ascii="Times New Roman" w:hAnsi="Times New Roman" w:cs="Times New Roman"/>
          <w:i/>
          <w:sz w:val="24"/>
          <w:szCs w:val="24"/>
        </w:rPr>
        <w:t xml:space="preserve">Turnout’s </w:t>
      </w:r>
      <w:r w:rsidR="0003565F">
        <w:rPr>
          <w:rFonts w:ascii="Times New Roman" w:hAnsi="Times New Roman" w:cs="Times New Roman"/>
          <w:sz w:val="24"/>
          <w:szCs w:val="24"/>
        </w:rPr>
        <w:t xml:space="preserve">mechanistic relationship in this context, it would prove useful to take advantage of it rather than omitting </w:t>
      </w:r>
      <w:r w:rsidR="0003565F">
        <w:rPr>
          <w:rFonts w:ascii="Times New Roman" w:hAnsi="Times New Roman" w:cs="Times New Roman"/>
          <w:i/>
          <w:sz w:val="24"/>
          <w:szCs w:val="24"/>
        </w:rPr>
        <w:t>Treatment</w:t>
      </w:r>
      <w:r w:rsidR="0003565F">
        <w:rPr>
          <w:rFonts w:ascii="Times New Roman" w:hAnsi="Times New Roman" w:cs="Times New Roman"/>
          <w:sz w:val="24"/>
          <w:szCs w:val="24"/>
        </w:rPr>
        <w:t xml:space="preserve"> entirely</w:t>
      </w:r>
      <w:r w:rsidR="009E3C2B">
        <w:rPr>
          <w:rFonts w:ascii="Times New Roman" w:hAnsi="Times New Roman" w:cs="Times New Roman"/>
          <w:sz w:val="24"/>
          <w:szCs w:val="24"/>
        </w:rPr>
        <w:t xml:space="preserve"> as is particularly the case under the FE model V</w:t>
      </w:r>
      <w:r w:rsidR="0003565F">
        <w:rPr>
          <w:rFonts w:ascii="Times New Roman" w:hAnsi="Times New Roman" w:cs="Times New Roman"/>
          <w:sz w:val="24"/>
          <w:szCs w:val="24"/>
        </w:rPr>
        <w:t xml:space="preserve">. </w:t>
      </w:r>
    </w:p>
    <w:p w:rsidR="007C3185" w:rsidRPr="00EF6BAC" w:rsidRDefault="0003565F" w:rsidP="005A08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TSL</w:t>
      </w:r>
      <w:r w:rsidR="0083430F">
        <w:rPr>
          <w:rFonts w:ascii="Times New Roman" w:hAnsi="Times New Roman" w:cs="Times New Roman"/>
          <w:sz w:val="24"/>
          <w:szCs w:val="24"/>
        </w:rPr>
        <w:t xml:space="preserve">S model </w:t>
      </w:r>
      <w:r>
        <w:rPr>
          <w:rFonts w:ascii="Times New Roman" w:hAnsi="Times New Roman" w:cs="Times New Roman"/>
          <w:sz w:val="24"/>
          <w:szCs w:val="24"/>
        </w:rPr>
        <w:t>isolates</w:t>
      </w:r>
      <w:r w:rsidR="0083430F">
        <w:rPr>
          <w:rFonts w:ascii="Times New Roman" w:hAnsi="Times New Roman" w:cs="Times New Roman"/>
          <w:sz w:val="24"/>
          <w:szCs w:val="24"/>
        </w:rPr>
        <w:t xml:space="preserve"> the variation in turnout in the years after the abolishme</w:t>
      </w:r>
      <w:r w:rsidR="00F3218B">
        <w:rPr>
          <w:rFonts w:ascii="Times New Roman" w:hAnsi="Times New Roman" w:cs="Times New Roman"/>
          <w:sz w:val="24"/>
          <w:szCs w:val="24"/>
        </w:rPr>
        <w:t>nt of compulsory turnout and uses</w:t>
      </w:r>
      <w:r w:rsidR="0083430F">
        <w:rPr>
          <w:rFonts w:ascii="Times New Roman" w:hAnsi="Times New Roman" w:cs="Times New Roman"/>
          <w:sz w:val="24"/>
          <w:szCs w:val="24"/>
        </w:rPr>
        <w:t xml:space="preserve"> this to predict its effect on inter-party competition. In this case, the variable </w:t>
      </w:r>
      <w:r w:rsidR="0083430F">
        <w:rPr>
          <w:rFonts w:ascii="Times New Roman" w:hAnsi="Times New Roman" w:cs="Times New Roman"/>
          <w:i/>
          <w:sz w:val="24"/>
          <w:szCs w:val="24"/>
        </w:rPr>
        <w:t>Treatment</w:t>
      </w:r>
      <w:r w:rsidR="0083430F">
        <w:rPr>
          <w:rFonts w:ascii="Times New Roman" w:hAnsi="Times New Roman" w:cs="Times New Roman"/>
          <w:sz w:val="24"/>
          <w:szCs w:val="24"/>
        </w:rPr>
        <w:t xml:space="preserve"> will be used to estimate fitted values for </w:t>
      </w:r>
      <w:r w:rsidR="0083430F">
        <w:rPr>
          <w:rFonts w:ascii="Times New Roman" w:hAnsi="Times New Roman" w:cs="Times New Roman"/>
          <w:i/>
          <w:sz w:val="24"/>
          <w:szCs w:val="24"/>
        </w:rPr>
        <w:t>Turnout</w:t>
      </w:r>
      <w:r w:rsidR="0083430F">
        <w:rPr>
          <w:rFonts w:ascii="Times New Roman" w:hAnsi="Times New Roman" w:cs="Times New Roman"/>
          <w:sz w:val="24"/>
          <w:szCs w:val="24"/>
        </w:rPr>
        <w:t>, whose estimated value</w:t>
      </w:r>
      <w:r w:rsidR="00F3218B">
        <w:rPr>
          <w:rFonts w:ascii="Times New Roman" w:hAnsi="Times New Roman" w:cs="Times New Roman"/>
          <w:sz w:val="24"/>
          <w:szCs w:val="24"/>
        </w:rPr>
        <w:t xml:space="preserve">s will then be used to estimate </w:t>
      </w:r>
      <w:r w:rsidR="0083430F">
        <w:rPr>
          <w:rFonts w:ascii="Times New Roman" w:hAnsi="Times New Roman" w:cs="Times New Roman"/>
          <w:i/>
          <w:sz w:val="24"/>
          <w:szCs w:val="24"/>
        </w:rPr>
        <w:t>Turnout</w:t>
      </w:r>
      <w:r w:rsidR="0083430F">
        <w:rPr>
          <w:rFonts w:ascii="Times New Roman" w:hAnsi="Times New Roman" w:cs="Times New Roman"/>
          <w:sz w:val="24"/>
          <w:szCs w:val="24"/>
        </w:rPr>
        <w:t xml:space="preserve">’s effect on the </w:t>
      </w:r>
      <w:r w:rsidR="0083430F">
        <w:rPr>
          <w:rFonts w:ascii="Times New Roman" w:hAnsi="Times New Roman" w:cs="Times New Roman"/>
          <w:i/>
          <w:sz w:val="24"/>
          <w:szCs w:val="24"/>
        </w:rPr>
        <w:t xml:space="preserve">Herfindahl </w:t>
      </w:r>
      <w:r w:rsidR="0083430F">
        <w:rPr>
          <w:rFonts w:ascii="Times New Roman" w:hAnsi="Times New Roman" w:cs="Times New Roman"/>
          <w:sz w:val="24"/>
          <w:szCs w:val="24"/>
        </w:rPr>
        <w:t xml:space="preserve">index. This methodology is unique as it uses </w:t>
      </w:r>
      <w:r w:rsidR="0083430F">
        <w:rPr>
          <w:rFonts w:ascii="Times New Roman" w:hAnsi="Times New Roman" w:cs="Times New Roman"/>
          <w:i/>
          <w:sz w:val="24"/>
          <w:szCs w:val="24"/>
        </w:rPr>
        <w:t xml:space="preserve">Treatment </w:t>
      </w:r>
      <w:r w:rsidR="0083430F">
        <w:rPr>
          <w:rFonts w:ascii="Times New Roman" w:hAnsi="Times New Roman" w:cs="Times New Roman"/>
          <w:sz w:val="24"/>
          <w:szCs w:val="24"/>
        </w:rPr>
        <w:t xml:space="preserve">as an instrument which requires two specific conditions to be fulfilled: (1) </w:t>
      </w:r>
      <w:r w:rsidR="0083430F">
        <w:rPr>
          <w:rFonts w:ascii="Times New Roman" w:hAnsi="Times New Roman" w:cs="Times New Roman"/>
          <w:i/>
          <w:sz w:val="24"/>
          <w:szCs w:val="24"/>
        </w:rPr>
        <w:t>Treatment</w:t>
      </w:r>
      <w:r w:rsidR="0083430F">
        <w:rPr>
          <w:rFonts w:ascii="Times New Roman" w:hAnsi="Times New Roman" w:cs="Times New Roman"/>
          <w:sz w:val="24"/>
          <w:szCs w:val="24"/>
        </w:rPr>
        <w:t xml:space="preserve"> must be uncorrelated with the error term, i</w:t>
      </w:r>
      <w:r w:rsidR="009E3C2B">
        <w:rPr>
          <w:rFonts w:ascii="Times New Roman" w:hAnsi="Times New Roman" w:cs="Times New Roman"/>
          <w:sz w:val="24"/>
          <w:szCs w:val="24"/>
        </w:rPr>
        <w:t xml:space="preserve">.e. other factors such as </w:t>
      </w:r>
      <w:r w:rsidR="009E3C2B">
        <w:rPr>
          <w:rFonts w:ascii="Times New Roman" w:hAnsi="Times New Roman" w:cs="Times New Roman"/>
          <w:i/>
          <w:sz w:val="24"/>
          <w:szCs w:val="24"/>
        </w:rPr>
        <w:t>Eleven</w:t>
      </w:r>
      <w:r w:rsidR="0083430F">
        <w:rPr>
          <w:rFonts w:ascii="Times New Roman" w:hAnsi="Times New Roman" w:cs="Times New Roman"/>
          <w:i/>
          <w:sz w:val="24"/>
          <w:szCs w:val="24"/>
        </w:rPr>
        <w:t>Electorate</w:t>
      </w:r>
      <w:r w:rsidR="0083430F">
        <w:rPr>
          <w:rFonts w:ascii="Times New Roman" w:hAnsi="Times New Roman" w:cs="Times New Roman"/>
          <w:sz w:val="24"/>
          <w:szCs w:val="24"/>
        </w:rPr>
        <w:t xml:space="preserve">, as well as the dependent variable </w:t>
      </w:r>
      <w:r w:rsidR="0083430F">
        <w:rPr>
          <w:rFonts w:ascii="Times New Roman" w:hAnsi="Times New Roman" w:cs="Times New Roman"/>
          <w:i/>
          <w:sz w:val="24"/>
          <w:szCs w:val="24"/>
        </w:rPr>
        <w:t>Herfindahl</w:t>
      </w:r>
      <w:r w:rsidR="0083430F">
        <w:rPr>
          <w:rFonts w:ascii="Times New Roman" w:hAnsi="Times New Roman" w:cs="Times New Roman"/>
          <w:sz w:val="24"/>
          <w:szCs w:val="24"/>
        </w:rPr>
        <w:t xml:space="preserve">. (2) </w:t>
      </w:r>
      <w:r w:rsidR="0083430F">
        <w:rPr>
          <w:rFonts w:ascii="Times New Roman" w:hAnsi="Times New Roman" w:cs="Times New Roman"/>
          <w:i/>
          <w:sz w:val="24"/>
          <w:szCs w:val="24"/>
        </w:rPr>
        <w:t>Treatment</w:t>
      </w:r>
      <w:r w:rsidR="0083430F">
        <w:rPr>
          <w:rFonts w:ascii="Times New Roman" w:hAnsi="Times New Roman" w:cs="Times New Roman"/>
          <w:sz w:val="24"/>
          <w:szCs w:val="24"/>
        </w:rPr>
        <w:t xml:space="preserve"> must directly correlated with </w:t>
      </w:r>
      <w:r w:rsidR="0083430F">
        <w:rPr>
          <w:rFonts w:ascii="Times New Roman" w:hAnsi="Times New Roman" w:cs="Times New Roman"/>
          <w:i/>
          <w:sz w:val="24"/>
          <w:szCs w:val="24"/>
        </w:rPr>
        <w:t>Turnout</w:t>
      </w:r>
      <w:r w:rsidR="0083430F">
        <w:rPr>
          <w:rFonts w:ascii="Times New Roman" w:hAnsi="Times New Roman" w:cs="Times New Roman"/>
          <w:sz w:val="24"/>
          <w:szCs w:val="24"/>
        </w:rPr>
        <w:t xml:space="preserve">. Since the objective of this paper is to analyse the effect of the abolishment of compulsory turnout on political competition, the main mechanism through which </w:t>
      </w:r>
      <w:r w:rsidR="0083430F">
        <w:rPr>
          <w:rFonts w:ascii="Times New Roman" w:hAnsi="Times New Roman" w:cs="Times New Roman"/>
          <w:i/>
          <w:sz w:val="24"/>
          <w:szCs w:val="24"/>
        </w:rPr>
        <w:t>Treatment</w:t>
      </w:r>
      <w:r w:rsidR="0083430F">
        <w:rPr>
          <w:rFonts w:ascii="Times New Roman" w:hAnsi="Times New Roman" w:cs="Times New Roman"/>
          <w:sz w:val="24"/>
          <w:szCs w:val="24"/>
        </w:rPr>
        <w:t xml:space="preserve"> affects political competition </w:t>
      </w:r>
      <w:r w:rsidR="0083430F" w:rsidRPr="00F3218B">
        <w:rPr>
          <w:rFonts w:ascii="Times New Roman" w:hAnsi="Times New Roman" w:cs="Times New Roman"/>
          <w:i/>
          <w:sz w:val="24"/>
          <w:szCs w:val="24"/>
        </w:rPr>
        <w:t>should</w:t>
      </w:r>
      <w:r w:rsidR="0083430F">
        <w:rPr>
          <w:rFonts w:ascii="Times New Roman" w:hAnsi="Times New Roman" w:cs="Times New Roman"/>
          <w:sz w:val="24"/>
          <w:szCs w:val="24"/>
        </w:rPr>
        <w:t xml:space="preserve"> </w:t>
      </w:r>
      <w:r w:rsidR="00EF6BAC">
        <w:rPr>
          <w:rFonts w:ascii="Times New Roman" w:hAnsi="Times New Roman" w:cs="Times New Roman"/>
          <w:i/>
          <w:sz w:val="24"/>
          <w:szCs w:val="24"/>
        </w:rPr>
        <w:t xml:space="preserve">primarily </w:t>
      </w:r>
      <w:r w:rsidR="0083430F">
        <w:rPr>
          <w:rFonts w:ascii="Times New Roman" w:hAnsi="Times New Roman" w:cs="Times New Roman"/>
          <w:sz w:val="24"/>
          <w:szCs w:val="24"/>
        </w:rPr>
        <w:t>be through turnout</w:t>
      </w:r>
      <w:r w:rsidR="009E3C2B">
        <w:rPr>
          <w:rFonts w:ascii="Times New Roman" w:hAnsi="Times New Roman" w:cs="Times New Roman"/>
          <w:sz w:val="24"/>
          <w:szCs w:val="24"/>
        </w:rPr>
        <w:t>.</w:t>
      </w:r>
      <w:r w:rsidR="0083430F">
        <w:rPr>
          <w:rFonts w:ascii="Times New Roman" w:hAnsi="Times New Roman" w:cs="Times New Roman"/>
          <w:sz w:val="24"/>
          <w:szCs w:val="24"/>
        </w:rPr>
        <w:t xml:space="preserve"> The estimated effect of </w:t>
      </w:r>
      <w:r w:rsidR="0083430F">
        <w:rPr>
          <w:rFonts w:ascii="Times New Roman" w:hAnsi="Times New Roman" w:cs="Times New Roman"/>
          <w:i/>
          <w:sz w:val="24"/>
          <w:szCs w:val="24"/>
        </w:rPr>
        <w:t xml:space="preserve">Turnout </w:t>
      </w:r>
      <w:r w:rsidR="0083430F">
        <w:rPr>
          <w:rFonts w:ascii="Times New Roman" w:hAnsi="Times New Roman" w:cs="Times New Roman"/>
          <w:sz w:val="24"/>
          <w:szCs w:val="24"/>
        </w:rPr>
        <w:t xml:space="preserve">in this case then exhibits how it affects the </w:t>
      </w:r>
      <w:r w:rsidR="0083430F">
        <w:rPr>
          <w:rFonts w:ascii="Times New Roman" w:hAnsi="Times New Roman" w:cs="Times New Roman"/>
          <w:i/>
          <w:sz w:val="24"/>
          <w:szCs w:val="24"/>
        </w:rPr>
        <w:t>Herfindahl</w:t>
      </w:r>
      <w:r w:rsidR="0083430F">
        <w:rPr>
          <w:rFonts w:ascii="Times New Roman" w:hAnsi="Times New Roman" w:cs="Times New Roman"/>
          <w:sz w:val="24"/>
          <w:szCs w:val="24"/>
        </w:rPr>
        <w:t xml:space="preserve"> with respect to its own variation as is predicted with its correlation with </w:t>
      </w:r>
      <w:r w:rsidR="0083430F">
        <w:rPr>
          <w:rFonts w:ascii="Times New Roman" w:hAnsi="Times New Roman" w:cs="Times New Roman"/>
          <w:i/>
          <w:sz w:val="24"/>
          <w:szCs w:val="24"/>
        </w:rPr>
        <w:t>Treatment</w:t>
      </w:r>
      <w:r w:rsidR="0083430F">
        <w:rPr>
          <w:rFonts w:ascii="Times New Roman" w:hAnsi="Times New Roman" w:cs="Times New Roman"/>
          <w:sz w:val="24"/>
          <w:szCs w:val="24"/>
        </w:rPr>
        <w:t xml:space="preserve">. If the above two conditions are fulfilled – and there appears to be no immediate reason them not to be – TSLS provides a key opportunity wherein </w:t>
      </w:r>
      <w:r w:rsidR="0083430F">
        <w:rPr>
          <w:rFonts w:ascii="Times New Roman" w:hAnsi="Times New Roman" w:cs="Times New Roman"/>
          <w:i/>
          <w:sz w:val="24"/>
          <w:szCs w:val="24"/>
        </w:rPr>
        <w:t xml:space="preserve">Treatment </w:t>
      </w:r>
      <w:r w:rsidR="0083430F">
        <w:rPr>
          <w:rFonts w:ascii="Times New Roman" w:hAnsi="Times New Roman" w:cs="Times New Roman"/>
          <w:sz w:val="24"/>
          <w:szCs w:val="24"/>
        </w:rPr>
        <w:t>acts as a source of exogeneity</w:t>
      </w:r>
      <w:r w:rsidR="009E3C2B">
        <w:rPr>
          <w:rFonts w:ascii="Times New Roman" w:hAnsi="Times New Roman" w:cs="Times New Roman"/>
          <w:sz w:val="24"/>
          <w:szCs w:val="24"/>
        </w:rPr>
        <w:t xml:space="preserve">. As can be noted earlier, </w:t>
      </w:r>
      <w:r w:rsidR="009E3C2B">
        <w:rPr>
          <w:rFonts w:ascii="Times New Roman" w:hAnsi="Times New Roman" w:cs="Times New Roman"/>
          <w:i/>
          <w:sz w:val="24"/>
          <w:szCs w:val="24"/>
        </w:rPr>
        <w:t xml:space="preserve">Treatment </w:t>
      </w:r>
      <w:r w:rsidR="009E3C2B">
        <w:rPr>
          <w:rFonts w:ascii="Times New Roman" w:hAnsi="Times New Roman" w:cs="Times New Roman"/>
          <w:sz w:val="24"/>
          <w:szCs w:val="24"/>
        </w:rPr>
        <w:t xml:space="preserve">was largely ignored when estimating via OLS or FE models. </w:t>
      </w:r>
      <w:r w:rsidR="00F93733">
        <w:rPr>
          <w:rFonts w:ascii="Times New Roman" w:hAnsi="Times New Roman" w:cs="Times New Roman"/>
          <w:sz w:val="24"/>
          <w:szCs w:val="24"/>
        </w:rPr>
        <w:t xml:space="preserve">However, this </w:t>
      </w:r>
      <w:r w:rsidR="00EF6BAC">
        <w:rPr>
          <w:rFonts w:ascii="Times New Roman" w:hAnsi="Times New Roman" w:cs="Times New Roman"/>
          <w:sz w:val="24"/>
          <w:szCs w:val="24"/>
        </w:rPr>
        <w:t xml:space="preserve">is </w:t>
      </w:r>
      <w:r w:rsidR="00F93733">
        <w:rPr>
          <w:rFonts w:ascii="Times New Roman" w:hAnsi="Times New Roman" w:cs="Times New Roman"/>
          <w:sz w:val="24"/>
          <w:szCs w:val="24"/>
        </w:rPr>
        <w:t xml:space="preserve">in fact to the benefit of TSLS estimation, in that </w:t>
      </w:r>
      <w:r w:rsidR="00A65E68">
        <w:rPr>
          <w:rFonts w:ascii="Times New Roman" w:hAnsi="Times New Roman" w:cs="Times New Roman"/>
          <w:sz w:val="24"/>
          <w:szCs w:val="24"/>
        </w:rPr>
        <w:t xml:space="preserve">it </w:t>
      </w:r>
      <w:r w:rsidR="009E3C2B">
        <w:rPr>
          <w:rFonts w:ascii="Times New Roman" w:hAnsi="Times New Roman" w:cs="Times New Roman"/>
          <w:sz w:val="24"/>
          <w:szCs w:val="24"/>
        </w:rPr>
        <w:t xml:space="preserve">primarily considers </w:t>
      </w:r>
      <w:r w:rsidR="009E3C2B">
        <w:rPr>
          <w:rFonts w:ascii="Times New Roman" w:hAnsi="Times New Roman" w:cs="Times New Roman"/>
          <w:i/>
          <w:sz w:val="24"/>
          <w:szCs w:val="24"/>
        </w:rPr>
        <w:t xml:space="preserve">Turnout </w:t>
      </w:r>
      <w:r w:rsidR="009E3C2B">
        <w:rPr>
          <w:rFonts w:ascii="Times New Roman" w:hAnsi="Times New Roman" w:cs="Times New Roman"/>
          <w:sz w:val="24"/>
          <w:szCs w:val="24"/>
        </w:rPr>
        <w:t xml:space="preserve">to be the mechanism through which the exogenous policy change affects outcomes. </w:t>
      </w:r>
      <w:r w:rsidR="00EF6BAC">
        <w:rPr>
          <w:rFonts w:ascii="Times New Roman" w:hAnsi="Times New Roman" w:cs="Times New Roman"/>
          <w:sz w:val="24"/>
          <w:szCs w:val="24"/>
        </w:rPr>
        <w:t xml:space="preserve">Furthermore, another benefit of using TSLS estimation is that the results are typically considered to be robust to the problem of endogeneity, as long as the assumptions of the </w:t>
      </w:r>
      <w:r w:rsidR="00EF6BAC">
        <w:rPr>
          <w:rFonts w:ascii="Times New Roman" w:hAnsi="Times New Roman" w:cs="Times New Roman"/>
          <w:i/>
          <w:sz w:val="24"/>
          <w:szCs w:val="24"/>
        </w:rPr>
        <w:t>Treatment’s</w:t>
      </w:r>
      <w:r w:rsidR="00EF6BAC">
        <w:rPr>
          <w:rFonts w:ascii="Times New Roman" w:hAnsi="Times New Roman" w:cs="Times New Roman"/>
          <w:sz w:val="24"/>
          <w:szCs w:val="24"/>
        </w:rPr>
        <w:t xml:space="preserve"> role as a valid instrument hold. This implies that TSLS presents itself as a quite formidable competitor to the prior OLS and FE methods. </w:t>
      </w:r>
    </w:p>
    <w:p w:rsidR="00802002" w:rsidRDefault="007C3185" w:rsidP="005A08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precise </w:t>
      </w:r>
      <w:r w:rsidR="00802002">
        <w:rPr>
          <w:rFonts w:ascii="Times New Roman" w:hAnsi="Times New Roman" w:cs="Times New Roman"/>
          <w:sz w:val="24"/>
          <w:szCs w:val="24"/>
        </w:rPr>
        <w:t xml:space="preserve">methodology under which the TSLS results are estimated are unfortunately not explicitly shown by the statistical estimation software used in this paper – Eviews 8. </w:t>
      </w:r>
      <w:r w:rsidR="007D5509">
        <w:rPr>
          <w:rFonts w:ascii="Times New Roman" w:hAnsi="Times New Roman" w:cs="Times New Roman"/>
          <w:sz w:val="24"/>
          <w:szCs w:val="24"/>
        </w:rPr>
        <w:t>Nonetheless</w:t>
      </w:r>
      <w:r w:rsidR="00802002">
        <w:rPr>
          <w:rFonts w:ascii="Times New Roman" w:hAnsi="Times New Roman" w:cs="Times New Roman"/>
          <w:sz w:val="24"/>
          <w:szCs w:val="24"/>
        </w:rPr>
        <w:t xml:space="preserve">, in order to provide a deeper explanation of the inner-workings of TSLS, the following equation represents the first stage of TSLS estimation: </w:t>
      </w:r>
    </w:p>
    <w:p w:rsidR="007C3185" w:rsidRDefault="00802002" w:rsidP="005A081B">
      <w:pPr>
        <w:spacing w:line="36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Turnout (</w:t>
      </w:r>
      <m:oMath>
        <m:acc>
          <m:accPr>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hAnsi="Times New Roman" w:cs="Times New Roman"/>
          <w:i/>
          <w:sz w:val="24"/>
          <w:szCs w:val="24"/>
        </w:rPr>
        <w:t>) = 0.9476 – 0.1681*Treatment (z) + ϵ</w:t>
      </w:r>
    </w:p>
    <w:p w:rsidR="00F3218B" w:rsidRDefault="00F3218B">
      <w:pPr>
        <w:rPr>
          <w:rFonts w:ascii="Times New Roman" w:hAnsi="Times New Roman" w:cs="Times New Roman"/>
          <w:sz w:val="24"/>
          <w:szCs w:val="24"/>
        </w:rPr>
      </w:pPr>
      <w:r>
        <w:rPr>
          <w:rFonts w:ascii="Times New Roman" w:hAnsi="Times New Roman" w:cs="Times New Roman"/>
          <w:sz w:val="24"/>
          <w:szCs w:val="24"/>
        </w:rPr>
        <w:br w:type="page"/>
      </w:r>
    </w:p>
    <w:p w:rsidR="00802002" w:rsidRDefault="00802002" w:rsidP="005A081B">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Where </w:t>
      </w:r>
      <m:oMath>
        <m:acc>
          <m:accPr>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implies that the values of </w:t>
      </w:r>
      <w:r>
        <w:rPr>
          <w:rFonts w:ascii="Times New Roman" w:eastAsiaTheme="minorEastAsia" w:hAnsi="Times New Roman" w:cs="Times New Roman"/>
          <w:i/>
          <w:sz w:val="24"/>
          <w:szCs w:val="24"/>
        </w:rPr>
        <w:t xml:space="preserve">x </w:t>
      </w:r>
      <w:r>
        <w:rPr>
          <w:rFonts w:ascii="Times New Roman" w:eastAsiaTheme="minorEastAsia" w:hAnsi="Times New Roman" w:cs="Times New Roman"/>
          <w:sz w:val="24"/>
          <w:szCs w:val="24"/>
        </w:rPr>
        <w:t xml:space="preserve">are estimated using the above regression equation. The following step two is the one in particular that Eviews 8 does not show. The values of </w:t>
      </w:r>
      <m:oMath>
        <m:acc>
          <m:accPr>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are then used in the second stage as follows: </w:t>
      </w:r>
    </w:p>
    <w:p w:rsidR="00802002" w:rsidRDefault="00802002" w:rsidP="005A081B">
      <w:pPr>
        <w:spacing w:line="360" w:lineRule="auto"/>
        <w:jc w:val="center"/>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Herfindahl (y) =</w:t>
      </w:r>
      <w:r w:rsidR="006538D2">
        <w:rPr>
          <w:rFonts w:ascii="Times New Roman" w:eastAsiaTheme="minorEastAsia" w:hAnsi="Times New Roman" w:cs="Times New Roman"/>
          <w:i/>
          <w:sz w:val="24"/>
          <w:szCs w:val="24"/>
        </w:rPr>
        <w:t xml:space="preserve"> c +</w:t>
      </w:r>
      <w:r>
        <w:rPr>
          <w:rFonts w:ascii="Times New Roman" w:eastAsiaTheme="minorEastAsia" w:hAnsi="Times New Roman" w:cs="Times New Roman"/>
          <w:i/>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TSLS</m:t>
            </m:r>
          </m:sub>
        </m:sSub>
        <m:r>
          <w:rPr>
            <w:rFonts w:ascii="Cambria Math" w:eastAsiaTheme="minorEastAsia"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i/>
          <w:sz w:val="24"/>
          <w:szCs w:val="24"/>
        </w:rPr>
        <w:t xml:space="preserve"> + ϵ</w:t>
      </w:r>
    </w:p>
    <w:p w:rsidR="00802002" w:rsidRDefault="006538D2" w:rsidP="005A081B">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Wherein the value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TSLS</m:t>
            </m:r>
          </m:sub>
        </m:sSub>
      </m:oMath>
      <w:r>
        <w:rPr>
          <w:rFonts w:ascii="Times New Roman" w:eastAsiaTheme="minorEastAsia" w:hAnsi="Times New Roman" w:cs="Times New Roman"/>
          <w:sz w:val="24"/>
          <w:szCs w:val="24"/>
        </w:rPr>
        <w:t xml:space="preserve"> is given by the</w:t>
      </w:r>
      <w:r w:rsidR="00EE32F8">
        <w:rPr>
          <w:rFonts w:ascii="Times New Roman" w:eastAsiaTheme="minorEastAsia" w:hAnsi="Times New Roman" w:cs="Times New Roman"/>
          <w:sz w:val="24"/>
          <w:szCs w:val="24"/>
        </w:rPr>
        <w:t xml:space="preserve"> </w:t>
      </w:r>
      <w:r w:rsidR="00EE32F8" w:rsidRPr="00EF6BAC">
        <w:rPr>
          <w:rFonts w:ascii="Times New Roman" w:eastAsiaTheme="minorEastAsia" w:hAnsi="Times New Roman" w:cs="Times New Roman"/>
          <w:sz w:val="24"/>
          <w:szCs w:val="24"/>
        </w:rPr>
        <w:t>linear</w:t>
      </w:r>
      <w:r w:rsidR="00EF6BAC" w:rsidRPr="00EF6BAC">
        <w:rPr>
          <w:rFonts w:ascii="Times New Roman" w:eastAsiaTheme="minorEastAsia" w:hAnsi="Times New Roman" w:cs="Times New Roman"/>
          <w:sz w:val="24"/>
          <w:szCs w:val="24"/>
        </w:rPr>
        <w:t xml:space="preserve"> TSLS objective</w:t>
      </w:r>
      <w:r w:rsidR="00EE32F8" w:rsidRPr="00EF6BAC">
        <w:rPr>
          <w:rFonts w:ascii="Times New Roman" w:eastAsiaTheme="minorEastAsia" w:hAnsi="Times New Roman" w:cs="Times New Roman"/>
          <w:sz w:val="24"/>
          <w:szCs w:val="24"/>
        </w:rPr>
        <w:t xml:space="preserve"> function</w:t>
      </w:r>
      <w:r>
        <w:rPr>
          <w:rFonts w:ascii="Times New Roman" w:eastAsiaTheme="minorEastAsia" w:hAnsi="Times New Roman" w:cs="Times New Roman"/>
          <w:sz w:val="24"/>
          <w:szCs w:val="24"/>
        </w:rPr>
        <w:t xml:space="preserve"> equation</w:t>
      </w:r>
      <w:r w:rsidR="00272BF2">
        <w:rPr>
          <w:rFonts w:ascii="Times New Roman" w:eastAsiaTheme="minorEastAsia" w:hAnsi="Times New Roman" w:cs="Times New Roman"/>
          <w:sz w:val="24"/>
          <w:szCs w:val="24"/>
        </w:rPr>
        <w:t xml:space="preserve"> as calculated by Eviews</w:t>
      </w:r>
      <w:r>
        <w:rPr>
          <w:rFonts w:ascii="Times New Roman" w:eastAsiaTheme="minorEastAsia" w:hAnsi="Times New Roman" w:cs="Times New Roman"/>
          <w:sz w:val="24"/>
          <w:szCs w:val="24"/>
        </w:rPr>
        <w:t xml:space="preserve">: </w:t>
      </w:r>
    </w:p>
    <w:p w:rsidR="006538D2" w:rsidRPr="005A081B" w:rsidRDefault="00673C5D" w:rsidP="005A081B">
      <w:pPr>
        <w:spacing w:line="360" w:lineRule="auto"/>
        <w:jc w:val="both"/>
        <w:rPr>
          <w:rFonts w:ascii="Times New Roman" w:eastAsiaTheme="minorEastAsia" w:hAnsi="Times New Roman"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TSLS</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num>
            <m:den>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den>
          </m:f>
        </m:oMath>
      </m:oMathPara>
    </w:p>
    <w:p w:rsidR="00272BF2" w:rsidRDefault="00272BF2" w:rsidP="005A081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Which, when simplified can be computed as: </w:t>
      </w:r>
    </w:p>
    <w:p w:rsidR="00272BF2" w:rsidRPr="005A081B" w:rsidRDefault="00673C5D" w:rsidP="005A081B">
      <w:pPr>
        <w:spacing w:line="360" w:lineRule="auto"/>
        <w:jc w:val="both"/>
        <w:rPr>
          <w:rFonts w:ascii="Times New Roman" w:eastAsiaTheme="minorEastAsia" w:hAnsi="Times New Roman"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TSLS</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dz</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dz</m:t>
                  </m:r>
                </m:num>
                <m:den>
                  <m:r>
                    <w:rPr>
                      <w:rFonts w:ascii="Cambria Math" w:eastAsiaTheme="minorEastAsia" w:hAnsi="Cambria Math" w:cs="Times New Roman"/>
                      <w:sz w:val="24"/>
                      <w:szCs w:val="24"/>
                    </w:rPr>
                    <m:t>dx</m:t>
                  </m:r>
                </m:den>
              </m:f>
            </m:e>
          </m:d>
        </m:oMath>
      </m:oMathPara>
    </w:p>
    <w:p w:rsidR="00272BF2" w:rsidRPr="005A081B" w:rsidRDefault="00673C5D" w:rsidP="005A081B">
      <w:pPr>
        <w:spacing w:line="360" w:lineRule="auto"/>
        <w:jc w:val="both"/>
        <w:rPr>
          <w:rFonts w:ascii="Times New Roman" w:eastAsiaTheme="minorEastAsia" w:hAnsi="Times New Roman"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TSLS</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dz</m:t>
                      </m:r>
                    </m:den>
                  </m:f>
                </m:e>
              </m:d>
            </m:num>
            <m:den>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dx</m:t>
                      </m:r>
                    </m:num>
                    <m:den>
                      <m:r>
                        <w:rPr>
                          <w:rFonts w:ascii="Cambria Math" w:eastAsiaTheme="minorEastAsia" w:hAnsi="Cambria Math" w:cs="Times New Roman"/>
                          <w:sz w:val="24"/>
                          <w:szCs w:val="24"/>
                        </w:rPr>
                        <m:t>dz</m:t>
                      </m:r>
                    </m:den>
                  </m:f>
                </m:e>
              </m:d>
            </m:den>
          </m:f>
        </m:oMath>
      </m:oMathPara>
    </w:p>
    <w:p w:rsidR="004956EE" w:rsidRPr="005A081B" w:rsidRDefault="00272BF2" w:rsidP="005A081B">
      <w:pPr>
        <w:spacing w:line="360" w:lineRule="auto"/>
        <w:jc w:val="both"/>
        <w:rPr>
          <w:rFonts w:ascii="Times New Roman" w:eastAsiaTheme="minorEastAsia" w:hAnsi="Times New Roman" w:cs="Times New Roman"/>
          <w:sz w:val="24"/>
          <w:szCs w:val="24"/>
        </w:rPr>
        <w:sectPr w:rsidR="004956EE" w:rsidRPr="005A081B">
          <w:footerReference w:type="default" r:id="rId9"/>
          <w:pgSz w:w="11906" w:h="16838"/>
          <w:pgMar w:top="1440" w:right="1440" w:bottom="1440" w:left="1440" w:header="708" w:footer="708" w:gutter="0"/>
          <w:cols w:space="708"/>
          <w:docGrid w:linePitch="360"/>
        </w:sectPr>
      </w:pPr>
      <w:r>
        <w:rPr>
          <w:rFonts w:ascii="Times New Roman" w:eastAsiaTheme="minorEastAsia" w:hAnsi="Times New Roman" w:cs="Times New Roman"/>
          <w:sz w:val="24"/>
          <w:szCs w:val="24"/>
        </w:rPr>
        <w:t xml:space="preserve">Where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dz</m:t>
                </m:r>
              </m:den>
            </m:f>
          </m:e>
        </m:d>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and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dx</m:t>
                </m:r>
              </m:num>
              <m:den>
                <m:r>
                  <w:rPr>
                    <w:rFonts w:ascii="Cambria Math" w:eastAsiaTheme="minorEastAsia" w:hAnsi="Cambria Math" w:cs="Times New Roman"/>
                    <w:sz w:val="24"/>
                    <w:szCs w:val="24"/>
                  </w:rPr>
                  <m:t>dz</m:t>
                </m:r>
              </m:den>
            </m:f>
          </m:e>
        </m:d>
      </m:oMath>
      <w:r w:rsidR="00F3218B">
        <w:rPr>
          <w:rFonts w:ascii="Times New Roman" w:eastAsiaTheme="minorEastAsia" w:hAnsi="Times New Roman" w:cs="Times New Roman"/>
          <w:sz w:val="24"/>
          <w:szCs w:val="24"/>
        </w:rPr>
        <w:t xml:space="preserve"> are</w:t>
      </w:r>
      <w:r>
        <w:rPr>
          <w:rFonts w:ascii="Times New Roman" w:eastAsiaTheme="minorEastAsia" w:hAnsi="Times New Roman" w:cs="Times New Roman"/>
          <w:sz w:val="24"/>
          <w:szCs w:val="24"/>
        </w:rPr>
        <w:t xml:space="preserve"> equivalent to the coefficients of the regressions of y regressed on z and x regressed on z respectively.</w:t>
      </w:r>
      <w:r w:rsidR="00F41D1C">
        <w:rPr>
          <w:rFonts w:ascii="Times New Roman" w:eastAsiaTheme="minorEastAsia" w:hAnsi="Times New Roman" w:cs="Times New Roman"/>
          <w:sz w:val="24"/>
          <w:szCs w:val="24"/>
        </w:rPr>
        <w:t xml:space="preserve"> Using this definition of the value of</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TSLS</m:t>
            </m:r>
          </m:sub>
        </m:sSub>
      </m:oMath>
      <w:r w:rsidR="00F41D1C">
        <w:rPr>
          <w:rFonts w:ascii="Times New Roman" w:eastAsiaTheme="minorEastAsia" w:hAnsi="Times New Roman" w:cs="Times New Roman"/>
          <w:sz w:val="24"/>
          <w:szCs w:val="24"/>
        </w:rPr>
        <w:t>, its value can be estimated manually without relying on the TSLS function used by Eviews which simply computes the two stages directly. The two regressions mentioned above are as follows</w:t>
      </w:r>
      <w:r w:rsidR="004956EE">
        <w:rPr>
          <w:rFonts w:ascii="Times New Roman" w:eastAsiaTheme="minorEastAsia" w:hAnsi="Times New Roman" w:cs="Times New Roman"/>
          <w:sz w:val="24"/>
          <w:szCs w:val="24"/>
        </w:rPr>
        <w:t>:</w:t>
      </w:r>
    </w:p>
    <w:tbl>
      <w:tblPr>
        <w:tblW w:w="3402" w:type="dxa"/>
        <w:tblLook w:val="04A0" w:firstRow="1" w:lastRow="0" w:firstColumn="1" w:lastColumn="0" w:noHBand="0" w:noVBand="1"/>
      </w:tblPr>
      <w:tblGrid>
        <w:gridCol w:w="1330"/>
        <w:gridCol w:w="2114"/>
      </w:tblGrid>
      <w:tr w:rsidR="00F41D1C" w:rsidRPr="004D3F4F" w:rsidTr="00F41D1C">
        <w:trPr>
          <w:trHeight w:val="300"/>
        </w:trPr>
        <w:tc>
          <w:tcPr>
            <w:tcW w:w="3402" w:type="dxa"/>
            <w:gridSpan w:val="2"/>
            <w:tcBorders>
              <w:top w:val="nil"/>
              <w:left w:val="nil"/>
              <w:bottom w:val="nil"/>
              <w:right w:val="nil"/>
            </w:tcBorders>
            <w:shd w:val="clear" w:color="auto" w:fill="auto"/>
            <w:noWrap/>
            <w:vAlign w:val="bottom"/>
            <w:hideMark/>
          </w:tcPr>
          <w:p w:rsidR="00F41D1C" w:rsidRPr="004D3F4F" w:rsidRDefault="00F41D1C" w:rsidP="005A081B">
            <w:pPr>
              <w:spacing w:after="0" w:line="240" w:lineRule="auto"/>
              <w:rPr>
                <w:rFonts w:ascii="Calibri" w:eastAsia="Times New Roman" w:hAnsi="Calibri" w:cs="Times New Roman"/>
                <w:i/>
                <w:iCs/>
                <w:color w:val="000000"/>
                <w:lang w:eastAsia="en-GB"/>
              </w:rPr>
            </w:pPr>
            <w:r>
              <w:rPr>
                <w:rFonts w:ascii="Calibri" w:eastAsia="Times New Roman" w:hAnsi="Calibri" w:cs="Times New Roman"/>
                <w:b/>
                <w:bCs/>
                <w:color w:val="000000"/>
                <w:lang w:eastAsia="en-GB"/>
              </w:rPr>
              <w:t>Dependent Variable</w:t>
            </w:r>
            <w:r>
              <w:rPr>
                <w:rFonts w:ascii="Calibri" w:eastAsia="Times New Roman" w:hAnsi="Calibri" w:cs="Times New Roman"/>
                <w:bCs/>
                <w:color w:val="000000"/>
                <w:lang w:eastAsia="en-GB"/>
              </w:rPr>
              <w:t xml:space="preserve">: </w:t>
            </w:r>
            <w:r>
              <w:rPr>
                <w:rFonts w:ascii="Calibri" w:eastAsia="Times New Roman" w:hAnsi="Calibri" w:cs="Times New Roman"/>
                <w:bCs/>
                <w:i/>
                <w:color w:val="000000"/>
                <w:lang w:eastAsia="en-GB"/>
              </w:rPr>
              <w:t>Herfindahl (y)</w:t>
            </w:r>
          </w:p>
        </w:tc>
      </w:tr>
      <w:tr w:rsidR="00F41D1C" w:rsidRPr="00A65E68" w:rsidTr="00F41D1C">
        <w:trPr>
          <w:trHeight w:val="300"/>
        </w:trPr>
        <w:tc>
          <w:tcPr>
            <w:tcW w:w="1288" w:type="dxa"/>
            <w:tcBorders>
              <w:top w:val="single" w:sz="4" w:space="0" w:color="4F81BD"/>
              <w:left w:val="nil"/>
              <w:bottom w:val="single" w:sz="4" w:space="0" w:color="4F81BD"/>
              <w:right w:val="nil"/>
            </w:tcBorders>
            <w:shd w:val="clear" w:color="000000" w:fill="FFFFFF"/>
            <w:noWrap/>
            <w:vAlign w:val="bottom"/>
            <w:hideMark/>
          </w:tcPr>
          <w:p w:rsidR="00F41D1C" w:rsidRPr="00A65E68" w:rsidRDefault="00F41D1C" w:rsidP="005A081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Variable</w:t>
            </w:r>
          </w:p>
        </w:tc>
        <w:tc>
          <w:tcPr>
            <w:tcW w:w="2114" w:type="dxa"/>
            <w:tcBorders>
              <w:top w:val="single" w:sz="4" w:space="0" w:color="4F81BD"/>
              <w:left w:val="nil"/>
              <w:bottom w:val="single" w:sz="4" w:space="0" w:color="4F81BD"/>
              <w:right w:val="nil"/>
            </w:tcBorders>
            <w:shd w:val="clear" w:color="000000" w:fill="FFFFFF"/>
            <w:noWrap/>
            <w:vAlign w:val="bottom"/>
            <w:hideMark/>
          </w:tcPr>
          <w:p w:rsidR="00F41D1C" w:rsidRPr="00A65E68" w:rsidRDefault="00F41D1C" w:rsidP="005A081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Coefficient</w:t>
            </w:r>
          </w:p>
        </w:tc>
      </w:tr>
      <w:tr w:rsidR="00F41D1C" w:rsidRPr="00A65E68" w:rsidTr="00F41D1C">
        <w:trPr>
          <w:trHeight w:val="300"/>
        </w:trPr>
        <w:tc>
          <w:tcPr>
            <w:tcW w:w="1288" w:type="dxa"/>
            <w:tcBorders>
              <w:top w:val="nil"/>
              <w:left w:val="nil"/>
              <w:bottom w:val="nil"/>
              <w:right w:val="nil"/>
            </w:tcBorders>
            <w:shd w:val="clear" w:color="000000" w:fill="FFFFFF"/>
            <w:noWrap/>
            <w:vAlign w:val="bottom"/>
            <w:hideMark/>
          </w:tcPr>
          <w:p w:rsidR="00F41D1C" w:rsidRPr="00A65E68" w:rsidRDefault="00F41D1C" w:rsidP="005A081B">
            <w:pPr>
              <w:spacing w:after="0" w:line="240" w:lineRule="auto"/>
              <w:rPr>
                <w:rFonts w:ascii="Calibri" w:eastAsia="Times New Roman" w:hAnsi="Calibri" w:cs="Times New Roman"/>
                <w:i/>
                <w:iCs/>
                <w:color w:val="0D0D0D" w:themeColor="text1" w:themeTint="F2"/>
                <w:lang w:eastAsia="en-GB"/>
              </w:rPr>
            </w:pPr>
            <w:r w:rsidRPr="00A65E68">
              <w:rPr>
                <w:rFonts w:ascii="Calibri" w:eastAsia="Times New Roman" w:hAnsi="Calibri" w:cs="Times New Roman"/>
                <w:i/>
                <w:iCs/>
                <w:color w:val="0D0D0D" w:themeColor="text1" w:themeTint="F2"/>
                <w:lang w:eastAsia="en-GB"/>
              </w:rPr>
              <w:t>C</w:t>
            </w:r>
          </w:p>
        </w:tc>
        <w:tc>
          <w:tcPr>
            <w:tcW w:w="2114" w:type="dxa"/>
            <w:tcBorders>
              <w:top w:val="nil"/>
              <w:left w:val="nil"/>
              <w:bottom w:val="nil"/>
              <w:right w:val="nil"/>
            </w:tcBorders>
            <w:shd w:val="clear" w:color="000000" w:fill="FFFFFF"/>
            <w:noWrap/>
            <w:vAlign w:val="bottom"/>
            <w:hideMark/>
          </w:tcPr>
          <w:p w:rsidR="00F41D1C" w:rsidRPr="00A65E68" w:rsidRDefault="00F41D1C" w:rsidP="005A081B">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0.430135</w:t>
            </w:r>
          </w:p>
        </w:tc>
      </w:tr>
      <w:tr w:rsidR="00F41D1C" w:rsidRPr="00A65E68" w:rsidTr="00F41D1C">
        <w:trPr>
          <w:trHeight w:val="300"/>
        </w:trPr>
        <w:tc>
          <w:tcPr>
            <w:tcW w:w="1288" w:type="dxa"/>
            <w:tcBorders>
              <w:top w:val="nil"/>
              <w:left w:val="nil"/>
              <w:bottom w:val="single" w:sz="4" w:space="0" w:color="4F81BD"/>
              <w:right w:val="nil"/>
            </w:tcBorders>
            <w:shd w:val="clear" w:color="000000" w:fill="FFFFFF"/>
            <w:noWrap/>
            <w:vAlign w:val="bottom"/>
            <w:hideMark/>
          </w:tcPr>
          <w:p w:rsidR="00F41D1C" w:rsidRPr="00A65E68" w:rsidRDefault="00F41D1C" w:rsidP="005A081B">
            <w:pPr>
              <w:spacing w:after="0" w:line="240" w:lineRule="auto"/>
              <w:rPr>
                <w:rFonts w:ascii="Calibri" w:eastAsia="Times New Roman" w:hAnsi="Calibri" w:cs="Times New Roman"/>
                <w:i/>
                <w:iCs/>
                <w:color w:val="0D0D0D" w:themeColor="text1" w:themeTint="F2"/>
                <w:lang w:eastAsia="en-GB"/>
              </w:rPr>
            </w:pPr>
            <w:r>
              <w:rPr>
                <w:rFonts w:ascii="Calibri" w:eastAsia="Times New Roman" w:hAnsi="Calibri" w:cs="Times New Roman"/>
                <w:i/>
                <w:iCs/>
                <w:color w:val="0D0D0D" w:themeColor="text1" w:themeTint="F2"/>
                <w:lang w:eastAsia="en-GB"/>
              </w:rPr>
              <w:t>TREATMENT</w:t>
            </w:r>
          </w:p>
        </w:tc>
        <w:tc>
          <w:tcPr>
            <w:tcW w:w="2114" w:type="dxa"/>
            <w:tcBorders>
              <w:top w:val="nil"/>
              <w:left w:val="nil"/>
              <w:bottom w:val="single" w:sz="4" w:space="0" w:color="4F81BD"/>
              <w:right w:val="nil"/>
            </w:tcBorders>
            <w:shd w:val="clear" w:color="000000" w:fill="FFFFFF"/>
            <w:noWrap/>
            <w:vAlign w:val="bottom"/>
            <w:hideMark/>
          </w:tcPr>
          <w:p w:rsidR="00F41D1C" w:rsidRPr="00A65E68" w:rsidRDefault="00F41D1C" w:rsidP="005A081B">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-0.115101</w:t>
            </w:r>
          </w:p>
        </w:tc>
      </w:tr>
    </w:tbl>
    <w:p w:rsidR="00F41D1C" w:rsidRDefault="00F41D1C" w:rsidP="005A081B">
      <w:pPr>
        <w:spacing w:line="360" w:lineRule="auto"/>
        <w:jc w:val="both"/>
        <w:rPr>
          <w:rFonts w:ascii="Times New Roman" w:eastAsiaTheme="minorEastAsia" w:hAnsi="Times New Roman" w:cs="Times New Roman"/>
          <w:sz w:val="24"/>
          <w:szCs w:val="24"/>
        </w:rPr>
      </w:pPr>
    </w:p>
    <w:tbl>
      <w:tblPr>
        <w:tblW w:w="3402" w:type="dxa"/>
        <w:jc w:val="right"/>
        <w:tblLook w:val="04A0" w:firstRow="1" w:lastRow="0" w:firstColumn="1" w:lastColumn="0" w:noHBand="0" w:noVBand="1"/>
      </w:tblPr>
      <w:tblGrid>
        <w:gridCol w:w="1330"/>
        <w:gridCol w:w="2114"/>
      </w:tblGrid>
      <w:tr w:rsidR="00F41D1C" w:rsidRPr="004D3F4F" w:rsidTr="00F41D1C">
        <w:trPr>
          <w:trHeight w:val="300"/>
          <w:jc w:val="right"/>
        </w:trPr>
        <w:tc>
          <w:tcPr>
            <w:tcW w:w="3402" w:type="dxa"/>
            <w:gridSpan w:val="2"/>
            <w:tcBorders>
              <w:top w:val="nil"/>
              <w:left w:val="nil"/>
              <w:bottom w:val="nil"/>
              <w:right w:val="nil"/>
            </w:tcBorders>
            <w:shd w:val="clear" w:color="auto" w:fill="auto"/>
            <w:noWrap/>
            <w:vAlign w:val="bottom"/>
            <w:hideMark/>
          </w:tcPr>
          <w:p w:rsidR="00F41D1C" w:rsidRPr="004D3F4F" w:rsidRDefault="00F41D1C" w:rsidP="005A081B">
            <w:pPr>
              <w:spacing w:after="0" w:line="240" w:lineRule="auto"/>
              <w:rPr>
                <w:rFonts w:ascii="Calibri" w:eastAsia="Times New Roman" w:hAnsi="Calibri" w:cs="Times New Roman"/>
                <w:i/>
                <w:iCs/>
                <w:color w:val="000000"/>
                <w:lang w:eastAsia="en-GB"/>
              </w:rPr>
            </w:pPr>
            <w:r>
              <w:rPr>
                <w:rFonts w:ascii="Calibri" w:eastAsia="Times New Roman" w:hAnsi="Calibri" w:cs="Times New Roman"/>
                <w:b/>
                <w:bCs/>
                <w:color w:val="000000"/>
                <w:lang w:eastAsia="en-GB"/>
              </w:rPr>
              <w:t>Dependent Variable</w:t>
            </w:r>
            <w:r>
              <w:rPr>
                <w:rFonts w:ascii="Calibri" w:eastAsia="Times New Roman" w:hAnsi="Calibri" w:cs="Times New Roman"/>
                <w:bCs/>
                <w:color w:val="000000"/>
                <w:lang w:eastAsia="en-GB"/>
              </w:rPr>
              <w:t xml:space="preserve">: </w:t>
            </w:r>
            <w:r>
              <w:rPr>
                <w:rFonts w:ascii="Calibri" w:eastAsia="Times New Roman" w:hAnsi="Calibri" w:cs="Times New Roman"/>
                <w:bCs/>
                <w:i/>
                <w:color w:val="000000"/>
                <w:lang w:eastAsia="en-GB"/>
              </w:rPr>
              <w:t>Turnout (x)</w:t>
            </w:r>
          </w:p>
        </w:tc>
      </w:tr>
      <w:tr w:rsidR="00F41D1C" w:rsidRPr="00A65E68" w:rsidTr="00F41D1C">
        <w:trPr>
          <w:trHeight w:val="300"/>
          <w:jc w:val="right"/>
        </w:trPr>
        <w:tc>
          <w:tcPr>
            <w:tcW w:w="1288" w:type="dxa"/>
            <w:tcBorders>
              <w:top w:val="single" w:sz="4" w:space="0" w:color="4F81BD"/>
              <w:left w:val="nil"/>
              <w:bottom w:val="single" w:sz="4" w:space="0" w:color="4F81BD"/>
              <w:right w:val="nil"/>
            </w:tcBorders>
            <w:shd w:val="clear" w:color="000000" w:fill="FFFFFF"/>
            <w:noWrap/>
            <w:vAlign w:val="bottom"/>
            <w:hideMark/>
          </w:tcPr>
          <w:p w:rsidR="00F41D1C" w:rsidRPr="00A65E68" w:rsidRDefault="00F41D1C" w:rsidP="005A081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Variable</w:t>
            </w:r>
          </w:p>
        </w:tc>
        <w:tc>
          <w:tcPr>
            <w:tcW w:w="2114" w:type="dxa"/>
            <w:tcBorders>
              <w:top w:val="single" w:sz="4" w:space="0" w:color="4F81BD"/>
              <w:left w:val="nil"/>
              <w:bottom w:val="single" w:sz="4" w:space="0" w:color="4F81BD"/>
              <w:right w:val="nil"/>
            </w:tcBorders>
            <w:shd w:val="clear" w:color="000000" w:fill="FFFFFF"/>
            <w:noWrap/>
            <w:vAlign w:val="bottom"/>
            <w:hideMark/>
          </w:tcPr>
          <w:p w:rsidR="00F41D1C" w:rsidRPr="00A65E68" w:rsidRDefault="00F41D1C" w:rsidP="005A081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Coefficient</w:t>
            </w:r>
          </w:p>
        </w:tc>
      </w:tr>
      <w:tr w:rsidR="00F41D1C" w:rsidRPr="00A65E68" w:rsidTr="00F41D1C">
        <w:trPr>
          <w:trHeight w:val="300"/>
          <w:jc w:val="right"/>
        </w:trPr>
        <w:tc>
          <w:tcPr>
            <w:tcW w:w="1288" w:type="dxa"/>
            <w:tcBorders>
              <w:top w:val="nil"/>
              <w:left w:val="nil"/>
              <w:bottom w:val="nil"/>
              <w:right w:val="nil"/>
            </w:tcBorders>
            <w:shd w:val="clear" w:color="000000" w:fill="FFFFFF"/>
            <w:noWrap/>
            <w:vAlign w:val="bottom"/>
            <w:hideMark/>
          </w:tcPr>
          <w:p w:rsidR="00F41D1C" w:rsidRPr="00A65E68" w:rsidRDefault="00F41D1C" w:rsidP="005A081B">
            <w:pPr>
              <w:spacing w:after="0" w:line="240" w:lineRule="auto"/>
              <w:rPr>
                <w:rFonts w:ascii="Calibri" w:eastAsia="Times New Roman" w:hAnsi="Calibri" w:cs="Times New Roman"/>
                <w:i/>
                <w:iCs/>
                <w:color w:val="0D0D0D" w:themeColor="text1" w:themeTint="F2"/>
                <w:lang w:eastAsia="en-GB"/>
              </w:rPr>
            </w:pPr>
            <w:r w:rsidRPr="00A65E68">
              <w:rPr>
                <w:rFonts w:ascii="Calibri" w:eastAsia="Times New Roman" w:hAnsi="Calibri" w:cs="Times New Roman"/>
                <w:i/>
                <w:iCs/>
                <w:color w:val="0D0D0D" w:themeColor="text1" w:themeTint="F2"/>
                <w:lang w:eastAsia="en-GB"/>
              </w:rPr>
              <w:t>C</w:t>
            </w:r>
          </w:p>
        </w:tc>
        <w:tc>
          <w:tcPr>
            <w:tcW w:w="2114" w:type="dxa"/>
            <w:tcBorders>
              <w:top w:val="nil"/>
              <w:left w:val="nil"/>
              <w:bottom w:val="nil"/>
              <w:right w:val="nil"/>
            </w:tcBorders>
            <w:shd w:val="clear" w:color="000000" w:fill="FFFFFF"/>
            <w:noWrap/>
            <w:vAlign w:val="bottom"/>
            <w:hideMark/>
          </w:tcPr>
          <w:p w:rsidR="00F41D1C" w:rsidRPr="00A65E68" w:rsidRDefault="00F41D1C" w:rsidP="005A081B">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0.947625</w:t>
            </w:r>
          </w:p>
        </w:tc>
      </w:tr>
      <w:tr w:rsidR="00F41D1C" w:rsidRPr="00A65E68" w:rsidTr="00F41D1C">
        <w:trPr>
          <w:trHeight w:val="300"/>
          <w:jc w:val="right"/>
        </w:trPr>
        <w:tc>
          <w:tcPr>
            <w:tcW w:w="1288" w:type="dxa"/>
            <w:tcBorders>
              <w:top w:val="nil"/>
              <w:left w:val="nil"/>
              <w:bottom w:val="single" w:sz="4" w:space="0" w:color="4F81BD"/>
              <w:right w:val="nil"/>
            </w:tcBorders>
            <w:shd w:val="clear" w:color="000000" w:fill="FFFFFF"/>
            <w:noWrap/>
            <w:vAlign w:val="bottom"/>
            <w:hideMark/>
          </w:tcPr>
          <w:p w:rsidR="00F41D1C" w:rsidRPr="00A65E68" w:rsidRDefault="00F41D1C" w:rsidP="005A081B">
            <w:pPr>
              <w:spacing w:after="0" w:line="240" w:lineRule="auto"/>
              <w:rPr>
                <w:rFonts w:ascii="Calibri" w:eastAsia="Times New Roman" w:hAnsi="Calibri" w:cs="Times New Roman"/>
                <w:i/>
                <w:iCs/>
                <w:color w:val="0D0D0D" w:themeColor="text1" w:themeTint="F2"/>
                <w:lang w:eastAsia="en-GB"/>
              </w:rPr>
            </w:pPr>
            <w:r w:rsidRPr="00A65E68">
              <w:rPr>
                <w:rFonts w:ascii="Calibri" w:eastAsia="Times New Roman" w:hAnsi="Calibri" w:cs="Times New Roman"/>
                <w:i/>
                <w:iCs/>
                <w:color w:val="0D0D0D" w:themeColor="text1" w:themeTint="F2"/>
                <w:lang w:eastAsia="en-GB"/>
              </w:rPr>
              <w:t>T</w:t>
            </w:r>
            <w:r>
              <w:rPr>
                <w:rFonts w:ascii="Calibri" w:eastAsia="Times New Roman" w:hAnsi="Calibri" w:cs="Times New Roman"/>
                <w:i/>
                <w:iCs/>
                <w:color w:val="0D0D0D" w:themeColor="text1" w:themeTint="F2"/>
                <w:lang w:eastAsia="en-GB"/>
              </w:rPr>
              <w:t>REATMENT</w:t>
            </w:r>
          </w:p>
        </w:tc>
        <w:tc>
          <w:tcPr>
            <w:tcW w:w="2114" w:type="dxa"/>
            <w:tcBorders>
              <w:top w:val="nil"/>
              <w:left w:val="nil"/>
              <w:bottom w:val="single" w:sz="4" w:space="0" w:color="4F81BD"/>
              <w:right w:val="nil"/>
            </w:tcBorders>
            <w:shd w:val="clear" w:color="000000" w:fill="FFFFFF"/>
            <w:noWrap/>
            <w:vAlign w:val="bottom"/>
            <w:hideMark/>
          </w:tcPr>
          <w:p w:rsidR="00F41D1C" w:rsidRPr="00A65E68" w:rsidRDefault="00F41D1C" w:rsidP="005A081B">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-0.168129</w:t>
            </w:r>
          </w:p>
        </w:tc>
      </w:tr>
    </w:tbl>
    <w:p w:rsidR="00F41D1C" w:rsidRDefault="00F41D1C" w:rsidP="005A081B">
      <w:pPr>
        <w:spacing w:line="360" w:lineRule="auto"/>
        <w:jc w:val="both"/>
        <w:rPr>
          <w:rFonts w:ascii="Times New Roman" w:eastAsiaTheme="minorEastAsia" w:hAnsi="Times New Roman" w:cs="Times New Roman"/>
          <w:sz w:val="24"/>
          <w:szCs w:val="24"/>
        </w:rPr>
        <w:sectPr w:rsidR="00F41D1C" w:rsidSect="00F41D1C">
          <w:type w:val="continuous"/>
          <w:pgSz w:w="11906" w:h="16838"/>
          <w:pgMar w:top="1440" w:right="1440" w:bottom="1440" w:left="1440" w:header="708" w:footer="708" w:gutter="0"/>
          <w:cols w:num="2" w:space="708"/>
          <w:docGrid w:linePitch="360"/>
        </w:sectPr>
      </w:pPr>
    </w:p>
    <w:p w:rsidR="00F41D1C" w:rsidRDefault="00F41D1C" w:rsidP="005A081B">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Plugging in the above estimated coefficients into the prior-stated definition of</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β</m:t>
            </m:r>
          </m:e>
          <m:sub>
            <m:r>
              <w:rPr>
                <w:rFonts w:ascii="Cambria Math" w:eastAsiaTheme="minorEastAsia" w:hAnsi="Cambria Math" w:cs="Times New Roman"/>
                <w:sz w:val="24"/>
                <w:szCs w:val="24"/>
              </w:rPr>
              <m:t>TSLS</m:t>
            </m:r>
          </m:sub>
        </m:sSub>
      </m:oMath>
      <w:r>
        <w:rPr>
          <w:rFonts w:ascii="Times New Roman" w:eastAsiaTheme="minorEastAsia" w:hAnsi="Times New Roman" w:cs="Times New Roman"/>
          <w:sz w:val="24"/>
          <w:szCs w:val="24"/>
        </w:rPr>
        <w:t xml:space="preserve">; </w:t>
      </w:r>
    </w:p>
    <w:p w:rsidR="00F41D1C" w:rsidRPr="005A081B" w:rsidRDefault="00673C5D" w:rsidP="005A081B">
      <w:pPr>
        <w:spacing w:line="360" w:lineRule="auto"/>
        <w:jc w:val="both"/>
        <w:rPr>
          <w:rFonts w:ascii="Times New Roman" w:eastAsiaTheme="minorEastAsia" w:hAnsi="Times New Roman"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TSLS</m:t>
              </m:r>
            </m:sub>
          </m:sSub>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-0.115101</m:t>
              </m:r>
            </m:num>
            <m:den>
              <m:r>
                <w:rPr>
                  <w:rFonts w:ascii="Cambria Math" w:eastAsiaTheme="minorEastAsia" w:hAnsi="Cambria Math" w:cs="Times New Roman"/>
                  <w:sz w:val="24"/>
                  <w:szCs w:val="24"/>
                </w:rPr>
                <m:t>-0.168129</m:t>
              </m:r>
            </m:den>
          </m:f>
          <m:r>
            <w:rPr>
              <w:rFonts w:ascii="Cambria Math" w:eastAsiaTheme="minorEastAsia" w:hAnsi="Cambria Math" w:cs="Times New Roman"/>
              <w:sz w:val="24"/>
              <w:szCs w:val="24"/>
            </w:rPr>
            <m:t>≈0.68</m:t>
          </m:r>
        </m:oMath>
      </m:oMathPara>
    </w:p>
    <w:p w:rsidR="009E3C2B" w:rsidRDefault="004E205D" w:rsidP="009E3C2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Which </w:t>
      </w:r>
      <w:r w:rsidR="007D5509">
        <w:rPr>
          <w:rFonts w:ascii="Times New Roman" w:eastAsiaTheme="minorEastAsia" w:hAnsi="Times New Roman" w:cs="Times New Roman"/>
          <w:sz w:val="24"/>
          <w:szCs w:val="24"/>
        </w:rPr>
        <w:t>is indeed</w:t>
      </w:r>
      <w:r>
        <w:rPr>
          <w:rFonts w:ascii="Times New Roman" w:eastAsiaTheme="minorEastAsia" w:hAnsi="Times New Roman" w:cs="Times New Roman"/>
          <w:sz w:val="24"/>
          <w:szCs w:val="24"/>
        </w:rPr>
        <w:t xml:space="preserve"> approximately equal to the directly calculated TSLS coefficient of </w:t>
      </w:r>
      <w:r w:rsidRPr="004E205D">
        <w:rPr>
          <w:rFonts w:ascii="Times New Roman" w:eastAsiaTheme="minorEastAsia" w:hAnsi="Times New Roman" w:cs="Times New Roman"/>
          <w:i/>
          <w:sz w:val="24"/>
          <w:szCs w:val="24"/>
        </w:rPr>
        <w:t>Turnout</w:t>
      </w:r>
      <w:r>
        <w:rPr>
          <w:rFonts w:ascii="Times New Roman" w:eastAsiaTheme="minorEastAsia" w:hAnsi="Times New Roman" w:cs="Times New Roman"/>
          <w:sz w:val="24"/>
          <w:szCs w:val="24"/>
        </w:rPr>
        <w:t xml:space="preserve"> on the </w:t>
      </w:r>
      <w:r w:rsidR="007D5509">
        <w:rPr>
          <w:rFonts w:ascii="Times New Roman" w:eastAsiaTheme="minorEastAsia" w:hAnsi="Times New Roman" w:cs="Times New Roman"/>
          <w:i/>
          <w:sz w:val="24"/>
          <w:szCs w:val="24"/>
        </w:rPr>
        <w:t xml:space="preserve">Herfindahl, </w:t>
      </w:r>
      <w:r>
        <w:rPr>
          <w:rFonts w:ascii="Times New Roman" w:eastAsiaTheme="minorEastAsia" w:hAnsi="Times New Roman" w:cs="Times New Roman"/>
          <w:sz w:val="24"/>
          <w:szCs w:val="24"/>
        </w:rPr>
        <w:t xml:space="preserve">displayed in </w:t>
      </w:r>
      <w:r w:rsidR="004956EE">
        <w:rPr>
          <w:rFonts w:ascii="Times New Roman" w:eastAsiaTheme="minorEastAsia" w:hAnsi="Times New Roman" w:cs="Times New Roman"/>
          <w:sz w:val="24"/>
          <w:szCs w:val="24"/>
        </w:rPr>
        <w:t>the Appendix (Table A</w:t>
      </w:r>
      <w:r w:rsidR="007D5509">
        <w:rPr>
          <w:rFonts w:ascii="Times New Roman" w:eastAsiaTheme="minorEastAsia" w:hAnsi="Times New Roman" w:cs="Times New Roman"/>
          <w:sz w:val="24"/>
          <w:szCs w:val="24"/>
        </w:rPr>
        <w:t>.</w:t>
      </w:r>
      <w:r w:rsidR="009E3C2B">
        <w:rPr>
          <w:rFonts w:ascii="Times New Roman" w:eastAsiaTheme="minorEastAsia" w:hAnsi="Times New Roman" w:cs="Times New Roman"/>
          <w:sz w:val="24"/>
          <w:szCs w:val="24"/>
        </w:rPr>
        <w:t>6</w:t>
      </w:r>
      <w:r w:rsidR="004956E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rsidR="007D5509" w:rsidRDefault="009E3C2B" w:rsidP="009E3C2B">
      <w:pPr>
        <w:spacing w:line="360" w:lineRule="auto"/>
        <w:ind w:firstLine="720"/>
        <w:jc w:val="both"/>
        <w:rPr>
          <w:rFonts w:ascii="Times New Roman" w:hAnsi="Times New Roman" w:cs="Times New Roman"/>
          <w:sz w:val="24"/>
        </w:rPr>
      </w:pPr>
      <w:r>
        <w:rPr>
          <w:rFonts w:ascii="Times New Roman" w:hAnsi="Times New Roman" w:cs="Times New Roman"/>
          <w:sz w:val="24"/>
          <w:szCs w:val="24"/>
        </w:rPr>
        <w:t>T</w:t>
      </w:r>
      <w:r w:rsidR="004E205D">
        <w:rPr>
          <w:rFonts w:ascii="Times New Roman" w:eastAsiaTheme="minorEastAsia" w:hAnsi="Times New Roman" w:cs="Times New Roman"/>
          <w:sz w:val="24"/>
          <w:szCs w:val="24"/>
        </w:rPr>
        <w:t>he</w:t>
      </w:r>
      <w:r w:rsidR="00B25B1E">
        <w:rPr>
          <w:rFonts w:ascii="Times New Roman" w:eastAsiaTheme="minorEastAsia" w:hAnsi="Times New Roman" w:cs="Times New Roman"/>
          <w:sz w:val="24"/>
          <w:szCs w:val="24"/>
        </w:rPr>
        <w:t xml:space="preserve">se </w:t>
      </w:r>
      <w:r w:rsidR="004E205D">
        <w:rPr>
          <w:rFonts w:ascii="Times New Roman" w:eastAsiaTheme="minorEastAsia" w:hAnsi="Times New Roman" w:cs="Times New Roman"/>
          <w:sz w:val="24"/>
          <w:szCs w:val="24"/>
        </w:rPr>
        <w:t>result</w:t>
      </w:r>
      <w:r w:rsidR="00B25B1E">
        <w:rPr>
          <w:rFonts w:ascii="Times New Roman" w:eastAsiaTheme="minorEastAsia" w:hAnsi="Times New Roman" w:cs="Times New Roman"/>
          <w:sz w:val="24"/>
          <w:szCs w:val="24"/>
        </w:rPr>
        <w:t xml:space="preserve">s </w:t>
      </w:r>
      <w:r w:rsidR="004E205D">
        <w:rPr>
          <w:rFonts w:ascii="Times New Roman" w:eastAsiaTheme="minorEastAsia" w:hAnsi="Times New Roman" w:cs="Times New Roman"/>
          <w:sz w:val="24"/>
          <w:szCs w:val="24"/>
        </w:rPr>
        <w:t xml:space="preserve">can be interpreted as the estimated effect of </w:t>
      </w:r>
      <w:r w:rsidR="004E205D">
        <w:rPr>
          <w:rFonts w:ascii="Times New Roman" w:eastAsiaTheme="minorEastAsia" w:hAnsi="Times New Roman" w:cs="Times New Roman"/>
          <w:i/>
          <w:sz w:val="24"/>
          <w:szCs w:val="24"/>
        </w:rPr>
        <w:t xml:space="preserve">Turnout’s </w:t>
      </w:r>
      <w:r w:rsidR="004E205D">
        <w:rPr>
          <w:rFonts w:ascii="Times New Roman" w:eastAsiaTheme="minorEastAsia" w:hAnsi="Times New Roman" w:cs="Times New Roman"/>
          <w:sz w:val="24"/>
          <w:szCs w:val="24"/>
        </w:rPr>
        <w:t xml:space="preserve">variation caused by the variation in </w:t>
      </w:r>
      <w:r w:rsidR="001375A9">
        <w:rPr>
          <w:rFonts w:ascii="Times New Roman" w:eastAsiaTheme="minorEastAsia" w:hAnsi="Times New Roman" w:cs="Times New Roman"/>
          <w:i/>
          <w:sz w:val="24"/>
          <w:szCs w:val="24"/>
        </w:rPr>
        <w:t>Treatment</w:t>
      </w:r>
      <w:r w:rsidR="004E205D">
        <w:rPr>
          <w:rFonts w:ascii="Times New Roman" w:eastAsiaTheme="minorEastAsia" w:hAnsi="Times New Roman" w:cs="Times New Roman"/>
          <w:sz w:val="24"/>
          <w:szCs w:val="24"/>
        </w:rPr>
        <w:t xml:space="preserve">, which clearly shows that the </w:t>
      </w:r>
      <w:r w:rsidR="004E205D">
        <w:rPr>
          <w:rFonts w:ascii="Times New Roman" w:eastAsiaTheme="minorEastAsia" w:hAnsi="Times New Roman" w:cs="Times New Roman"/>
          <w:i/>
          <w:sz w:val="24"/>
          <w:szCs w:val="24"/>
        </w:rPr>
        <w:t>Turnout</w:t>
      </w:r>
      <w:r w:rsidR="004E205D">
        <w:t xml:space="preserve"> </w:t>
      </w:r>
      <w:r w:rsidR="004E205D" w:rsidRPr="004E205D">
        <w:rPr>
          <w:rFonts w:ascii="Times New Roman" w:hAnsi="Times New Roman" w:cs="Times New Roman"/>
          <w:sz w:val="24"/>
        </w:rPr>
        <w:t xml:space="preserve">rate is positively associated </w:t>
      </w:r>
      <w:r w:rsidR="004E205D" w:rsidRPr="004E205D">
        <w:rPr>
          <w:rFonts w:ascii="Times New Roman" w:hAnsi="Times New Roman" w:cs="Times New Roman"/>
          <w:sz w:val="24"/>
        </w:rPr>
        <w:lastRenderedPageBreak/>
        <w:t xml:space="preserve">with the </w:t>
      </w:r>
      <w:r w:rsidR="004E205D" w:rsidRPr="004E205D">
        <w:rPr>
          <w:rFonts w:ascii="Times New Roman" w:hAnsi="Times New Roman" w:cs="Times New Roman"/>
          <w:i/>
          <w:sz w:val="24"/>
        </w:rPr>
        <w:t>Herfindahl</w:t>
      </w:r>
      <w:r w:rsidR="007D5509">
        <w:rPr>
          <w:rFonts w:ascii="Times New Roman" w:hAnsi="Times New Roman" w:cs="Times New Roman"/>
          <w:sz w:val="24"/>
        </w:rPr>
        <w:t xml:space="preserve">. In addition to being in line </w:t>
      </w:r>
      <w:r w:rsidR="004E205D" w:rsidRPr="004E205D">
        <w:rPr>
          <w:rFonts w:ascii="Times New Roman" w:hAnsi="Times New Roman" w:cs="Times New Roman"/>
          <w:sz w:val="24"/>
        </w:rPr>
        <w:t xml:space="preserve">with this paper’s hypothesis </w:t>
      </w:r>
      <w:r w:rsidR="007D5509">
        <w:rPr>
          <w:rFonts w:ascii="Times New Roman" w:hAnsi="Times New Roman" w:cs="Times New Roman"/>
          <w:b/>
          <w:sz w:val="24"/>
        </w:rPr>
        <w:t>H</w:t>
      </w:r>
      <w:r w:rsidR="007D5509">
        <w:rPr>
          <w:rFonts w:ascii="Times New Roman" w:hAnsi="Times New Roman" w:cs="Times New Roman"/>
          <w:b/>
          <w:sz w:val="24"/>
          <w:vertAlign w:val="subscript"/>
        </w:rPr>
        <w:t>1</w:t>
      </w:r>
      <w:r>
        <w:rPr>
          <w:rFonts w:ascii="Times New Roman" w:hAnsi="Times New Roman" w:cs="Times New Roman"/>
          <w:sz w:val="24"/>
        </w:rPr>
        <w:t xml:space="preserve"> on the basis of significance and sign, </w:t>
      </w:r>
      <w:r w:rsidR="007D5509">
        <w:rPr>
          <w:rFonts w:ascii="Times New Roman" w:hAnsi="Times New Roman" w:cs="Times New Roman"/>
          <w:sz w:val="24"/>
        </w:rPr>
        <w:t xml:space="preserve">the results also identify </w:t>
      </w:r>
      <w:r w:rsidR="00B25B1E">
        <w:rPr>
          <w:rFonts w:ascii="Times New Roman" w:hAnsi="Times New Roman" w:cs="Times New Roman"/>
          <w:sz w:val="24"/>
        </w:rPr>
        <w:t>w</w:t>
      </w:r>
      <w:r w:rsidR="007D5509">
        <w:rPr>
          <w:rFonts w:ascii="Times New Roman" w:hAnsi="Times New Roman" w:cs="Times New Roman"/>
          <w:sz w:val="24"/>
        </w:rPr>
        <w:t>ith earlier findings under both OLS and FE models.</w:t>
      </w:r>
      <w:r>
        <w:rPr>
          <w:rFonts w:ascii="Times New Roman" w:hAnsi="Times New Roman" w:cs="Times New Roman"/>
          <w:sz w:val="24"/>
        </w:rPr>
        <w:t xml:space="preserve"> </w:t>
      </w:r>
    </w:p>
    <w:p w:rsidR="009E3C2B" w:rsidRPr="007D5509" w:rsidRDefault="009E3C2B" w:rsidP="009E3C2B">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It may also be noted that although it may be considered useful to take into account inter-municipal differences with the use of cross-section fixed effects as with FE estimation, the estimated coefficients for </w:t>
      </w:r>
      <w:r>
        <w:rPr>
          <w:rFonts w:ascii="Times New Roman" w:hAnsi="Times New Roman" w:cs="Times New Roman"/>
          <w:i/>
          <w:sz w:val="24"/>
        </w:rPr>
        <w:t xml:space="preserve">Turnout </w:t>
      </w:r>
      <w:r>
        <w:rPr>
          <w:rFonts w:ascii="Times New Roman" w:hAnsi="Times New Roman" w:cs="Times New Roman"/>
          <w:sz w:val="24"/>
        </w:rPr>
        <w:t>do n</w:t>
      </w:r>
      <w:r w:rsidR="00284BC8">
        <w:rPr>
          <w:rFonts w:ascii="Times New Roman" w:hAnsi="Times New Roman" w:cs="Times New Roman"/>
          <w:sz w:val="24"/>
        </w:rPr>
        <w:t xml:space="preserve">ot change at all upon their inclusion. This is likely due to the fact that the TSLS estimation via the instrument </w:t>
      </w:r>
      <w:r w:rsidR="00284BC8">
        <w:rPr>
          <w:rFonts w:ascii="Times New Roman" w:hAnsi="Times New Roman" w:cs="Times New Roman"/>
          <w:i/>
          <w:sz w:val="24"/>
        </w:rPr>
        <w:t>Treatment</w:t>
      </w:r>
      <w:r w:rsidR="00284BC8">
        <w:rPr>
          <w:rFonts w:ascii="Times New Roman" w:hAnsi="Times New Roman" w:cs="Times New Roman"/>
          <w:sz w:val="24"/>
        </w:rPr>
        <w:t xml:space="preserve"> is in fact robust to inter-municipal differences. </w:t>
      </w:r>
      <w:r>
        <w:rPr>
          <w:rFonts w:ascii="Times New Roman" w:hAnsi="Times New Roman" w:cs="Times New Roman"/>
          <w:sz w:val="24"/>
        </w:rPr>
        <w:t xml:space="preserve"> </w:t>
      </w:r>
    </w:p>
    <w:p w:rsidR="002E6D6D" w:rsidRDefault="002E6D6D">
      <w:pPr>
        <w:rPr>
          <w:b/>
          <w:sz w:val="24"/>
        </w:rPr>
      </w:pPr>
      <w:r>
        <w:rPr>
          <w:b/>
          <w:sz w:val="24"/>
        </w:rPr>
        <w:t xml:space="preserve">IV – Results </w:t>
      </w:r>
      <w:r w:rsidR="003F6466">
        <w:rPr>
          <w:b/>
          <w:sz w:val="24"/>
        </w:rPr>
        <w:t>and Interpretation</w:t>
      </w:r>
    </w:p>
    <w:p w:rsidR="002249A2" w:rsidRDefault="002E6D6D" w:rsidP="00B51583">
      <w:pPr>
        <w:spacing w:line="360" w:lineRule="auto"/>
        <w:jc w:val="both"/>
        <w:rPr>
          <w:rFonts w:ascii="Times New Roman" w:hAnsi="Times New Roman" w:cs="Times New Roman"/>
          <w:sz w:val="24"/>
          <w:szCs w:val="24"/>
        </w:rPr>
      </w:pPr>
      <w:r>
        <w:tab/>
      </w:r>
      <w:r w:rsidR="00D0524A">
        <w:rPr>
          <w:rFonts w:ascii="Times New Roman" w:hAnsi="Times New Roman" w:cs="Times New Roman"/>
          <w:sz w:val="24"/>
          <w:szCs w:val="24"/>
        </w:rPr>
        <w:t>All things considered wi</w:t>
      </w:r>
      <w:r w:rsidR="00297537">
        <w:rPr>
          <w:rFonts w:ascii="Times New Roman" w:hAnsi="Times New Roman" w:cs="Times New Roman"/>
          <w:sz w:val="24"/>
          <w:szCs w:val="24"/>
        </w:rPr>
        <w:t xml:space="preserve">th the possible methodologies for statistical inference, the most viable option in terms of internal validity </w:t>
      </w:r>
      <w:r w:rsidR="009E3C2B">
        <w:rPr>
          <w:rFonts w:ascii="Times New Roman" w:hAnsi="Times New Roman" w:cs="Times New Roman"/>
          <w:sz w:val="24"/>
          <w:szCs w:val="24"/>
        </w:rPr>
        <w:t xml:space="preserve">and estimation technique </w:t>
      </w:r>
      <w:r w:rsidR="00297537">
        <w:rPr>
          <w:rFonts w:ascii="Times New Roman" w:hAnsi="Times New Roman" w:cs="Times New Roman"/>
          <w:sz w:val="24"/>
          <w:szCs w:val="24"/>
        </w:rPr>
        <w:t xml:space="preserve">would be that of TSLS estimation. Considering that there appears to be no significant reason that </w:t>
      </w:r>
      <w:r w:rsidR="00297537">
        <w:rPr>
          <w:rFonts w:ascii="Times New Roman" w:hAnsi="Times New Roman" w:cs="Times New Roman"/>
          <w:i/>
          <w:sz w:val="24"/>
          <w:szCs w:val="24"/>
        </w:rPr>
        <w:t xml:space="preserve">Treatment </w:t>
      </w:r>
      <w:r w:rsidR="00297537">
        <w:rPr>
          <w:rFonts w:ascii="Times New Roman" w:hAnsi="Times New Roman" w:cs="Times New Roman"/>
          <w:sz w:val="24"/>
          <w:szCs w:val="24"/>
        </w:rPr>
        <w:t xml:space="preserve">is not a viable instrument for estimating </w:t>
      </w:r>
      <w:r w:rsidR="005C4C0B">
        <w:rPr>
          <w:rFonts w:ascii="Times New Roman" w:hAnsi="Times New Roman" w:cs="Times New Roman"/>
          <w:i/>
          <w:sz w:val="24"/>
          <w:szCs w:val="24"/>
        </w:rPr>
        <w:t xml:space="preserve">Turnout’s </w:t>
      </w:r>
      <w:r w:rsidR="005C4C0B">
        <w:rPr>
          <w:rFonts w:ascii="Times New Roman" w:hAnsi="Times New Roman" w:cs="Times New Roman"/>
          <w:sz w:val="24"/>
          <w:szCs w:val="24"/>
        </w:rPr>
        <w:t xml:space="preserve">effect on the </w:t>
      </w:r>
      <w:r w:rsidR="005C4C0B">
        <w:rPr>
          <w:rFonts w:ascii="Times New Roman" w:hAnsi="Times New Roman" w:cs="Times New Roman"/>
          <w:i/>
          <w:sz w:val="24"/>
          <w:szCs w:val="24"/>
        </w:rPr>
        <w:t xml:space="preserve">Herfindahl </w:t>
      </w:r>
      <w:r w:rsidR="005C4C0B">
        <w:rPr>
          <w:rFonts w:ascii="Times New Roman" w:hAnsi="Times New Roman" w:cs="Times New Roman"/>
          <w:sz w:val="24"/>
          <w:szCs w:val="24"/>
        </w:rPr>
        <w:t xml:space="preserve">index, </w:t>
      </w:r>
      <w:r w:rsidR="00B25B1E">
        <w:rPr>
          <w:rFonts w:ascii="Times New Roman" w:hAnsi="Times New Roman" w:cs="Times New Roman"/>
          <w:sz w:val="24"/>
          <w:szCs w:val="24"/>
        </w:rPr>
        <w:t>it should provide ample</w:t>
      </w:r>
      <w:r w:rsidR="003F6466">
        <w:rPr>
          <w:rFonts w:ascii="Times New Roman" w:hAnsi="Times New Roman" w:cs="Times New Roman"/>
          <w:sz w:val="24"/>
          <w:szCs w:val="24"/>
        </w:rPr>
        <w:t xml:space="preserve"> evidence to establish the relationship between </w:t>
      </w:r>
      <w:r w:rsidR="00625FDB">
        <w:rPr>
          <w:rFonts w:ascii="Times New Roman" w:hAnsi="Times New Roman" w:cs="Times New Roman"/>
          <w:sz w:val="24"/>
          <w:szCs w:val="24"/>
        </w:rPr>
        <w:t xml:space="preserve">turnout </w:t>
      </w:r>
      <w:r w:rsidR="003F6466">
        <w:rPr>
          <w:rFonts w:ascii="Times New Roman" w:hAnsi="Times New Roman" w:cs="Times New Roman"/>
          <w:sz w:val="24"/>
          <w:szCs w:val="24"/>
        </w:rPr>
        <w:t>rates and political competition</w:t>
      </w:r>
      <w:r w:rsidR="00284BC8">
        <w:rPr>
          <w:rFonts w:ascii="Times New Roman" w:hAnsi="Times New Roman" w:cs="Times New Roman"/>
          <w:sz w:val="24"/>
          <w:szCs w:val="24"/>
        </w:rPr>
        <w:t xml:space="preserve"> through the appropriate mechanistic relationship</w:t>
      </w:r>
      <w:r w:rsidR="003F6466">
        <w:rPr>
          <w:rFonts w:ascii="Times New Roman" w:hAnsi="Times New Roman" w:cs="Times New Roman"/>
          <w:sz w:val="24"/>
          <w:szCs w:val="24"/>
        </w:rPr>
        <w:t>.</w:t>
      </w:r>
      <w:r w:rsidR="00625FDB">
        <w:rPr>
          <w:rFonts w:ascii="Times New Roman" w:hAnsi="Times New Roman" w:cs="Times New Roman"/>
          <w:sz w:val="24"/>
          <w:szCs w:val="24"/>
        </w:rPr>
        <w:t xml:space="preserve"> </w:t>
      </w:r>
      <w:r w:rsidR="00B25B1E">
        <w:rPr>
          <w:rFonts w:ascii="Times New Roman" w:hAnsi="Times New Roman" w:cs="Times New Roman"/>
          <w:sz w:val="24"/>
          <w:szCs w:val="24"/>
        </w:rPr>
        <w:t>The results are available in the appen</w:t>
      </w:r>
      <w:r w:rsidR="009E3C2B">
        <w:rPr>
          <w:rFonts w:ascii="Times New Roman" w:hAnsi="Times New Roman" w:cs="Times New Roman"/>
          <w:sz w:val="24"/>
          <w:szCs w:val="24"/>
        </w:rPr>
        <w:t>dix (Table A.6).</w:t>
      </w:r>
    </w:p>
    <w:p w:rsidR="00A84339" w:rsidRDefault="002249A2" w:rsidP="00B51583">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B25B1E">
        <w:rPr>
          <w:rFonts w:ascii="Times New Roman" w:hAnsi="Times New Roman" w:cs="Times New Roman"/>
          <w:sz w:val="24"/>
          <w:szCs w:val="24"/>
        </w:rPr>
        <w:t xml:space="preserve">esults quite clearly show a </w:t>
      </w:r>
      <w:r w:rsidR="00E223A4">
        <w:rPr>
          <w:rFonts w:ascii="Times New Roman" w:hAnsi="Times New Roman" w:cs="Times New Roman"/>
          <w:sz w:val="24"/>
          <w:szCs w:val="24"/>
        </w:rPr>
        <w:t xml:space="preserve">positive effect of </w:t>
      </w:r>
      <w:r w:rsidR="00E223A4">
        <w:rPr>
          <w:rFonts w:ascii="Times New Roman" w:hAnsi="Times New Roman" w:cs="Times New Roman"/>
          <w:i/>
          <w:sz w:val="24"/>
          <w:szCs w:val="24"/>
        </w:rPr>
        <w:t>Turnout</w:t>
      </w:r>
      <w:r w:rsidR="00E223A4">
        <w:rPr>
          <w:rFonts w:ascii="Times New Roman" w:hAnsi="Times New Roman" w:cs="Times New Roman"/>
          <w:sz w:val="24"/>
          <w:szCs w:val="24"/>
        </w:rPr>
        <w:t xml:space="preserve"> on the </w:t>
      </w:r>
      <w:r w:rsidR="00E223A4">
        <w:rPr>
          <w:rFonts w:ascii="Times New Roman" w:hAnsi="Times New Roman" w:cs="Times New Roman"/>
          <w:i/>
          <w:sz w:val="24"/>
          <w:szCs w:val="24"/>
        </w:rPr>
        <w:t xml:space="preserve">Herfindahl </w:t>
      </w:r>
      <w:r w:rsidR="00E223A4">
        <w:rPr>
          <w:rFonts w:ascii="Times New Roman" w:hAnsi="Times New Roman" w:cs="Times New Roman"/>
          <w:sz w:val="24"/>
          <w:szCs w:val="24"/>
        </w:rPr>
        <w:t>index</w:t>
      </w:r>
      <w:r w:rsidR="00B25B1E">
        <w:rPr>
          <w:rFonts w:ascii="Times New Roman" w:hAnsi="Times New Roman" w:cs="Times New Roman"/>
          <w:sz w:val="24"/>
          <w:szCs w:val="24"/>
        </w:rPr>
        <w:t xml:space="preserve"> significant at the 1% level</w:t>
      </w:r>
      <w:r w:rsidR="00E223A4">
        <w:rPr>
          <w:rFonts w:ascii="Times New Roman" w:hAnsi="Times New Roman" w:cs="Times New Roman"/>
          <w:sz w:val="24"/>
          <w:szCs w:val="24"/>
        </w:rPr>
        <w:t xml:space="preserve">. </w:t>
      </w:r>
      <w:r w:rsidR="00D252E1">
        <w:rPr>
          <w:rFonts w:ascii="Times New Roman" w:hAnsi="Times New Roman" w:cs="Times New Roman"/>
          <w:sz w:val="24"/>
          <w:szCs w:val="24"/>
        </w:rPr>
        <w:t xml:space="preserve">Therefore, it is apparent that this paper’s hypothesis </w:t>
      </w:r>
      <w:r w:rsidR="00D252E1">
        <w:rPr>
          <w:rFonts w:ascii="Times New Roman" w:hAnsi="Times New Roman" w:cs="Times New Roman"/>
          <w:b/>
          <w:sz w:val="24"/>
          <w:szCs w:val="24"/>
        </w:rPr>
        <w:t>H</w:t>
      </w:r>
      <w:r w:rsidR="00B25B1E">
        <w:rPr>
          <w:rFonts w:ascii="Times New Roman" w:hAnsi="Times New Roman" w:cs="Times New Roman"/>
          <w:b/>
          <w:sz w:val="24"/>
          <w:szCs w:val="24"/>
          <w:vertAlign w:val="subscript"/>
        </w:rPr>
        <w:t>1</w:t>
      </w:r>
      <w:r w:rsidR="00D252E1">
        <w:rPr>
          <w:rFonts w:ascii="Times New Roman" w:hAnsi="Times New Roman" w:cs="Times New Roman"/>
          <w:b/>
          <w:sz w:val="24"/>
          <w:szCs w:val="24"/>
        </w:rPr>
        <w:t xml:space="preserve"> </w:t>
      </w:r>
      <w:r w:rsidR="00D252E1">
        <w:rPr>
          <w:rFonts w:ascii="Times New Roman" w:hAnsi="Times New Roman" w:cs="Times New Roman"/>
          <w:sz w:val="24"/>
          <w:szCs w:val="24"/>
        </w:rPr>
        <w:t xml:space="preserve">cannot be rejected. </w:t>
      </w:r>
      <w:r w:rsidR="00E223A4">
        <w:rPr>
          <w:rFonts w:ascii="Times New Roman" w:hAnsi="Times New Roman" w:cs="Times New Roman"/>
          <w:sz w:val="24"/>
          <w:szCs w:val="24"/>
        </w:rPr>
        <w:t>To pro</w:t>
      </w:r>
      <w:r w:rsidR="00FC1C6A">
        <w:rPr>
          <w:rFonts w:ascii="Times New Roman" w:hAnsi="Times New Roman" w:cs="Times New Roman"/>
          <w:sz w:val="24"/>
          <w:szCs w:val="24"/>
        </w:rPr>
        <w:t>vide an</w:t>
      </w:r>
      <w:r w:rsidR="00E223A4">
        <w:rPr>
          <w:rFonts w:ascii="Times New Roman" w:hAnsi="Times New Roman" w:cs="Times New Roman"/>
          <w:sz w:val="24"/>
          <w:szCs w:val="24"/>
        </w:rPr>
        <w:t xml:space="preserve"> interpretation,</w:t>
      </w:r>
      <w:r w:rsidR="00FC1C6A">
        <w:rPr>
          <w:rFonts w:ascii="Times New Roman" w:hAnsi="Times New Roman" w:cs="Times New Roman"/>
          <w:sz w:val="24"/>
          <w:szCs w:val="24"/>
        </w:rPr>
        <w:t xml:space="preserve"> it would be useful to plug</w:t>
      </w:r>
      <w:r w:rsidR="00ED6998">
        <w:rPr>
          <w:rFonts w:ascii="Times New Roman" w:hAnsi="Times New Roman" w:cs="Times New Roman"/>
          <w:sz w:val="24"/>
          <w:szCs w:val="24"/>
        </w:rPr>
        <w:t xml:space="preserve"> in the turnout rate of the median municipality and obse</w:t>
      </w:r>
      <w:r w:rsidR="00A84339">
        <w:rPr>
          <w:rFonts w:ascii="Times New Roman" w:hAnsi="Times New Roman" w:cs="Times New Roman"/>
          <w:sz w:val="24"/>
          <w:szCs w:val="24"/>
        </w:rPr>
        <w:t xml:space="preserve">rve the estimated </w:t>
      </w:r>
      <w:r w:rsidR="00B51583">
        <w:rPr>
          <w:rFonts w:ascii="Times New Roman" w:hAnsi="Times New Roman" w:cs="Times New Roman"/>
          <w:sz w:val="24"/>
          <w:szCs w:val="24"/>
        </w:rPr>
        <w:t xml:space="preserve">change in the </w:t>
      </w:r>
      <w:r w:rsidR="00B51583" w:rsidRPr="00B51583">
        <w:rPr>
          <w:rFonts w:ascii="Times New Roman" w:hAnsi="Times New Roman" w:cs="Times New Roman"/>
          <w:i/>
          <w:sz w:val="24"/>
          <w:szCs w:val="24"/>
        </w:rPr>
        <w:t>Herfindahl</w:t>
      </w:r>
      <w:r w:rsidR="00A84339">
        <w:rPr>
          <w:rFonts w:ascii="Times New Roman" w:hAnsi="Times New Roman" w:cs="Times New Roman"/>
          <w:sz w:val="24"/>
          <w:szCs w:val="24"/>
        </w:rPr>
        <w:t xml:space="preserve"> at the median directly before and after the change in policy. The median turnout rates for the electoral years 1966 and 1970 are approximately 95.75% and 7</w:t>
      </w:r>
      <w:r w:rsidR="006E041B">
        <w:rPr>
          <w:rFonts w:ascii="Times New Roman" w:hAnsi="Times New Roman" w:cs="Times New Roman"/>
          <w:sz w:val="24"/>
          <w:szCs w:val="24"/>
        </w:rPr>
        <w:t>3.26</w:t>
      </w:r>
      <w:r w:rsidR="00A84339">
        <w:rPr>
          <w:rFonts w:ascii="Times New Roman" w:hAnsi="Times New Roman" w:cs="Times New Roman"/>
          <w:sz w:val="24"/>
          <w:szCs w:val="24"/>
        </w:rPr>
        <w:t xml:space="preserve">% respectively. When plugged into the estimated TSLS equation, the estimated </w:t>
      </w:r>
      <w:r w:rsidR="00A84339">
        <w:rPr>
          <w:rFonts w:ascii="Times New Roman" w:hAnsi="Times New Roman" w:cs="Times New Roman"/>
          <w:i/>
          <w:sz w:val="24"/>
          <w:szCs w:val="24"/>
        </w:rPr>
        <w:t>Herfindahl</w:t>
      </w:r>
      <w:r w:rsidR="00A84339">
        <w:rPr>
          <w:rFonts w:ascii="Times New Roman" w:hAnsi="Times New Roman" w:cs="Times New Roman"/>
          <w:sz w:val="24"/>
          <w:szCs w:val="24"/>
        </w:rPr>
        <w:t xml:space="preserve"> index for the median mu</w:t>
      </w:r>
      <w:r w:rsidR="00B25B1E">
        <w:rPr>
          <w:rFonts w:ascii="Times New Roman" w:hAnsi="Times New Roman" w:cs="Times New Roman"/>
          <w:sz w:val="24"/>
          <w:szCs w:val="24"/>
        </w:rPr>
        <w:t>nicipality is approximately 0.4</w:t>
      </w:r>
      <w:r w:rsidR="00284BC8">
        <w:rPr>
          <w:rFonts w:ascii="Times New Roman" w:hAnsi="Times New Roman" w:cs="Times New Roman"/>
          <w:sz w:val="24"/>
          <w:szCs w:val="24"/>
        </w:rPr>
        <w:t>369</w:t>
      </w:r>
      <w:r w:rsidR="006E041B">
        <w:rPr>
          <w:rFonts w:ascii="Times New Roman" w:hAnsi="Times New Roman" w:cs="Times New Roman"/>
          <w:sz w:val="24"/>
          <w:szCs w:val="24"/>
        </w:rPr>
        <w:t xml:space="preserve"> in 1966 and 0</w:t>
      </w:r>
      <w:r w:rsidR="00B25B1E">
        <w:rPr>
          <w:rFonts w:ascii="Times New Roman" w:hAnsi="Times New Roman" w:cs="Times New Roman"/>
          <w:sz w:val="24"/>
          <w:szCs w:val="24"/>
        </w:rPr>
        <w:t>.</w:t>
      </w:r>
      <w:r w:rsidR="00284BC8">
        <w:rPr>
          <w:rFonts w:ascii="Times New Roman" w:hAnsi="Times New Roman" w:cs="Times New Roman"/>
          <w:sz w:val="24"/>
          <w:szCs w:val="24"/>
        </w:rPr>
        <w:t>2829</w:t>
      </w:r>
      <w:r w:rsidR="00A84339">
        <w:rPr>
          <w:rFonts w:ascii="Times New Roman" w:hAnsi="Times New Roman" w:cs="Times New Roman"/>
          <w:sz w:val="24"/>
          <w:szCs w:val="24"/>
        </w:rPr>
        <w:t xml:space="preserve"> in 1970. Clearly, the degree of competitiveness between parties had increased </w:t>
      </w:r>
      <w:r w:rsidR="00B51583">
        <w:rPr>
          <w:rFonts w:ascii="Times New Roman" w:hAnsi="Times New Roman" w:cs="Times New Roman"/>
          <w:sz w:val="24"/>
          <w:szCs w:val="24"/>
        </w:rPr>
        <w:t>after the policy change</w:t>
      </w:r>
      <w:r w:rsidR="00A84339">
        <w:rPr>
          <w:rFonts w:ascii="Times New Roman" w:hAnsi="Times New Roman" w:cs="Times New Roman"/>
          <w:sz w:val="24"/>
          <w:szCs w:val="24"/>
        </w:rPr>
        <w:t xml:space="preserve">, as is estimated by the variation in </w:t>
      </w:r>
      <w:r w:rsidR="00A84339">
        <w:rPr>
          <w:rFonts w:ascii="Times New Roman" w:hAnsi="Times New Roman" w:cs="Times New Roman"/>
          <w:i/>
          <w:sz w:val="24"/>
          <w:szCs w:val="24"/>
        </w:rPr>
        <w:t>Turnout</w:t>
      </w:r>
      <w:r w:rsidR="00A84339">
        <w:rPr>
          <w:rFonts w:ascii="Times New Roman" w:hAnsi="Times New Roman" w:cs="Times New Roman"/>
          <w:sz w:val="24"/>
          <w:szCs w:val="24"/>
        </w:rPr>
        <w:t xml:space="preserve"> </w:t>
      </w:r>
      <w:r w:rsidR="00B25B1E">
        <w:rPr>
          <w:rFonts w:ascii="Times New Roman" w:hAnsi="Times New Roman" w:cs="Times New Roman"/>
          <w:sz w:val="24"/>
          <w:szCs w:val="24"/>
        </w:rPr>
        <w:t>estimated</w:t>
      </w:r>
      <w:r w:rsidR="00A84339">
        <w:rPr>
          <w:rFonts w:ascii="Times New Roman" w:hAnsi="Times New Roman" w:cs="Times New Roman"/>
          <w:sz w:val="24"/>
          <w:szCs w:val="24"/>
        </w:rPr>
        <w:t xml:space="preserve"> by </w:t>
      </w:r>
      <w:r w:rsidR="00A84339">
        <w:rPr>
          <w:rFonts w:ascii="Times New Roman" w:hAnsi="Times New Roman" w:cs="Times New Roman"/>
          <w:i/>
          <w:sz w:val="24"/>
          <w:szCs w:val="24"/>
        </w:rPr>
        <w:t xml:space="preserve">Treatment. </w:t>
      </w:r>
      <w:r w:rsidR="00F54099">
        <w:rPr>
          <w:rFonts w:ascii="Times New Roman" w:hAnsi="Times New Roman" w:cs="Times New Roman"/>
          <w:sz w:val="24"/>
          <w:szCs w:val="24"/>
        </w:rPr>
        <w:t>However, i</w:t>
      </w:r>
      <w:r w:rsidR="00A84339">
        <w:rPr>
          <w:rFonts w:ascii="Times New Roman" w:hAnsi="Times New Roman" w:cs="Times New Roman"/>
          <w:sz w:val="24"/>
          <w:szCs w:val="24"/>
        </w:rPr>
        <w:t xml:space="preserve">n order to </w:t>
      </w:r>
      <w:r w:rsidR="00F54099">
        <w:rPr>
          <w:rFonts w:ascii="Times New Roman" w:hAnsi="Times New Roman" w:cs="Times New Roman"/>
          <w:sz w:val="24"/>
          <w:szCs w:val="24"/>
        </w:rPr>
        <w:t xml:space="preserve">truly </w:t>
      </w:r>
      <w:r w:rsidR="00A84339">
        <w:rPr>
          <w:rFonts w:ascii="Times New Roman" w:hAnsi="Times New Roman" w:cs="Times New Roman"/>
          <w:sz w:val="24"/>
          <w:szCs w:val="24"/>
        </w:rPr>
        <w:t xml:space="preserve">understand the implications suggested by these results, it is useful to discuss what instrumental variable </w:t>
      </w:r>
      <w:r w:rsidR="00F54099">
        <w:rPr>
          <w:rFonts w:ascii="Times New Roman" w:hAnsi="Times New Roman" w:cs="Times New Roman"/>
          <w:sz w:val="24"/>
          <w:szCs w:val="24"/>
        </w:rPr>
        <w:t xml:space="preserve">(IV) </w:t>
      </w:r>
      <w:r w:rsidR="00A84339">
        <w:rPr>
          <w:rFonts w:ascii="Times New Roman" w:hAnsi="Times New Roman" w:cs="Times New Roman"/>
          <w:sz w:val="24"/>
          <w:szCs w:val="24"/>
        </w:rPr>
        <w:t xml:space="preserve">analysis in fact entails. </w:t>
      </w:r>
    </w:p>
    <w:p w:rsidR="00625FDB" w:rsidRDefault="00A84339" w:rsidP="00B515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TSLS is one instantiation of regression analysis making use </w:t>
      </w:r>
      <w:r w:rsidR="00F54099">
        <w:rPr>
          <w:rFonts w:ascii="Times New Roman" w:hAnsi="Times New Roman" w:cs="Times New Roman"/>
          <w:sz w:val="24"/>
          <w:szCs w:val="24"/>
        </w:rPr>
        <w:t>of an instrumental variable</w:t>
      </w:r>
      <w:r>
        <w:rPr>
          <w:rFonts w:ascii="Times New Roman" w:hAnsi="Times New Roman" w:cs="Times New Roman"/>
          <w:sz w:val="24"/>
          <w:szCs w:val="24"/>
        </w:rPr>
        <w:t xml:space="preserve"> and is distinctly different from its other regression counterparts </w:t>
      </w:r>
      <w:r w:rsidR="00B51583">
        <w:rPr>
          <w:rFonts w:ascii="Times New Roman" w:hAnsi="Times New Roman" w:cs="Times New Roman"/>
          <w:sz w:val="24"/>
          <w:szCs w:val="24"/>
        </w:rPr>
        <w:t>one primary way</w:t>
      </w:r>
      <w:r>
        <w:rPr>
          <w:rFonts w:ascii="Times New Roman" w:hAnsi="Times New Roman" w:cs="Times New Roman"/>
          <w:sz w:val="24"/>
          <w:szCs w:val="24"/>
        </w:rPr>
        <w:t xml:space="preserve">. TSLS analysis </w:t>
      </w:r>
      <w:r w:rsidR="009F01B8">
        <w:rPr>
          <w:rFonts w:ascii="Times New Roman" w:hAnsi="Times New Roman" w:cs="Times New Roman"/>
          <w:sz w:val="24"/>
          <w:szCs w:val="24"/>
        </w:rPr>
        <w:t xml:space="preserve">takes advantage of a very specific mechanistic relationship between its instrument, its mechanism and the dependent variable. OLS and FE models can be considered as explanatory models that attempt to isolate the variations in the dependent variable caused by the </w:t>
      </w:r>
      <w:r w:rsidR="009F01B8">
        <w:rPr>
          <w:rFonts w:ascii="Times New Roman" w:hAnsi="Times New Roman" w:cs="Times New Roman"/>
          <w:sz w:val="24"/>
          <w:szCs w:val="24"/>
        </w:rPr>
        <w:lastRenderedPageBreak/>
        <w:t xml:space="preserve">independent variable of interest </w:t>
      </w:r>
      <w:r w:rsidR="00F3218B">
        <w:rPr>
          <w:rFonts w:ascii="Times New Roman" w:hAnsi="Times New Roman" w:cs="Times New Roman"/>
          <w:sz w:val="24"/>
          <w:szCs w:val="24"/>
        </w:rPr>
        <w:t>controlling for disturbing factors</w:t>
      </w:r>
      <w:r w:rsidR="009F01B8">
        <w:rPr>
          <w:rFonts w:ascii="Times New Roman" w:hAnsi="Times New Roman" w:cs="Times New Roman"/>
          <w:sz w:val="24"/>
          <w:szCs w:val="24"/>
        </w:rPr>
        <w:t>. This is typically done by the addition of control variables (OLS) or</w:t>
      </w:r>
      <w:r w:rsidR="00F3218B">
        <w:rPr>
          <w:rFonts w:ascii="Times New Roman" w:hAnsi="Times New Roman" w:cs="Times New Roman"/>
          <w:sz w:val="24"/>
          <w:szCs w:val="24"/>
        </w:rPr>
        <w:t xml:space="preserve"> the use of fixed effects dummy variables</w:t>
      </w:r>
      <w:r w:rsidR="009F01B8">
        <w:rPr>
          <w:rFonts w:ascii="Times New Roman" w:hAnsi="Times New Roman" w:cs="Times New Roman"/>
          <w:sz w:val="24"/>
          <w:szCs w:val="24"/>
        </w:rPr>
        <w:t xml:space="preserve"> (FE), and as such attempt to create a model that accounts for as much </w:t>
      </w:r>
      <w:r w:rsidR="00B51583">
        <w:rPr>
          <w:rFonts w:ascii="Times New Roman" w:hAnsi="Times New Roman" w:cs="Times New Roman"/>
          <w:sz w:val="24"/>
          <w:szCs w:val="24"/>
        </w:rPr>
        <w:t>endogeneity</w:t>
      </w:r>
      <w:r w:rsidR="009F01B8">
        <w:rPr>
          <w:rFonts w:ascii="Times New Roman" w:hAnsi="Times New Roman" w:cs="Times New Roman"/>
          <w:sz w:val="24"/>
          <w:szCs w:val="24"/>
        </w:rPr>
        <w:t xml:space="preserve"> as is possible. In a sense, these methods attempt to formulate a causal model than can fully explain outcomes by detailing the precise effects of all related variables and thus, when perfected</w:t>
      </w:r>
      <w:r w:rsidR="00B51583">
        <w:rPr>
          <w:rFonts w:ascii="Times New Roman" w:hAnsi="Times New Roman" w:cs="Times New Roman"/>
          <w:sz w:val="24"/>
          <w:szCs w:val="24"/>
        </w:rPr>
        <w:t>, are</w:t>
      </w:r>
      <w:r w:rsidR="009F01B8">
        <w:rPr>
          <w:rFonts w:ascii="Times New Roman" w:hAnsi="Times New Roman" w:cs="Times New Roman"/>
          <w:sz w:val="24"/>
          <w:szCs w:val="24"/>
        </w:rPr>
        <w:t xml:space="preserve"> able to effectively predict outcomes – as is measured by a model’s R</w:t>
      </w:r>
      <w:r w:rsidR="009F01B8">
        <w:rPr>
          <w:rFonts w:ascii="Times New Roman" w:hAnsi="Times New Roman" w:cs="Times New Roman"/>
          <w:sz w:val="24"/>
          <w:szCs w:val="24"/>
          <w:vertAlign w:val="superscript"/>
        </w:rPr>
        <w:t>2</w:t>
      </w:r>
      <w:r w:rsidR="009F01B8">
        <w:rPr>
          <w:rFonts w:ascii="Times New Roman" w:hAnsi="Times New Roman" w:cs="Times New Roman"/>
          <w:sz w:val="24"/>
          <w:szCs w:val="24"/>
        </w:rPr>
        <w:t xml:space="preserve">, i.e. measure of fit. However, </w:t>
      </w:r>
      <w:r w:rsidR="00603806">
        <w:rPr>
          <w:rFonts w:ascii="Times New Roman" w:hAnsi="Times New Roman" w:cs="Times New Roman"/>
          <w:sz w:val="24"/>
          <w:szCs w:val="24"/>
        </w:rPr>
        <w:t xml:space="preserve">the </w:t>
      </w:r>
      <w:r w:rsidR="009F01B8">
        <w:rPr>
          <w:rFonts w:ascii="Times New Roman" w:hAnsi="Times New Roman" w:cs="Times New Roman"/>
          <w:sz w:val="24"/>
          <w:szCs w:val="24"/>
        </w:rPr>
        <w:t>TSLS</w:t>
      </w:r>
      <w:r w:rsidR="00603806">
        <w:rPr>
          <w:rFonts w:ascii="Times New Roman" w:hAnsi="Times New Roman" w:cs="Times New Roman"/>
          <w:sz w:val="24"/>
          <w:szCs w:val="24"/>
        </w:rPr>
        <w:t xml:space="preserve"> model</w:t>
      </w:r>
      <w:r w:rsidR="009F01B8">
        <w:rPr>
          <w:rFonts w:ascii="Times New Roman" w:hAnsi="Times New Roman" w:cs="Times New Roman"/>
          <w:sz w:val="24"/>
          <w:szCs w:val="24"/>
        </w:rPr>
        <w:t xml:space="preserve">’s use of an IV approaches the problem in a different way. By isolating the variation in the main independent variable </w:t>
      </w:r>
      <w:r w:rsidR="00B51583">
        <w:rPr>
          <w:rFonts w:ascii="Times New Roman" w:hAnsi="Times New Roman" w:cs="Times New Roman"/>
          <w:sz w:val="24"/>
          <w:szCs w:val="24"/>
        </w:rPr>
        <w:t>caused by an</w:t>
      </w:r>
      <w:r w:rsidR="00603806">
        <w:rPr>
          <w:rFonts w:ascii="Times New Roman" w:hAnsi="Times New Roman" w:cs="Times New Roman"/>
          <w:sz w:val="24"/>
          <w:szCs w:val="24"/>
        </w:rPr>
        <w:t xml:space="preserve"> e</w:t>
      </w:r>
      <w:r w:rsidR="00B51583">
        <w:rPr>
          <w:rFonts w:ascii="Times New Roman" w:hAnsi="Times New Roman" w:cs="Times New Roman"/>
          <w:sz w:val="24"/>
          <w:szCs w:val="24"/>
        </w:rPr>
        <w:t>xogenous instrument, IVs are</w:t>
      </w:r>
      <w:r w:rsidR="00603806">
        <w:rPr>
          <w:rFonts w:ascii="Times New Roman" w:hAnsi="Times New Roman" w:cs="Times New Roman"/>
          <w:sz w:val="24"/>
          <w:szCs w:val="24"/>
        </w:rPr>
        <w:t xml:space="preserve"> a</w:t>
      </w:r>
      <w:r w:rsidR="00B51583">
        <w:rPr>
          <w:rFonts w:ascii="Times New Roman" w:hAnsi="Times New Roman" w:cs="Times New Roman"/>
          <w:sz w:val="24"/>
          <w:szCs w:val="24"/>
        </w:rPr>
        <w:t xml:space="preserve"> statistical</w:t>
      </w:r>
      <w:r w:rsidR="00603806">
        <w:rPr>
          <w:rFonts w:ascii="Times New Roman" w:hAnsi="Times New Roman" w:cs="Times New Roman"/>
          <w:sz w:val="24"/>
          <w:szCs w:val="24"/>
        </w:rPr>
        <w:t xml:space="preserve"> instantiation of natural experimentation. Thus, IVs instead estimate the effect of a given variable in “isolation” from other disturbing factors. Thus – in context – the results above measure the magnitude of how one factor (</w:t>
      </w:r>
      <w:r w:rsidR="00603806">
        <w:rPr>
          <w:rFonts w:ascii="Times New Roman" w:hAnsi="Times New Roman" w:cs="Times New Roman"/>
          <w:i/>
          <w:sz w:val="24"/>
          <w:szCs w:val="24"/>
        </w:rPr>
        <w:t>Turnout</w:t>
      </w:r>
      <w:r w:rsidR="00603806">
        <w:rPr>
          <w:rFonts w:ascii="Times New Roman" w:hAnsi="Times New Roman" w:cs="Times New Roman"/>
          <w:sz w:val="24"/>
          <w:szCs w:val="24"/>
        </w:rPr>
        <w:t>) affects another (</w:t>
      </w:r>
      <w:r w:rsidR="00603806">
        <w:rPr>
          <w:rFonts w:ascii="Times New Roman" w:hAnsi="Times New Roman" w:cs="Times New Roman"/>
          <w:i/>
          <w:sz w:val="24"/>
          <w:szCs w:val="24"/>
        </w:rPr>
        <w:t>Herfindahl</w:t>
      </w:r>
      <w:r w:rsidR="00603806">
        <w:rPr>
          <w:rFonts w:ascii="Times New Roman" w:hAnsi="Times New Roman" w:cs="Times New Roman"/>
          <w:sz w:val="24"/>
          <w:szCs w:val="24"/>
        </w:rPr>
        <w:t>) in isolation from disturbing factors</w:t>
      </w:r>
      <w:r w:rsidR="00625FDB">
        <w:rPr>
          <w:rFonts w:ascii="Times New Roman" w:hAnsi="Times New Roman" w:cs="Times New Roman"/>
          <w:sz w:val="24"/>
          <w:szCs w:val="24"/>
        </w:rPr>
        <w:t xml:space="preserve">. </w:t>
      </w:r>
      <w:r w:rsidR="00603806">
        <w:rPr>
          <w:rFonts w:ascii="Times New Roman" w:hAnsi="Times New Roman" w:cs="Times New Roman"/>
          <w:sz w:val="24"/>
          <w:szCs w:val="24"/>
        </w:rPr>
        <w:t>Intuitively this implies that the results cannot solely be used to predict outcomes in the dataset, but rather to</w:t>
      </w:r>
      <w:r w:rsidR="00095493">
        <w:rPr>
          <w:rFonts w:ascii="Times New Roman" w:hAnsi="Times New Roman" w:cs="Times New Roman"/>
          <w:sz w:val="24"/>
          <w:szCs w:val="24"/>
        </w:rPr>
        <w:t xml:space="preserve"> directly</w:t>
      </w:r>
      <w:r w:rsidR="00603806">
        <w:rPr>
          <w:rFonts w:ascii="Times New Roman" w:hAnsi="Times New Roman" w:cs="Times New Roman"/>
          <w:sz w:val="24"/>
          <w:szCs w:val="24"/>
        </w:rPr>
        <w:t xml:space="preserve"> provide insight into the relationship between </w:t>
      </w:r>
      <w:r w:rsidR="00603806">
        <w:rPr>
          <w:rFonts w:ascii="Times New Roman" w:hAnsi="Times New Roman" w:cs="Times New Roman"/>
          <w:i/>
          <w:sz w:val="24"/>
          <w:szCs w:val="24"/>
        </w:rPr>
        <w:t>Turnout</w:t>
      </w:r>
      <w:r w:rsidR="00603806">
        <w:rPr>
          <w:rFonts w:ascii="Times New Roman" w:hAnsi="Times New Roman" w:cs="Times New Roman"/>
          <w:sz w:val="24"/>
          <w:szCs w:val="24"/>
        </w:rPr>
        <w:t xml:space="preserve"> and the </w:t>
      </w:r>
      <w:r w:rsidR="00603806">
        <w:rPr>
          <w:rFonts w:ascii="Times New Roman" w:hAnsi="Times New Roman" w:cs="Times New Roman"/>
          <w:i/>
          <w:sz w:val="24"/>
          <w:szCs w:val="24"/>
        </w:rPr>
        <w:t>Herfindahl</w:t>
      </w:r>
      <w:r w:rsidR="004956EE">
        <w:rPr>
          <w:rFonts w:ascii="Times New Roman" w:hAnsi="Times New Roman" w:cs="Times New Roman"/>
          <w:sz w:val="24"/>
          <w:szCs w:val="24"/>
        </w:rPr>
        <w:t xml:space="preserve"> index. </w:t>
      </w:r>
      <w:r w:rsidR="00603806">
        <w:rPr>
          <w:rFonts w:ascii="Times New Roman" w:hAnsi="Times New Roman" w:cs="Times New Roman"/>
          <w:sz w:val="24"/>
          <w:szCs w:val="24"/>
        </w:rPr>
        <w:t xml:space="preserve"> </w:t>
      </w:r>
    </w:p>
    <w:p w:rsidR="00095493" w:rsidRDefault="00625FDB" w:rsidP="00B515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25B1E">
        <w:rPr>
          <w:rFonts w:ascii="Times New Roman" w:hAnsi="Times New Roman" w:cs="Times New Roman"/>
          <w:sz w:val="24"/>
          <w:szCs w:val="24"/>
        </w:rPr>
        <w:t>W</w:t>
      </w:r>
      <w:r>
        <w:rPr>
          <w:rFonts w:ascii="Times New Roman" w:hAnsi="Times New Roman" w:cs="Times New Roman"/>
          <w:sz w:val="24"/>
          <w:szCs w:val="24"/>
        </w:rPr>
        <w:t>ith the above clarifications, the TSLS model results</w:t>
      </w:r>
      <w:r w:rsidR="00B25B1E">
        <w:rPr>
          <w:rFonts w:ascii="Times New Roman" w:hAnsi="Times New Roman" w:cs="Times New Roman"/>
          <w:sz w:val="24"/>
          <w:szCs w:val="24"/>
        </w:rPr>
        <w:t xml:space="preserve"> therefore</w:t>
      </w:r>
      <w:r>
        <w:rPr>
          <w:rFonts w:ascii="Times New Roman" w:hAnsi="Times New Roman" w:cs="Times New Roman"/>
          <w:sz w:val="24"/>
          <w:szCs w:val="24"/>
        </w:rPr>
        <w:t xml:space="preserve"> show that the average municipality experiences a </w:t>
      </w:r>
      <w:r w:rsidR="00095493">
        <w:rPr>
          <w:rFonts w:ascii="Times New Roman" w:hAnsi="Times New Roman" w:cs="Times New Roman"/>
          <w:sz w:val="24"/>
          <w:szCs w:val="24"/>
        </w:rPr>
        <w:t xml:space="preserve">tendency for </w:t>
      </w:r>
      <w:r>
        <w:rPr>
          <w:rFonts w:ascii="Times New Roman" w:hAnsi="Times New Roman" w:cs="Times New Roman"/>
          <w:sz w:val="24"/>
          <w:szCs w:val="24"/>
        </w:rPr>
        <w:t xml:space="preserve">inter-party competitiveness </w:t>
      </w:r>
      <w:r w:rsidR="00095493">
        <w:rPr>
          <w:rFonts w:ascii="Times New Roman" w:hAnsi="Times New Roman" w:cs="Times New Roman"/>
          <w:sz w:val="24"/>
          <w:szCs w:val="24"/>
        </w:rPr>
        <w:t xml:space="preserve">to decrease </w:t>
      </w:r>
      <w:r>
        <w:rPr>
          <w:rFonts w:ascii="Times New Roman" w:hAnsi="Times New Roman" w:cs="Times New Roman"/>
          <w:sz w:val="24"/>
          <w:szCs w:val="24"/>
        </w:rPr>
        <w:t xml:space="preserve">(increase in the </w:t>
      </w:r>
      <w:r>
        <w:rPr>
          <w:rFonts w:ascii="Times New Roman" w:hAnsi="Times New Roman" w:cs="Times New Roman"/>
          <w:i/>
          <w:sz w:val="24"/>
          <w:szCs w:val="24"/>
        </w:rPr>
        <w:t>Herfindahl</w:t>
      </w:r>
      <w:r>
        <w:rPr>
          <w:rFonts w:ascii="Times New Roman" w:hAnsi="Times New Roman" w:cs="Times New Roman"/>
          <w:sz w:val="24"/>
          <w:szCs w:val="24"/>
        </w:rPr>
        <w:t xml:space="preserve">) </w:t>
      </w:r>
      <w:r w:rsidR="00095493">
        <w:rPr>
          <w:rFonts w:ascii="Times New Roman" w:hAnsi="Times New Roman" w:cs="Times New Roman"/>
          <w:sz w:val="24"/>
          <w:szCs w:val="24"/>
        </w:rPr>
        <w:t>when there is</w:t>
      </w:r>
      <w:r>
        <w:rPr>
          <w:rFonts w:ascii="Times New Roman" w:hAnsi="Times New Roman" w:cs="Times New Roman"/>
          <w:sz w:val="24"/>
          <w:szCs w:val="24"/>
        </w:rPr>
        <w:t xml:space="preserve"> an increase in the turnout rate. It is important to note that this estimated relationship is only relevant in the specific time period</w:t>
      </w:r>
      <w:r w:rsidR="00095493">
        <w:rPr>
          <w:rFonts w:ascii="Times New Roman" w:hAnsi="Times New Roman" w:cs="Times New Roman"/>
          <w:sz w:val="24"/>
          <w:szCs w:val="24"/>
        </w:rPr>
        <w:t xml:space="preserve"> and context</w:t>
      </w:r>
      <w:r>
        <w:rPr>
          <w:rFonts w:ascii="Times New Roman" w:hAnsi="Times New Roman" w:cs="Times New Roman"/>
          <w:sz w:val="24"/>
          <w:szCs w:val="24"/>
        </w:rPr>
        <w:t xml:space="preserve"> in which the data set spans</w:t>
      </w:r>
      <w:r w:rsidR="00095493">
        <w:rPr>
          <w:rFonts w:ascii="Times New Roman" w:hAnsi="Times New Roman" w:cs="Times New Roman"/>
          <w:sz w:val="24"/>
          <w:szCs w:val="24"/>
        </w:rPr>
        <w:t xml:space="preserve"> (i.e. before and after the abolis</w:t>
      </w:r>
      <w:r w:rsidR="00AF7DE7">
        <w:rPr>
          <w:rFonts w:ascii="Times New Roman" w:hAnsi="Times New Roman" w:cs="Times New Roman"/>
          <w:sz w:val="24"/>
          <w:szCs w:val="24"/>
        </w:rPr>
        <w:t>hment of compulsory turnout</w:t>
      </w:r>
      <w:r w:rsidR="00095493">
        <w:rPr>
          <w:rFonts w:ascii="Times New Roman" w:hAnsi="Times New Roman" w:cs="Times New Roman"/>
          <w:sz w:val="24"/>
          <w:szCs w:val="24"/>
        </w:rPr>
        <w:t>)</w:t>
      </w:r>
      <w:r>
        <w:rPr>
          <w:rFonts w:ascii="Times New Roman" w:hAnsi="Times New Roman" w:cs="Times New Roman"/>
          <w:sz w:val="24"/>
          <w:szCs w:val="24"/>
        </w:rPr>
        <w:t xml:space="preserve">, and that </w:t>
      </w:r>
      <w:r w:rsidR="00095493">
        <w:rPr>
          <w:rFonts w:ascii="Times New Roman" w:hAnsi="Times New Roman" w:cs="Times New Roman"/>
          <w:sz w:val="24"/>
          <w:szCs w:val="24"/>
        </w:rPr>
        <w:t>it can only predict outcomes in the absence of any</w:t>
      </w:r>
      <w:r w:rsidR="00B25B1E">
        <w:rPr>
          <w:rFonts w:ascii="Times New Roman" w:hAnsi="Times New Roman" w:cs="Times New Roman"/>
          <w:sz w:val="24"/>
          <w:szCs w:val="24"/>
        </w:rPr>
        <w:t xml:space="preserve"> other</w:t>
      </w:r>
      <w:r w:rsidR="00095493">
        <w:rPr>
          <w:rFonts w:ascii="Times New Roman" w:hAnsi="Times New Roman" w:cs="Times New Roman"/>
          <w:sz w:val="24"/>
          <w:szCs w:val="24"/>
        </w:rPr>
        <w:t xml:space="preserve"> disturbing factors. </w:t>
      </w:r>
      <w:r w:rsidR="002515B1">
        <w:rPr>
          <w:rFonts w:ascii="Times New Roman" w:hAnsi="Times New Roman" w:cs="Times New Roman"/>
          <w:sz w:val="24"/>
          <w:szCs w:val="24"/>
        </w:rPr>
        <w:t xml:space="preserve">Hence, the estimated effect of the </w:t>
      </w:r>
      <w:r w:rsidR="00D252E1">
        <w:rPr>
          <w:rFonts w:ascii="Times New Roman" w:hAnsi="Times New Roman" w:cs="Times New Roman"/>
          <w:sz w:val="24"/>
          <w:szCs w:val="24"/>
        </w:rPr>
        <w:t xml:space="preserve">policy change before and after the years 1966 and 1970 can be used using the calculated </w:t>
      </w:r>
      <w:r w:rsidR="00D252E1">
        <w:rPr>
          <w:rFonts w:ascii="Times New Roman" w:hAnsi="Times New Roman" w:cs="Times New Roman"/>
          <w:i/>
          <w:sz w:val="24"/>
          <w:szCs w:val="24"/>
        </w:rPr>
        <w:t xml:space="preserve">Herfindahl </w:t>
      </w:r>
      <w:r w:rsidR="00D252E1">
        <w:rPr>
          <w:rFonts w:ascii="Times New Roman" w:hAnsi="Times New Roman" w:cs="Times New Roman"/>
          <w:sz w:val="24"/>
          <w:szCs w:val="24"/>
        </w:rPr>
        <w:t xml:space="preserve">values at the median above: </w:t>
      </w:r>
    </w:p>
    <w:p w:rsidR="00D252E1" w:rsidRPr="00177213" w:rsidRDefault="00673C5D" w:rsidP="00297537">
      <w:pPr>
        <w:spacing w:line="360" w:lineRule="auto"/>
        <w:rPr>
          <w:rFonts w:ascii="Times New Roman" w:eastAsiaTheme="minorEastAsia" w:hAnsi="Times New Roman" w:cs="Times New Roman"/>
          <w:b/>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0.2829-0.4369</m:t>
              </m:r>
            </m:num>
            <m:den>
              <m:r>
                <w:rPr>
                  <w:rFonts w:ascii="Cambria Math" w:hAnsi="Cambria Math" w:cs="Times New Roman"/>
                  <w:sz w:val="24"/>
                  <w:szCs w:val="24"/>
                </w:rPr>
                <m:t>0.4369</m:t>
              </m:r>
            </m:den>
          </m:f>
          <m:r>
            <w:rPr>
              <w:rFonts w:ascii="Cambria Math" w:hAnsi="Cambria Math" w:cs="Times New Roman"/>
              <w:sz w:val="24"/>
              <w:szCs w:val="24"/>
            </w:rPr>
            <m:t>*100%≈</m:t>
          </m:r>
          <m:r>
            <m:rPr>
              <m:sty m:val="bi"/>
            </m:rPr>
            <w:rPr>
              <w:rFonts w:ascii="Cambria Math" w:hAnsi="Cambria Math" w:cs="Times New Roman"/>
              <w:sz w:val="24"/>
              <w:szCs w:val="24"/>
            </w:rPr>
            <m:t>-35.25%</m:t>
          </m:r>
        </m:oMath>
      </m:oMathPara>
    </w:p>
    <w:p w:rsidR="00177213" w:rsidRDefault="00177213" w:rsidP="00B5158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 inferring from the results of the above TSLS estimation, the effect of the policy change immediately after</w:t>
      </w:r>
      <w:r w:rsidR="00AF7DE7">
        <w:rPr>
          <w:rFonts w:ascii="Times New Roman" w:eastAsiaTheme="minorEastAsia" w:hAnsi="Times New Roman" w:cs="Times New Roman"/>
          <w:sz w:val="24"/>
          <w:szCs w:val="24"/>
        </w:rPr>
        <w:t xml:space="preserve"> the abolishment of compulsory turnout</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Treatment</w:t>
      </w:r>
      <w:r>
        <w:rPr>
          <w:rFonts w:ascii="Times New Roman" w:eastAsiaTheme="minorEastAsia" w:hAnsi="Times New Roman" w:cs="Times New Roman"/>
          <w:sz w:val="24"/>
          <w:szCs w:val="24"/>
        </w:rPr>
        <w:t>)</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in 1967, </w:t>
      </w:r>
      <w:r w:rsidR="00B27FC4">
        <w:rPr>
          <w:rFonts w:ascii="Times New Roman" w:eastAsiaTheme="minorEastAsia" w:hAnsi="Times New Roman" w:cs="Times New Roman"/>
          <w:sz w:val="24"/>
          <w:szCs w:val="24"/>
        </w:rPr>
        <w:t>for</w:t>
      </w:r>
      <w:r>
        <w:rPr>
          <w:rFonts w:ascii="Times New Roman" w:eastAsiaTheme="minorEastAsia" w:hAnsi="Times New Roman" w:cs="Times New Roman"/>
          <w:sz w:val="24"/>
          <w:szCs w:val="24"/>
        </w:rPr>
        <w:t xml:space="preserve"> the median municipality, led to a </w:t>
      </w:r>
      <w:r w:rsidR="00284BC8">
        <w:rPr>
          <w:rFonts w:ascii="Times New Roman" w:eastAsiaTheme="minorEastAsia" w:hAnsi="Times New Roman" w:cs="Times New Roman"/>
          <w:sz w:val="24"/>
          <w:szCs w:val="24"/>
        </w:rPr>
        <w:t>35.25</w:t>
      </w:r>
      <w:r>
        <w:rPr>
          <w:rFonts w:ascii="Times New Roman" w:eastAsiaTheme="minorEastAsia" w:hAnsi="Times New Roman" w:cs="Times New Roman"/>
          <w:sz w:val="24"/>
          <w:szCs w:val="24"/>
        </w:rPr>
        <w:t>% increase in inter-party competition (</w:t>
      </w:r>
      <w:r w:rsidR="00284BC8">
        <w:rPr>
          <w:rFonts w:ascii="Times New Roman" w:eastAsiaTheme="minorEastAsia" w:hAnsi="Times New Roman" w:cs="Times New Roman"/>
          <w:sz w:val="24"/>
          <w:szCs w:val="24"/>
        </w:rPr>
        <w:t xml:space="preserve">35.25% </w:t>
      </w:r>
      <w:r>
        <w:rPr>
          <w:rFonts w:ascii="Times New Roman" w:eastAsiaTheme="minorEastAsia" w:hAnsi="Times New Roman" w:cs="Times New Roman"/>
          <w:sz w:val="24"/>
          <w:szCs w:val="24"/>
        </w:rPr>
        <w:t xml:space="preserve">decrease in the </w:t>
      </w:r>
      <w:r w:rsidRPr="00177213">
        <w:rPr>
          <w:rFonts w:ascii="Times New Roman" w:eastAsiaTheme="minorEastAsia" w:hAnsi="Times New Roman" w:cs="Times New Roman"/>
          <w:i/>
          <w:sz w:val="24"/>
          <w:szCs w:val="24"/>
        </w:rPr>
        <w:t>Herfindahl</w:t>
      </w:r>
      <w:r>
        <w:rPr>
          <w:rFonts w:ascii="Times New Roman" w:eastAsiaTheme="minorEastAsia" w:hAnsi="Times New Roman" w:cs="Times New Roman"/>
          <w:sz w:val="24"/>
          <w:szCs w:val="24"/>
        </w:rPr>
        <w:t xml:space="preserve">) </w:t>
      </w:r>
      <w:r w:rsidRPr="00177213">
        <w:rPr>
          <w:rFonts w:ascii="Times New Roman" w:eastAsiaTheme="minorEastAsia" w:hAnsi="Times New Roman" w:cs="Times New Roman"/>
          <w:sz w:val="24"/>
          <w:szCs w:val="24"/>
        </w:rPr>
        <w:t>as</w:t>
      </w:r>
      <w:r>
        <w:rPr>
          <w:rFonts w:ascii="Times New Roman" w:eastAsiaTheme="minorEastAsia" w:hAnsi="Times New Roman" w:cs="Times New Roman"/>
          <w:sz w:val="24"/>
          <w:szCs w:val="24"/>
        </w:rPr>
        <w:t xml:space="preserve"> a result of its effects on </w:t>
      </w:r>
      <w:r>
        <w:rPr>
          <w:rFonts w:ascii="Times New Roman" w:eastAsiaTheme="minorEastAsia" w:hAnsi="Times New Roman" w:cs="Times New Roman"/>
          <w:i/>
          <w:sz w:val="24"/>
          <w:szCs w:val="24"/>
        </w:rPr>
        <w:t>Turnout</w:t>
      </w:r>
      <w:r w:rsidR="00672E11">
        <w:rPr>
          <w:rFonts w:ascii="Times New Roman" w:eastAsiaTheme="minorEastAsia" w:hAnsi="Times New Roman" w:cs="Times New Roman"/>
          <w:i/>
          <w:sz w:val="24"/>
          <w:szCs w:val="24"/>
        </w:rPr>
        <w:t xml:space="preserve"> </w:t>
      </w:r>
      <w:r w:rsidR="00672E11">
        <w:rPr>
          <w:rFonts w:ascii="Times New Roman" w:eastAsiaTheme="minorEastAsia" w:hAnsi="Times New Roman" w:cs="Times New Roman"/>
          <w:sz w:val="24"/>
          <w:szCs w:val="24"/>
        </w:rPr>
        <w:t>in the election year of 1970</w:t>
      </w:r>
      <w:r>
        <w:rPr>
          <w:rFonts w:ascii="Times New Roman" w:eastAsiaTheme="minorEastAsia" w:hAnsi="Times New Roman" w:cs="Times New Roman"/>
          <w:sz w:val="24"/>
          <w:szCs w:val="24"/>
        </w:rPr>
        <w:t xml:space="preserve">. </w:t>
      </w:r>
    </w:p>
    <w:p w:rsidR="006E041B" w:rsidRDefault="00B51583" w:rsidP="00B51583">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t>As previously stated</w:t>
      </w:r>
      <w:r w:rsidR="00177213">
        <w:rPr>
          <w:rFonts w:ascii="Times New Roman" w:eastAsiaTheme="minorEastAsia" w:hAnsi="Times New Roman" w:cs="Times New Roman"/>
          <w:sz w:val="24"/>
          <w:szCs w:val="24"/>
        </w:rPr>
        <w:t xml:space="preserve">, the same TSLS methodology will also be used on the variable </w:t>
      </w:r>
      <w:r w:rsidR="00177213">
        <w:rPr>
          <w:rFonts w:ascii="Times New Roman" w:eastAsiaTheme="minorEastAsia" w:hAnsi="Times New Roman" w:cs="Times New Roman"/>
          <w:i/>
          <w:sz w:val="24"/>
          <w:szCs w:val="24"/>
        </w:rPr>
        <w:t>LT10VS</w:t>
      </w:r>
      <w:r w:rsidR="00177213">
        <w:rPr>
          <w:rFonts w:ascii="Times New Roman" w:eastAsiaTheme="minorEastAsia" w:hAnsi="Times New Roman" w:cs="Times New Roman"/>
          <w:sz w:val="24"/>
          <w:szCs w:val="24"/>
        </w:rPr>
        <w:t xml:space="preserve">, primarily as a </w:t>
      </w:r>
      <w:r w:rsidR="00F3218B">
        <w:rPr>
          <w:rFonts w:ascii="Times New Roman" w:eastAsiaTheme="minorEastAsia" w:hAnsi="Times New Roman" w:cs="Times New Roman"/>
          <w:sz w:val="24"/>
          <w:szCs w:val="24"/>
        </w:rPr>
        <w:t>confirmation</w:t>
      </w:r>
      <w:r w:rsidR="00177213">
        <w:rPr>
          <w:rFonts w:ascii="Times New Roman" w:eastAsiaTheme="minorEastAsia" w:hAnsi="Times New Roman" w:cs="Times New Roman"/>
          <w:sz w:val="24"/>
          <w:szCs w:val="24"/>
        </w:rPr>
        <w:t xml:space="preserve"> check for validity. The results of </w:t>
      </w:r>
      <w:r w:rsidR="004956EE">
        <w:rPr>
          <w:rFonts w:ascii="Times New Roman" w:eastAsiaTheme="minorEastAsia" w:hAnsi="Times New Roman" w:cs="Times New Roman"/>
          <w:sz w:val="24"/>
          <w:szCs w:val="24"/>
        </w:rPr>
        <w:t>this TSLS esti</w:t>
      </w:r>
      <w:r>
        <w:rPr>
          <w:rFonts w:ascii="Times New Roman" w:eastAsiaTheme="minorEastAsia" w:hAnsi="Times New Roman" w:cs="Times New Roman"/>
          <w:sz w:val="24"/>
          <w:szCs w:val="24"/>
        </w:rPr>
        <w:t>mation are available in the a</w:t>
      </w:r>
      <w:r w:rsidR="00284BC8">
        <w:rPr>
          <w:rFonts w:ascii="Times New Roman" w:eastAsiaTheme="minorEastAsia" w:hAnsi="Times New Roman" w:cs="Times New Roman"/>
          <w:sz w:val="24"/>
          <w:szCs w:val="24"/>
        </w:rPr>
        <w:t>ppendix (Table A.7</w:t>
      </w:r>
      <w:r w:rsidR="004956EE">
        <w:rPr>
          <w:rFonts w:ascii="Times New Roman" w:eastAsiaTheme="minorEastAsia" w:hAnsi="Times New Roman" w:cs="Times New Roman"/>
          <w:sz w:val="24"/>
          <w:szCs w:val="24"/>
        </w:rPr>
        <w:t xml:space="preserve">). </w:t>
      </w:r>
      <w:r>
        <w:rPr>
          <w:rFonts w:ascii="Times New Roman" w:hAnsi="Times New Roman" w:cs="Times New Roman"/>
          <w:sz w:val="24"/>
          <w:szCs w:val="24"/>
        </w:rPr>
        <w:t>In line</w:t>
      </w:r>
      <w:r w:rsidR="009A049D">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9A049D">
        <w:rPr>
          <w:rFonts w:ascii="Times New Roman" w:hAnsi="Times New Roman" w:cs="Times New Roman"/>
          <w:sz w:val="24"/>
          <w:szCs w:val="24"/>
        </w:rPr>
        <w:t xml:space="preserve">earlier preliminary analysis with </w:t>
      </w:r>
      <w:r w:rsidR="009A049D">
        <w:rPr>
          <w:rFonts w:ascii="Times New Roman" w:hAnsi="Times New Roman" w:cs="Times New Roman"/>
          <w:i/>
          <w:sz w:val="24"/>
          <w:szCs w:val="24"/>
        </w:rPr>
        <w:t xml:space="preserve">LT10VS </w:t>
      </w:r>
      <w:r w:rsidR="009A049D">
        <w:rPr>
          <w:rFonts w:ascii="Times New Roman" w:hAnsi="Times New Roman" w:cs="Times New Roman"/>
          <w:sz w:val="24"/>
          <w:szCs w:val="24"/>
        </w:rPr>
        <w:t xml:space="preserve">and the </w:t>
      </w:r>
      <w:r w:rsidR="009A049D">
        <w:rPr>
          <w:rFonts w:ascii="Times New Roman" w:hAnsi="Times New Roman" w:cs="Times New Roman"/>
          <w:i/>
          <w:sz w:val="24"/>
          <w:szCs w:val="24"/>
        </w:rPr>
        <w:t>Herfindahl</w:t>
      </w:r>
      <w:r>
        <w:rPr>
          <w:rFonts w:ascii="Times New Roman" w:hAnsi="Times New Roman" w:cs="Times New Roman"/>
          <w:sz w:val="24"/>
          <w:szCs w:val="24"/>
        </w:rPr>
        <w:t xml:space="preserve"> index’s correlation</w:t>
      </w:r>
      <w:r w:rsidR="009A049D">
        <w:rPr>
          <w:rFonts w:ascii="Times New Roman" w:hAnsi="Times New Roman" w:cs="Times New Roman"/>
          <w:sz w:val="24"/>
          <w:szCs w:val="24"/>
        </w:rPr>
        <w:t xml:space="preserve">, the results of this TSLS estimation shows the effect of </w:t>
      </w:r>
      <w:r w:rsidR="009A049D">
        <w:rPr>
          <w:rFonts w:ascii="Times New Roman" w:hAnsi="Times New Roman" w:cs="Times New Roman"/>
          <w:i/>
          <w:sz w:val="24"/>
          <w:szCs w:val="24"/>
        </w:rPr>
        <w:lastRenderedPageBreak/>
        <w:t>Turnout</w:t>
      </w:r>
      <w:r w:rsidR="009A049D">
        <w:rPr>
          <w:rFonts w:ascii="Times New Roman" w:hAnsi="Times New Roman" w:cs="Times New Roman"/>
          <w:sz w:val="24"/>
          <w:szCs w:val="24"/>
        </w:rPr>
        <w:t xml:space="preserve"> to be negative as opposed to the outcome with </w:t>
      </w:r>
      <w:r w:rsidR="009A049D">
        <w:rPr>
          <w:rFonts w:ascii="Times New Roman" w:hAnsi="Times New Roman" w:cs="Times New Roman"/>
          <w:i/>
          <w:sz w:val="24"/>
          <w:szCs w:val="24"/>
        </w:rPr>
        <w:t>Herfindahl</w:t>
      </w:r>
      <w:r w:rsidR="009A049D">
        <w:rPr>
          <w:rFonts w:ascii="Times New Roman" w:hAnsi="Times New Roman" w:cs="Times New Roman"/>
          <w:sz w:val="24"/>
          <w:szCs w:val="24"/>
        </w:rPr>
        <w:t xml:space="preserve"> as t</w:t>
      </w:r>
      <w:r>
        <w:rPr>
          <w:rFonts w:ascii="Times New Roman" w:hAnsi="Times New Roman" w:cs="Times New Roman"/>
          <w:sz w:val="24"/>
          <w:szCs w:val="24"/>
        </w:rPr>
        <w:t>he dependent variable. T</w:t>
      </w:r>
      <w:r w:rsidR="009A049D">
        <w:rPr>
          <w:rFonts w:ascii="Times New Roman" w:hAnsi="Times New Roman" w:cs="Times New Roman"/>
          <w:sz w:val="24"/>
          <w:szCs w:val="24"/>
        </w:rPr>
        <w:t>he estimated coefficient</w:t>
      </w:r>
      <w:r>
        <w:rPr>
          <w:rFonts w:ascii="Times New Roman" w:hAnsi="Times New Roman" w:cs="Times New Roman"/>
          <w:sz w:val="24"/>
          <w:szCs w:val="24"/>
        </w:rPr>
        <w:t>s</w:t>
      </w:r>
      <w:r w:rsidR="009A049D">
        <w:rPr>
          <w:rFonts w:ascii="Times New Roman" w:hAnsi="Times New Roman" w:cs="Times New Roman"/>
          <w:sz w:val="24"/>
          <w:szCs w:val="24"/>
        </w:rPr>
        <w:t xml:space="preserve"> of </w:t>
      </w:r>
      <w:r w:rsidR="009A049D">
        <w:rPr>
          <w:rFonts w:ascii="Times New Roman" w:hAnsi="Times New Roman" w:cs="Times New Roman"/>
          <w:i/>
          <w:sz w:val="24"/>
          <w:szCs w:val="24"/>
        </w:rPr>
        <w:t>Turnout</w:t>
      </w:r>
      <w:r w:rsidR="009A049D">
        <w:rPr>
          <w:rFonts w:ascii="Times New Roman" w:hAnsi="Times New Roman" w:cs="Times New Roman"/>
          <w:sz w:val="24"/>
          <w:szCs w:val="24"/>
        </w:rPr>
        <w:t xml:space="preserve"> </w:t>
      </w:r>
      <w:r>
        <w:rPr>
          <w:rFonts w:ascii="Times New Roman" w:hAnsi="Times New Roman" w:cs="Times New Roman"/>
          <w:sz w:val="24"/>
          <w:szCs w:val="24"/>
        </w:rPr>
        <w:t>using both measures are</w:t>
      </w:r>
      <w:r w:rsidR="009A049D">
        <w:rPr>
          <w:rFonts w:ascii="Times New Roman" w:hAnsi="Times New Roman" w:cs="Times New Roman"/>
          <w:sz w:val="24"/>
          <w:szCs w:val="24"/>
        </w:rPr>
        <w:t xml:space="preserve"> significant at the 5% level and thus allows us to conclude that </w:t>
      </w:r>
      <w:r w:rsidR="009A049D">
        <w:rPr>
          <w:rFonts w:ascii="Times New Roman" w:hAnsi="Times New Roman" w:cs="Times New Roman"/>
          <w:b/>
          <w:sz w:val="24"/>
          <w:szCs w:val="24"/>
        </w:rPr>
        <w:t>H</w:t>
      </w:r>
      <w:r w:rsidR="009A049D">
        <w:rPr>
          <w:rFonts w:ascii="Times New Roman" w:hAnsi="Times New Roman" w:cs="Times New Roman"/>
          <w:b/>
          <w:sz w:val="24"/>
          <w:szCs w:val="24"/>
          <w:vertAlign w:val="subscript"/>
        </w:rPr>
        <w:t>1</w:t>
      </w:r>
      <w:r w:rsidR="009A049D">
        <w:rPr>
          <w:rFonts w:ascii="Times New Roman" w:hAnsi="Times New Roman" w:cs="Times New Roman"/>
          <w:sz w:val="24"/>
          <w:szCs w:val="24"/>
        </w:rPr>
        <w:t xml:space="preserve"> cannot be rejected</w:t>
      </w:r>
      <w:r w:rsidR="00672E11">
        <w:rPr>
          <w:rFonts w:ascii="Times New Roman" w:hAnsi="Times New Roman" w:cs="Times New Roman"/>
          <w:sz w:val="24"/>
          <w:szCs w:val="24"/>
        </w:rPr>
        <w:t xml:space="preserve"> – thus validating the result with at least two </w:t>
      </w:r>
      <w:r>
        <w:rPr>
          <w:rFonts w:ascii="Times New Roman" w:hAnsi="Times New Roman" w:cs="Times New Roman"/>
          <w:sz w:val="24"/>
          <w:szCs w:val="24"/>
        </w:rPr>
        <w:t xml:space="preserve">alternative inter-party </w:t>
      </w:r>
      <w:r w:rsidR="00672E11">
        <w:rPr>
          <w:rFonts w:ascii="Times New Roman" w:hAnsi="Times New Roman" w:cs="Times New Roman"/>
          <w:sz w:val="24"/>
          <w:szCs w:val="24"/>
        </w:rPr>
        <w:t>competition measures</w:t>
      </w:r>
      <w:r w:rsidR="009A049D">
        <w:rPr>
          <w:rFonts w:ascii="Times New Roman" w:hAnsi="Times New Roman" w:cs="Times New Roman"/>
          <w:sz w:val="24"/>
          <w:szCs w:val="24"/>
        </w:rPr>
        <w:t xml:space="preserve">. As with the prior results, values of turnout for the median municipality will also be used for the years 1966 and 1970 to estimate the change in the number of highly competitive parties (larger than 10% vote share – LT10VS) </w:t>
      </w:r>
      <w:r w:rsidR="006E041B">
        <w:rPr>
          <w:rFonts w:ascii="Times New Roman" w:hAnsi="Times New Roman" w:cs="Times New Roman"/>
          <w:sz w:val="24"/>
          <w:szCs w:val="24"/>
        </w:rPr>
        <w:t xml:space="preserve">before and after the abolishment of compulsory turnout. </w:t>
      </w:r>
      <w:r w:rsidR="00A832F7">
        <w:rPr>
          <w:rFonts w:ascii="Times New Roman" w:hAnsi="Times New Roman" w:cs="Times New Roman"/>
          <w:sz w:val="24"/>
          <w:szCs w:val="24"/>
        </w:rPr>
        <w:t>T</w:t>
      </w:r>
      <w:r w:rsidR="006E041B">
        <w:rPr>
          <w:rFonts w:ascii="Times New Roman" w:hAnsi="Times New Roman" w:cs="Times New Roman"/>
          <w:sz w:val="24"/>
          <w:szCs w:val="24"/>
        </w:rPr>
        <w:t xml:space="preserve">urnout rates </w:t>
      </w:r>
      <w:r w:rsidR="00A832F7">
        <w:rPr>
          <w:rFonts w:ascii="Times New Roman" w:hAnsi="Times New Roman" w:cs="Times New Roman"/>
          <w:sz w:val="24"/>
          <w:szCs w:val="24"/>
        </w:rPr>
        <w:t xml:space="preserve">have a median </w:t>
      </w:r>
      <w:r w:rsidR="006E041B">
        <w:rPr>
          <w:rFonts w:ascii="Times New Roman" w:hAnsi="Times New Roman" w:cs="Times New Roman"/>
          <w:sz w:val="24"/>
          <w:szCs w:val="24"/>
        </w:rPr>
        <w:t xml:space="preserve">of 95.75% in 1966 and 73.26% in 1970, </w:t>
      </w:r>
      <w:r w:rsidR="00672E11">
        <w:rPr>
          <w:rFonts w:ascii="Times New Roman" w:hAnsi="Times New Roman" w:cs="Times New Roman"/>
          <w:sz w:val="24"/>
          <w:szCs w:val="24"/>
        </w:rPr>
        <w:t>and plugging their</w:t>
      </w:r>
      <w:r w:rsidR="00A832F7">
        <w:rPr>
          <w:rFonts w:ascii="Times New Roman" w:hAnsi="Times New Roman" w:cs="Times New Roman"/>
          <w:sz w:val="24"/>
          <w:szCs w:val="24"/>
        </w:rPr>
        <w:t xml:space="preserve"> values in the TSLS estimation for</w:t>
      </w:r>
      <w:r w:rsidR="00672E11">
        <w:rPr>
          <w:rFonts w:ascii="Times New Roman" w:hAnsi="Times New Roman" w:cs="Times New Roman"/>
          <w:sz w:val="24"/>
          <w:szCs w:val="24"/>
        </w:rPr>
        <w:t xml:space="preserve"> </w:t>
      </w:r>
      <w:r w:rsidR="00672E11">
        <w:rPr>
          <w:rFonts w:ascii="Times New Roman" w:hAnsi="Times New Roman" w:cs="Times New Roman"/>
          <w:i/>
          <w:sz w:val="24"/>
          <w:szCs w:val="24"/>
        </w:rPr>
        <w:t>LT10VS</w:t>
      </w:r>
      <w:r w:rsidR="00672E11">
        <w:rPr>
          <w:rFonts w:ascii="Times New Roman" w:hAnsi="Times New Roman" w:cs="Times New Roman"/>
          <w:sz w:val="24"/>
          <w:szCs w:val="24"/>
        </w:rPr>
        <w:t xml:space="preserve"> gives the values</w:t>
      </w:r>
      <w:r w:rsidR="003D7D9A">
        <w:rPr>
          <w:rFonts w:ascii="Times New Roman" w:hAnsi="Times New Roman" w:cs="Times New Roman"/>
          <w:sz w:val="24"/>
          <w:szCs w:val="24"/>
        </w:rPr>
        <w:t xml:space="preserve"> of</w:t>
      </w:r>
      <w:r w:rsidR="00672E11">
        <w:rPr>
          <w:rFonts w:ascii="Times New Roman" w:hAnsi="Times New Roman" w:cs="Times New Roman"/>
          <w:sz w:val="24"/>
          <w:szCs w:val="24"/>
        </w:rPr>
        <w:t xml:space="preserve"> </w:t>
      </w:r>
      <w:r w:rsidR="00A832F7">
        <w:rPr>
          <w:rFonts w:ascii="Times New Roman" w:hAnsi="Times New Roman" w:cs="Times New Roman"/>
          <w:sz w:val="24"/>
          <w:szCs w:val="24"/>
        </w:rPr>
        <w:t>2.7270</w:t>
      </w:r>
      <w:r w:rsidR="00672E11">
        <w:rPr>
          <w:rFonts w:ascii="Times New Roman" w:hAnsi="Times New Roman" w:cs="Times New Roman"/>
          <w:sz w:val="24"/>
          <w:szCs w:val="24"/>
        </w:rPr>
        <w:t xml:space="preserve"> parties in 1966 and </w:t>
      </w:r>
      <w:r w:rsidR="00A832F7">
        <w:rPr>
          <w:rFonts w:ascii="Times New Roman" w:hAnsi="Times New Roman" w:cs="Times New Roman"/>
          <w:sz w:val="24"/>
          <w:szCs w:val="24"/>
        </w:rPr>
        <w:t>3.0189</w:t>
      </w:r>
      <w:r w:rsidR="00672E11">
        <w:rPr>
          <w:rFonts w:ascii="Times New Roman" w:hAnsi="Times New Roman" w:cs="Times New Roman"/>
          <w:sz w:val="24"/>
          <w:szCs w:val="24"/>
        </w:rPr>
        <w:t xml:space="preserve"> parties in 1970</w:t>
      </w:r>
      <w:r w:rsidR="003D7D9A">
        <w:rPr>
          <w:rFonts w:ascii="Times New Roman" w:hAnsi="Times New Roman" w:cs="Times New Roman"/>
          <w:sz w:val="24"/>
          <w:szCs w:val="24"/>
        </w:rPr>
        <w:t xml:space="preserve">. </w:t>
      </w:r>
      <w:r w:rsidR="00672E11">
        <w:rPr>
          <w:rFonts w:ascii="Times New Roman" w:hAnsi="Times New Roman" w:cs="Times New Roman"/>
          <w:sz w:val="24"/>
          <w:szCs w:val="24"/>
        </w:rPr>
        <w:t>Quite clearly, the difference betwe</w:t>
      </w:r>
      <w:r w:rsidR="00F3218B">
        <w:rPr>
          <w:rFonts w:ascii="Times New Roman" w:hAnsi="Times New Roman" w:cs="Times New Roman"/>
          <w:sz w:val="24"/>
          <w:szCs w:val="24"/>
        </w:rPr>
        <w:t>en the two is not spectacular</w:t>
      </w:r>
      <w:r w:rsidR="00672E11">
        <w:rPr>
          <w:rFonts w:ascii="Times New Roman" w:hAnsi="Times New Roman" w:cs="Times New Roman"/>
          <w:sz w:val="24"/>
          <w:szCs w:val="24"/>
        </w:rPr>
        <w:t xml:space="preserve">, but this is </w:t>
      </w:r>
      <w:r>
        <w:rPr>
          <w:rFonts w:ascii="Times New Roman" w:hAnsi="Times New Roman" w:cs="Times New Roman"/>
          <w:sz w:val="24"/>
          <w:szCs w:val="24"/>
        </w:rPr>
        <w:t xml:space="preserve">likely </w:t>
      </w:r>
      <w:r w:rsidR="00672E11">
        <w:rPr>
          <w:rFonts w:ascii="Times New Roman" w:hAnsi="Times New Roman" w:cs="Times New Roman"/>
          <w:sz w:val="24"/>
          <w:szCs w:val="24"/>
        </w:rPr>
        <w:t xml:space="preserve">due to the lack of variation between the </w:t>
      </w:r>
      <w:r w:rsidR="00F3218B">
        <w:rPr>
          <w:rFonts w:ascii="Times New Roman" w:hAnsi="Times New Roman" w:cs="Times New Roman"/>
          <w:sz w:val="24"/>
          <w:szCs w:val="24"/>
        </w:rPr>
        <w:t>municipalities for</w:t>
      </w:r>
      <w:r w:rsidR="00672E11">
        <w:rPr>
          <w:rFonts w:ascii="Times New Roman" w:hAnsi="Times New Roman" w:cs="Times New Roman"/>
          <w:sz w:val="24"/>
          <w:szCs w:val="24"/>
        </w:rPr>
        <w:t xml:space="preserve"> </w:t>
      </w:r>
      <w:r w:rsidR="00672E11">
        <w:rPr>
          <w:rFonts w:ascii="Times New Roman" w:hAnsi="Times New Roman" w:cs="Times New Roman"/>
          <w:i/>
          <w:sz w:val="24"/>
          <w:szCs w:val="24"/>
        </w:rPr>
        <w:t>LT10VS</w:t>
      </w:r>
      <w:r w:rsidR="00672E11">
        <w:rPr>
          <w:rFonts w:ascii="Times New Roman" w:hAnsi="Times New Roman" w:cs="Times New Roman"/>
          <w:sz w:val="24"/>
          <w:szCs w:val="24"/>
        </w:rPr>
        <w:t xml:space="preserve"> versus the </w:t>
      </w:r>
      <w:r>
        <w:rPr>
          <w:rFonts w:ascii="Times New Roman" w:hAnsi="Times New Roman" w:cs="Times New Roman"/>
          <w:sz w:val="24"/>
          <w:szCs w:val="24"/>
        </w:rPr>
        <w:t xml:space="preserve">higher </w:t>
      </w:r>
      <w:r w:rsidR="00F3218B">
        <w:rPr>
          <w:rFonts w:ascii="Times New Roman" w:hAnsi="Times New Roman" w:cs="Times New Roman"/>
          <w:sz w:val="24"/>
          <w:szCs w:val="24"/>
        </w:rPr>
        <w:t xml:space="preserve">degree of </w:t>
      </w:r>
      <w:r w:rsidR="00672E11">
        <w:rPr>
          <w:rFonts w:ascii="Times New Roman" w:hAnsi="Times New Roman" w:cs="Times New Roman"/>
          <w:sz w:val="24"/>
          <w:szCs w:val="24"/>
        </w:rPr>
        <w:t xml:space="preserve">variation under the </w:t>
      </w:r>
      <w:r w:rsidR="00672E11">
        <w:rPr>
          <w:rFonts w:ascii="Times New Roman" w:hAnsi="Times New Roman" w:cs="Times New Roman"/>
          <w:i/>
          <w:sz w:val="24"/>
          <w:szCs w:val="24"/>
        </w:rPr>
        <w:t xml:space="preserve">Herfindahl </w:t>
      </w:r>
      <w:r w:rsidR="00672E11">
        <w:rPr>
          <w:rFonts w:ascii="Times New Roman" w:hAnsi="Times New Roman" w:cs="Times New Roman"/>
          <w:sz w:val="24"/>
          <w:szCs w:val="24"/>
        </w:rPr>
        <w:t>index. Nonetheless, the change in the number of highly competitive parties can be calculated as follows</w:t>
      </w:r>
      <w:r w:rsidR="003D7D9A">
        <w:rPr>
          <w:rFonts w:ascii="Times New Roman" w:hAnsi="Times New Roman" w:cs="Times New Roman"/>
          <w:sz w:val="24"/>
          <w:szCs w:val="24"/>
        </w:rPr>
        <w:t xml:space="preserve"> (rounded down to whole numbers)</w:t>
      </w:r>
      <w:r w:rsidR="00672E11">
        <w:rPr>
          <w:rFonts w:ascii="Times New Roman" w:hAnsi="Times New Roman" w:cs="Times New Roman"/>
          <w:sz w:val="24"/>
          <w:szCs w:val="24"/>
        </w:rPr>
        <w:t xml:space="preserve">: </w:t>
      </w:r>
    </w:p>
    <w:p w:rsidR="00672E11" w:rsidRPr="00B27FC4" w:rsidRDefault="00673C5D" w:rsidP="00672E11">
      <w:pPr>
        <w:spacing w:line="360" w:lineRule="auto"/>
        <w:rPr>
          <w:rFonts w:ascii="Times New Roman" w:eastAsiaTheme="minorEastAsia" w:hAnsi="Times New Roman" w:cs="Times New Roman"/>
          <w:b/>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3-2</m:t>
              </m:r>
            </m:num>
            <m:den>
              <m:r>
                <w:rPr>
                  <w:rFonts w:ascii="Cambria Math" w:hAnsi="Cambria Math" w:cs="Times New Roman"/>
                  <w:sz w:val="24"/>
                  <w:szCs w:val="24"/>
                </w:rPr>
                <m:t>2</m:t>
              </m:r>
            </m:den>
          </m:f>
          <m:r>
            <w:rPr>
              <w:rFonts w:ascii="Cambria Math" w:hAnsi="Cambria Math" w:cs="Times New Roman"/>
              <w:sz w:val="24"/>
              <w:szCs w:val="24"/>
            </w:rPr>
            <m:t>*100%≈</m:t>
          </m:r>
          <m:r>
            <m:rPr>
              <m:sty m:val="bi"/>
            </m:rPr>
            <w:rPr>
              <w:rFonts w:ascii="Cambria Math" w:hAnsi="Cambria Math" w:cs="Times New Roman"/>
              <w:sz w:val="24"/>
              <w:szCs w:val="24"/>
            </w:rPr>
            <m:t>50%</m:t>
          </m:r>
        </m:oMath>
      </m:oMathPara>
    </w:p>
    <w:p w:rsidR="004956EE" w:rsidRPr="00B27FC4" w:rsidRDefault="00B27FC4" w:rsidP="00B5158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 inferring from the results of the above TSLS estimation, the effect of the policy change immediately after</w:t>
      </w:r>
      <w:r w:rsidR="00AF7DE7">
        <w:rPr>
          <w:rFonts w:ascii="Times New Roman" w:eastAsiaTheme="minorEastAsia" w:hAnsi="Times New Roman" w:cs="Times New Roman"/>
          <w:sz w:val="24"/>
          <w:szCs w:val="24"/>
        </w:rPr>
        <w:t xml:space="preserve"> the abolishment of compulsory turnout</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Treatment</w:t>
      </w:r>
      <w:r>
        <w:rPr>
          <w:rFonts w:ascii="Times New Roman" w:eastAsiaTheme="minorEastAsia" w:hAnsi="Times New Roman" w:cs="Times New Roman"/>
          <w:sz w:val="24"/>
          <w:szCs w:val="24"/>
        </w:rPr>
        <w:t>)</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in 1967, for the median municipality, led to a 50% increase in inter-party competition (number of highly competitive parties – </w:t>
      </w:r>
      <w:r>
        <w:rPr>
          <w:rFonts w:ascii="Times New Roman" w:eastAsiaTheme="minorEastAsia" w:hAnsi="Times New Roman" w:cs="Times New Roman"/>
          <w:i/>
          <w:sz w:val="24"/>
          <w:szCs w:val="24"/>
        </w:rPr>
        <w:t>LT10VS</w:t>
      </w:r>
      <w:r>
        <w:rPr>
          <w:rFonts w:ascii="Times New Roman" w:eastAsiaTheme="minorEastAsia" w:hAnsi="Times New Roman" w:cs="Times New Roman"/>
          <w:sz w:val="24"/>
          <w:szCs w:val="24"/>
        </w:rPr>
        <w:t xml:space="preserve">) </w:t>
      </w:r>
      <w:r w:rsidR="00DE2F6F">
        <w:rPr>
          <w:rFonts w:ascii="Times New Roman" w:eastAsiaTheme="minorEastAsia" w:hAnsi="Times New Roman" w:cs="Times New Roman"/>
          <w:sz w:val="24"/>
          <w:szCs w:val="24"/>
        </w:rPr>
        <w:t xml:space="preserve">through </w:t>
      </w:r>
      <w:r>
        <w:rPr>
          <w:rFonts w:ascii="Times New Roman" w:eastAsiaTheme="minorEastAsia" w:hAnsi="Times New Roman" w:cs="Times New Roman"/>
          <w:sz w:val="24"/>
          <w:szCs w:val="24"/>
        </w:rPr>
        <w:t xml:space="preserve">its effects on </w:t>
      </w:r>
      <w:r>
        <w:rPr>
          <w:rFonts w:ascii="Times New Roman" w:eastAsiaTheme="minorEastAsia" w:hAnsi="Times New Roman" w:cs="Times New Roman"/>
          <w:i/>
          <w:sz w:val="24"/>
          <w:szCs w:val="24"/>
        </w:rPr>
        <w:t xml:space="preserve">Turnout </w:t>
      </w:r>
      <w:r>
        <w:rPr>
          <w:rFonts w:ascii="Times New Roman" w:eastAsiaTheme="minorEastAsia" w:hAnsi="Times New Roman" w:cs="Times New Roman"/>
          <w:sz w:val="24"/>
          <w:szCs w:val="24"/>
        </w:rPr>
        <w:t xml:space="preserve">in the election year of 1970. </w:t>
      </w:r>
    </w:p>
    <w:p w:rsidR="002B62EE" w:rsidRDefault="00095493" w:rsidP="002B62EE">
      <w:pPr>
        <w:spacing w:line="360" w:lineRule="auto"/>
        <w:rPr>
          <w:rFonts w:ascii="Times New Roman" w:hAnsi="Times New Roman" w:cs="Times New Roman"/>
          <w:sz w:val="24"/>
          <w:szCs w:val="24"/>
        </w:rPr>
      </w:pPr>
      <w:r>
        <w:rPr>
          <w:rFonts w:ascii="Times New Roman" w:hAnsi="Times New Roman" w:cs="Times New Roman"/>
          <w:b/>
          <w:sz w:val="24"/>
          <w:szCs w:val="24"/>
        </w:rPr>
        <w:t xml:space="preserve">V – Discussion </w:t>
      </w:r>
      <w:r w:rsidR="002F5F4A">
        <w:rPr>
          <w:rFonts w:ascii="Times New Roman" w:hAnsi="Times New Roman" w:cs="Times New Roman"/>
          <w:b/>
          <w:sz w:val="24"/>
          <w:szCs w:val="24"/>
        </w:rPr>
        <w:t>and Mechanisms</w:t>
      </w:r>
    </w:p>
    <w:p w:rsidR="00267246" w:rsidRDefault="0040048B" w:rsidP="00267246">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mechanistic relationship between </w:t>
      </w:r>
      <w:r>
        <w:rPr>
          <w:rFonts w:ascii="Times New Roman" w:hAnsi="Times New Roman" w:cs="Times New Roman"/>
          <w:i/>
          <w:sz w:val="24"/>
          <w:szCs w:val="24"/>
        </w:rPr>
        <w:t>Turnout</w:t>
      </w:r>
      <w:r>
        <w:rPr>
          <w:rFonts w:ascii="Times New Roman" w:hAnsi="Times New Roman" w:cs="Times New Roman"/>
          <w:sz w:val="24"/>
          <w:szCs w:val="24"/>
        </w:rPr>
        <w:t xml:space="preserve"> and </w:t>
      </w:r>
      <w:r>
        <w:rPr>
          <w:rFonts w:ascii="Times New Roman" w:hAnsi="Times New Roman" w:cs="Times New Roman"/>
          <w:i/>
          <w:sz w:val="24"/>
          <w:szCs w:val="24"/>
        </w:rPr>
        <w:t xml:space="preserve">Treatment </w:t>
      </w:r>
      <w:r>
        <w:rPr>
          <w:rFonts w:ascii="Times New Roman" w:hAnsi="Times New Roman" w:cs="Times New Roman"/>
          <w:sz w:val="24"/>
          <w:szCs w:val="24"/>
        </w:rPr>
        <w:t xml:space="preserve">has already been discussed at length, however there is a lack of explanation for exactly how this specific relationship affects the nature of inter-party competition within municipalities. </w:t>
      </w:r>
      <w:r w:rsidR="002F2C87">
        <w:rPr>
          <w:rFonts w:ascii="Times New Roman" w:hAnsi="Times New Roman" w:cs="Times New Roman"/>
          <w:sz w:val="24"/>
          <w:szCs w:val="24"/>
        </w:rPr>
        <w:t xml:space="preserve">In order to </w:t>
      </w:r>
      <w:r>
        <w:rPr>
          <w:rFonts w:ascii="Times New Roman" w:hAnsi="Times New Roman" w:cs="Times New Roman"/>
          <w:sz w:val="24"/>
          <w:szCs w:val="24"/>
        </w:rPr>
        <w:t>shed light on this relationship</w:t>
      </w:r>
      <w:r w:rsidR="002F2C87">
        <w:rPr>
          <w:rFonts w:ascii="Times New Roman" w:hAnsi="Times New Roman" w:cs="Times New Roman"/>
          <w:sz w:val="24"/>
          <w:szCs w:val="24"/>
        </w:rPr>
        <w:t>, this paper proposes a “</w:t>
      </w:r>
      <w:r w:rsidR="00B27FC4">
        <w:rPr>
          <w:rFonts w:ascii="Times New Roman" w:hAnsi="Times New Roman" w:cs="Times New Roman"/>
          <w:sz w:val="24"/>
          <w:szCs w:val="24"/>
        </w:rPr>
        <w:t>h</w:t>
      </w:r>
      <w:r w:rsidR="002F2C87">
        <w:rPr>
          <w:rFonts w:ascii="Times New Roman" w:hAnsi="Times New Roman" w:cs="Times New Roman"/>
          <w:sz w:val="24"/>
          <w:szCs w:val="24"/>
        </w:rPr>
        <w:t>erding</w:t>
      </w:r>
      <w:r w:rsidR="00B27FC4">
        <w:rPr>
          <w:rFonts w:ascii="Times New Roman" w:hAnsi="Times New Roman" w:cs="Times New Roman"/>
          <w:sz w:val="24"/>
          <w:szCs w:val="24"/>
        </w:rPr>
        <w:t xml:space="preserve"> effect</w:t>
      </w:r>
      <w:r w:rsidR="002F2C87">
        <w:rPr>
          <w:rFonts w:ascii="Times New Roman" w:hAnsi="Times New Roman" w:cs="Times New Roman"/>
          <w:sz w:val="24"/>
          <w:szCs w:val="24"/>
        </w:rPr>
        <w:t>”</w:t>
      </w:r>
      <w:r w:rsidR="00AE3E99">
        <w:rPr>
          <w:rFonts w:ascii="Times New Roman" w:hAnsi="Times New Roman" w:cs="Times New Roman"/>
          <w:sz w:val="24"/>
          <w:szCs w:val="24"/>
        </w:rPr>
        <w:t xml:space="preserve"> theory. The theory is centred on voter turnout rates a</w:t>
      </w:r>
      <w:r w:rsidR="00AE3E99" w:rsidRPr="00AE3E99">
        <w:rPr>
          <w:rFonts w:ascii="Times New Roman" w:eastAsia="Times New Roman" w:hAnsi="Times New Roman" w:cs="Times New Roman"/>
          <w:sz w:val="24"/>
          <w:szCs w:val="24"/>
        </w:rPr>
        <w:t xml:space="preserve">s a mechanism, </w:t>
      </w:r>
      <w:r w:rsidR="00AE3E99">
        <w:rPr>
          <w:rFonts w:ascii="Times New Roman" w:eastAsia="Times New Roman" w:hAnsi="Times New Roman" w:cs="Times New Roman"/>
          <w:sz w:val="24"/>
          <w:szCs w:val="24"/>
        </w:rPr>
        <w:t xml:space="preserve">which </w:t>
      </w:r>
      <w:r w:rsidR="00AE3E99" w:rsidRPr="00AE3E99">
        <w:rPr>
          <w:rFonts w:ascii="Times New Roman" w:eastAsia="Times New Roman" w:hAnsi="Times New Roman" w:cs="Times New Roman"/>
          <w:sz w:val="24"/>
          <w:szCs w:val="24"/>
        </w:rPr>
        <w:t>c</w:t>
      </w:r>
      <w:r w:rsidR="00AE3E99">
        <w:rPr>
          <w:rFonts w:ascii="Times New Roman" w:eastAsia="Times New Roman" w:hAnsi="Times New Roman" w:cs="Times New Roman"/>
          <w:sz w:val="24"/>
          <w:szCs w:val="24"/>
        </w:rPr>
        <w:t>hannels underlying factors that are</w:t>
      </w:r>
      <w:r>
        <w:rPr>
          <w:rFonts w:ascii="Times New Roman" w:eastAsia="Times New Roman" w:hAnsi="Times New Roman" w:cs="Times New Roman"/>
          <w:sz w:val="24"/>
          <w:szCs w:val="24"/>
        </w:rPr>
        <w:t xml:space="preserve"> typically</w:t>
      </w:r>
      <w:r w:rsidR="00AE3E99" w:rsidRPr="00AE3E99">
        <w:rPr>
          <w:rFonts w:ascii="Times New Roman" w:eastAsia="Times New Roman" w:hAnsi="Times New Roman" w:cs="Times New Roman"/>
          <w:sz w:val="24"/>
          <w:szCs w:val="24"/>
        </w:rPr>
        <w:t xml:space="preserve"> diffic</w:t>
      </w:r>
      <w:r>
        <w:rPr>
          <w:rFonts w:ascii="Times New Roman" w:eastAsia="Times New Roman" w:hAnsi="Times New Roman" w:cs="Times New Roman"/>
          <w:sz w:val="24"/>
          <w:szCs w:val="24"/>
        </w:rPr>
        <w:t>ult to quantitatively</w:t>
      </w:r>
      <w:r w:rsidR="00AE3E99">
        <w:rPr>
          <w:rFonts w:ascii="Times New Roman" w:eastAsia="Times New Roman" w:hAnsi="Times New Roman" w:cs="Times New Roman"/>
          <w:sz w:val="24"/>
          <w:szCs w:val="24"/>
        </w:rPr>
        <w:t xml:space="preserve"> measure. The theory postulates the existence of two types of voters – </w:t>
      </w:r>
      <w:r w:rsidR="00AE3E99" w:rsidRPr="00AE3E99">
        <w:rPr>
          <w:rFonts w:ascii="Times New Roman" w:eastAsia="Times New Roman" w:hAnsi="Times New Roman" w:cs="Times New Roman"/>
          <w:sz w:val="24"/>
          <w:szCs w:val="24"/>
        </w:rPr>
        <w:t xml:space="preserve">those that are genuinely interested </w:t>
      </w:r>
      <w:r w:rsidR="00F3218B">
        <w:rPr>
          <w:rFonts w:ascii="Times New Roman" w:eastAsia="Times New Roman" w:hAnsi="Times New Roman" w:cs="Times New Roman"/>
          <w:sz w:val="24"/>
          <w:szCs w:val="24"/>
        </w:rPr>
        <w:t>in and informed about</w:t>
      </w:r>
      <w:r w:rsidR="00AE3E99">
        <w:rPr>
          <w:rFonts w:ascii="Times New Roman" w:eastAsia="Times New Roman" w:hAnsi="Times New Roman" w:cs="Times New Roman"/>
          <w:sz w:val="24"/>
          <w:szCs w:val="24"/>
        </w:rPr>
        <w:t xml:space="preserve"> politics and </w:t>
      </w:r>
      <w:r w:rsidR="00F3218B">
        <w:rPr>
          <w:rFonts w:ascii="Times New Roman" w:eastAsia="Times New Roman" w:hAnsi="Times New Roman" w:cs="Times New Roman"/>
          <w:sz w:val="24"/>
          <w:szCs w:val="24"/>
        </w:rPr>
        <w:t>electoral outcomes</w:t>
      </w:r>
      <w:r w:rsidR="00AE3E99">
        <w:rPr>
          <w:rFonts w:ascii="Times New Roman" w:eastAsia="Times New Roman" w:hAnsi="Times New Roman" w:cs="Times New Roman"/>
          <w:sz w:val="24"/>
          <w:szCs w:val="24"/>
        </w:rPr>
        <w:t xml:space="preserve"> – active voters</w:t>
      </w:r>
      <w:r w:rsidR="00AE3E99" w:rsidRPr="00AE3E99">
        <w:rPr>
          <w:rFonts w:ascii="Times New Roman" w:eastAsia="Times New Roman" w:hAnsi="Times New Roman" w:cs="Times New Roman"/>
          <w:sz w:val="24"/>
          <w:szCs w:val="24"/>
        </w:rPr>
        <w:t>, and those that a</w:t>
      </w:r>
      <w:r w:rsidR="00AE3E99">
        <w:rPr>
          <w:rFonts w:ascii="Times New Roman" w:eastAsia="Times New Roman" w:hAnsi="Times New Roman" w:cs="Times New Roman"/>
          <w:sz w:val="24"/>
          <w:szCs w:val="24"/>
        </w:rPr>
        <w:t xml:space="preserve">re not </w:t>
      </w:r>
      <w:r>
        <w:rPr>
          <w:rFonts w:ascii="Times New Roman" w:eastAsia="Times New Roman" w:hAnsi="Times New Roman" w:cs="Times New Roman"/>
          <w:sz w:val="24"/>
          <w:szCs w:val="24"/>
        </w:rPr>
        <w:t>–</w:t>
      </w:r>
      <w:r w:rsidR="00AE3E99">
        <w:rPr>
          <w:rFonts w:ascii="Times New Roman" w:eastAsia="Times New Roman" w:hAnsi="Times New Roman" w:cs="Times New Roman"/>
          <w:sz w:val="24"/>
          <w:szCs w:val="24"/>
        </w:rPr>
        <w:t xml:space="preserve"> passive</w:t>
      </w:r>
      <w:r w:rsidR="00AF7DE7">
        <w:rPr>
          <w:rFonts w:ascii="Times New Roman" w:eastAsia="Times New Roman" w:hAnsi="Times New Roman" w:cs="Times New Roman"/>
          <w:sz w:val="24"/>
          <w:szCs w:val="24"/>
        </w:rPr>
        <w:t xml:space="preserve"> voters. Since compulsory turnout</w:t>
      </w:r>
      <w:r w:rsidR="00AE3E99">
        <w:rPr>
          <w:rFonts w:ascii="Times New Roman" w:eastAsia="Times New Roman" w:hAnsi="Times New Roman" w:cs="Times New Roman"/>
          <w:sz w:val="24"/>
          <w:szCs w:val="24"/>
        </w:rPr>
        <w:t xml:space="preserve"> legislation forces</w:t>
      </w:r>
      <w:r w:rsidR="00AE3E99" w:rsidRPr="00AE3E99">
        <w:rPr>
          <w:rFonts w:ascii="Times New Roman" w:eastAsia="Times New Roman" w:hAnsi="Times New Roman" w:cs="Times New Roman"/>
          <w:sz w:val="24"/>
          <w:szCs w:val="24"/>
        </w:rPr>
        <w:t xml:space="preserve"> both types of voters to vote, passive voters who are indifferent</w:t>
      </w:r>
      <w:r w:rsidR="00AE3E99">
        <w:rPr>
          <w:rFonts w:ascii="Times New Roman" w:eastAsia="Times New Roman" w:hAnsi="Times New Roman" w:cs="Times New Roman"/>
          <w:sz w:val="24"/>
          <w:szCs w:val="24"/>
        </w:rPr>
        <w:t xml:space="preserve"> to outcomes</w:t>
      </w:r>
      <w:r w:rsidR="00AE3E99" w:rsidRPr="00AE3E99">
        <w:rPr>
          <w:rFonts w:ascii="Times New Roman" w:eastAsia="Times New Roman" w:hAnsi="Times New Roman" w:cs="Times New Roman"/>
          <w:sz w:val="24"/>
          <w:szCs w:val="24"/>
        </w:rPr>
        <w:t xml:space="preserve"> </w:t>
      </w:r>
      <w:r w:rsidR="00F3218B">
        <w:rPr>
          <w:rFonts w:ascii="Times New Roman" w:eastAsia="Times New Roman" w:hAnsi="Times New Roman" w:cs="Times New Roman"/>
          <w:sz w:val="24"/>
          <w:szCs w:val="24"/>
        </w:rPr>
        <w:t xml:space="preserve">may </w:t>
      </w:r>
      <w:r w:rsidR="00AE3E99" w:rsidRPr="00AE3E99">
        <w:rPr>
          <w:rFonts w:ascii="Times New Roman" w:eastAsia="Times New Roman" w:hAnsi="Times New Roman" w:cs="Times New Roman"/>
          <w:sz w:val="24"/>
          <w:szCs w:val="24"/>
        </w:rPr>
        <w:t xml:space="preserve">tend to follow the voting trends of active voters around them, </w:t>
      </w:r>
      <w:r w:rsidR="00AE3E99">
        <w:rPr>
          <w:rFonts w:ascii="Times New Roman" w:eastAsia="Times New Roman" w:hAnsi="Times New Roman" w:cs="Times New Roman"/>
          <w:sz w:val="24"/>
          <w:szCs w:val="24"/>
        </w:rPr>
        <w:t>i.e.</w:t>
      </w:r>
      <w:r w:rsidR="00AE3E99" w:rsidRPr="00AE3E99">
        <w:rPr>
          <w:rFonts w:ascii="Times New Roman" w:eastAsia="Times New Roman" w:hAnsi="Times New Roman" w:cs="Times New Roman"/>
          <w:sz w:val="24"/>
          <w:szCs w:val="24"/>
        </w:rPr>
        <w:t xml:space="preserve"> “herding</w:t>
      </w:r>
      <w:r w:rsidR="00B27FC4">
        <w:rPr>
          <w:rFonts w:ascii="Times New Roman" w:eastAsia="Times New Roman" w:hAnsi="Times New Roman" w:cs="Times New Roman"/>
          <w:sz w:val="24"/>
          <w:szCs w:val="24"/>
        </w:rPr>
        <w:t xml:space="preserve"> </w:t>
      </w:r>
      <w:r w:rsidR="00AE3E99" w:rsidRPr="00AE3E99">
        <w:rPr>
          <w:rFonts w:ascii="Times New Roman" w:eastAsia="Times New Roman" w:hAnsi="Times New Roman" w:cs="Times New Roman"/>
          <w:sz w:val="24"/>
          <w:szCs w:val="24"/>
        </w:rPr>
        <w:t xml:space="preserve">effect”. Consequently, votes tend to </w:t>
      </w:r>
      <w:r w:rsidR="00AE3E99">
        <w:rPr>
          <w:rFonts w:ascii="Times New Roman" w:eastAsia="Times New Roman" w:hAnsi="Times New Roman" w:cs="Times New Roman"/>
          <w:sz w:val="24"/>
          <w:szCs w:val="24"/>
        </w:rPr>
        <w:t>aggregate towards larger and more p</w:t>
      </w:r>
      <w:r w:rsidR="00AE3E99" w:rsidRPr="00AE3E99">
        <w:rPr>
          <w:rFonts w:ascii="Times New Roman" w:eastAsia="Times New Roman" w:hAnsi="Times New Roman" w:cs="Times New Roman"/>
          <w:sz w:val="24"/>
          <w:szCs w:val="24"/>
        </w:rPr>
        <w:t xml:space="preserve">opular parties, </w:t>
      </w:r>
      <w:r w:rsidR="00AE3E99">
        <w:rPr>
          <w:rFonts w:ascii="Times New Roman" w:eastAsia="Times New Roman" w:hAnsi="Times New Roman" w:cs="Times New Roman"/>
          <w:sz w:val="24"/>
          <w:szCs w:val="24"/>
        </w:rPr>
        <w:t>amplifying</w:t>
      </w:r>
      <w:r w:rsidR="00AE3E99" w:rsidRPr="00AE3E99">
        <w:rPr>
          <w:rFonts w:ascii="Times New Roman" w:eastAsia="Times New Roman" w:hAnsi="Times New Roman" w:cs="Times New Roman"/>
          <w:sz w:val="24"/>
          <w:szCs w:val="24"/>
        </w:rPr>
        <w:t xml:space="preserve"> their dominance</w:t>
      </w:r>
      <w:r w:rsidR="00AE3E99">
        <w:rPr>
          <w:rFonts w:ascii="Times New Roman" w:eastAsia="Times New Roman" w:hAnsi="Times New Roman" w:cs="Times New Roman"/>
          <w:sz w:val="24"/>
          <w:szCs w:val="24"/>
        </w:rPr>
        <w:t xml:space="preserve"> in a local municipality</w:t>
      </w:r>
      <w:r w:rsidR="00AE3E99" w:rsidRPr="00AE3E99">
        <w:rPr>
          <w:rFonts w:ascii="Times New Roman" w:eastAsia="Times New Roman" w:hAnsi="Times New Roman" w:cs="Times New Roman"/>
          <w:sz w:val="24"/>
          <w:szCs w:val="24"/>
        </w:rPr>
        <w:t xml:space="preserve"> rather than </w:t>
      </w:r>
      <w:r>
        <w:rPr>
          <w:rFonts w:ascii="Times New Roman" w:eastAsia="Times New Roman" w:hAnsi="Times New Roman" w:cs="Times New Roman"/>
          <w:sz w:val="24"/>
          <w:szCs w:val="24"/>
        </w:rPr>
        <w:t>“</w:t>
      </w:r>
      <w:r w:rsidR="00AE3E99" w:rsidRPr="00AE3E99">
        <w:rPr>
          <w:rFonts w:ascii="Times New Roman" w:eastAsia="Times New Roman" w:hAnsi="Times New Roman" w:cs="Times New Roman"/>
          <w:sz w:val="24"/>
          <w:szCs w:val="24"/>
        </w:rPr>
        <w:t>accurately</w:t>
      </w:r>
      <w:r>
        <w:rPr>
          <w:rFonts w:ascii="Times New Roman" w:eastAsia="Times New Roman" w:hAnsi="Times New Roman" w:cs="Times New Roman"/>
          <w:sz w:val="24"/>
          <w:szCs w:val="24"/>
        </w:rPr>
        <w:t>”</w:t>
      </w:r>
      <w:r w:rsidR="00AE3E99" w:rsidRPr="00AE3E99">
        <w:rPr>
          <w:rFonts w:ascii="Times New Roman" w:eastAsia="Times New Roman" w:hAnsi="Times New Roman" w:cs="Times New Roman"/>
          <w:sz w:val="24"/>
          <w:szCs w:val="24"/>
        </w:rPr>
        <w:t xml:space="preserve"> representing active voters’ </w:t>
      </w:r>
      <w:r w:rsidR="00AE3E99">
        <w:rPr>
          <w:rFonts w:ascii="Times New Roman" w:eastAsia="Times New Roman" w:hAnsi="Times New Roman" w:cs="Times New Roman"/>
          <w:sz w:val="24"/>
          <w:szCs w:val="24"/>
        </w:rPr>
        <w:t>opinions</w:t>
      </w:r>
      <w:r w:rsidR="00AE3E99" w:rsidRPr="00AE3E99">
        <w:rPr>
          <w:rFonts w:ascii="Times New Roman" w:eastAsia="Times New Roman" w:hAnsi="Times New Roman" w:cs="Times New Roman"/>
          <w:sz w:val="24"/>
          <w:szCs w:val="24"/>
        </w:rPr>
        <w:t xml:space="preserve">. Similar </w:t>
      </w:r>
      <w:r w:rsidR="00AE3E99" w:rsidRPr="00AE3E99">
        <w:rPr>
          <w:rFonts w:ascii="Times New Roman" w:eastAsia="Times New Roman" w:hAnsi="Times New Roman" w:cs="Times New Roman"/>
          <w:sz w:val="24"/>
          <w:szCs w:val="24"/>
        </w:rPr>
        <w:lastRenderedPageBreak/>
        <w:t xml:space="preserve">literature on the subject of </w:t>
      </w:r>
      <w:r w:rsidR="00AE3E99">
        <w:rPr>
          <w:rFonts w:ascii="Times New Roman" w:eastAsia="Times New Roman" w:hAnsi="Times New Roman" w:cs="Times New Roman"/>
          <w:sz w:val="24"/>
          <w:szCs w:val="24"/>
        </w:rPr>
        <w:t xml:space="preserve">compulsory turnout also indicate similar conclusions about </w:t>
      </w:r>
      <w:r w:rsidR="00AE3E99" w:rsidRPr="00AE3E99">
        <w:rPr>
          <w:rFonts w:ascii="Times New Roman" w:eastAsia="Times New Roman" w:hAnsi="Times New Roman" w:cs="Times New Roman"/>
          <w:sz w:val="24"/>
          <w:szCs w:val="24"/>
        </w:rPr>
        <w:t>passive and active voters, and that such legislation</w:t>
      </w:r>
      <w:r w:rsidR="00AE3E99">
        <w:rPr>
          <w:rFonts w:ascii="Times New Roman" w:eastAsia="Times New Roman" w:hAnsi="Times New Roman" w:cs="Times New Roman"/>
          <w:sz w:val="24"/>
          <w:szCs w:val="24"/>
        </w:rPr>
        <w:t>,</w:t>
      </w:r>
      <w:r w:rsidR="00AE3E99" w:rsidRPr="00AE3E99">
        <w:rPr>
          <w:rFonts w:ascii="Times New Roman" w:eastAsia="Times New Roman" w:hAnsi="Times New Roman" w:cs="Times New Roman"/>
          <w:sz w:val="24"/>
          <w:szCs w:val="24"/>
        </w:rPr>
        <w:t xml:space="preserve"> </w:t>
      </w:r>
      <w:r w:rsidR="00DE2F6F">
        <w:rPr>
          <w:rFonts w:ascii="Times New Roman" w:eastAsia="Times New Roman" w:hAnsi="Times New Roman" w:cs="Times New Roman"/>
          <w:sz w:val="24"/>
          <w:szCs w:val="24"/>
        </w:rPr>
        <w:t xml:space="preserve"> in fact</w:t>
      </w:r>
      <w:r w:rsidR="00AE3E99">
        <w:rPr>
          <w:rFonts w:ascii="Times New Roman" w:eastAsia="Times New Roman" w:hAnsi="Times New Roman" w:cs="Times New Roman"/>
          <w:sz w:val="24"/>
          <w:szCs w:val="24"/>
        </w:rPr>
        <w:t xml:space="preserve"> </w:t>
      </w:r>
      <w:r w:rsidR="00AE3E99" w:rsidRPr="00AE3E99">
        <w:rPr>
          <w:rFonts w:ascii="Times New Roman" w:eastAsia="Times New Roman" w:hAnsi="Times New Roman" w:cs="Times New Roman"/>
          <w:sz w:val="24"/>
          <w:szCs w:val="24"/>
        </w:rPr>
        <w:t xml:space="preserve">only affects those that are </w:t>
      </w:r>
      <w:r>
        <w:rPr>
          <w:rFonts w:ascii="Times New Roman" w:eastAsia="Times New Roman" w:hAnsi="Times New Roman" w:cs="Times New Roman"/>
          <w:sz w:val="24"/>
          <w:szCs w:val="24"/>
        </w:rPr>
        <w:t>“</w:t>
      </w:r>
      <w:r w:rsidR="00AE3E99" w:rsidRPr="00AE3E99">
        <w:rPr>
          <w:rFonts w:ascii="Times New Roman" w:eastAsia="Times New Roman" w:hAnsi="Times New Roman" w:cs="Times New Roman"/>
          <w:sz w:val="24"/>
          <w:szCs w:val="24"/>
        </w:rPr>
        <w:t>passive</w:t>
      </w:r>
      <w:r>
        <w:rPr>
          <w:rFonts w:ascii="Times New Roman" w:eastAsia="Times New Roman" w:hAnsi="Times New Roman" w:cs="Times New Roman"/>
          <w:sz w:val="24"/>
          <w:szCs w:val="24"/>
        </w:rPr>
        <w:t>”</w:t>
      </w:r>
      <w:r w:rsidR="00AE3E99" w:rsidRPr="00AE3E99">
        <w:rPr>
          <w:rFonts w:ascii="Times New Roman" w:eastAsia="Times New Roman" w:hAnsi="Times New Roman" w:cs="Times New Roman"/>
          <w:sz w:val="24"/>
          <w:szCs w:val="24"/>
        </w:rPr>
        <w:t xml:space="preserve"> (Irwin, 1974). However, the author does not </w:t>
      </w:r>
      <w:r w:rsidR="00AE3E99">
        <w:rPr>
          <w:rFonts w:ascii="Times New Roman" w:eastAsia="Times New Roman" w:hAnsi="Times New Roman" w:cs="Times New Roman"/>
          <w:sz w:val="24"/>
          <w:szCs w:val="24"/>
        </w:rPr>
        <w:t>specifically identify any so-called “herding” effects</w:t>
      </w:r>
      <w:r w:rsidR="00F3218B">
        <w:rPr>
          <w:rFonts w:ascii="Times New Roman" w:eastAsia="Times New Roman" w:hAnsi="Times New Roman" w:cs="Times New Roman"/>
          <w:sz w:val="24"/>
          <w:szCs w:val="24"/>
        </w:rPr>
        <w:t xml:space="preserve">, which may </w:t>
      </w:r>
      <w:r w:rsidR="00DE2F6F">
        <w:rPr>
          <w:rFonts w:ascii="Times New Roman" w:eastAsia="Times New Roman" w:hAnsi="Times New Roman" w:cs="Times New Roman"/>
          <w:sz w:val="24"/>
          <w:szCs w:val="24"/>
        </w:rPr>
        <w:t>be detrimental to his</w:t>
      </w:r>
      <w:r w:rsidR="00AE3E99">
        <w:rPr>
          <w:rFonts w:ascii="Times New Roman" w:eastAsia="Times New Roman" w:hAnsi="Times New Roman" w:cs="Times New Roman"/>
          <w:sz w:val="24"/>
          <w:szCs w:val="24"/>
        </w:rPr>
        <w:t xml:space="preserve"> conclusions that compulsory turnout is effective in capturing a higher degree of representative participation in elections.</w:t>
      </w:r>
      <w:r w:rsidR="00B27FC4">
        <w:rPr>
          <w:rFonts w:ascii="Times New Roman" w:eastAsia="Times New Roman" w:hAnsi="Times New Roman" w:cs="Times New Roman"/>
          <w:sz w:val="24"/>
          <w:szCs w:val="24"/>
        </w:rPr>
        <w:t xml:space="preserve"> </w:t>
      </w:r>
      <w:r w:rsidR="00267246">
        <w:rPr>
          <w:rFonts w:ascii="Times New Roman" w:eastAsia="Times New Roman" w:hAnsi="Times New Roman" w:cs="Times New Roman"/>
          <w:sz w:val="24"/>
          <w:szCs w:val="24"/>
        </w:rPr>
        <w:t xml:space="preserve">In the context researched by this paper, the abolishment of compulsory </w:t>
      </w:r>
      <w:r w:rsidR="00AF7DE7">
        <w:rPr>
          <w:rFonts w:ascii="Times New Roman" w:eastAsia="Times New Roman" w:hAnsi="Times New Roman" w:cs="Times New Roman"/>
          <w:sz w:val="24"/>
          <w:szCs w:val="24"/>
        </w:rPr>
        <w:t>turnout</w:t>
      </w:r>
      <w:r w:rsidR="00267246">
        <w:rPr>
          <w:rFonts w:ascii="Times New Roman" w:eastAsia="Times New Roman" w:hAnsi="Times New Roman" w:cs="Times New Roman"/>
          <w:sz w:val="24"/>
          <w:szCs w:val="24"/>
        </w:rPr>
        <w:t xml:space="preserve"> thus leads to a counter-intuitive increase in the competitiveness </w:t>
      </w:r>
      <w:r w:rsidR="00AD75AE">
        <w:rPr>
          <w:rFonts w:ascii="Times New Roman" w:eastAsia="Times New Roman" w:hAnsi="Times New Roman" w:cs="Times New Roman"/>
          <w:sz w:val="24"/>
          <w:szCs w:val="24"/>
        </w:rPr>
        <w:t>or</w:t>
      </w:r>
      <w:r w:rsidR="00267246">
        <w:rPr>
          <w:rFonts w:ascii="Times New Roman" w:eastAsia="Times New Roman" w:hAnsi="Times New Roman" w:cs="Times New Roman"/>
          <w:sz w:val="24"/>
          <w:szCs w:val="24"/>
        </w:rPr>
        <w:t xml:space="preserve"> representativeness of Dutch provincial elections through the dissolution of the “herding effect”. Simply put, passive voters that were in fact uninterested in electoral outcomes and voted for majority parties, were no longer required to place a vote. Therefore, th</w:t>
      </w:r>
      <w:r>
        <w:rPr>
          <w:rFonts w:ascii="Times New Roman" w:eastAsia="Times New Roman" w:hAnsi="Times New Roman" w:cs="Times New Roman"/>
          <w:sz w:val="24"/>
          <w:szCs w:val="24"/>
        </w:rPr>
        <w:t xml:space="preserve">e allocation of vote share can </w:t>
      </w:r>
      <w:r w:rsidR="00267246">
        <w:rPr>
          <w:rFonts w:ascii="Times New Roman" w:eastAsia="Times New Roman" w:hAnsi="Times New Roman" w:cs="Times New Roman"/>
          <w:sz w:val="24"/>
          <w:szCs w:val="24"/>
        </w:rPr>
        <w:t xml:space="preserve">be considered to be more representative of the opinions of the more informed and interested group of active voters. </w:t>
      </w:r>
      <w:r w:rsidR="00267246" w:rsidRPr="00AE3E99">
        <w:rPr>
          <w:rFonts w:ascii="Times New Roman" w:eastAsia="Times New Roman" w:hAnsi="Times New Roman" w:cs="Times New Roman"/>
          <w:sz w:val="24"/>
          <w:szCs w:val="24"/>
        </w:rPr>
        <w:t>It may be relevant to note that this effect is distinct from the donkey voting phenomenon, which instead implies that some voters randomly vote simply to fulfil mandatory requirements</w:t>
      </w:r>
      <w:r>
        <w:rPr>
          <w:rFonts w:ascii="Times New Roman" w:eastAsia="Times New Roman" w:hAnsi="Times New Roman" w:cs="Times New Roman"/>
          <w:sz w:val="24"/>
          <w:szCs w:val="24"/>
        </w:rPr>
        <w:t>.</w:t>
      </w:r>
    </w:p>
    <w:p w:rsidR="00AE3E99" w:rsidRDefault="00267246" w:rsidP="002672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more formal terms</w:t>
      </w:r>
      <w:r w:rsidR="00B27FC4">
        <w:rPr>
          <w:rFonts w:ascii="Times New Roman" w:eastAsia="Times New Roman" w:hAnsi="Times New Roman" w:cs="Times New Roman"/>
          <w:sz w:val="24"/>
          <w:szCs w:val="24"/>
        </w:rPr>
        <w:t xml:space="preserve">, </w:t>
      </w:r>
      <w:r w:rsidR="0040048B">
        <w:rPr>
          <w:rFonts w:ascii="Times New Roman" w:eastAsia="Times New Roman" w:hAnsi="Times New Roman" w:cs="Times New Roman"/>
          <w:sz w:val="24"/>
          <w:szCs w:val="24"/>
        </w:rPr>
        <w:t xml:space="preserve">the theory hypothesises that </w:t>
      </w:r>
      <w:r w:rsidR="00B27FC4">
        <w:rPr>
          <w:rFonts w:ascii="Times New Roman" w:eastAsia="Times New Roman" w:hAnsi="Times New Roman" w:cs="Times New Roman"/>
          <w:sz w:val="24"/>
          <w:szCs w:val="24"/>
        </w:rPr>
        <w:t xml:space="preserve">passive voters </w:t>
      </w:r>
      <w:r w:rsidR="0040048B">
        <w:rPr>
          <w:rFonts w:ascii="Times New Roman" w:eastAsia="Times New Roman" w:hAnsi="Times New Roman" w:cs="Times New Roman"/>
          <w:sz w:val="24"/>
          <w:szCs w:val="24"/>
        </w:rPr>
        <w:t>vote because</w:t>
      </w:r>
      <w:r w:rsidR="00B27FC4">
        <w:rPr>
          <w:rFonts w:ascii="Times New Roman" w:eastAsia="Times New Roman" w:hAnsi="Times New Roman" w:cs="Times New Roman"/>
          <w:sz w:val="24"/>
          <w:szCs w:val="24"/>
        </w:rPr>
        <w:t xml:space="preserve"> the cost of breaking the </w:t>
      </w:r>
      <w:r>
        <w:rPr>
          <w:rFonts w:ascii="Times New Roman" w:eastAsia="Times New Roman" w:hAnsi="Times New Roman" w:cs="Times New Roman"/>
          <w:sz w:val="24"/>
          <w:szCs w:val="24"/>
        </w:rPr>
        <w:t xml:space="preserve">law </w:t>
      </w:r>
      <w:r w:rsidR="00B27FC4">
        <w:rPr>
          <w:rFonts w:ascii="Times New Roman" w:eastAsia="Times New Roman" w:hAnsi="Times New Roman" w:cs="Times New Roman"/>
          <w:sz w:val="24"/>
          <w:szCs w:val="24"/>
        </w:rPr>
        <w:t xml:space="preserve">exceeds the cost of voting. </w:t>
      </w:r>
      <w:r w:rsidR="0040048B">
        <w:rPr>
          <w:rFonts w:ascii="Times New Roman" w:eastAsia="Times New Roman" w:hAnsi="Times New Roman" w:cs="Times New Roman"/>
          <w:sz w:val="24"/>
          <w:szCs w:val="24"/>
        </w:rPr>
        <w:t>Whereas active voters may additionally</w:t>
      </w:r>
      <w:r w:rsidR="008E4EA5">
        <w:rPr>
          <w:rFonts w:ascii="Times New Roman" w:eastAsia="Times New Roman" w:hAnsi="Times New Roman" w:cs="Times New Roman"/>
          <w:sz w:val="24"/>
          <w:szCs w:val="24"/>
        </w:rPr>
        <w:t xml:space="preserve"> derive utility from the act of voting itself through their interest</w:t>
      </w:r>
      <w:r w:rsidR="0040048B">
        <w:rPr>
          <w:rFonts w:ascii="Times New Roman" w:eastAsia="Times New Roman" w:hAnsi="Times New Roman" w:cs="Times New Roman"/>
          <w:sz w:val="24"/>
          <w:szCs w:val="24"/>
        </w:rPr>
        <w:t xml:space="preserve"> in</w:t>
      </w:r>
      <w:r w:rsidR="008E4EA5">
        <w:rPr>
          <w:rFonts w:ascii="Times New Roman" w:eastAsia="Times New Roman" w:hAnsi="Times New Roman" w:cs="Times New Roman"/>
          <w:sz w:val="24"/>
          <w:szCs w:val="24"/>
        </w:rPr>
        <w:t xml:space="preserve"> political outcomes. For example, one of the cited reaso</w:t>
      </w:r>
      <w:r w:rsidR="00AF7DE7">
        <w:rPr>
          <w:rFonts w:ascii="Times New Roman" w:eastAsia="Times New Roman" w:hAnsi="Times New Roman" w:cs="Times New Roman"/>
          <w:sz w:val="24"/>
          <w:szCs w:val="24"/>
        </w:rPr>
        <w:t>ns for implementing compulsory turnout</w:t>
      </w:r>
      <w:r w:rsidR="008E4EA5">
        <w:rPr>
          <w:rFonts w:ascii="Times New Roman" w:eastAsia="Times New Roman" w:hAnsi="Times New Roman" w:cs="Times New Roman"/>
          <w:sz w:val="24"/>
          <w:szCs w:val="24"/>
        </w:rPr>
        <w:t xml:space="preserve"> in the Netherlands in the first place was that voting was thought to be public duty </w:t>
      </w:r>
      <w:r>
        <w:rPr>
          <w:rFonts w:ascii="Times New Roman" w:eastAsia="Times New Roman" w:hAnsi="Times New Roman" w:cs="Times New Roman"/>
          <w:sz w:val="24"/>
          <w:szCs w:val="24"/>
        </w:rPr>
        <w:t xml:space="preserve">(Pintor and Gratschew, 2004). Blais and Young (1999) build upon this </w:t>
      </w:r>
      <w:r w:rsidR="0040048B">
        <w:rPr>
          <w:rFonts w:ascii="Times New Roman" w:eastAsia="Times New Roman" w:hAnsi="Times New Roman" w:cs="Times New Roman"/>
          <w:sz w:val="24"/>
          <w:szCs w:val="24"/>
        </w:rPr>
        <w:t xml:space="preserve">argument </w:t>
      </w:r>
      <w:r>
        <w:rPr>
          <w:rFonts w:ascii="Times New Roman" w:eastAsia="Times New Roman" w:hAnsi="Times New Roman" w:cs="Times New Roman"/>
          <w:sz w:val="24"/>
          <w:szCs w:val="24"/>
        </w:rPr>
        <w:t>by suggesting that voters’ apparent violations of outcomes predicted by rational choice models is most likely driven by “an intrinsic sense of duty”. Thus, active voters carry a larger incentive in the form of u</w:t>
      </w:r>
      <w:r w:rsidR="0040048B">
        <w:rPr>
          <w:rFonts w:ascii="Times New Roman" w:eastAsia="Times New Roman" w:hAnsi="Times New Roman" w:cs="Times New Roman"/>
          <w:sz w:val="24"/>
          <w:szCs w:val="24"/>
        </w:rPr>
        <w:t xml:space="preserve">tility gained from public duty and </w:t>
      </w:r>
      <w:r>
        <w:rPr>
          <w:rFonts w:ascii="Times New Roman" w:eastAsia="Times New Roman" w:hAnsi="Times New Roman" w:cs="Times New Roman"/>
          <w:sz w:val="24"/>
          <w:szCs w:val="24"/>
        </w:rPr>
        <w:t xml:space="preserve">contributing to political outcomes than their passive counterparts. </w:t>
      </w:r>
    </w:p>
    <w:p w:rsidR="002F5F4A" w:rsidRDefault="00267246" w:rsidP="00B51583">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“herding effect” essentially adapts ideas from </w:t>
      </w:r>
      <w:r w:rsidR="0040048B">
        <w:rPr>
          <w:rFonts w:ascii="Times New Roman" w:eastAsia="Times New Roman" w:hAnsi="Times New Roman" w:cs="Times New Roman"/>
          <w:sz w:val="24"/>
          <w:szCs w:val="24"/>
        </w:rPr>
        <w:t xml:space="preserve">Matsusaka (1995) </w:t>
      </w:r>
      <w:r w:rsidR="00F3218B">
        <w:rPr>
          <w:rFonts w:ascii="Times New Roman" w:eastAsia="Times New Roman" w:hAnsi="Times New Roman" w:cs="Times New Roman"/>
          <w:sz w:val="24"/>
          <w:szCs w:val="24"/>
        </w:rPr>
        <w:t xml:space="preserve">which introduces </w:t>
      </w:r>
      <w:r w:rsidR="0040048B">
        <w:rPr>
          <w:rFonts w:ascii="Times New Roman" w:eastAsia="Times New Roman" w:hAnsi="Times New Roman" w:cs="Times New Roman"/>
          <w:sz w:val="24"/>
          <w:szCs w:val="24"/>
        </w:rPr>
        <w:t xml:space="preserve">“information theory” as an explanation </w:t>
      </w:r>
      <w:r w:rsidR="002E7455">
        <w:rPr>
          <w:rFonts w:ascii="Times New Roman" w:eastAsia="Times New Roman" w:hAnsi="Times New Roman" w:cs="Times New Roman"/>
          <w:sz w:val="24"/>
          <w:szCs w:val="24"/>
        </w:rPr>
        <w:t xml:space="preserve">for the positive link between a party’s campaign expenditures and voter turnout. Matsusaka argues that people derive greater levels of utility when they are more certain of their party preferences – thus larger parties, with greater campaign budgets can provide more information to satisfy these voters’ demands. Matsusaka also differentiates voters by intelligence – stating that higher educated individuals are more capable of interpreting campaign information. </w:t>
      </w:r>
      <w:r w:rsidR="00137806">
        <w:rPr>
          <w:rFonts w:ascii="Times New Roman" w:eastAsia="Times New Roman" w:hAnsi="Times New Roman" w:cs="Times New Roman"/>
          <w:sz w:val="24"/>
          <w:szCs w:val="24"/>
        </w:rPr>
        <w:t>In particular, the proposed “herding effect” adapts both the differentiation between voters by their ability to process campaign information, as well as the general information cost theory. In the context of Matsusaka’s theory, th</w:t>
      </w:r>
      <w:r w:rsidR="00D15F58">
        <w:rPr>
          <w:rFonts w:ascii="Times New Roman" w:eastAsia="Times New Roman" w:hAnsi="Times New Roman" w:cs="Times New Roman"/>
          <w:sz w:val="24"/>
          <w:szCs w:val="24"/>
        </w:rPr>
        <w:t xml:space="preserve">is implies that active voters </w:t>
      </w:r>
      <w:r w:rsidR="00AD75AE">
        <w:rPr>
          <w:rFonts w:ascii="Times New Roman" w:eastAsia="Times New Roman" w:hAnsi="Times New Roman" w:cs="Times New Roman"/>
          <w:sz w:val="24"/>
          <w:szCs w:val="24"/>
        </w:rPr>
        <w:t xml:space="preserve">have a comparative </w:t>
      </w:r>
      <w:r w:rsidR="00137806">
        <w:rPr>
          <w:rFonts w:ascii="Times New Roman" w:eastAsia="Times New Roman" w:hAnsi="Times New Roman" w:cs="Times New Roman"/>
          <w:sz w:val="24"/>
          <w:szCs w:val="24"/>
        </w:rPr>
        <w:t xml:space="preserve">advantage in information processing </w:t>
      </w:r>
      <w:r w:rsidR="00D15F58">
        <w:rPr>
          <w:rFonts w:ascii="Times New Roman" w:eastAsia="Times New Roman" w:hAnsi="Times New Roman" w:cs="Times New Roman"/>
          <w:sz w:val="24"/>
          <w:szCs w:val="24"/>
        </w:rPr>
        <w:t xml:space="preserve">and thus derive greater utility – which can be interpreted as their greater interest in politics. Conversely, passive </w:t>
      </w:r>
      <w:r w:rsidR="00D15F58">
        <w:rPr>
          <w:rFonts w:ascii="Times New Roman" w:eastAsia="Times New Roman" w:hAnsi="Times New Roman" w:cs="Times New Roman"/>
          <w:sz w:val="24"/>
          <w:szCs w:val="24"/>
        </w:rPr>
        <w:lastRenderedPageBreak/>
        <w:t xml:space="preserve">voters lack this greater incentive of utility due </w:t>
      </w:r>
      <w:r w:rsidR="00F3218B">
        <w:rPr>
          <w:rFonts w:ascii="Times New Roman" w:eastAsia="Times New Roman" w:hAnsi="Times New Roman" w:cs="Times New Roman"/>
          <w:sz w:val="24"/>
          <w:szCs w:val="24"/>
        </w:rPr>
        <w:t xml:space="preserve">to </w:t>
      </w:r>
      <w:r w:rsidR="00D15F58">
        <w:rPr>
          <w:rFonts w:ascii="Times New Roman" w:eastAsia="Times New Roman" w:hAnsi="Times New Roman" w:cs="Times New Roman"/>
          <w:sz w:val="24"/>
          <w:szCs w:val="24"/>
        </w:rPr>
        <w:t>their lesser abilities in information processing</w:t>
      </w:r>
      <w:r w:rsidR="00AD75AE">
        <w:rPr>
          <w:rFonts w:ascii="Times New Roman" w:eastAsia="Times New Roman" w:hAnsi="Times New Roman" w:cs="Times New Roman"/>
          <w:sz w:val="24"/>
          <w:szCs w:val="24"/>
        </w:rPr>
        <w:t>. However, because the cost of not voting is greater than the cost of voting (effort and information processing) passive voters are then forced to gather some information – simply from the preferences of their close friends and family or campaign information. Here, Matsusaka’s theory also contributes with the idea of differentiated campaign expenditures between different parties. In essence, this means that larger more popular parties may also have larger campaign budgets</w:t>
      </w:r>
      <w:r w:rsidR="004F3B8D">
        <w:rPr>
          <w:rFonts w:ascii="Times New Roman" w:eastAsia="Times New Roman" w:hAnsi="Times New Roman" w:cs="Times New Roman"/>
          <w:sz w:val="24"/>
          <w:szCs w:val="24"/>
        </w:rPr>
        <w:t xml:space="preserve"> or more expansive networks</w:t>
      </w:r>
      <w:r w:rsidR="00AD75AE">
        <w:rPr>
          <w:rFonts w:ascii="Times New Roman" w:eastAsia="Times New Roman" w:hAnsi="Times New Roman" w:cs="Times New Roman"/>
          <w:sz w:val="24"/>
          <w:szCs w:val="24"/>
        </w:rPr>
        <w:t xml:space="preserve">, increasing the likelihood for passive voters to “herd” towards voting for them. </w:t>
      </w:r>
      <w:r w:rsidR="004F3B8D">
        <w:rPr>
          <w:rFonts w:ascii="Times New Roman" w:hAnsi="Times New Roman" w:cs="Times New Roman"/>
          <w:sz w:val="24"/>
          <w:szCs w:val="24"/>
        </w:rPr>
        <w:t xml:space="preserve">Although this proposed “herding” theory may need to be fleshed out more </w:t>
      </w:r>
      <w:r w:rsidR="00DE2F6F">
        <w:rPr>
          <w:rFonts w:ascii="Times New Roman" w:hAnsi="Times New Roman" w:cs="Times New Roman"/>
          <w:sz w:val="24"/>
          <w:szCs w:val="24"/>
        </w:rPr>
        <w:t>before it can be</w:t>
      </w:r>
      <w:r w:rsidR="004F3B8D">
        <w:rPr>
          <w:rFonts w:ascii="Times New Roman" w:hAnsi="Times New Roman" w:cs="Times New Roman"/>
          <w:sz w:val="24"/>
          <w:szCs w:val="24"/>
        </w:rPr>
        <w:t xml:space="preserve"> considered a satisfactory mechanistic explanation of the results’ phenomena, it does provide a starting point from which to develop a more mature and formalized theory.</w:t>
      </w:r>
    </w:p>
    <w:p w:rsidR="002F5F4A" w:rsidRDefault="002F5F4A" w:rsidP="00B515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may also prove useful to discuss alternative mechanisms or theoretical explanations that may also prove to be reasonable explanations of this paper’s results. One theory details a so-called “incumbency effect”, wherein (passive) voters find that incumbency is an implicit signal of quality versus unknown competitors (Ashworth &amp; Bueno de Mesquita, 2008). The authors argue that high valence candidates are more likely to win elections, and thus more likely to deter challengers. However, </w:t>
      </w:r>
      <w:r w:rsidR="00DA1EFD">
        <w:rPr>
          <w:rFonts w:ascii="Times New Roman" w:hAnsi="Times New Roman" w:cs="Times New Roman"/>
          <w:sz w:val="24"/>
          <w:szCs w:val="24"/>
        </w:rPr>
        <w:t xml:space="preserve">this theory still does not take into account the observed phenomena of lower turnout and higher degrees of inter-party competitiveness. </w:t>
      </w:r>
    </w:p>
    <w:p w:rsidR="00BA659B" w:rsidRDefault="00DA1EFD" w:rsidP="00B515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possible me</w:t>
      </w:r>
      <w:r w:rsidR="00650667">
        <w:rPr>
          <w:rFonts w:ascii="Times New Roman" w:hAnsi="Times New Roman" w:cs="Times New Roman"/>
          <w:sz w:val="24"/>
          <w:szCs w:val="24"/>
        </w:rPr>
        <w:t xml:space="preserve">chanism however, may already be within the dataset at hand. Other than </w:t>
      </w:r>
      <w:r>
        <w:rPr>
          <w:rFonts w:ascii="Times New Roman" w:hAnsi="Times New Roman" w:cs="Times New Roman"/>
          <w:sz w:val="24"/>
          <w:szCs w:val="24"/>
        </w:rPr>
        <w:t>its negative effect on the turnout rate in the Netherlands,</w:t>
      </w:r>
      <w:r w:rsidR="00AF7DE7">
        <w:rPr>
          <w:rFonts w:ascii="Times New Roman" w:hAnsi="Times New Roman" w:cs="Times New Roman"/>
          <w:sz w:val="24"/>
          <w:szCs w:val="24"/>
        </w:rPr>
        <w:t xml:space="preserve"> the abolishment of compulsory turnout</w:t>
      </w:r>
      <w:r>
        <w:rPr>
          <w:rFonts w:ascii="Times New Roman" w:hAnsi="Times New Roman" w:cs="Times New Roman"/>
          <w:sz w:val="24"/>
          <w:szCs w:val="24"/>
        </w:rPr>
        <w:t xml:space="preserve"> has also had a profound impact on the proportion of invalid or</w:t>
      </w:r>
      <w:r w:rsidR="00650667">
        <w:rPr>
          <w:rFonts w:ascii="Times New Roman" w:hAnsi="Times New Roman" w:cs="Times New Roman"/>
          <w:sz w:val="24"/>
          <w:szCs w:val="24"/>
        </w:rPr>
        <w:t xml:space="preserve"> blank votes in an election. A quick correlation analysis </w:t>
      </w:r>
      <w:r>
        <w:rPr>
          <w:rFonts w:ascii="Times New Roman" w:hAnsi="Times New Roman" w:cs="Times New Roman"/>
          <w:sz w:val="24"/>
          <w:szCs w:val="24"/>
        </w:rPr>
        <w:t xml:space="preserve">between </w:t>
      </w:r>
      <w:r>
        <w:rPr>
          <w:rFonts w:ascii="Times New Roman" w:hAnsi="Times New Roman" w:cs="Times New Roman"/>
          <w:i/>
          <w:sz w:val="24"/>
          <w:szCs w:val="24"/>
        </w:rPr>
        <w:t>Treatment</w:t>
      </w:r>
      <w:r>
        <w:rPr>
          <w:rFonts w:ascii="Times New Roman" w:hAnsi="Times New Roman" w:cs="Times New Roman"/>
          <w:sz w:val="24"/>
          <w:szCs w:val="24"/>
        </w:rPr>
        <w:t xml:space="preserve"> and </w:t>
      </w:r>
      <w:r>
        <w:rPr>
          <w:rFonts w:ascii="Times New Roman" w:hAnsi="Times New Roman" w:cs="Times New Roman"/>
          <w:i/>
          <w:sz w:val="24"/>
          <w:szCs w:val="24"/>
        </w:rPr>
        <w:t>INBL</w:t>
      </w:r>
      <w:r>
        <w:rPr>
          <w:rFonts w:ascii="Times New Roman" w:hAnsi="Times New Roman" w:cs="Times New Roman"/>
          <w:sz w:val="24"/>
          <w:szCs w:val="24"/>
        </w:rPr>
        <w:t xml:space="preserve"> highlights this </w:t>
      </w:r>
      <w:r w:rsidR="00650667">
        <w:rPr>
          <w:rFonts w:ascii="Times New Roman" w:hAnsi="Times New Roman" w:cs="Times New Roman"/>
          <w:sz w:val="24"/>
          <w:szCs w:val="24"/>
        </w:rPr>
        <w:t>relationship</w:t>
      </w:r>
      <w:r>
        <w:rPr>
          <w:rFonts w:ascii="Times New Roman" w:hAnsi="Times New Roman" w:cs="Times New Roman"/>
          <w:sz w:val="24"/>
          <w:szCs w:val="24"/>
        </w:rPr>
        <w:t xml:space="preserve"> with a value of -0.58. There are two main reasons why this relationship with </w:t>
      </w:r>
      <w:r>
        <w:rPr>
          <w:rFonts w:ascii="Times New Roman" w:hAnsi="Times New Roman" w:cs="Times New Roman"/>
          <w:i/>
          <w:sz w:val="24"/>
          <w:szCs w:val="24"/>
        </w:rPr>
        <w:t>INBL</w:t>
      </w:r>
      <w:r>
        <w:rPr>
          <w:rFonts w:ascii="Times New Roman" w:hAnsi="Times New Roman" w:cs="Times New Roman"/>
          <w:sz w:val="24"/>
          <w:szCs w:val="24"/>
        </w:rPr>
        <w:t xml:space="preserve"> may prove to be a reasonable explanation of our observed phenomena. First, in some ways, </w:t>
      </w:r>
      <w:r>
        <w:rPr>
          <w:rFonts w:ascii="Times New Roman" w:hAnsi="Times New Roman" w:cs="Times New Roman"/>
          <w:i/>
          <w:sz w:val="24"/>
          <w:szCs w:val="24"/>
        </w:rPr>
        <w:t xml:space="preserve">INBL </w:t>
      </w:r>
      <w:r>
        <w:rPr>
          <w:rFonts w:ascii="Times New Roman" w:hAnsi="Times New Roman" w:cs="Times New Roman"/>
          <w:sz w:val="24"/>
          <w:szCs w:val="24"/>
        </w:rPr>
        <w:t>may in fact be a proxy of the extent of “passiveness” amongst the elect</w:t>
      </w:r>
      <w:r w:rsidR="00082D19">
        <w:rPr>
          <w:rFonts w:ascii="Times New Roman" w:hAnsi="Times New Roman" w:cs="Times New Roman"/>
          <w:sz w:val="24"/>
          <w:szCs w:val="24"/>
        </w:rPr>
        <w:t xml:space="preserve">orate, in that these voters are </w:t>
      </w:r>
      <w:r>
        <w:rPr>
          <w:rFonts w:ascii="Times New Roman" w:hAnsi="Times New Roman" w:cs="Times New Roman"/>
          <w:sz w:val="24"/>
          <w:szCs w:val="24"/>
        </w:rPr>
        <w:t xml:space="preserve">evidently not interested in letting their votes count towards electoral outcomes. Second, </w:t>
      </w:r>
      <w:r w:rsidR="00E631E7">
        <w:rPr>
          <w:rFonts w:ascii="Times New Roman" w:hAnsi="Times New Roman" w:cs="Times New Roman"/>
          <w:sz w:val="24"/>
          <w:szCs w:val="24"/>
        </w:rPr>
        <w:t xml:space="preserve">the reduction of </w:t>
      </w:r>
      <w:r w:rsidR="00E631E7">
        <w:rPr>
          <w:rFonts w:ascii="Times New Roman" w:hAnsi="Times New Roman" w:cs="Times New Roman"/>
          <w:i/>
          <w:sz w:val="24"/>
          <w:szCs w:val="24"/>
        </w:rPr>
        <w:t>INBL</w:t>
      </w:r>
      <w:r w:rsidR="00E631E7">
        <w:rPr>
          <w:rFonts w:ascii="Times New Roman" w:hAnsi="Times New Roman" w:cs="Times New Roman"/>
          <w:sz w:val="24"/>
          <w:szCs w:val="24"/>
        </w:rPr>
        <w:t xml:space="preserve"> potentially </w:t>
      </w:r>
      <w:r w:rsidR="00BA659B">
        <w:rPr>
          <w:rFonts w:ascii="Times New Roman" w:hAnsi="Times New Roman" w:cs="Times New Roman"/>
          <w:sz w:val="24"/>
          <w:szCs w:val="24"/>
        </w:rPr>
        <w:t>as a result of the policy change would, in some way, also dissolve the degree of “passiveness” in election results since these voters are no longer required to vote. Therefore, with a lower proportion of blank or invalid votes, vote shares can also be considered to have improved in terms of representation – which may also explain this paper’s observations on increased inter-party competitiveness.</w:t>
      </w:r>
    </w:p>
    <w:p w:rsidR="00BA659B" w:rsidRDefault="00BA659B" w:rsidP="00B515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50667">
        <w:rPr>
          <w:rFonts w:ascii="Times New Roman" w:hAnsi="Times New Roman" w:cs="Times New Roman"/>
          <w:sz w:val="24"/>
          <w:szCs w:val="24"/>
        </w:rPr>
        <w:t xml:space="preserve">Delving further into the alternative mechanism of </w:t>
      </w:r>
      <w:r w:rsidR="00650667">
        <w:rPr>
          <w:rFonts w:ascii="Times New Roman" w:hAnsi="Times New Roman" w:cs="Times New Roman"/>
          <w:i/>
          <w:sz w:val="24"/>
          <w:szCs w:val="24"/>
        </w:rPr>
        <w:t>INBL</w:t>
      </w:r>
      <w:r w:rsidR="00DE2F6F">
        <w:rPr>
          <w:rFonts w:ascii="Times New Roman" w:hAnsi="Times New Roman" w:cs="Times New Roman"/>
          <w:sz w:val="24"/>
          <w:szCs w:val="24"/>
        </w:rPr>
        <w:t>, it would be optimal to re-</w:t>
      </w:r>
      <w:r>
        <w:rPr>
          <w:rFonts w:ascii="Times New Roman" w:hAnsi="Times New Roman" w:cs="Times New Roman"/>
          <w:sz w:val="24"/>
          <w:szCs w:val="24"/>
        </w:rPr>
        <w:t xml:space="preserve">estimate the results </w:t>
      </w:r>
      <w:r w:rsidR="00DE2F6F">
        <w:rPr>
          <w:rFonts w:ascii="Times New Roman" w:hAnsi="Times New Roman" w:cs="Times New Roman"/>
          <w:sz w:val="24"/>
          <w:szCs w:val="24"/>
        </w:rPr>
        <w:t>using the</w:t>
      </w:r>
      <w:r>
        <w:rPr>
          <w:rFonts w:ascii="Times New Roman" w:hAnsi="Times New Roman" w:cs="Times New Roman"/>
          <w:sz w:val="24"/>
          <w:szCs w:val="24"/>
        </w:rPr>
        <w:t xml:space="preserve"> same TSLS methodology </w:t>
      </w:r>
      <w:r w:rsidR="00650667">
        <w:rPr>
          <w:rFonts w:ascii="Times New Roman" w:hAnsi="Times New Roman" w:cs="Times New Roman"/>
          <w:sz w:val="24"/>
          <w:szCs w:val="24"/>
        </w:rPr>
        <w:t xml:space="preserve">but instead with an adjusted </w:t>
      </w:r>
      <w:r w:rsidR="00650667">
        <w:rPr>
          <w:rFonts w:ascii="Times New Roman" w:hAnsi="Times New Roman" w:cs="Times New Roman"/>
          <w:i/>
          <w:sz w:val="24"/>
          <w:szCs w:val="24"/>
        </w:rPr>
        <w:t xml:space="preserve">Turnout </w:t>
      </w:r>
      <w:r w:rsidR="00650667">
        <w:rPr>
          <w:rFonts w:ascii="Times New Roman" w:hAnsi="Times New Roman" w:cs="Times New Roman"/>
          <w:sz w:val="24"/>
          <w:szCs w:val="24"/>
        </w:rPr>
        <w:t xml:space="preserve">rate. This adjusted version of </w:t>
      </w:r>
      <w:r w:rsidR="00650667">
        <w:rPr>
          <w:rFonts w:ascii="Times New Roman" w:hAnsi="Times New Roman" w:cs="Times New Roman"/>
          <w:i/>
          <w:sz w:val="24"/>
          <w:szCs w:val="24"/>
        </w:rPr>
        <w:t>Turnout</w:t>
      </w:r>
      <w:r w:rsidR="00DE2F6F">
        <w:rPr>
          <w:rFonts w:ascii="Times New Roman" w:hAnsi="Times New Roman" w:cs="Times New Roman"/>
          <w:sz w:val="24"/>
          <w:szCs w:val="24"/>
        </w:rPr>
        <w:t xml:space="preserve"> is instead calculated as the ratio of </w:t>
      </w:r>
      <w:r w:rsidR="00650667">
        <w:rPr>
          <w:rFonts w:ascii="Times New Roman" w:hAnsi="Times New Roman" w:cs="Times New Roman"/>
          <w:i/>
          <w:sz w:val="24"/>
          <w:szCs w:val="24"/>
        </w:rPr>
        <w:t>valid votes</w:t>
      </w:r>
      <w:r w:rsidR="00650667">
        <w:rPr>
          <w:rFonts w:ascii="Times New Roman" w:hAnsi="Times New Roman" w:cs="Times New Roman"/>
          <w:sz w:val="24"/>
          <w:szCs w:val="24"/>
        </w:rPr>
        <w:t xml:space="preserve"> </w:t>
      </w:r>
      <w:r w:rsidR="00DE2F6F">
        <w:rPr>
          <w:rFonts w:ascii="Times New Roman" w:hAnsi="Times New Roman" w:cs="Times New Roman"/>
          <w:sz w:val="24"/>
          <w:szCs w:val="24"/>
        </w:rPr>
        <w:t xml:space="preserve">to the municipality’s </w:t>
      </w:r>
      <w:r w:rsidR="00650667">
        <w:rPr>
          <w:rFonts w:ascii="Times New Roman" w:hAnsi="Times New Roman" w:cs="Times New Roman"/>
          <w:sz w:val="24"/>
          <w:szCs w:val="24"/>
        </w:rPr>
        <w:t xml:space="preserve">electorate size versus the original </w:t>
      </w:r>
      <w:r w:rsidR="00DE2F6F">
        <w:rPr>
          <w:rFonts w:ascii="Times New Roman" w:hAnsi="Times New Roman" w:cs="Times New Roman"/>
          <w:sz w:val="24"/>
          <w:szCs w:val="24"/>
        </w:rPr>
        <w:t xml:space="preserve">value of </w:t>
      </w:r>
      <w:r w:rsidR="00DE2F6F">
        <w:rPr>
          <w:rFonts w:ascii="Times New Roman" w:hAnsi="Times New Roman" w:cs="Times New Roman"/>
          <w:i/>
          <w:sz w:val="24"/>
          <w:szCs w:val="24"/>
        </w:rPr>
        <w:t>Turnout</w:t>
      </w:r>
      <w:r w:rsidR="00DE2F6F">
        <w:rPr>
          <w:rFonts w:ascii="Times New Roman" w:hAnsi="Times New Roman" w:cs="Times New Roman"/>
          <w:sz w:val="24"/>
          <w:szCs w:val="24"/>
        </w:rPr>
        <w:t xml:space="preserve"> which is the ratio of </w:t>
      </w:r>
      <w:r w:rsidR="00650667">
        <w:rPr>
          <w:rFonts w:ascii="Times New Roman" w:hAnsi="Times New Roman" w:cs="Times New Roman"/>
          <w:sz w:val="24"/>
          <w:szCs w:val="24"/>
        </w:rPr>
        <w:t xml:space="preserve">the total number of votes – invalid, valid, or blank – </w:t>
      </w:r>
      <w:r w:rsidR="00DE2F6F">
        <w:rPr>
          <w:rFonts w:ascii="Times New Roman" w:hAnsi="Times New Roman" w:cs="Times New Roman"/>
          <w:sz w:val="24"/>
          <w:szCs w:val="24"/>
        </w:rPr>
        <w:t>to the municipality’s</w:t>
      </w:r>
      <w:r w:rsidR="00650667">
        <w:rPr>
          <w:rFonts w:ascii="Times New Roman" w:hAnsi="Times New Roman" w:cs="Times New Roman"/>
          <w:sz w:val="24"/>
          <w:szCs w:val="24"/>
        </w:rPr>
        <w:t xml:space="preserve"> electorate size</w:t>
      </w:r>
      <w:r>
        <w:rPr>
          <w:rFonts w:ascii="Times New Roman" w:hAnsi="Times New Roman" w:cs="Times New Roman"/>
          <w:sz w:val="24"/>
          <w:szCs w:val="24"/>
        </w:rPr>
        <w:t>.</w:t>
      </w:r>
      <w:r w:rsidR="00EA7B63">
        <w:rPr>
          <w:rFonts w:ascii="Times New Roman" w:hAnsi="Times New Roman" w:cs="Times New Roman"/>
          <w:sz w:val="24"/>
          <w:szCs w:val="24"/>
        </w:rPr>
        <w:t xml:space="preserve"> This change allows the </w:t>
      </w:r>
      <w:r w:rsidR="00603C35">
        <w:rPr>
          <w:rFonts w:ascii="Times New Roman" w:hAnsi="Times New Roman" w:cs="Times New Roman"/>
          <w:sz w:val="24"/>
          <w:szCs w:val="24"/>
        </w:rPr>
        <w:t xml:space="preserve">new </w:t>
      </w:r>
      <w:r w:rsidR="00EA7B63">
        <w:rPr>
          <w:rFonts w:ascii="Times New Roman" w:hAnsi="Times New Roman" w:cs="Times New Roman"/>
          <w:sz w:val="24"/>
          <w:szCs w:val="24"/>
        </w:rPr>
        <w:t xml:space="preserve">results </w:t>
      </w:r>
      <w:r w:rsidR="00DE2F6F">
        <w:rPr>
          <w:rFonts w:ascii="Times New Roman" w:hAnsi="Times New Roman" w:cs="Times New Roman"/>
          <w:sz w:val="24"/>
          <w:szCs w:val="24"/>
        </w:rPr>
        <w:t xml:space="preserve">to take into account the potential variations caused </w:t>
      </w:r>
      <w:r w:rsidR="00EA7B63">
        <w:rPr>
          <w:rFonts w:ascii="Times New Roman" w:hAnsi="Times New Roman" w:cs="Times New Roman"/>
          <w:sz w:val="24"/>
          <w:szCs w:val="24"/>
        </w:rPr>
        <w:t xml:space="preserve">by the change in </w:t>
      </w:r>
      <w:r w:rsidR="00EA7B63">
        <w:rPr>
          <w:rFonts w:ascii="Times New Roman" w:hAnsi="Times New Roman" w:cs="Times New Roman"/>
          <w:i/>
          <w:sz w:val="24"/>
          <w:szCs w:val="24"/>
        </w:rPr>
        <w:t>INBL</w:t>
      </w:r>
      <w:r w:rsidR="00DE2F6F">
        <w:rPr>
          <w:rFonts w:ascii="Times New Roman" w:hAnsi="Times New Roman" w:cs="Times New Roman"/>
          <w:sz w:val="24"/>
          <w:szCs w:val="24"/>
        </w:rPr>
        <w:t>, therefore solving</w:t>
      </w:r>
      <w:r w:rsidR="00603C35">
        <w:rPr>
          <w:rFonts w:ascii="Times New Roman" w:hAnsi="Times New Roman" w:cs="Times New Roman"/>
          <w:sz w:val="24"/>
          <w:szCs w:val="24"/>
        </w:rPr>
        <w:t xml:space="preserve"> the problem of an alternative mechanism through which </w:t>
      </w:r>
      <w:r w:rsidR="00603C35">
        <w:rPr>
          <w:rFonts w:ascii="Times New Roman" w:hAnsi="Times New Roman" w:cs="Times New Roman"/>
          <w:i/>
          <w:sz w:val="24"/>
          <w:szCs w:val="24"/>
        </w:rPr>
        <w:t>Treatment</w:t>
      </w:r>
      <w:r w:rsidR="00603C35">
        <w:rPr>
          <w:rFonts w:ascii="Times New Roman" w:hAnsi="Times New Roman" w:cs="Times New Roman"/>
          <w:sz w:val="24"/>
          <w:szCs w:val="24"/>
        </w:rPr>
        <w:t xml:space="preserve"> acts through. The</w:t>
      </w:r>
      <w:r w:rsidR="00650667">
        <w:rPr>
          <w:rFonts w:ascii="Times New Roman" w:hAnsi="Times New Roman" w:cs="Times New Roman"/>
          <w:sz w:val="24"/>
          <w:szCs w:val="24"/>
        </w:rPr>
        <w:t xml:space="preserve"> resulting variable is labelled as </w:t>
      </w:r>
      <w:r w:rsidR="00650667">
        <w:rPr>
          <w:rFonts w:ascii="Times New Roman" w:hAnsi="Times New Roman" w:cs="Times New Roman"/>
          <w:i/>
          <w:sz w:val="24"/>
          <w:szCs w:val="24"/>
        </w:rPr>
        <w:t>ValidTurnout</w:t>
      </w:r>
      <w:r w:rsidR="00650667">
        <w:rPr>
          <w:rFonts w:ascii="Times New Roman" w:hAnsi="Times New Roman" w:cs="Times New Roman"/>
          <w:sz w:val="24"/>
          <w:szCs w:val="24"/>
        </w:rPr>
        <w:t xml:space="preserve"> and its TSLS </w:t>
      </w:r>
      <w:r w:rsidR="004956EE">
        <w:rPr>
          <w:rFonts w:ascii="Times New Roman" w:hAnsi="Times New Roman" w:cs="Times New Roman"/>
          <w:sz w:val="24"/>
          <w:szCs w:val="24"/>
        </w:rPr>
        <w:t>results displayed in the Appendix (Table A</w:t>
      </w:r>
      <w:r w:rsidR="004C1757">
        <w:rPr>
          <w:rFonts w:ascii="Times New Roman" w:hAnsi="Times New Roman" w:cs="Times New Roman"/>
          <w:sz w:val="24"/>
          <w:szCs w:val="24"/>
        </w:rPr>
        <w:t>.8</w:t>
      </w:r>
      <w:r w:rsidR="009A6CA5">
        <w:rPr>
          <w:rFonts w:ascii="Times New Roman" w:hAnsi="Times New Roman" w:cs="Times New Roman"/>
          <w:sz w:val="24"/>
          <w:szCs w:val="24"/>
        </w:rPr>
        <w:t>, model I</w:t>
      </w:r>
      <w:r w:rsidR="004956EE">
        <w:rPr>
          <w:rFonts w:ascii="Times New Roman" w:hAnsi="Times New Roman" w:cs="Times New Roman"/>
          <w:sz w:val="24"/>
          <w:szCs w:val="24"/>
        </w:rPr>
        <w:t>).</w:t>
      </w:r>
      <w:r>
        <w:rPr>
          <w:rFonts w:ascii="Times New Roman" w:hAnsi="Times New Roman" w:cs="Times New Roman"/>
          <w:sz w:val="24"/>
          <w:szCs w:val="24"/>
        </w:rPr>
        <w:t xml:space="preserve"> </w:t>
      </w:r>
      <w:r w:rsidR="00DF26A1">
        <w:rPr>
          <w:rFonts w:ascii="Times New Roman" w:hAnsi="Times New Roman" w:cs="Times New Roman"/>
          <w:sz w:val="24"/>
          <w:szCs w:val="24"/>
        </w:rPr>
        <w:t xml:space="preserve">Using the </w:t>
      </w:r>
      <w:r w:rsidR="001D02CF">
        <w:rPr>
          <w:rFonts w:ascii="Times New Roman" w:hAnsi="Times New Roman" w:cs="Times New Roman"/>
          <w:i/>
          <w:sz w:val="24"/>
          <w:szCs w:val="24"/>
        </w:rPr>
        <w:t>ValidTurnout</w:t>
      </w:r>
      <w:r w:rsidR="00DF26A1">
        <w:rPr>
          <w:rFonts w:ascii="Times New Roman" w:hAnsi="Times New Roman" w:cs="Times New Roman"/>
          <w:sz w:val="24"/>
          <w:szCs w:val="24"/>
        </w:rPr>
        <w:t xml:space="preserve"> values for the median municipality for the years 1966 and 1970</w:t>
      </w:r>
      <w:r w:rsidR="003D7D9A">
        <w:rPr>
          <w:rFonts w:ascii="Times New Roman" w:hAnsi="Times New Roman" w:cs="Times New Roman"/>
          <w:sz w:val="24"/>
          <w:szCs w:val="24"/>
        </w:rPr>
        <w:t xml:space="preserve"> – 93.27% and 72.35% –</w:t>
      </w:r>
      <w:r w:rsidR="00DF26A1">
        <w:rPr>
          <w:rFonts w:ascii="Times New Roman" w:hAnsi="Times New Roman" w:cs="Times New Roman"/>
          <w:sz w:val="24"/>
          <w:szCs w:val="24"/>
        </w:rPr>
        <w:t xml:space="preserve"> the results from this TSLS estimation estimate </w:t>
      </w:r>
      <w:r w:rsidR="0069063D">
        <w:rPr>
          <w:rFonts w:ascii="Times New Roman" w:hAnsi="Times New Roman" w:cs="Times New Roman"/>
          <w:i/>
          <w:sz w:val="24"/>
          <w:szCs w:val="24"/>
        </w:rPr>
        <w:t>Herfindahl</w:t>
      </w:r>
      <w:r w:rsidR="0069063D">
        <w:rPr>
          <w:rFonts w:ascii="Times New Roman" w:hAnsi="Times New Roman" w:cs="Times New Roman"/>
          <w:sz w:val="24"/>
          <w:szCs w:val="24"/>
        </w:rPr>
        <w:t xml:space="preserve"> values of approximately </w:t>
      </w:r>
      <w:r w:rsidR="00A832F7">
        <w:rPr>
          <w:rFonts w:ascii="Times New Roman" w:hAnsi="Times New Roman" w:cs="Times New Roman"/>
          <w:sz w:val="24"/>
          <w:szCs w:val="24"/>
        </w:rPr>
        <w:t xml:space="preserve">0.4356 </w:t>
      </w:r>
      <w:r w:rsidR="0069063D">
        <w:rPr>
          <w:rFonts w:ascii="Times New Roman" w:hAnsi="Times New Roman" w:cs="Times New Roman"/>
          <w:sz w:val="24"/>
          <w:szCs w:val="24"/>
        </w:rPr>
        <w:t xml:space="preserve">and </w:t>
      </w:r>
      <w:r w:rsidR="00A832F7">
        <w:rPr>
          <w:rFonts w:ascii="Times New Roman" w:hAnsi="Times New Roman" w:cs="Times New Roman"/>
          <w:sz w:val="24"/>
          <w:szCs w:val="24"/>
        </w:rPr>
        <w:t xml:space="preserve">0.2778 </w:t>
      </w:r>
      <w:r w:rsidR="0069063D">
        <w:rPr>
          <w:rFonts w:ascii="Times New Roman" w:hAnsi="Times New Roman" w:cs="Times New Roman"/>
          <w:sz w:val="24"/>
          <w:szCs w:val="24"/>
        </w:rPr>
        <w:t xml:space="preserve">respectively. The estimated change in the </w:t>
      </w:r>
      <w:r w:rsidR="0069063D">
        <w:rPr>
          <w:rFonts w:ascii="Times New Roman" w:hAnsi="Times New Roman" w:cs="Times New Roman"/>
          <w:i/>
          <w:sz w:val="24"/>
          <w:szCs w:val="24"/>
        </w:rPr>
        <w:t>Herfindahl</w:t>
      </w:r>
      <w:r w:rsidR="0069063D">
        <w:rPr>
          <w:rFonts w:ascii="Times New Roman" w:hAnsi="Times New Roman" w:cs="Times New Roman"/>
          <w:sz w:val="24"/>
          <w:szCs w:val="24"/>
        </w:rPr>
        <w:t xml:space="preserve"> is therefore calculated as: </w:t>
      </w:r>
    </w:p>
    <w:p w:rsidR="00AF3B84" w:rsidRPr="00603C35" w:rsidRDefault="00673C5D" w:rsidP="00B51583">
      <w:pPr>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0.2778-0.4356</m:t>
              </m:r>
            </m:num>
            <m:den>
              <m:r>
                <w:rPr>
                  <w:rFonts w:ascii="Cambria Math" w:hAnsi="Cambria Math" w:cs="Times New Roman"/>
                  <w:sz w:val="24"/>
                  <w:szCs w:val="24"/>
                </w:rPr>
                <m:t>0.4356</m:t>
              </m:r>
            </m:den>
          </m:f>
          <m:r>
            <w:rPr>
              <w:rFonts w:ascii="Cambria Math" w:hAnsi="Cambria Math" w:cs="Times New Roman"/>
              <w:sz w:val="24"/>
              <w:szCs w:val="24"/>
            </w:rPr>
            <m:t>*100%≈-36.23</m:t>
          </m:r>
          <m:r>
            <m:rPr>
              <m:sty m:val="bi"/>
            </m:rPr>
            <w:rPr>
              <w:rFonts w:ascii="Cambria Math" w:hAnsi="Cambria Math" w:cs="Times New Roman"/>
              <w:sz w:val="24"/>
              <w:szCs w:val="24"/>
            </w:rPr>
            <m:t>%</m:t>
          </m:r>
          <m:r>
            <m:rPr>
              <m:sty m:val="p"/>
            </m:rPr>
            <w:rPr>
              <w:rFonts w:ascii="Times New Roman" w:eastAsiaTheme="minorEastAsia" w:hAnsi="Times New Roman" w:cs="Times New Roman"/>
              <w:sz w:val="24"/>
              <w:szCs w:val="24"/>
            </w:rPr>
            <w:br/>
          </m:r>
        </m:oMath>
        <m:oMath>
          <m:r>
            <m:rPr>
              <m:sty m:val="p"/>
            </m:rPr>
            <w:rPr>
              <w:rFonts w:ascii="Times New Roman" w:hAnsi="Times New Roman" w:cs="Times New Roman"/>
              <w:sz w:val="24"/>
              <w:szCs w:val="24"/>
            </w:rPr>
            <w:br/>
          </m:r>
        </m:oMath>
      </m:oMathPara>
      <w:r w:rsidR="00EA7B63">
        <w:rPr>
          <w:rFonts w:ascii="Times New Roman" w:hAnsi="Times New Roman" w:cs="Times New Roman"/>
          <w:sz w:val="24"/>
          <w:szCs w:val="24"/>
        </w:rPr>
        <w:t xml:space="preserve">In comparison to the estimated change in the </w:t>
      </w:r>
      <w:r w:rsidR="00EA7B63">
        <w:rPr>
          <w:rFonts w:ascii="Times New Roman" w:hAnsi="Times New Roman" w:cs="Times New Roman"/>
          <w:i/>
          <w:sz w:val="24"/>
          <w:szCs w:val="24"/>
        </w:rPr>
        <w:t>Herfindahl</w:t>
      </w:r>
      <w:r w:rsidR="00EA7B63">
        <w:rPr>
          <w:rFonts w:ascii="Times New Roman" w:hAnsi="Times New Roman" w:cs="Times New Roman"/>
          <w:sz w:val="24"/>
          <w:szCs w:val="24"/>
        </w:rPr>
        <w:t xml:space="preserve"> under the unadjusted turnout rate which was approximately – 3</w:t>
      </w:r>
      <w:r w:rsidR="00A832F7">
        <w:rPr>
          <w:rFonts w:ascii="Times New Roman" w:hAnsi="Times New Roman" w:cs="Times New Roman"/>
          <w:sz w:val="24"/>
          <w:szCs w:val="24"/>
        </w:rPr>
        <w:t>5.25</w:t>
      </w:r>
      <w:r w:rsidR="00EA7B63">
        <w:rPr>
          <w:rFonts w:ascii="Times New Roman" w:hAnsi="Times New Roman" w:cs="Times New Roman"/>
          <w:sz w:val="24"/>
          <w:szCs w:val="24"/>
        </w:rPr>
        <w:t xml:space="preserve">%, the </w:t>
      </w:r>
      <w:r w:rsidR="00A832F7">
        <w:rPr>
          <w:rFonts w:ascii="Times New Roman" w:hAnsi="Times New Roman" w:cs="Times New Roman"/>
          <w:sz w:val="24"/>
          <w:szCs w:val="24"/>
        </w:rPr>
        <w:t xml:space="preserve">difference </w:t>
      </w:r>
      <w:r w:rsidR="00EA7B63">
        <w:rPr>
          <w:rFonts w:ascii="Times New Roman" w:hAnsi="Times New Roman" w:cs="Times New Roman"/>
          <w:sz w:val="24"/>
          <w:szCs w:val="24"/>
        </w:rPr>
        <w:t xml:space="preserve">is quite </w:t>
      </w:r>
      <w:r w:rsidR="003D7D9A">
        <w:rPr>
          <w:rFonts w:ascii="Times New Roman" w:hAnsi="Times New Roman" w:cs="Times New Roman"/>
          <w:sz w:val="24"/>
          <w:szCs w:val="24"/>
        </w:rPr>
        <w:t>small, although</w:t>
      </w:r>
      <w:r w:rsidR="00603C35">
        <w:rPr>
          <w:rFonts w:ascii="Times New Roman" w:hAnsi="Times New Roman" w:cs="Times New Roman"/>
          <w:sz w:val="24"/>
          <w:szCs w:val="24"/>
        </w:rPr>
        <w:t xml:space="preserve">, </w:t>
      </w:r>
      <w:r w:rsidR="00A832F7">
        <w:rPr>
          <w:rFonts w:ascii="Times New Roman" w:hAnsi="Times New Roman" w:cs="Times New Roman"/>
          <w:sz w:val="24"/>
          <w:szCs w:val="24"/>
        </w:rPr>
        <w:t>it</w:t>
      </w:r>
      <w:r w:rsidR="00603C35">
        <w:rPr>
          <w:rFonts w:ascii="Times New Roman" w:hAnsi="Times New Roman" w:cs="Times New Roman"/>
          <w:sz w:val="24"/>
          <w:szCs w:val="24"/>
        </w:rPr>
        <w:t xml:space="preserve"> does point out that there was indeed some effect associated with </w:t>
      </w:r>
      <w:r w:rsidR="00603C35">
        <w:rPr>
          <w:rFonts w:ascii="Times New Roman" w:hAnsi="Times New Roman" w:cs="Times New Roman"/>
          <w:i/>
          <w:sz w:val="24"/>
          <w:szCs w:val="24"/>
        </w:rPr>
        <w:t>INBL</w:t>
      </w:r>
      <w:r w:rsidR="00603C35">
        <w:rPr>
          <w:rFonts w:ascii="Times New Roman" w:hAnsi="Times New Roman" w:cs="Times New Roman"/>
          <w:sz w:val="24"/>
          <w:szCs w:val="24"/>
        </w:rPr>
        <w:t>, but conversely also shows that its</w:t>
      </w:r>
      <w:r w:rsidR="003D7D9A">
        <w:rPr>
          <w:rFonts w:ascii="Times New Roman" w:hAnsi="Times New Roman" w:cs="Times New Roman"/>
          <w:sz w:val="24"/>
          <w:szCs w:val="24"/>
        </w:rPr>
        <w:t xml:space="preserve"> role as a mechanism is smaller </w:t>
      </w:r>
      <w:r w:rsidR="00DE2F6F">
        <w:rPr>
          <w:rFonts w:ascii="Times New Roman" w:hAnsi="Times New Roman" w:cs="Times New Roman"/>
          <w:sz w:val="24"/>
          <w:szCs w:val="24"/>
        </w:rPr>
        <w:t>in te</w:t>
      </w:r>
      <w:r w:rsidR="00C74060">
        <w:rPr>
          <w:rFonts w:ascii="Times New Roman" w:hAnsi="Times New Roman" w:cs="Times New Roman"/>
          <w:sz w:val="24"/>
          <w:szCs w:val="24"/>
        </w:rPr>
        <w:t xml:space="preserve">rms of magnitude compared to </w:t>
      </w:r>
      <w:r w:rsidR="00603C35">
        <w:rPr>
          <w:rFonts w:ascii="Times New Roman" w:hAnsi="Times New Roman" w:cs="Times New Roman"/>
          <w:sz w:val="24"/>
          <w:szCs w:val="24"/>
        </w:rPr>
        <w:t xml:space="preserve">unadjusted </w:t>
      </w:r>
      <w:r w:rsidR="00603C35">
        <w:rPr>
          <w:rFonts w:ascii="Times New Roman" w:hAnsi="Times New Roman" w:cs="Times New Roman"/>
          <w:i/>
          <w:sz w:val="24"/>
          <w:szCs w:val="24"/>
        </w:rPr>
        <w:t>Turnout</w:t>
      </w:r>
      <w:r w:rsidR="00603C35">
        <w:rPr>
          <w:rFonts w:ascii="Times New Roman" w:hAnsi="Times New Roman" w:cs="Times New Roman"/>
          <w:sz w:val="24"/>
          <w:szCs w:val="24"/>
        </w:rPr>
        <w:t xml:space="preserve">. </w:t>
      </w:r>
    </w:p>
    <w:p w:rsidR="00EF7191" w:rsidRDefault="00AF3B84" w:rsidP="00EF7191">
      <w:pPr>
        <w:spacing w:line="360" w:lineRule="auto"/>
        <w:rPr>
          <w:rFonts w:ascii="Times New Roman" w:hAnsi="Times New Roman" w:cs="Times New Roman"/>
          <w:sz w:val="24"/>
          <w:szCs w:val="24"/>
        </w:rPr>
      </w:pPr>
      <w:r>
        <w:rPr>
          <w:rFonts w:ascii="Times New Roman" w:hAnsi="Times New Roman" w:cs="Times New Roman"/>
          <w:b/>
          <w:sz w:val="24"/>
          <w:szCs w:val="24"/>
        </w:rPr>
        <w:t>VI – Internal Validity</w:t>
      </w:r>
      <w:r w:rsidR="00EF7191">
        <w:rPr>
          <w:rFonts w:ascii="Times New Roman" w:hAnsi="Times New Roman" w:cs="Times New Roman"/>
          <w:b/>
          <w:sz w:val="24"/>
          <w:szCs w:val="24"/>
        </w:rPr>
        <w:t xml:space="preserve"> </w:t>
      </w:r>
    </w:p>
    <w:p w:rsidR="00DA4556" w:rsidRDefault="00EF7191" w:rsidP="00B515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previous section, it was discussed that there are two potential mechanisms that may provide some explanation for this paper’s preliminary results – invalid or blank votes and the turnout rate in a municipality. </w:t>
      </w:r>
      <w:r w:rsidR="00603C35">
        <w:rPr>
          <w:rFonts w:ascii="Times New Roman" w:hAnsi="Times New Roman" w:cs="Times New Roman"/>
          <w:sz w:val="24"/>
          <w:szCs w:val="24"/>
        </w:rPr>
        <w:t xml:space="preserve">TSLS results under the adjusted turnout rates does indicate an increased estimated change in the </w:t>
      </w:r>
      <w:r w:rsidR="00603C35">
        <w:rPr>
          <w:rFonts w:ascii="Times New Roman" w:hAnsi="Times New Roman" w:cs="Times New Roman"/>
          <w:i/>
          <w:sz w:val="24"/>
          <w:szCs w:val="24"/>
        </w:rPr>
        <w:t>Herfindahl</w:t>
      </w:r>
      <w:r w:rsidR="00603C35">
        <w:rPr>
          <w:rFonts w:ascii="Times New Roman" w:hAnsi="Times New Roman" w:cs="Times New Roman"/>
          <w:sz w:val="24"/>
          <w:szCs w:val="24"/>
        </w:rPr>
        <w:t xml:space="preserve"> as compared to its unadjusted counterpart, </w:t>
      </w:r>
      <w:r w:rsidR="00DE2F6F">
        <w:rPr>
          <w:rFonts w:ascii="Times New Roman" w:hAnsi="Times New Roman" w:cs="Times New Roman"/>
          <w:sz w:val="24"/>
          <w:szCs w:val="24"/>
        </w:rPr>
        <w:t>albeit a small difference in es</w:t>
      </w:r>
      <w:r w:rsidR="00603C35">
        <w:rPr>
          <w:rFonts w:ascii="Times New Roman" w:hAnsi="Times New Roman" w:cs="Times New Roman"/>
          <w:sz w:val="24"/>
          <w:szCs w:val="24"/>
        </w:rPr>
        <w:t xml:space="preserve">timated </w:t>
      </w:r>
      <w:r w:rsidR="00DE2F6F">
        <w:rPr>
          <w:rFonts w:ascii="Times New Roman" w:hAnsi="Times New Roman" w:cs="Times New Roman"/>
          <w:sz w:val="24"/>
          <w:szCs w:val="24"/>
        </w:rPr>
        <w:t>changes</w:t>
      </w:r>
      <w:r w:rsidR="00603C35">
        <w:rPr>
          <w:rFonts w:ascii="Times New Roman" w:hAnsi="Times New Roman" w:cs="Times New Roman"/>
          <w:sz w:val="24"/>
          <w:szCs w:val="24"/>
        </w:rPr>
        <w:t xml:space="preserve">. The adjustment can be intuitively explained by the idea that, although they are different, </w:t>
      </w:r>
      <w:r w:rsidR="00603C35">
        <w:rPr>
          <w:rFonts w:ascii="Times New Roman" w:hAnsi="Times New Roman" w:cs="Times New Roman"/>
          <w:i/>
          <w:sz w:val="24"/>
          <w:szCs w:val="24"/>
        </w:rPr>
        <w:t>Turnout</w:t>
      </w:r>
      <w:r w:rsidR="00603C35">
        <w:rPr>
          <w:rFonts w:ascii="Times New Roman" w:hAnsi="Times New Roman" w:cs="Times New Roman"/>
          <w:sz w:val="24"/>
          <w:szCs w:val="24"/>
        </w:rPr>
        <w:t xml:space="preserve"> and </w:t>
      </w:r>
      <w:r w:rsidR="00603C35">
        <w:rPr>
          <w:rFonts w:ascii="Times New Roman" w:hAnsi="Times New Roman" w:cs="Times New Roman"/>
          <w:i/>
          <w:sz w:val="24"/>
          <w:szCs w:val="24"/>
        </w:rPr>
        <w:t>INBL</w:t>
      </w:r>
      <w:r w:rsidR="00603C35">
        <w:rPr>
          <w:rFonts w:ascii="Times New Roman" w:hAnsi="Times New Roman" w:cs="Times New Roman"/>
          <w:sz w:val="24"/>
          <w:szCs w:val="24"/>
        </w:rPr>
        <w:t xml:space="preserve"> both act as proxies for the concept of “passiveness” in line with the aforementioned “herding effect” theory.</w:t>
      </w:r>
      <w:r w:rsidR="00DA4556">
        <w:rPr>
          <w:rFonts w:ascii="Times New Roman" w:hAnsi="Times New Roman" w:cs="Times New Roman"/>
          <w:sz w:val="24"/>
          <w:szCs w:val="24"/>
        </w:rPr>
        <w:t xml:space="preserve"> For example, the change in the turnout rate before and after 1967 can indicate the (rough) proportion of individuals that did not vote because it was no longer compulsory. Similarly, individuals that had previously voted either invalidly or with a blank vote may estimate the proportion of voting individuals who are actually passive.</w:t>
      </w:r>
      <w:r w:rsidR="00603C35">
        <w:rPr>
          <w:rFonts w:ascii="Times New Roman" w:hAnsi="Times New Roman" w:cs="Times New Roman"/>
          <w:sz w:val="24"/>
          <w:szCs w:val="24"/>
        </w:rPr>
        <w:t xml:space="preserve"> </w:t>
      </w:r>
      <w:r>
        <w:rPr>
          <w:rFonts w:ascii="Times New Roman" w:hAnsi="Times New Roman" w:cs="Times New Roman"/>
          <w:sz w:val="24"/>
          <w:szCs w:val="24"/>
        </w:rPr>
        <w:t>In truth, the</w:t>
      </w:r>
      <w:r w:rsidR="0016030F">
        <w:rPr>
          <w:rFonts w:ascii="Times New Roman" w:hAnsi="Times New Roman" w:cs="Times New Roman"/>
          <w:sz w:val="24"/>
          <w:szCs w:val="24"/>
        </w:rPr>
        <w:t xml:space="preserve"> dissolution of the </w:t>
      </w:r>
      <w:r>
        <w:rPr>
          <w:rFonts w:ascii="Times New Roman" w:hAnsi="Times New Roman" w:cs="Times New Roman"/>
          <w:sz w:val="24"/>
          <w:szCs w:val="24"/>
        </w:rPr>
        <w:t>“herding effect</w:t>
      </w:r>
      <w:r w:rsidR="0016030F">
        <w:rPr>
          <w:rFonts w:ascii="Times New Roman" w:hAnsi="Times New Roman" w:cs="Times New Roman"/>
          <w:sz w:val="24"/>
          <w:szCs w:val="24"/>
        </w:rPr>
        <w:t xml:space="preserve">” after the abolishment of compulsory turnout does not specifically rely on changes in either variable – </w:t>
      </w:r>
      <w:r w:rsidR="0016030F">
        <w:rPr>
          <w:rFonts w:ascii="Times New Roman" w:hAnsi="Times New Roman" w:cs="Times New Roman"/>
          <w:i/>
          <w:sz w:val="24"/>
          <w:szCs w:val="24"/>
        </w:rPr>
        <w:lastRenderedPageBreak/>
        <w:t>Turnout</w:t>
      </w:r>
      <w:r w:rsidR="0016030F">
        <w:rPr>
          <w:rFonts w:ascii="Times New Roman" w:hAnsi="Times New Roman" w:cs="Times New Roman"/>
          <w:sz w:val="24"/>
          <w:szCs w:val="24"/>
        </w:rPr>
        <w:t xml:space="preserve"> or </w:t>
      </w:r>
      <w:r w:rsidR="0016030F">
        <w:rPr>
          <w:rFonts w:ascii="Times New Roman" w:hAnsi="Times New Roman" w:cs="Times New Roman"/>
          <w:i/>
          <w:sz w:val="24"/>
          <w:szCs w:val="24"/>
        </w:rPr>
        <w:t xml:space="preserve">INBL. </w:t>
      </w:r>
      <w:r w:rsidR="0016030F">
        <w:rPr>
          <w:rFonts w:ascii="Times New Roman" w:hAnsi="Times New Roman" w:cs="Times New Roman"/>
          <w:sz w:val="24"/>
          <w:szCs w:val="24"/>
        </w:rPr>
        <w:t xml:space="preserve">Rather, the effect conceptually originates from the elimination of passive voting from elections, thus creating more representative electoral outcomes. </w:t>
      </w:r>
    </w:p>
    <w:p w:rsidR="004C1757" w:rsidRDefault="0016030F" w:rsidP="00B515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t>
      </w:r>
      <w:r w:rsidR="00DA4556">
        <w:rPr>
          <w:rFonts w:ascii="Times New Roman" w:hAnsi="Times New Roman" w:cs="Times New Roman"/>
          <w:sz w:val="24"/>
          <w:szCs w:val="24"/>
        </w:rPr>
        <w:t xml:space="preserve">by adjusting </w:t>
      </w:r>
      <w:r w:rsidR="00DA4556">
        <w:rPr>
          <w:rFonts w:ascii="Times New Roman" w:hAnsi="Times New Roman" w:cs="Times New Roman"/>
          <w:i/>
          <w:sz w:val="24"/>
          <w:szCs w:val="24"/>
        </w:rPr>
        <w:t>Turnout</w:t>
      </w:r>
      <w:r w:rsidR="00DA4556">
        <w:rPr>
          <w:rFonts w:ascii="Times New Roman" w:hAnsi="Times New Roman" w:cs="Times New Roman"/>
          <w:sz w:val="24"/>
          <w:szCs w:val="24"/>
        </w:rPr>
        <w:t xml:space="preserve"> into </w:t>
      </w:r>
      <w:r w:rsidR="00DA4556">
        <w:rPr>
          <w:rFonts w:ascii="Times New Roman" w:hAnsi="Times New Roman" w:cs="Times New Roman"/>
          <w:i/>
          <w:sz w:val="24"/>
          <w:szCs w:val="24"/>
        </w:rPr>
        <w:t>ValidTurnout</w:t>
      </w:r>
      <w:r w:rsidR="00DA4556">
        <w:rPr>
          <w:rFonts w:ascii="Times New Roman" w:hAnsi="Times New Roman" w:cs="Times New Roman"/>
          <w:sz w:val="24"/>
          <w:szCs w:val="24"/>
        </w:rPr>
        <w:t xml:space="preserve">, the new generated series takes into account both </w:t>
      </w:r>
      <w:r w:rsidR="00DA4556">
        <w:rPr>
          <w:rFonts w:ascii="Times New Roman" w:hAnsi="Times New Roman" w:cs="Times New Roman"/>
          <w:i/>
          <w:sz w:val="24"/>
          <w:szCs w:val="24"/>
        </w:rPr>
        <w:t>Turnout</w:t>
      </w:r>
      <w:r w:rsidR="00DA4556">
        <w:rPr>
          <w:rFonts w:ascii="Times New Roman" w:hAnsi="Times New Roman" w:cs="Times New Roman"/>
          <w:sz w:val="24"/>
          <w:szCs w:val="24"/>
        </w:rPr>
        <w:t xml:space="preserve"> and </w:t>
      </w:r>
      <w:r w:rsidR="00DA4556">
        <w:rPr>
          <w:rFonts w:ascii="Times New Roman" w:hAnsi="Times New Roman" w:cs="Times New Roman"/>
          <w:i/>
          <w:sz w:val="24"/>
          <w:szCs w:val="24"/>
        </w:rPr>
        <w:t>INBL</w:t>
      </w:r>
      <w:r>
        <w:rPr>
          <w:rFonts w:ascii="Times New Roman" w:hAnsi="Times New Roman" w:cs="Times New Roman"/>
          <w:sz w:val="24"/>
          <w:szCs w:val="24"/>
        </w:rPr>
        <w:t>.</w:t>
      </w:r>
      <w:r w:rsidR="00DA4556">
        <w:rPr>
          <w:rFonts w:ascii="Times New Roman" w:hAnsi="Times New Roman" w:cs="Times New Roman"/>
          <w:sz w:val="24"/>
          <w:szCs w:val="24"/>
        </w:rPr>
        <w:t xml:space="preserve"> This in turn acts as a more suitable proxy for the measurement of “passiveness” of an electorate as opposed to two separate proxies. This relationship between the two separate proxies is evidenced by the change from the unadjusted results to the adjusted res</w:t>
      </w:r>
      <w:r w:rsidR="00082D19">
        <w:rPr>
          <w:rFonts w:ascii="Times New Roman" w:hAnsi="Times New Roman" w:cs="Times New Roman"/>
          <w:sz w:val="24"/>
          <w:szCs w:val="24"/>
        </w:rPr>
        <w:t xml:space="preserve">ults. The estimated coefficient </w:t>
      </w:r>
      <w:r w:rsidR="00DA4556">
        <w:rPr>
          <w:rFonts w:ascii="Times New Roman" w:hAnsi="Times New Roman" w:cs="Times New Roman"/>
          <w:sz w:val="24"/>
          <w:szCs w:val="24"/>
        </w:rPr>
        <w:t xml:space="preserve">changes from </w:t>
      </w:r>
      <w:r w:rsidR="00530E80">
        <w:rPr>
          <w:rFonts w:ascii="Times New Roman" w:hAnsi="Times New Roman" w:cs="Times New Roman"/>
          <w:sz w:val="24"/>
          <w:szCs w:val="24"/>
        </w:rPr>
        <w:t>0.</w:t>
      </w:r>
      <w:r w:rsidR="00A832F7">
        <w:rPr>
          <w:rFonts w:ascii="Times New Roman" w:hAnsi="Times New Roman" w:cs="Times New Roman"/>
          <w:sz w:val="24"/>
          <w:szCs w:val="24"/>
        </w:rPr>
        <w:t>6846</w:t>
      </w:r>
      <w:r w:rsidR="00DA4556">
        <w:rPr>
          <w:rFonts w:ascii="Times New Roman" w:hAnsi="Times New Roman" w:cs="Times New Roman"/>
          <w:sz w:val="24"/>
          <w:szCs w:val="24"/>
        </w:rPr>
        <w:t xml:space="preserve"> to 0.7</w:t>
      </w:r>
      <w:r w:rsidR="00A832F7">
        <w:rPr>
          <w:rFonts w:ascii="Times New Roman" w:hAnsi="Times New Roman" w:cs="Times New Roman"/>
          <w:sz w:val="24"/>
          <w:szCs w:val="24"/>
        </w:rPr>
        <w:t>544</w:t>
      </w:r>
      <w:r w:rsidR="00DA4556">
        <w:rPr>
          <w:rFonts w:ascii="Times New Roman" w:hAnsi="Times New Roman" w:cs="Times New Roman"/>
          <w:sz w:val="24"/>
          <w:szCs w:val="24"/>
        </w:rPr>
        <w:t xml:space="preserve">, whereas the resulting estimated </w:t>
      </w:r>
      <w:r w:rsidR="00DA4556">
        <w:rPr>
          <w:rFonts w:ascii="Times New Roman" w:hAnsi="Times New Roman" w:cs="Times New Roman"/>
          <w:i/>
          <w:sz w:val="24"/>
          <w:szCs w:val="24"/>
        </w:rPr>
        <w:t xml:space="preserve">Herfindahl </w:t>
      </w:r>
      <w:r w:rsidR="00DA4556">
        <w:rPr>
          <w:rFonts w:ascii="Times New Roman" w:hAnsi="Times New Roman" w:cs="Times New Roman"/>
          <w:sz w:val="24"/>
          <w:szCs w:val="24"/>
        </w:rPr>
        <w:t>change from 1966 to 1970 changes from –</w:t>
      </w:r>
      <w:r w:rsidR="00A832F7">
        <w:rPr>
          <w:rFonts w:ascii="Times New Roman" w:hAnsi="Times New Roman" w:cs="Times New Roman"/>
          <w:sz w:val="24"/>
          <w:szCs w:val="24"/>
        </w:rPr>
        <w:t>35.25% to –36.23</w:t>
      </w:r>
      <w:r w:rsidR="00DA4556">
        <w:rPr>
          <w:rFonts w:ascii="Times New Roman" w:hAnsi="Times New Roman" w:cs="Times New Roman"/>
          <w:sz w:val="24"/>
          <w:szCs w:val="24"/>
        </w:rPr>
        <w:t xml:space="preserve">%. These changes in </w:t>
      </w:r>
      <w:r w:rsidR="00DE2F6F">
        <w:rPr>
          <w:rFonts w:ascii="Times New Roman" w:hAnsi="Times New Roman" w:cs="Times New Roman"/>
          <w:sz w:val="24"/>
          <w:szCs w:val="24"/>
        </w:rPr>
        <w:t xml:space="preserve">results clearly show that </w:t>
      </w:r>
      <w:r w:rsidR="00530E80">
        <w:rPr>
          <w:rFonts w:ascii="Times New Roman" w:hAnsi="Times New Roman" w:cs="Times New Roman"/>
          <w:sz w:val="24"/>
          <w:szCs w:val="24"/>
        </w:rPr>
        <w:t xml:space="preserve">prior results were </w:t>
      </w:r>
      <w:r w:rsidR="00A832F7">
        <w:rPr>
          <w:rFonts w:ascii="Times New Roman" w:hAnsi="Times New Roman" w:cs="Times New Roman"/>
          <w:sz w:val="24"/>
          <w:szCs w:val="24"/>
        </w:rPr>
        <w:t>under</w:t>
      </w:r>
      <w:r w:rsidR="00DA4556">
        <w:rPr>
          <w:rFonts w:ascii="Times New Roman" w:hAnsi="Times New Roman" w:cs="Times New Roman"/>
          <w:sz w:val="24"/>
          <w:szCs w:val="24"/>
        </w:rPr>
        <w:t>estimated</w:t>
      </w:r>
      <w:r w:rsidR="00DE2F6F">
        <w:rPr>
          <w:rFonts w:ascii="Times New Roman" w:hAnsi="Times New Roman" w:cs="Times New Roman"/>
          <w:sz w:val="24"/>
          <w:szCs w:val="24"/>
        </w:rPr>
        <w:t xml:space="preserve"> to a certain degree</w:t>
      </w:r>
      <w:r w:rsidR="00530E80">
        <w:rPr>
          <w:rFonts w:ascii="Times New Roman" w:hAnsi="Times New Roman" w:cs="Times New Roman"/>
          <w:sz w:val="24"/>
          <w:szCs w:val="24"/>
        </w:rPr>
        <w:t>.</w:t>
      </w:r>
      <w:r w:rsidR="001D30BD">
        <w:rPr>
          <w:rFonts w:ascii="Times New Roman" w:hAnsi="Times New Roman" w:cs="Times New Roman"/>
          <w:sz w:val="24"/>
          <w:szCs w:val="24"/>
        </w:rPr>
        <w:t xml:space="preserve"> </w:t>
      </w:r>
    </w:p>
    <w:p w:rsidR="004C1757" w:rsidRPr="004C1757" w:rsidRDefault="004C1757" w:rsidP="00B515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robustness check to test the validity of these results is to reduce the sample size of the TSLS estimation. Despite the argued exogeneity of the </w:t>
      </w:r>
      <w:r>
        <w:rPr>
          <w:rFonts w:ascii="Times New Roman" w:hAnsi="Times New Roman" w:cs="Times New Roman"/>
          <w:i/>
          <w:sz w:val="24"/>
          <w:szCs w:val="24"/>
        </w:rPr>
        <w:t xml:space="preserve">Treatment </w:t>
      </w:r>
      <w:r>
        <w:rPr>
          <w:rFonts w:ascii="Times New Roman" w:hAnsi="Times New Roman" w:cs="Times New Roman"/>
          <w:sz w:val="24"/>
          <w:szCs w:val="24"/>
        </w:rPr>
        <w:t>variable, in order to truly mitigate the risk of time-varying OVB, it would prove useful to reduce the sample size to directly before and after the abolishment of compulsory voting. In this reduced sample case, time-trends are certainly unlikely to influence any estimated results. The results are presented in the appendix (Table A.8</w:t>
      </w:r>
      <w:r w:rsidR="009A6CA5">
        <w:rPr>
          <w:rFonts w:ascii="Times New Roman" w:hAnsi="Times New Roman" w:cs="Times New Roman"/>
          <w:sz w:val="24"/>
          <w:szCs w:val="24"/>
        </w:rPr>
        <w:t>, model II</w:t>
      </w:r>
      <w:r>
        <w:rPr>
          <w:rFonts w:ascii="Times New Roman" w:hAnsi="Times New Roman" w:cs="Times New Roman"/>
          <w:sz w:val="24"/>
          <w:szCs w:val="24"/>
        </w:rPr>
        <w:t xml:space="preserve">), and still retain the same outcomes in a positive estimated coefficient for </w:t>
      </w:r>
      <w:r>
        <w:rPr>
          <w:rFonts w:ascii="Times New Roman" w:hAnsi="Times New Roman" w:cs="Times New Roman"/>
          <w:i/>
          <w:sz w:val="24"/>
          <w:szCs w:val="24"/>
        </w:rPr>
        <w:t>Turnout</w:t>
      </w:r>
      <w:r>
        <w:rPr>
          <w:rFonts w:ascii="Times New Roman" w:hAnsi="Times New Roman" w:cs="Times New Roman"/>
          <w:sz w:val="24"/>
          <w:szCs w:val="24"/>
        </w:rPr>
        <w:t xml:space="preserve">, significant at the 1% level. </w:t>
      </w:r>
    </w:p>
    <w:p w:rsidR="007B25C3" w:rsidRDefault="00530E80" w:rsidP="00530E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Nonetheless,</w:t>
      </w:r>
      <w:r w:rsidR="00DE2F6F">
        <w:rPr>
          <w:rFonts w:ascii="Times New Roman" w:hAnsi="Times New Roman" w:cs="Times New Roman"/>
          <w:sz w:val="24"/>
          <w:szCs w:val="24"/>
        </w:rPr>
        <w:t xml:space="preserve"> t</w:t>
      </w:r>
      <w:r w:rsidR="00994C1E">
        <w:rPr>
          <w:rFonts w:ascii="Times New Roman" w:hAnsi="Times New Roman" w:cs="Times New Roman"/>
          <w:sz w:val="24"/>
          <w:szCs w:val="24"/>
        </w:rPr>
        <w:t xml:space="preserve">here is indeed a degree of subjective reasoning required to establish the viability of </w:t>
      </w:r>
      <w:r w:rsidR="00082D19">
        <w:rPr>
          <w:rFonts w:ascii="Times New Roman" w:hAnsi="Times New Roman" w:cs="Times New Roman"/>
          <w:sz w:val="24"/>
          <w:szCs w:val="24"/>
        </w:rPr>
        <w:t>any TSLS analysis</w:t>
      </w:r>
      <w:r w:rsidR="00994C1E">
        <w:rPr>
          <w:rFonts w:ascii="Times New Roman" w:hAnsi="Times New Roman" w:cs="Times New Roman"/>
          <w:sz w:val="24"/>
          <w:szCs w:val="24"/>
        </w:rPr>
        <w:t>.</w:t>
      </w:r>
      <w:r w:rsidR="001D30BD">
        <w:rPr>
          <w:rFonts w:ascii="Times New Roman" w:hAnsi="Times New Roman" w:cs="Times New Roman"/>
          <w:sz w:val="24"/>
          <w:szCs w:val="24"/>
        </w:rPr>
        <w:t xml:space="preserve"> Despite the reasonable attempts to </w:t>
      </w:r>
      <w:r w:rsidR="00DE2F6F">
        <w:rPr>
          <w:rFonts w:ascii="Times New Roman" w:hAnsi="Times New Roman" w:cs="Times New Roman"/>
          <w:sz w:val="24"/>
          <w:szCs w:val="24"/>
        </w:rPr>
        <w:t>prove its</w:t>
      </w:r>
      <w:r w:rsidR="001D30BD">
        <w:rPr>
          <w:rFonts w:ascii="Times New Roman" w:hAnsi="Times New Roman" w:cs="Times New Roman"/>
          <w:sz w:val="24"/>
          <w:szCs w:val="24"/>
        </w:rPr>
        <w:t xml:space="preserve"> viability above, it is </w:t>
      </w:r>
      <w:r w:rsidR="00DE2F6F">
        <w:rPr>
          <w:rFonts w:ascii="Times New Roman" w:hAnsi="Times New Roman" w:cs="Times New Roman"/>
          <w:sz w:val="24"/>
          <w:szCs w:val="24"/>
        </w:rPr>
        <w:t>still reasonable to</w:t>
      </w:r>
      <w:r w:rsidR="001D30BD">
        <w:rPr>
          <w:rFonts w:ascii="Times New Roman" w:hAnsi="Times New Roman" w:cs="Times New Roman"/>
          <w:sz w:val="24"/>
          <w:szCs w:val="24"/>
        </w:rPr>
        <w:t xml:space="preserve"> approach</w:t>
      </w:r>
      <w:r w:rsidR="00DE2F6F">
        <w:rPr>
          <w:rFonts w:ascii="Times New Roman" w:hAnsi="Times New Roman" w:cs="Times New Roman"/>
          <w:sz w:val="24"/>
          <w:szCs w:val="24"/>
        </w:rPr>
        <w:t xml:space="preserve"> these results’</w:t>
      </w:r>
      <w:r w:rsidR="001D30BD">
        <w:rPr>
          <w:rFonts w:ascii="Times New Roman" w:hAnsi="Times New Roman" w:cs="Times New Roman"/>
          <w:sz w:val="24"/>
          <w:szCs w:val="24"/>
        </w:rPr>
        <w:t xml:space="preserve"> with some scepticism. </w:t>
      </w:r>
      <w:r>
        <w:rPr>
          <w:rFonts w:ascii="Times New Roman" w:hAnsi="Times New Roman" w:cs="Times New Roman"/>
          <w:sz w:val="24"/>
          <w:szCs w:val="24"/>
        </w:rPr>
        <w:t xml:space="preserve">Consequently, </w:t>
      </w:r>
      <w:r w:rsidR="001D30BD">
        <w:rPr>
          <w:rFonts w:ascii="Times New Roman" w:hAnsi="Times New Roman" w:cs="Times New Roman"/>
          <w:sz w:val="24"/>
          <w:szCs w:val="24"/>
        </w:rPr>
        <w:t>i</w:t>
      </w:r>
      <w:r>
        <w:rPr>
          <w:rFonts w:ascii="Times New Roman" w:hAnsi="Times New Roman" w:cs="Times New Roman"/>
          <w:sz w:val="24"/>
          <w:szCs w:val="24"/>
        </w:rPr>
        <w:t>t would additionally</w:t>
      </w:r>
      <w:r w:rsidR="00994C1E">
        <w:rPr>
          <w:rFonts w:ascii="Times New Roman" w:hAnsi="Times New Roman" w:cs="Times New Roman"/>
          <w:sz w:val="24"/>
          <w:szCs w:val="24"/>
        </w:rPr>
        <w:t xml:space="preserve"> prove useful to refer to the alternative methodologies’ results that were suggested earlier. </w:t>
      </w:r>
      <w:r w:rsidR="00530D8C">
        <w:rPr>
          <w:rFonts w:ascii="Times New Roman" w:hAnsi="Times New Roman" w:cs="Times New Roman"/>
          <w:sz w:val="24"/>
          <w:szCs w:val="24"/>
        </w:rPr>
        <w:t xml:space="preserve">Recall that </w:t>
      </w:r>
      <w:r>
        <w:rPr>
          <w:rFonts w:ascii="Times New Roman" w:hAnsi="Times New Roman" w:cs="Times New Roman"/>
          <w:sz w:val="24"/>
          <w:szCs w:val="24"/>
        </w:rPr>
        <w:t xml:space="preserve">both the OLS and FE methods in fact report results qualitatively identical to that of the TSLS methods, i.e. that </w:t>
      </w: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sidR="00C46D62">
        <w:rPr>
          <w:rFonts w:ascii="Times New Roman" w:hAnsi="Times New Roman" w:cs="Times New Roman"/>
          <w:sz w:val="24"/>
          <w:szCs w:val="24"/>
        </w:rPr>
        <w:t xml:space="preserve">cannot be rejected. Indeed, </w:t>
      </w:r>
      <w:r w:rsidR="00A832F7">
        <w:rPr>
          <w:rFonts w:ascii="Times New Roman" w:hAnsi="Times New Roman" w:cs="Times New Roman"/>
          <w:sz w:val="24"/>
          <w:szCs w:val="24"/>
        </w:rPr>
        <w:t>all three methods</w:t>
      </w:r>
      <w:r w:rsidR="00C46D62">
        <w:rPr>
          <w:rFonts w:ascii="Times New Roman" w:hAnsi="Times New Roman" w:cs="Times New Roman"/>
          <w:sz w:val="24"/>
          <w:szCs w:val="24"/>
        </w:rPr>
        <w:t xml:space="preserve"> methods point towards the same conclusion, that there is indeed a counter-intuitive relationship between </w:t>
      </w:r>
      <w:r w:rsidR="00C46D62">
        <w:rPr>
          <w:rFonts w:ascii="Times New Roman" w:hAnsi="Times New Roman" w:cs="Times New Roman"/>
          <w:i/>
          <w:sz w:val="24"/>
          <w:szCs w:val="24"/>
        </w:rPr>
        <w:t xml:space="preserve">Turnout </w:t>
      </w:r>
      <w:r w:rsidR="00C46D62">
        <w:rPr>
          <w:rFonts w:ascii="Times New Roman" w:hAnsi="Times New Roman" w:cs="Times New Roman"/>
          <w:sz w:val="24"/>
          <w:szCs w:val="24"/>
        </w:rPr>
        <w:t>and the degree of inter-party competition</w:t>
      </w:r>
      <w:r w:rsidR="00082D19">
        <w:rPr>
          <w:rFonts w:ascii="Times New Roman" w:hAnsi="Times New Roman" w:cs="Times New Roman"/>
          <w:sz w:val="24"/>
          <w:szCs w:val="24"/>
        </w:rPr>
        <w:t>.</w:t>
      </w:r>
      <w:r w:rsidR="00C46D62">
        <w:rPr>
          <w:rFonts w:ascii="Times New Roman" w:hAnsi="Times New Roman" w:cs="Times New Roman"/>
          <w:sz w:val="24"/>
          <w:szCs w:val="24"/>
        </w:rPr>
        <w:t xml:space="preserve"> Therefore, even if one was to reject the authenticity of results obtained under TSLS estimation, confirmation via three alternative parametric approaches is more difficult to ignore. </w:t>
      </w:r>
    </w:p>
    <w:p w:rsidR="002B62EE" w:rsidRDefault="002B62EE" w:rsidP="002B62EE">
      <w:pPr>
        <w:spacing w:line="360" w:lineRule="auto"/>
        <w:rPr>
          <w:rFonts w:ascii="Times New Roman" w:hAnsi="Times New Roman" w:cs="Times New Roman"/>
          <w:b/>
          <w:sz w:val="24"/>
          <w:szCs w:val="24"/>
        </w:rPr>
      </w:pPr>
      <w:r>
        <w:rPr>
          <w:rFonts w:ascii="Times New Roman" w:hAnsi="Times New Roman" w:cs="Times New Roman"/>
          <w:b/>
          <w:sz w:val="24"/>
          <w:szCs w:val="24"/>
        </w:rPr>
        <w:t>VI</w:t>
      </w:r>
      <w:r w:rsidR="00EF7191">
        <w:rPr>
          <w:rFonts w:ascii="Times New Roman" w:hAnsi="Times New Roman" w:cs="Times New Roman"/>
          <w:b/>
          <w:sz w:val="24"/>
          <w:szCs w:val="24"/>
        </w:rPr>
        <w:t>I</w:t>
      </w:r>
      <w:r>
        <w:rPr>
          <w:rFonts w:ascii="Times New Roman" w:hAnsi="Times New Roman" w:cs="Times New Roman"/>
          <w:b/>
          <w:sz w:val="24"/>
          <w:szCs w:val="24"/>
        </w:rPr>
        <w:t xml:space="preserve"> – Conclusion</w:t>
      </w:r>
      <w:r w:rsidR="00A95E0B">
        <w:rPr>
          <w:rFonts w:ascii="Times New Roman" w:hAnsi="Times New Roman" w:cs="Times New Roman"/>
          <w:b/>
          <w:sz w:val="24"/>
          <w:szCs w:val="24"/>
        </w:rPr>
        <w:t>s</w:t>
      </w:r>
      <w:r>
        <w:rPr>
          <w:rFonts w:ascii="Times New Roman" w:hAnsi="Times New Roman" w:cs="Times New Roman"/>
          <w:b/>
          <w:sz w:val="24"/>
          <w:szCs w:val="24"/>
        </w:rPr>
        <w:t xml:space="preserve"> and Suggestions for Further Research</w:t>
      </w:r>
    </w:p>
    <w:p w:rsidR="002B62EE" w:rsidRDefault="00A95E0B" w:rsidP="00B51583">
      <w:pPr>
        <w:tabs>
          <w:tab w:val="left" w:pos="720"/>
          <w:tab w:val="left" w:pos="355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desirability of compulsory voting was questioned at length in this paper, and its findings appear to point out that, for one reason or another, </w:t>
      </w:r>
      <w:r w:rsidR="00082D19">
        <w:rPr>
          <w:rFonts w:ascii="Times New Roman" w:hAnsi="Times New Roman" w:cs="Times New Roman"/>
          <w:sz w:val="24"/>
          <w:szCs w:val="24"/>
        </w:rPr>
        <w:t xml:space="preserve">the </w:t>
      </w:r>
      <w:r>
        <w:rPr>
          <w:rFonts w:ascii="Times New Roman" w:hAnsi="Times New Roman" w:cs="Times New Roman"/>
          <w:sz w:val="24"/>
          <w:szCs w:val="24"/>
        </w:rPr>
        <w:t xml:space="preserve">artificial stimulation of voting behaviour may have some adverse effects in the flavour of a lower degree of inter-party competitiveness. Results obtained </w:t>
      </w:r>
      <w:r w:rsidR="004C1757">
        <w:rPr>
          <w:rFonts w:ascii="Times New Roman" w:hAnsi="Times New Roman" w:cs="Times New Roman"/>
          <w:sz w:val="24"/>
          <w:szCs w:val="24"/>
        </w:rPr>
        <w:t xml:space="preserve">by TSLS estimation via </w:t>
      </w:r>
      <w:r w:rsidR="004C1757">
        <w:rPr>
          <w:rFonts w:ascii="Times New Roman" w:hAnsi="Times New Roman" w:cs="Times New Roman"/>
          <w:i/>
          <w:sz w:val="24"/>
          <w:szCs w:val="24"/>
        </w:rPr>
        <w:t>Turnout</w:t>
      </w:r>
      <w:r w:rsidR="004C1757">
        <w:rPr>
          <w:rFonts w:ascii="Times New Roman" w:hAnsi="Times New Roman" w:cs="Times New Roman"/>
          <w:sz w:val="24"/>
          <w:szCs w:val="24"/>
        </w:rPr>
        <w:t xml:space="preserve"> and the instrument, </w:t>
      </w:r>
      <w:r w:rsidR="004C1757">
        <w:rPr>
          <w:rFonts w:ascii="Times New Roman" w:hAnsi="Times New Roman" w:cs="Times New Roman"/>
          <w:i/>
          <w:sz w:val="24"/>
          <w:szCs w:val="24"/>
        </w:rPr>
        <w:t xml:space="preserve">Treatment, </w:t>
      </w:r>
      <w:r>
        <w:rPr>
          <w:rFonts w:ascii="Times New Roman" w:hAnsi="Times New Roman" w:cs="Times New Roman"/>
          <w:sz w:val="24"/>
          <w:szCs w:val="24"/>
        </w:rPr>
        <w:t>implies this through the positive</w:t>
      </w:r>
      <w:r w:rsidR="00082D19">
        <w:rPr>
          <w:rFonts w:ascii="Times New Roman" w:hAnsi="Times New Roman" w:cs="Times New Roman"/>
          <w:sz w:val="24"/>
          <w:szCs w:val="24"/>
        </w:rPr>
        <w:t>ly</w:t>
      </w:r>
      <w:r>
        <w:rPr>
          <w:rFonts w:ascii="Times New Roman" w:hAnsi="Times New Roman" w:cs="Times New Roman"/>
          <w:sz w:val="24"/>
          <w:szCs w:val="24"/>
        </w:rPr>
        <w:t xml:space="preserve"> estimated coefficient of </w:t>
      </w:r>
      <w:r w:rsidR="00BF55C8">
        <w:rPr>
          <w:rFonts w:ascii="Times New Roman" w:hAnsi="Times New Roman" w:cs="Times New Roman"/>
          <w:i/>
          <w:sz w:val="24"/>
          <w:szCs w:val="24"/>
        </w:rPr>
        <w:t>T</w:t>
      </w:r>
      <w:r>
        <w:rPr>
          <w:rFonts w:ascii="Times New Roman" w:hAnsi="Times New Roman" w:cs="Times New Roman"/>
          <w:i/>
          <w:sz w:val="24"/>
          <w:szCs w:val="24"/>
        </w:rPr>
        <w:t>urnout</w:t>
      </w:r>
      <w:r>
        <w:rPr>
          <w:rFonts w:ascii="Times New Roman" w:hAnsi="Times New Roman" w:cs="Times New Roman"/>
          <w:sz w:val="24"/>
          <w:szCs w:val="24"/>
        </w:rPr>
        <w:t xml:space="preserve"> on the </w:t>
      </w:r>
      <w:r>
        <w:rPr>
          <w:rFonts w:ascii="Times New Roman" w:hAnsi="Times New Roman" w:cs="Times New Roman"/>
          <w:i/>
          <w:sz w:val="24"/>
          <w:szCs w:val="24"/>
        </w:rPr>
        <w:lastRenderedPageBreak/>
        <w:t xml:space="preserve">Herfindahl </w:t>
      </w:r>
      <w:r>
        <w:rPr>
          <w:rFonts w:ascii="Times New Roman" w:hAnsi="Times New Roman" w:cs="Times New Roman"/>
          <w:sz w:val="24"/>
          <w:szCs w:val="24"/>
        </w:rPr>
        <w:t xml:space="preserve">index. In other words, the higher the value of turnout in a municipality, the higher </w:t>
      </w:r>
      <w:r w:rsidR="00082D19">
        <w:rPr>
          <w:rFonts w:ascii="Times New Roman" w:hAnsi="Times New Roman" w:cs="Times New Roman"/>
          <w:sz w:val="24"/>
          <w:szCs w:val="24"/>
        </w:rPr>
        <w:t xml:space="preserve">the </w:t>
      </w:r>
      <w:r w:rsidRPr="00A95E0B">
        <w:rPr>
          <w:rFonts w:ascii="Times New Roman" w:hAnsi="Times New Roman" w:cs="Times New Roman"/>
          <w:i/>
          <w:sz w:val="24"/>
          <w:szCs w:val="24"/>
        </w:rPr>
        <w:t>Herfindahl</w:t>
      </w:r>
      <w:r>
        <w:rPr>
          <w:rFonts w:ascii="Times New Roman" w:hAnsi="Times New Roman" w:cs="Times New Roman"/>
          <w:sz w:val="24"/>
          <w:szCs w:val="24"/>
        </w:rPr>
        <w:t xml:space="preserve"> index. Recall, that higher values on the </w:t>
      </w:r>
      <w:r>
        <w:rPr>
          <w:rFonts w:ascii="Times New Roman" w:hAnsi="Times New Roman" w:cs="Times New Roman"/>
          <w:i/>
          <w:sz w:val="24"/>
          <w:szCs w:val="24"/>
        </w:rPr>
        <w:t>Herfindahl</w:t>
      </w:r>
      <w:r>
        <w:rPr>
          <w:rFonts w:ascii="Times New Roman" w:hAnsi="Times New Roman" w:cs="Times New Roman"/>
          <w:sz w:val="24"/>
          <w:szCs w:val="24"/>
        </w:rPr>
        <w:t xml:space="preserve"> represent a competitive environment that tends towards that of a monopoly. This observation is counter-intuitive to the common belief that greater voter turnout rates promote greater representation of opinions, which can be proxied by the vote sh</w:t>
      </w:r>
      <w:r w:rsidR="00BF55C8">
        <w:rPr>
          <w:rFonts w:ascii="Times New Roman" w:hAnsi="Times New Roman" w:cs="Times New Roman"/>
          <w:sz w:val="24"/>
          <w:szCs w:val="24"/>
        </w:rPr>
        <w:t>ares allocations between parties in an election. The quantitative result of the change in this measure of competitiveness (</w:t>
      </w:r>
      <w:r w:rsidR="00BF55C8">
        <w:rPr>
          <w:rFonts w:ascii="Times New Roman" w:hAnsi="Times New Roman" w:cs="Times New Roman"/>
          <w:i/>
          <w:sz w:val="24"/>
          <w:szCs w:val="24"/>
        </w:rPr>
        <w:t>Herfindahl</w:t>
      </w:r>
      <w:r w:rsidR="00BF55C8" w:rsidRPr="00BF55C8">
        <w:rPr>
          <w:rFonts w:ascii="Times New Roman" w:hAnsi="Times New Roman" w:cs="Times New Roman"/>
          <w:sz w:val="24"/>
          <w:szCs w:val="24"/>
        </w:rPr>
        <w:t>)</w:t>
      </w:r>
      <w:r w:rsidR="00BF55C8">
        <w:rPr>
          <w:rFonts w:ascii="Times New Roman" w:hAnsi="Times New Roman" w:cs="Times New Roman"/>
          <w:i/>
          <w:sz w:val="24"/>
          <w:szCs w:val="24"/>
        </w:rPr>
        <w:t xml:space="preserve"> </w:t>
      </w:r>
      <w:r w:rsidR="00BF55C8">
        <w:rPr>
          <w:rFonts w:ascii="Times New Roman" w:hAnsi="Times New Roman" w:cs="Times New Roman"/>
          <w:sz w:val="24"/>
          <w:szCs w:val="24"/>
        </w:rPr>
        <w:t xml:space="preserve">directly before and after the abolishment of compulsory turnout in 1967 was approximately a decrease of </w:t>
      </w:r>
      <w:r w:rsidR="004C1757">
        <w:rPr>
          <w:rFonts w:ascii="Times New Roman" w:hAnsi="Times New Roman" w:cs="Times New Roman"/>
          <w:sz w:val="24"/>
          <w:szCs w:val="24"/>
        </w:rPr>
        <w:t xml:space="preserve">35.25% (increase in competitiveness). </w:t>
      </w:r>
    </w:p>
    <w:p w:rsidR="00BF55C8" w:rsidRPr="00F25D44" w:rsidRDefault="00BF55C8" w:rsidP="00B51583">
      <w:pPr>
        <w:tabs>
          <w:tab w:val="left" w:pos="720"/>
          <w:tab w:val="left" w:pos="355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paper suggests a mechanistic explanation of the origin of this counter-intuitive result. The proposed “herding effect” is characterised by two types of voters – interested </w:t>
      </w:r>
      <w:r>
        <w:rPr>
          <w:rFonts w:ascii="Times New Roman" w:hAnsi="Times New Roman" w:cs="Times New Roman"/>
          <w:i/>
          <w:sz w:val="24"/>
          <w:szCs w:val="24"/>
        </w:rPr>
        <w:t>active</w:t>
      </w:r>
      <w:r>
        <w:rPr>
          <w:rFonts w:ascii="Times New Roman" w:hAnsi="Times New Roman" w:cs="Times New Roman"/>
          <w:sz w:val="24"/>
          <w:szCs w:val="24"/>
        </w:rPr>
        <w:t xml:space="preserve"> voters and uninterested </w:t>
      </w:r>
      <w:r>
        <w:rPr>
          <w:rFonts w:ascii="Times New Roman" w:hAnsi="Times New Roman" w:cs="Times New Roman"/>
          <w:i/>
          <w:sz w:val="24"/>
          <w:szCs w:val="24"/>
        </w:rPr>
        <w:t>passive</w:t>
      </w:r>
      <w:r>
        <w:rPr>
          <w:rFonts w:ascii="Times New Roman" w:hAnsi="Times New Roman" w:cs="Times New Roman"/>
          <w:sz w:val="24"/>
          <w:szCs w:val="24"/>
        </w:rPr>
        <w:t xml:space="preserve"> voters. Due to the comparative advantage of active voters in gaining informed preferences over political parties, passive voters unwilling to bear the cost of becoming informed, instead mimic the voting preferences of their active counterparts. Thus, majority parties with greater political presence, budgets and popularity benefit via a bonus in the form of increased vote share from passive voters – who otherwise would not have voted. Although the primary mechanism through which the TSLS result was obtained was simply the </w:t>
      </w:r>
      <w:r>
        <w:rPr>
          <w:rFonts w:ascii="Times New Roman" w:hAnsi="Times New Roman" w:cs="Times New Roman"/>
          <w:i/>
          <w:sz w:val="24"/>
          <w:szCs w:val="24"/>
        </w:rPr>
        <w:t xml:space="preserve">Turnout </w:t>
      </w:r>
      <w:r>
        <w:rPr>
          <w:rFonts w:ascii="Times New Roman" w:hAnsi="Times New Roman" w:cs="Times New Roman"/>
          <w:sz w:val="24"/>
          <w:szCs w:val="24"/>
        </w:rPr>
        <w:t>rate, an alternative secondary mechanism was also pointed out – the ratio of blank and invalid votes to valid votes (</w:t>
      </w:r>
      <w:r>
        <w:rPr>
          <w:rFonts w:ascii="Times New Roman" w:hAnsi="Times New Roman" w:cs="Times New Roman"/>
          <w:i/>
          <w:sz w:val="24"/>
          <w:szCs w:val="24"/>
        </w:rPr>
        <w:t>INBL</w:t>
      </w:r>
      <w:r>
        <w:rPr>
          <w:rFonts w:ascii="Times New Roman" w:hAnsi="Times New Roman" w:cs="Times New Roman"/>
          <w:sz w:val="24"/>
          <w:szCs w:val="24"/>
        </w:rPr>
        <w:t xml:space="preserve">). </w:t>
      </w:r>
      <w:r w:rsidR="005F2BAE">
        <w:rPr>
          <w:rFonts w:ascii="Times New Roman" w:hAnsi="Times New Roman" w:cs="Times New Roman"/>
          <w:sz w:val="24"/>
          <w:szCs w:val="24"/>
        </w:rPr>
        <w:t xml:space="preserve">Though it may be perceived as a threat to the internal validity of the TSLS based results, the nature of both </w:t>
      </w:r>
      <w:r w:rsidR="005F2BAE">
        <w:rPr>
          <w:rFonts w:ascii="Times New Roman" w:hAnsi="Times New Roman" w:cs="Times New Roman"/>
          <w:i/>
          <w:sz w:val="24"/>
          <w:szCs w:val="24"/>
        </w:rPr>
        <w:t xml:space="preserve">Turnout </w:t>
      </w:r>
      <w:r w:rsidR="005F2BAE">
        <w:rPr>
          <w:rFonts w:ascii="Times New Roman" w:hAnsi="Times New Roman" w:cs="Times New Roman"/>
          <w:sz w:val="24"/>
          <w:szCs w:val="24"/>
        </w:rPr>
        <w:t xml:space="preserve">and </w:t>
      </w:r>
      <w:r w:rsidR="005F2BAE">
        <w:rPr>
          <w:rFonts w:ascii="Times New Roman" w:hAnsi="Times New Roman" w:cs="Times New Roman"/>
          <w:i/>
          <w:sz w:val="24"/>
          <w:szCs w:val="24"/>
        </w:rPr>
        <w:t xml:space="preserve">INBL </w:t>
      </w:r>
      <w:r w:rsidR="005F2BAE">
        <w:rPr>
          <w:rFonts w:ascii="Times New Roman" w:hAnsi="Times New Roman" w:cs="Times New Roman"/>
          <w:sz w:val="24"/>
          <w:szCs w:val="24"/>
        </w:rPr>
        <w:t xml:space="preserve">in fact implies that they roughly proxy for the “passiveness” of a given electorate. Thus, by adjusting </w:t>
      </w:r>
      <w:r w:rsidR="005F2BAE">
        <w:rPr>
          <w:rFonts w:ascii="Times New Roman" w:hAnsi="Times New Roman" w:cs="Times New Roman"/>
          <w:i/>
          <w:sz w:val="24"/>
          <w:szCs w:val="24"/>
        </w:rPr>
        <w:t>Turnout</w:t>
      </w:r>
      <w:r w:rsidR="005F2BAE">
        <w:rPr>
          <w:rFonts w:ascii="Times New Roman" w:hAnsi="Times New Roman" w:cs="Times New Roman"/>
          <w:sz w:val="24"/>
          <w:szCs w:val="24"/>
        </w:rPr>
        <w:t xml:space="preserve"> to reflect instead the rate of valid votes to electorate size, the exogeneity of </w:t>
      </w:r>
      <w:r w:rsidR="005F2BAE">
        <w:rPr>
          <w:rFonts w:ascii="Times New Roman" w:hAnsi="Times New Roman" w:cs="Times New Roman"/>
          <w:i/>
          <w:sz w:val="24"/>
          <w:szCs w:val="24"/>
        </w:rPr>
        <w:t xml:space="preserve">Treatment </w:t>
      </w:r>
      <w:r w:rsidR="005F2BAE">
        <w:rPr>
          <w:rFonts w:ascii="Times New Roman" w:hAnsi="Times New Roman" w:cs="Times New Roman"/>
          <w:sz w:val="24"/>
          <w:szCs w:val="24"/>
        </w:rPr>
        <w:t xml:space="preserve">as an instrumental variable was preserved. The new TSLS results under the adjusted </w:t>
      </w:r>
      <w:r w:rsidR="005F2BAE">
        <w:rPr>
          <w:rFonts w:ascii="Times New Roman" w:hAnsi="Times New Roman" w:cs="Times New Roman"/>
          <w:i/>
          <w:sz w:val="24"/>
          <w:szCs w:val="24"/>
        </w:rPr>
        <w:t>Turnout</w:t>
      </w:r>
      <w:r w:rsidR="005F2BAE">
        <w:rPr>
          <w:rFonts w:ascii="Times New Roman" w:hAnsi="Times New Roman" w:cs="Times New Roman"/>
          <w:sz w:val="24"/>
          <w:szCs w:val="24"/>
        </w:rPr>
        <w:t xml:space="preserve"> (</w:t>
      </w:r>
      <w:r w:rsidR="005F2BAE">
        <w:rPr>
          <w:rFonts w:ascii="Times New Roman" w:hAnsi="Times New Roman" w:cs="Times New Roman"/>
          <w:i/>
          <w:sz w:val="24"/>
          <w:szCs w:val="24"/>
        </w:rPr>
        <w:t>ValidTurnout</w:t>
      </w:r>
      <w:r w:rsidR="005F2BAE">
        <w:rPr>
          <w:rFonts w:ascii="Times New Roman" w:hAnsi="Times New Roman" w:cs="Times New Roman"/>
          <w:sz w:val="24"/>
          <w:szCs w:val="24"/>
        </w:rPr>
        <w:t>) reflects an almost identical effect, albeit a little larger – tying in with the idea that</w:t>
      </w:r>
      <w:r w:rsidR="005F2BAE">
        <w:rPr>
          <w:rFonts w:ascii="Times New Roman" w:hAnsi="Times New Roman" w:cs="Times New Roman"/>
          <w:i/>
          <w:sz w:val="24"/>
          <w:szCs w:val="24"/>
        </w:rPr>
        <w:t xml:space="preserve"> INBL </w:t>
      </w:r>
      <w:r w:rsidR="005F2BAE">
        <w:rPr>
          <w:rFonts w:ascii="Times New Roman" w:hAnsi="Times New Roman" w:cs="Times New Roman"/>
          <w:sz w:val="24"/>
          <w:szCs w:val="24"/>
        </w:rPr>
        <w:t xml:space="preserve">also contributes to changes in the </w:t>
      </w:r>
      <w:r w:rsidR="005F2BAE">
        <w:rPr>
          <w:rFonts w:ascii="Times New Roman" w:hAnsi="Times New Roman" w:cs="Times New Roman"/>
          <w:i/>
          <w:sz w:val="24"/>
          <w:szCs w:val="24"/>
        </w:rPr>
        <w:t>Herfindahl</w:t>
      </w:r>
      <w:r w:rsidR="005F2BAE">
        <w:rPr>
          <w:rFonts w:ascii="Times New Roman" w:hAnsi="Times New Roman" w:cs="Times New Roman"/>
          <w:sz w:val="24"/>
          <w:szCs w:val="24"/>
        </w:rPr>
        <w:t xml:space="preserve">. The estimated change in the </w:t>
      </w:r>
      <w:r w:rsidR="005F2BAE">
        <w:rPr>
          <w:rFonts w:ascii="Times New Roman" w:hAnsi="Times New Roman" w:cs="Times New Roman"/>
          <w:i/>
          <w:sz w:val="24"/>
          <w:szCs w:val="24"/>
        </w:rPr>
        <w:t>Herfindahl</w:t>
      </w:r>
      <w:r w:rsidR="005F2BAE">
        <w:rPr>
          <w:rFonts w:ascii="Times New Roman" w:hAnsi="Times New Roman" w:cs="Times New Roman"/>
          <w:sz w:val="24"/>
          <w:szCs w:val="24"/>
        </w:rPr>
        <w:t xml:space="preserve"> in the elections directly before and after the abolishment of compulsory voting was then calculated to be approximately a</w:t>
      </w:r>
      <w:r w:rsidR="00C46D62">
        <w:rPr>
          <w:rFonts w:ascii="Times New Roman" w:hAnsi="Times New Roman" w:cs="Times New Roman"/>
          <w:sz w:val="24"/>
          <w:szCs w:val="24"/>
        </w:rPr>
        <w:t xml:space="preserve"> decrease of 36</w:t>
      </w:r>
      <w:r w:rsidR="009A6CA5">
        <w:rPr>
          <w:rFonts w:ascii="Times New Roman" w:hAnsi="Times New Roman" w:cs="Times New Roman"/>
          <w:sz w:val="24"/>
          <w:szCs w:val="24"/>
        </w:rPr>
        <w:t>.23</w:t>
      </w:r>
      <w:r w:rsidR="005F2BAE">
        <w:rPr>
          <w:rFonts w:ascii="Times New Roman" w:hAnsi="Times New Roman" w:cs="Times New Roman"/>
          <w:sz w:val="24"/>
          <w:szCs w:val="24"/>
        </w:rPr>
        <w:t xml:space="preserve">%. </w:t>
      </w:r>
      <w:r w:rsidR="00F25D44">
        <w:rPr>
          <w:rFonts w:ascii="Times New Roman" w:hAnsi="Times New Roman" w:cs="Times New Roman"/>
          <w:sz w:val="24"/>
          <w:szCs w:val="24"/>
        </w:rPr>
        <w:t xml:space="preserve">An alternative theory citing the impact of an “incumbency effect” to explain the results was also considered, but the theory does not take account for the above counter-intuitive relationship between </w:t>
      </w:r>
      <w:r w:rsidR="00F25D44">
        <w:rPr>
          <w:rFonts w:ascii="Times New Roman" w:hAnsi="Times New Roman" w:cs="Times New Roman"/>
          <w:i/>
          <w:sz w:val="24"/>
          <w:szCs w:val="24"/>
        </w:rPr>
        <w:t xml:space="preserve">Turnout </w:t>
      </w:r>
      <w:r w:rsidR="00F25D44">
        <w:rPr>
          <w:rFonts w:ascii="Times New Roman" w:hAnsi="Times New Roman" w:cs="Times New Roman"/>
          <w:sz w:val="24"/>
          <w:szCs w:val="24"/>
        </w:rPr>
        <w:t xml:space="preserve">and inter-party competitiveness. Furthermore, the results </w:t>
      </w:r>
      <w:r w:rsidR="00082D19">
        <w:rPr>
          <w:rFonts w:ascii="Times New Roman" w:hAnsi="Times New Roman" w:cs="Times New Roman"/>
          <w:sz w:val="24"/>
          <w:szCs w:val="24"/>
        </w:rPr>
        <w:t xml:space="preserve">are </w:t>
      </w:r>
      <w:r w:rsidR="00F25D44">
        <w:rPr>
          <w:rFonts w:ascii="Times New Roman" w:hAnsi="Times New Roman" w:cs="Times New Roman"/>
          <w:sz w:val="24"/>
          <w:szCs w:val="24"/>
        </w:rPr>
        <w:t xml:space="preserve">also subject to the validity of the instrument as an exogenous estimator – if another mechanism that affects </w:t>
      </w:r>
      <w:r w:rsidR="00F25D44">
        <w:rPr>
          <w:rFonts w:ascii="Times New Roman" w:hAnsi="Times New Roman" w:cs="Times New Roman"/>
          <w:i/>
          <w:sz w:val="24"/>
          <w:szCs w:val="24"/>
        </w:rPr>
        <w:t>Treatment</w:t>
      </w:r>
      <w:r w:rsidR="00F25D44">
        <w:rPr>
          <w:rFonts w:ascii="Times New Roman" w:hAnsi="Times New Roman" w:cs="Times New Roman"/>
          <w:sz w:val="24"/>
          <w:szCs w:val="24"/>
        </w:rPr>
        <w:t xml:space="preserve"> and the </w:t>
      </w:r>
      <w:r w:rsidR="00F25D44">
        <w:rPr>
          <w:rFonts w:ascii="Times New Roman" w:hAnsi="Times New Roman" w:cs="Times New Roman"/>
          <w:i/>
          <w:sz w:val="24"/>
          <w:szCs w:val="24"/>
        </w:rPr>
        <w:t>Herfindahl</w:t>
      </w:r>
      <w:r w:rsidR="00817E49">
        <w:rPr>
          <w:rFonts w:ascii="Times New Roman" w:hAnsi="Times New Roman" w:cs="Times New Roman"/>
          <w:sz w:val="24"/>
          <w:szCs w:val="24"/>
        </w:rPr>
        <w:t xml:space="preserve"> exists – it is entirely possible that such a mechanism confounds the estimated results. However, until such a mechanism </w:t>
      </w:r>
      <w:r w:rsidR="009A6CA5">
        <w:rPr>
          <w:rFonts w:ascii="Times New Roman" w:hAnsi="Times New Roman" w:cs="Times New Roman"/>
          <w:sz w:val="24"/>
          <w:szCs w:val="24"/>
        </w:rPr>
        <w:t>is uncovered</w:t>
      </w:r>
      <w:r w:rsidR="00817E49">
        <w:rPr>
          <w:rFonts w:ascii="Times New Roman" w:hAnsi="Times New Roman" w:cs="Times New Roman"/>
          <w:sz w:val="24"/>
          <w:szCs w:val="24"/>
        </w:rPr>
        <w:t xml:space="preserve">, the results and </w:t>
      </w:r>
      <w:r w:rsidR="009A6CA5">
        <w:rPr>
          <w:rFonts w:ascii="Times New Roman" w:hAnsi="Times New Roman" w:cs="Times New Roman"/>
          <w:sz w:val="24"/>
          <w:szCs w:val="24"/>
        </w:rPr>
        <w:t xml:space="preserve">its </w:t>
      </w:r>
      <w:r w:rsidR="00817E49">
        <w:rPr>
          <w:rFonts w:ascii="Times New Roman" w:hAnsi="Times New Roman" w:cs="Times New Roman"/>
          <w:sz w:val="24"/>
          <w:szCs w:val="24"/>
        </w:rPr>
        <w:t xml:space="preserve">conclusions drawn from them indeed appear to be internally valid. </w:t>
      </w:r>
    </w:p>
    <w:p w:rsidR="005F2BAE" w:rsidRDefault="005F2BAE" w:rsidP="00B51583">
      <w:pPr>
        <w:tabs>
          <w:tab w:val="left" w:pos="720"/>
          <w:tab w:val="left" w:pos="355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Evidently, the artificial stimulation of voting behaviour can indeed be associated with lower degrees of competitiveness and representation – which is in fact one of the primary reasons for compulsory turnout’s im</w:t>
      </w:r>
      <w:r w:rsidR="00F25D44">
        <w:rPr>
          <w:rFonts w:ascii="Times New Roman" w:hAnsi="Times New Roman" w:cs="Times New Roman"/>
          <w:sz w:val="24"/>
          <w:szCs w:val="24"/>
        </w:rPr>
        <w:t xml:space="preserve">plementation in the Netherlands. </w:t>
      </w:r>
      <w:r>
        <w:rPr>
          <w:rFonts w:ascii="Times New Roman" w:hAnsi="Times New Roman" w:cs="Times New Roman"/>
          <w:sz w:val="24"/>
          <w:szCs w:val="24"/>
        </w:rPr>
        <w:t xml:space="preserve">These results may therefore add to the quantitative literature in terms of arguments against compulsory turnout’s use as a means of promoting greater voter representation. Compulsory voting may therefore be considered a distortive and rather ineffective means of actually achieving what it primarily aims to do. </w:t>
      </w:r>
      <w:r w:rsidR="00082D19">
        <w:rPr>
          <w:rFonts w:ascii="Times New Roman" w:hAnsi="Times New Roman" w:cs="Times New Roman"/>
          <w:sz w:val="24"/>
          <w:szCs w:val="24"/>
        </w:rPr>
        <w:t xml:space="preserve">In some ways then, the abolishment committee of the Netherlands in 1967 were correct in their hope that the policy change would improve the “liveliness of party politics”. </w:t>
      </w:r>
    </w:p>
    <w:p w:rsidR="000164FB" w:rsidRDefault="005F2BAE" w:rsidP="00B51583">
      <w:pPr>
        <w:tabs>
          <w:tab w:val="left" w:pos="720"/>
          <w:tab w:val="left" w:pos="355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here where this paper’s proposed “herding effect” theory may shed some insight. </w:t>
      </w:r>
      <w:r w:rsidR="000164FB">
        <w:rPr>
          <w:rFonts w:ascii="Times New Roman" w:hAnsi="Times New Roman" w:cs="Times New Roman"/>
          <w:sz w:val="24"/>
          <w:szCs w:val="24"/>
        </w:rPr>
        <w:t xml:space="preserve">The theory also suggests an alternative dynamic in the way voters are differentiated – which is typically done by socio-economic status, age, etc. </w:t>
      </w:r>
      <w:r>
        <w:rPr>
          <w:rFonts w:ascii="Times New Roman" w:hAnsi="Times New Roman" w:cs="Times New Roman"/>
          <w:sz w:val="24"/>
          <w:szCs w:val="24"/>
        </w:rPr>
        <w:t xml:space="preserve">If its postulations hold, the </w:t>
      </w:r>
      <w:r w:rsidR="000164FB">
        <w:rPr>
          <w:rFonts w:ascii="Times New Roman" w:hAnsi="Times New Roman" w:cs="Times New Roman"/>
          <w:sz w:val="24"/>
          <w:szCs w:val="24"/>
        </w:rPr>
        <w:t>fact that voters can be differentiated by their degree of political interest in politics is of paramount importance when developing legislation that aims to promote greater voting representation. Rather than relying on the distortive process of increasing the costs of not voting versus the costs of voting, it may instead be more effective and meaningful to focus on policies that promote the ratio of active voters to passive voters. Theoretically, by doing so, actual voting outcomes are more representative of a voter’s opinions, rather than a reflection of his or her “herding” tendencies. For example, a potential policy suggestion may be to implement programmes which educate voters on the impact their votes could have on society and the economy. If these programmes can fundamentally increase</w:t>
      </w:r>
      <w:r w:rsidR="00082D19">
        <w:rPr>
          <w:rFonts w:ascii="Times New Roman" w:hAnsi="Times New Roman" w:cs="Times New Roman"/>
          <w:sz w:val="24"/>
          <w:szCs w:val="24"/>
        </w:rPr>
        <w:t xml:space="preserve"> the </w:t>
      </w:r>
      <w:r w:rsidR="000164FB">
        <w:rPr>
          <w:rFonts w:ascii="Times New Roman" w:hAnsi="Times New Roman" w:cs="Times New Roman"/>
          <w:sz w:val="24"/>
          <w:szCs w:val="24"/>
        </w:rPr>
        <w:t>ratio of active voters to passive ones, they can potentially act as a substitute for compulsory turnout legislation. Taking things a step further, the “herding effect” need not lie solely in the realm of compulsory turnout. The concept of interested active and uninterested passive voters can be applied to any situation wherein democratic voting outcomes may suffer from issues of poor representation.</w:t>
      </w:r>
      <w:r w:rsidR="00F25D44">
        <w:rPr>
          <w:rFonts w:ascii="Times New Roman" w:hAnsi="Times New Roman" w:cs="Times New Roman"/>
          <w:sz w:val="24"/>
          <w:szCs w:val="24"/>
        </w:rPr>
        <w:t xml:space="preserve"> In this context, the general conclusion is that perhaps more representative voting behaviour is not something that can really be forced onto a given electorate, but rather taught and improved over time. </w:t>
      </w:r>
    </w:p>
    <w:p w:rsidR="00A47AD4" w:rsidRDefault="00817E49" w:rsidP="00B51583">
      <w:pPr>
        <w:tabs>
          <w:tab w:val="left" w:pos="720"/>
          <w:tab w:val="left" w:pos="355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with any vein of research, there is always room for improvement. </w:t>
      </w:r>
      <w:r w:rsidR="00082D19">
        <w:rPr>
          <w:rFonts w:ascii="Times New Roman" w:hAnsi="Times New Roman" w:cs="Times New Roman"/>
          <w:sz w:val="24"/>
          <w:szCs w:val="24"/>
        </w:rPr>
        <w:t>First of all, expanding this paper’s investigation period may also provide some more insight into the long-term consequences of the policy change. However, doing so must be done with caution given the volatility of world events before and after the current period – 1958 to 1978. Secondly, i</w:t>
      </w:r>
      <w:r>
        <w:rPr>
          <w:rFonts w:ascii="Times New Roman" w:hAnsi="Times New Roman" w:cs="Times New Roman"/>
          <w:sz w:val="24"/>
          <w:szCs w:val="24"/>
        </w:rPr>
        <w:t xml:space="preserve">t would be relevant to estimate results using this paper’s methods and variables to test their applicability in different countries that </w:t>
      </w:r>
      <w:r w:rsidR="009A6CA5">
        <w:rPr>
          <w:rFonts w:ascii="Times New Roman" w:hAnsi="Times New Roman" w:cs="Times New Roman"/>
          <w:sz w:val="24"/>
          <w:szCs w:val="24"/>
        </w:rPr>
        <w:t xml:space="preserve">have </w:t>
      </w:r>
      <w:r>
        <w:rPr>
          <w:rFonts w:ascii="Times New Roman" w:hAnsi="Times New Roman" w:cs="Times New Roman"/>
          <w:sz w:val="24"/>
          <w:szCs w:val="24"/>
        </w:rPr>
        <w:t>had or currently use compulsory turnout. For example, Austria and Italy had</w:t>
      </w:r>
      <w:r w:rsidR="009A6CA5">
        <w:rPr>
          <w:rFonts w:ascii="Times New Roman" w:hAnsi="Times New Roman" w:cs="Times New Roman"/>
          <w:sz w:val="24"/>
          <w:szCs w:val="24"/>
        </w:rPr>
        <w:t xml:space="preserve"> previously</w:t>
      </w:r>
      <w:r>
        <w:rPr>
          <w:rFonts w:ascii="Times New Roman" w:hAnsi="Times New Roman" w:cs="Times New Roman"/>
          <w:sz w:val="24"/>
          <w:szCs w:val="24"/>
        </w:rPr>
        <w:t xml:space="preserve"> also used such legislation in the past to promote </w:t>
      </w:r>
      <w:r>
        <w:rPr>
          <w:rFonts w:ascii="Times New Roman" w:hAnsi="Times New Roman" w:cs="Times New Roman"/>
          <w:sz w:val="24"/>
          <w:szCs w:val="24"/>
        </w:rPr>
        <w:lastRenderedPageBreak/>
        <w:t xml:space="preserve">greater voting representation. Current examples of countries that still have compulsory voting include Australia, Luxembourg, and Greece. It would be useful to compare estimation results in these countries and compare outcomes with those obtained here. If the data exists, for instance, it would instead be possible observe outcomes of the </w:t>
      </w:r>
      <w:r>
        <w:rPr>
          <w:rFonts w:ascii="Times New Roman" w:hAnsi="Times New Roman" w:cs="Times New Roman"/>
          <w:i/>
          <w:sz w:val="24"/>
          <w:szCs w:val="24"/>
        </w:rPr>
        <w:t>implementation</w:t>
      </w:r>
      <w:r>
        <w:rPr>
          <w:rFonts w:ascii="Times New Roman" w:hAnsi="Times New Roman" w:cs="Times New Roman"/>
          <w:sz w:val="24"/>
          <w:szCs w:val="24"/>
        </w:rPr>
        <w:t xml:space="preserve"> of compulsory turnout rather than its </w:t>
      </w:r>
      <w:r>
        <w:rPr>
          <w:rFonts w:ascii="Times New Roman" w:hAnsi="Times New Roman" w:cs="Times New Roman"/>
          <w:i/>
          <w:sz w:val="24"/>
          <w:szCs w:val="24"/>
        </w:rPr>
        <w:t>abolishment</w:t>
      </w:r>
      <w:r>
        <w:rPr>
          <w:rFonts w:ascii="Times New Roman" w:hAnsi="Times New Roman" w:cs="Times New Roman"/>
          <w:sz w:val="24"/>
          <w:szCs w:val="24"/>
        </w:rPr>
        <w:t xml:space="preserve">. </w:t>
      </w:r>
      <w:r w:rsidR="00AA252E">
        <w:rPr>
          <w:rFonts w:ascii="Times New Roman" w:hAnsi="Times New Roman" w:cs="Times New Roman"/>
          <w:sz w:val="24"/>
          <w:szCs w:val="24"/>
        </w:rPr>
        <w:t>Furthermore, the proposed “herding effect” theory would also benefit greatly with a more formalized structure, taking heed from the associated information theory laid out by Matsusaka (1995). With a formal theory, the “herding effect” can be applied more directly to other electoral contexts, as well as opening up the possibility of direct testing. However, irrespective of the plausibility of the</w:t>
      </w:r>
      <w:r w:rsidR="009A6CA5">
        <w:rPr>
          <w:rFonts w:ascii="Times New Roman" w:hAnsi="Times New Roman" w:cs="Times New Roman"/>
          <w:sz w:val="24"/>
          <w:szCs w:val="24"/>
        </w:rPr>
        <w:t xml:space="preserve"> proposed</w:t>
      </w:r>
      <w:r w:rsidR="00AA252E">
        <w:rPr>
          <w:rFonts w:ascii="Times New Roman" w:hAnsi="Times New Roman" w:cs="Times New Roman"/>
          <w:sz w:val="24"/>
          <w:szCs w:val="24"/>
        </w:rPr>
        <w:t xml:space="preserve"> “herding effect”, the theory current</w:t>
      </w:r>
      <w:r w:rsidR="00B535E9">
        <w:rPr>
          <w:rFonts w:ascii="Times New Roman" w:hAnsi="Times New Roman" w:cs="Times New Roman"/>
          <w:sz w:val="24"/>
          <w:szCs w:val="24"/>
        </w:rPr>
        <w:t xml:space="preserve">ly only attempts to explain </w:t>
      </w:r>
      <w:r w:rsidR="00AA252E">
        <w:rPr>
          <w:rFonts w:ascii="Times New Roman" w:hAnsi="Times New Roman" w:cs="Times New Roman"/>
          <w:sz w:val="24"/>
          <w:szCs w:val="24"/>
        </w:rPr>
        <w:t>the counter-intuitive outcomes of this paper</w:t>
      </w:r>
      <w:r w:rsidR="00B535E9">
        <w:rPr>
          <w:rFonts w:ascii="Times New Roman" w:hAnsi="Times New Roman" w:cs="Times New Roman"/>
          <w:sz w:val="24"/>
          <w:szCs w:val="24"/>
        </w:rPr>
        <w:t xml:space="preserve">’s findings Therefore, suggestions of alternate theories that also provide a plausible explanation are another potential avenue for future research.  </w:t>
      </w:r>
    </w:p>
    <w:p w:rsidR="002B62EE" w:rsidRPr="008E4EA5" w:rsidRDefault="002B62EE" w:rsidP="008E4EA5">
      <w:pPr>
        <w:spacing w:line="360" w:lineRule="auto"/>
        <w:rPr>
          <w:rFonts w:ascii="Times New Roman" w:hAnsi="Times New Roman" w:cs="Times New Roman"/>
          <w:sz w:val="24"/>
          <w:szCs w:val="24"/>
        </w:rPr>
      </w:pPr>
    </w:p>
    <w:p w:rsidR="005B0380" w:rsidRPr="002B62EE" w:rsidRDefault="005B0380" w:rsidP="002B62EE">
      <w:pPr>
        <w:pStyle w:val="ListParagraph"/>
        <w:numPr>
          <w:ilvl w:val="0"/>
          <w:numId w:val="4"/>
        </w:numPr>
        <w:spacing w:line="360" w:lineRule="auto"/>
        <w:rPr>
          <w:rFonts w:ascii="Times New Roman" w:hAnsi="Times New Roman" w:cs="Times New Roman"/>
          <w:sz w:val="24"/>
          <w:szCs w:val="24"/>
        </w:rPr>
      </w:pPr>
      <w:r w:rsidRPr="002B62EE">
        <w:rPr>
          <w:rFonts w:ascii="Times New Roman" w:hAnsi="Times New Roman" w:cs="Times New Roman"/>
          <w:sz w:val="24"/>
          <w:szCs w:val="24"/>
        </w:rPr>
        <w:br w:type="page"/>
      </w:r>
    </w:p>
    <w:p w:rsidR="001A4BB9" w:rsidRPr="001566AB" w:rsidRDefault="001A4BB9" w:rsidP="001A4BB9">
      <w:pPr>
        <w:spacing w:line="360" w:lineRule="auto"/>
        <w:jc w:val="both"/>
        <w:rPr>
          <w:rFonts w:ascii="Times New Roman" w:hAnsi="Times New Roman" w:cs="Times New Roman"/>
          <w:b/>
          <w:sz w:val="24"/>
        </w:rPr>
      </w:pPr>
      <w:r w:rsidRPr="001566AB">
        <w:rPr>
          <w:rFonts w:ascii="Times New Roman" w:hAnsi="Times New Roman" w:cs="Times New Roman"/>
          <w:b/>
          <w:sz w:val="24"/>
        </w:rPr>
        <w:lastRenderedPageBreak/>
        <w:t>References</w:t>
      </w:r>
    </w:p>
    <w:p w:rsidR="001A4BB9" w:rsidRDefault="001A4BB9" w:rsidP="001A4BB9">
      <w:pPr>
        <w:spacing w:line="360" w:lineRule="auto"/>
        <w:ind w:left="426" w:hanging="426"/>
        <w:rPr>
          <w:rFonts w:ascii="Times New Roman" w:hAnsi="Times New Roman" w:cs="Times New Roman"/>
          <w:sz w:val="24"/>
        </w:rPr>
      </w:pPr>
      <w:r w:rsidRPr="001566AB">
        <w:rPr>
          <w:rFonts w:ascii="Times New Roman" w:hAnsi="Times New Roman" w:cs="Times New Roman"/>
          <w:sz w:val="24"/>
        </w:rPr>
        <w:t>Blais, A. (2006). What affects voter turnout? Annu. Rev. Polit. Sci., 9, 111-125.</w:t>
      </w:r>
    </w:p>
    <w:p w:rsidR="00267246" w:rsidRDefault="00267246" w:rsidP="00267246">
      <w:pPr>
        <w:spacing w:line="360" w:lineRule="auto"/>
        <w:ind w:left="426" w:hanging="426"/>
        <w:jc w:val="both"/>
        <w:rPr>
          <w:rFonts w:ascii="Times New Roman" w:hAnsi="Times New Roman" w:cs="Times New Roman"/>
          <w:sz w:val="24"/>
        </w:rPr>
      </w:pPr>
      <w:r>
        <w:rPr>
          <w:rFonts w:ascii="Times New Roman" w:eastAsia="Times New Roman" w:hAnsi="Times New Roman" w:cs="Times New Roman"/>
          <w:sz w:val="24"/>
          <w:szCs w:val="24"/>
          <w:highlight w:val="white"/>
        </w:rPr>
        <w:t xml:space="preserve">Blais, A. &amp; Young, R. (1999). Why do people vote? An experiment in rationality. </w:t>
      </w:r>
      <w:r>
        <w:rPr>
          <w:rFonts w:ascii="Times New Roman" w:eastAsia="Times New Roman" w:hAnsi="Times New Roman" w:cs="Times New Roman"/>
          <w:i/>
          <w:sz w:val="24"/>
          <w:szCs w:val="24"/>
          <w:highlight w:val="white"/>
        </w:rPr>
        <w:t>Public Choice</w:t>
      </w:r>
      <w:r>
        <w:rPr>
          <w:rFonts w:ascii="Times New Roman" w:eastAsia="Times New Roman" w:hAnsi="Times New Roman" w:cs="Times New Roman"/>
          <w:sz w:val="24"/>
          <w:szCs w:val="24"/>
          <w:highlight w:val="white"/>
        </w:rPr>
        <w:t>, 99, 39-55.</w:t>
      </w:r>
    </w:p>
    <w:p w:rsidR="001A4BB9" w:rsidRDefault="001A4BB9" w:rsidP="001A4BB9">
      <w:pPr>
        <w:spacing w:line="360" w:lineRule="auto"/>
        <w:ind w:left="426" w:hanging="426"/>
        <w:rPr>
          <w:rFonts w:ascii="Times New Roman" w:eastAsia="Times New Roman" w:hAnsi="Times New Roman" w:cs="Times New Roman"/>
          <w:sz w:val="24"/>
          <w:szCs w:val="24"/>
        </w:rPr>
      </w:pPr>
      <w:r w:rsidRPr="0013052F">
        <w:rPr>
          <w:rFonts w:ascii="Times New Roman" w:eastAsia="Times New Roman" w:hAnsi="Times New Roman" w:cs="Times New Roman"/>
          <w:sz w:val="24"/>
          <w:szCs w:val="24"/>
        </w:rPr>
        <w:t>Bulmer, M. (1979). Concepts in the analysis of qualitative data. The Soci</w:t>
      </w:r>
      <w:r>
        <w:rPr>
          <w:rFonts w:ascii="Times New Roman" w:eastAsia="Times New Roman" w:hAnsi="Times New Roman" w:cs="Times New Roman"/>
          <w:sz w:val="24"/>
          <w:szCs w:val="24"/>
        </w:rPr>
        <w:t>ological Review, 27(4), 651-677</w:t>
      </w:r>
      <w:r w:rsidRPr="001305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A4BB9" w:rsidRDefault="001A4BB9" w:rsidP="001A4BB9">
      <w:pPr>
        <w:spacing w:line="360" w:lineRule="auto"/>
        <w:ind w:left="426" w:hanging="426"/>
        <w:rPr>
          <w:rFonts w:ascii="Times New Roman" w:eastAsia="Times New Roman" w:hAnsi="Times New Roman" w:cs="Times New Roman"/>
          <w:sz w:val="24"/>
          <w:szCs w:val="24"/>
        </w:rPr>
      </w:pPr>
      <w:r w:rsidRPr="009C3ACC">
        <w:rPr>
          <w:rFonts w:ascii="Times New Roman" w:eastAsia="Times New Roman" w:hAnsi="Times New Roman" w:cs="Times New Roman"/>
          <w:sz w:val="24"/>
          <w:szCs w:val="24"/>
          <w:highlight w:val="white"/>
        </w:rPr>
        <w:t>Doxiadis, C. A. (1968). Ekistics; an introduction to the science of human settlements.</w:t>
      </w:r>
    </w:p>
    <w:p w:rsidR="00933BCD" w:rsidRPr="00933BCD" w:rsidRDefault="00933BCD" w:rsidP="00933BCD">
      <w:pPr>
        <w:spacing w:line="360" w:lineRule="auto"/>
        <w:ind w:left="426" w:hanging="420"/>
        <w:jc w:val="both"/>
      </w:pPr>
      <w:r>
        <w:rPr>
          <w:rFonts w:ascii="Times New Roman" w:eastAsia="Times New Roman" w:hAnsi="Times New Roman" w:cs="Times New Roman"/>
          <w:sz w:val="24"/>
          <w:szCs w:val="24"/>
          <w:highlight w:val="white"/>
        </w:rPr>
        <w:t xml:space="preserve">Galasso, V., &amp; Nannicini, T. (2011). Competing on good politicians. </w:t>
      </w:r>
      <w:r>
        <w:rPr>
          <w:rFonts w:ascii="Times New Roman" w:eastAsia="Times New Roman" w:hAnsi="Times New Roman" w:cs="Times New Roman"/>
          <w:i/>
          <w:sz w:val="24"/>
          <w:szCs w:val="24"/>
          <w:highlight w:val="white"/>
        </w:rPr>
        <w:t>American Political Science Review</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105</w:t>
      </w:r>
      <w:r>
        <w:rPr>
          <w:rFonts w:ascii="Times New Roman" w:eastAsia="Times New Roman" w:hAnsi="Times New Roman" w:cs="Times New Roman"/>
          <w:sz w:val="24"/>
          <w:szCs w:val="24"/>
          <w:highlight w:val="white"/>
        </w:rPr>
        <w:t>(01), 79-99.</w:t>
      </w:r>
    </w:p>
    <w:p w:rsidR="001A4BB9" w:rsidRPr="00064CC3" w:rsidRDefault="001A4BB9" w:rsidP="001A4BB9">
      <w:pPr>
        <w:spacing w:line="360" w:lineRule="auto"/>
        <w:ind w:left="426" w:hanging="426"/>
        <w:rPr>
          <w:rFonts w:ascii="Times New Roman" w:hAnsi="Times New Roman" w:cs="Times New Roman"/>
          <w:sz w:val="24"/>
          <w:szCs w:val="24"/>
        </w:rPr>
      </w:pPr>
      <w:r w:rsidRPr="00294E1E">
        <w:rPr>
          <w:rFonts w:ascii="Times New Roman" w:hAnsi="Times New Roman" w:cs="Times New Roman"/>
          <w:sz w:val="24"/>
          <w:szCs w:val="24"/>
        </w:rPr>
        <w:t>Gordon, S. B., &amp; Segura, G. M. (1997). Cross–National Variation in the Political Sophistication of Individuals: Capability or Choice?. The Journal of Politics, 59(01), 126-147.</w:t>
      </w:r>
    </w:p>
    <w:p w:rsidR="001A4BB9" w:rsidRDefault="001A4BB9" w:rsidP="001A4BB9">
      <w:pPr>
        <w:spacing w:line="360" w:lineRule="auto"/>
        <w:ind w:left="426" w:hanging="426"/>
        <w:rPr>
          <w:rFonts w:ascii="Times New Roman" w:hAnsi="Times New Roman" w:cs="Times New Roman"/>
          <w:sz w:val="24"/>
          <w:szCs w:val="24"/>
        </w:rPr>
      </w:pPr>
      <w:r w:rsidRPr="001A2EFA">
        <w:rPr>
          <w:rFonts w:ascii="Times New Roman" w:hAnsi="Times New Roman" w:cs="Times New Roman"/>
          <w:sz w:val="24"/>
          <w:szCs w:val="24"/>
        </w:rPr>
        <w:t>Hooghe, M., &amp; Pelleriaux, K. (1998). Compulsory voting in Belgium: An application of the Lijphart thesis. Ele</w:t>
      </w:r>
      <w:r>
        <w:rPr>
          <w:rFonts w:ascii="Times New Roman" w:hAnsi="Times New Roman" w:cs="Times New Roman"/>
          <w:sz w:val="24"/>
          <w:szCs w:val="24"/>
        </w:rPr>
        <w:t>ctoral studies, 17(4), 419-424.</w:t>
      </w:r>
    </w:p>
    <w:p w:rsidR="00AE3E99" w:rsidRDefault="00AE3E99" w:rsidP="001A4BB9">
      <w:pPr>
        <w:spacing w:line="360" w:lineRule="auto"/>
        <w:ind w:left="426" w:hanging="426"/>
        <w:rPr>
          <w:rFonts w:ascii="Times New Roman" w:hAnsi="Times New Roman" w:cs="Times New Roman"/>
          <w:sz w:val="24"/>
          <w:szCs w:val="24"/>
        </w:rPr>
      </w:pPr>
      <w:r w:rsidRPr="00AE3E99">
        <w:rPr>
          <w:rFonts w:ascii="Times New Roman" w:hAnsi="Times New Roman" w:cs="Times New Roman"/>
          <w:sz w:val="24"/>
          <w:szCs w:val="24"/>
        </w:rPr>
        <w:t>Irwin, G. (1974). Compulsory Voting Legislation:" Impact on Voter Turnout in the Netherlands". Comparative Political Studies, 7(3), 292.</w:t>
      </w:r>
      <w:r w:rsidR="0040048B">
        <w:rPr>
          <w:rFonts w:ascii="Times New Roman" w:hAnsi="Times New Roman" w:cs="Times New Roman"/>
          <w:sz w:val="24"/>
          <w:szCs w:val="24"/>
        </w:rPr>
        <w:t xml:space="preserve"> </w:t>
      </w:r>
    </w:p>
    <w:p w:rsidR="001A4BB9" w:rsidRPr="00B96197" w:rsidRDefault="001A4BB9" w:rsidP="001A4BB9">
      <w:pPr>
        <w:spacing w:line="360" w:lineRule="auto"/>
        <w:ind w:left="426" w:hanging="426"/>
        <w:rPr>
          <w:rFonts w:ascii="Times New Roman" w:eastAsia="Times New Roman" w:hAnsi="Times New Roman" w:cs="Times New Roman"/>
          <w:color w:val="4F81BD"/>
          <w:sz w:val="24"/>
          <w:szCs w:val="24"/>
          <w:u w:val="single"/>
        </w:rPr>
      </w:pPr>
      <w:r>
        <w:rPr>
          <w:rFonts w:ascii="Times New Roman" w:eastAsia="Times New Roman" w:hAnsi="Times New Roman" w:cs="Times New Roman"/>
          <w:sz w:val="24"/>
          <w:szCs w:val="24"/>
          <w:highlight w:val="white"/>
        </w:rPr>
        <w:t xml:space="preserve">KIESRAAD (2016). </w:t>
      </w:r>
      <w:r>
        <w:rPr>
          <w:rFonts w:ascii="Times New Roman" w:eastAsia="Times New Roman" w:hAnsi="Times New Roman" w:cs="Times New Roman"/>
          <w:i/>
          <w:sz w:val="24"/>
          <w:szCs w:val="24"/>
          <w:highlight w:val="white"/>
        </w:rPr>
        <w:t>Verkiezingsuitslagen Provinciale Staten 1918 - heden</w:t>
      </w:r>
      <w:r>
        <w:rPr>
          <w:rFonts w:ascii="Times New Roman" w:eastAsia="Times New Roman" w:hAnsi="Times New Roman" w:cs="Times New Roman"/>
          <w:sz w:val="24"/>
          <w:szCs w:val="24"/>
          <w:highlight w:val="white"/>
        </w:rPr>
        <w:t xml:space="preserve"> [Databank]. Available from KIESRAAD Website:</w:t>
      </w:r>
      <w:r>
        <w:rPr>
          <w:rFonts w:ascii="Times New Roman" w:eastAsia="Times New Roman" w:hAnsi="Times New Roman" w:cs="Times New Roman"/>
          <w:sz w:val="24"/>
          <w:szCs w:val="24"/>
        </w:rPr>
        <w:t xml:space="preserve"> </w:t>
      </w:r>
      <w:r w:rsidRPr="00B96197">
        <w:rPr>
          <w:rFonts w:ascii="Times New Roman" w:eastAsia="Times New Roman" w:hAnsi="Times New Roman" w:cs="Times New Roman"/>
          <w:color w:val="4F81BD"/>
          <w:sz w:val="24"/>
          <w:szCs w:val="24"/>
          <w:u w:val="single"/>
        </w:rPr>
        <w:t>http://www.verkiezingsuitslagen.nl/Default.aspx</w:t>
      </w:r>
    </w:p>
    <w:p w:rsidR="001A4BB9" w:rsidRDefault="001A4BB9" w:rsidP="001A4BB9">
      <w:pPr>
        <w:spacing w:line="360" w:lineRule="auto"/>
        <w:ind w:left="426" w:hanging="426"/>
        <w:rPr>
          <w:rFonts w:ascii="Times New Roman" w:hAnsi="Times New Roman" w:cs="Times New Roman"/>
          <w:sz w:val="24"/>
        </w:rPr>
      </w:pPr>
      <w:r w:rsidRPr="001566AB">
        <w:rPr>
          <w:rFonts w:ascii="Times New Roman" w:hAnsi="Times New Roman" w:cs="Times New Roman"/>
          <w:sz w:val="24"/>
        </w:rPr>
        <w:t>Knack, S. (1992). Civic norms, social sanctions, and voter turnout. Rationality and Society, 4(2), 133-156.</w:t>
      </w:r>
    </w:p>
    <w:p w:rsidR="001A4BB9" w:rsidRDefault="001A4BB9" w:rsidP="001A4BB9">
      <w:pPr>
        <w:spacing w:line="360" w:lineRule="auto"/>
        <w:ind w:left="426" w:hanging="426"/>
        <w:rPr>
          <w:rFonts w:ascii="Times New Roman" w:hAnsi="Times New Roman" w:cs="Times New Roman"/>
          <w:sz w:val="24"/>
          <w:szCs w:val="24"/>
        </w:rPr>
      </w:pPr>
      <w:r w:rsidRPr="001A2EFA">
        <w:rPr>
          <w:rFonts w:ascii="Times New Roman" w:hAnsi="Times New Roman" w:cs="Times New Roman"/>
          <w:sz w:val="24"/>
          <w:szCs w:val="24"/>
        </w:rPr>
        <w:t>Lijphart, A. (1997), Unequal participation: Democracy’s Unresolved Dilemma. The American Political Science Review, 91</w:t>
      </w:r>
      <w:r>
        <w:rPr>
          <w:rFonts w:ascii="Times New Roman" w:hAnsi="Times New Roman" w:cs="Times New Roman"/>
          <w:sz w:val="24"/>
          <w:szCs w:val="24"/>
        </w:rPr>
        <w:t>(1), 1-14.</w:t>
      </w:r>
    </w:p>
    <w:p w:rsidR="001A4BB9" w:rsidRDefault="001A4BB9" w:rsidP="001A4BB9">
      <w:pPr>
        <w:spacing w:line="360" w:lineRule="auto"/>
        <w:ind w:left="426" w:hanging="426"/>
        <w:rPr>
          <w:rFonts w:ascii="Times New Roman" w:hAnsi="Times New Roman" w:cs="Times New Roman"/>
          <w:sz w:val="24"/>
          <w:szCs w:val="24"/>
        </w:rPr>
      </w:pPr>
      <w:r w:rsidRPr="00DB2E00">
        <w:rPr>
          <w:rFonts w:ascii="Times New Roman" w:hAnsi="Times New Roman" w:cs="Times New Roman"/>
          <w:sz w:val="24"/>
          <w:szCs w:val="24"/>
        </w:rPr>
        <w:t>Mackerras, M., &amp; McAllister, I. (1999). Compulsory voting, party stability and electoral advantage in Australia. Electoral Studies, 18(2), 217-233.</w:t>
      </w:r>
    </w:p>
    <w:p w:rsidR="0040048B" w:rsidRPr="0040048B" w:rsidRDefault="0040048B" w:rsidP="0040048B">
      <w:pPr>
        <w:spacing w:line="360" w:lineRule="auto"/>
        <w:ind w:left="426" w:hanging="420"/>
        <w:jc w:val="both"/>
      </w:pPr>
      <w:r>
        <w:rPr>
          <w:rFonts w:ascii="Times New Roman" w:eastAsia="Times New Roman" w:hAnsi="Times New Roman" w:cs="Times New Roman"/>
          <w:sz w:val="24"/>
          <w:szCs w:val="24"/>
          <w:highlight w:val="white"/>
        </w:rPr>
        <w:t xml:space="preserve">Matsusaka, J. (1995). Explaining voter turnout patterns: An information theory.  </w:t>
      </w:r>
      <w:r>
        <w:rPr>
          <w:rFonts w:ascii="Times New Roman" w:eastAsia="Times New Roman" w:hAnsi="Times New Roman" w:cs="Times New Roman"/>
          <w:i/>
          <w:sz w:val="24"/>
          <w:szCs w:val="24"/>
          <w:highlight w:val="white"/>
        </w:rPr>
        <w:t>Public Choice</w:t>
      </w:r>
      <w:r>
        <w:rPr>
          <w:rFonts w:ascii="Times New Roman" w:eastAsia="Times New Roman" w:hAnsi="Times New Roman" w:cs="Times New Roman"/>
          <w:sz w:val="24"/>
          <w:szCs w:val="24"/>
          <w:highlight w:val="white"/>
        </w:rPr>
        <w:t>, 84, 91-117</w:t>
      </w:r>
    </w:p>
    <w:p w:rsidR="001A4BB9" w:rsidRDefault="001A4BB9" w:rsidP="001A4BB9">
      <w:pPr>
        <w:spacing w:line="360" w:lineRule="auto"/>
        <w:ind w:left="426" w:hanging="426"/>
        <w:rPr>
          <w:rFonts w:ascii="Times New Roman" w:hAnsi="Times New Roman" w:cs="Times New Roman"/>
          <w:sz w:val="24"/>
          <w:szCs w:val="24"/>
        </w:rPr>
      </w:pPr>
      <w:r w:rsidRPr="001A2EFA">
        <w:rPr>
          <w:rFonts w:ascii="Times New Roman" w:hAnsi="Times New Roman" w:cs="Times New Roman"/>
          <w:sz w:val="24"/>
          <w:szCs w:val="24"/>
        </w:rPr>
        <w:t>Matsusaka, J. G., &amp; Palda, F. (1999). Voter turnout: How much can we explain?. Public choice, 98(3-4), 431-446.</w:t>
      </w:r>
    </w:p>
    <w:p w:rsidR="001A4BB9" w:rsidRDefault="001A4BB9" w:rsidP="001A4BB9">
      <w:pPr>
        <w:spacing w:line="360" w:lineRule="auto"/>
        <w:ind w:left="426" w:hanging="426"/>
        <w:rPr>
          <w:rFonts w:ascii="Times New Roman" w:hAnsi="Times New Roman" w:cs="Times New Roman"/>
          <w:sz w:val="24"/>
          <w:szCs w:val="24"/>
        </w:rPr>
      </w:pPr>
      <w:r w:rsidRPr="00BF752C">
        <w:rPr>
          <w:rFonts w:ascii="Times New Roman" w:hAnsi="Times New Roman" w:cs="Times New Roman"/>
          <w:sz w:val="24"/>
          <w:szCs w:val="24"/>
        </w:rPr>
        <w:lastRenderedPageBreak/>
        <w:t>McAllister, I., &amp; Mughan, A. (1986). Differential turnout and party advantage in British general elections, 1964–83. Electoral Studies, 5(2), 143-152.</w:t>
      </w:r>
      <w:r>
        <w:rPr>
          <w:rFonts w:ascii="Times New Roman" w:hAnsi="Times New Roman" w:cs="Times New Roman"/>
          <w:sz w:val="24"/>
          <w:szCs w:val="24"/>
        </w:rPr>
        <w:t xml:space="preserve"> </w:t>
      </w:r>
    </w:p>
    <w:p w:rsidR="001A4BB9" w:rsidRDefault="001A4BB9" w:rsidP="001A4BB9">
      <w:p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Netherlands Institute for Multiparty Democracy (2008). </w:t>
      </w:r>
      <w:r>
        <w:rPr>
          <w:rFonts w:ascii="Times New Roman" w:hAnsi="Times New Roman" w:cs="Times New Roman"/>
          <w:i/>
          <w:sz w:val="24"/>
          <w:szCs w:val="24"/>
        </w:rPr>
        <w:t xml:space="preserve">The Dutch Political System in a Nutshell. </w:t>
      </w:r>
      <w:r>
        <w:rPr>
          <w:rFonts w:ascii="Times New Roman" w:hAnsi="Times New Roman" w:cs="Times New Roman"/>
          <w:sz w:val="24"/>
          <w:szCs w:val="24"/>
        </w:rPr>
        <w:t xml:space="preserve">Retrieved from: </w:t>
      </w:r>
      <w:hyperlink r:id="rId10" w:history="1">
        <w:r w:rsidRPr="00AB164F">
          <w:rPr>
            <w:rStyle w:val="Hyperlink"/>
            <w:rFonts w:ascii="Times New Roman" w:hAnsi="Times New Roman" w:cs="Times New Roman"/>
            <w:sz w:val="24"/>
            <w:szCs w:val="24"/>
          </w:rPr>
          <w:t>http://nimd.org/wp-content/uploads/2015/02/Dutch-Political-System.pdf</w:t>
        </w:r>
      </w:hyperlink>
    </w:p>
    <w:p w:rsidR="001A4BB9" w:rsidRDefault="001A4BB9" w:rsidP="001A4BB9">
      <w:pPr>
        <w:spacing w:line="360" w:lineRule="auto"/>
        <w:ind w:left="426" w:hanging="426"/>
        <w:rPr>
          <w:rFonts w:ascii="Times New Roman" w:hAnsi="Times New Roman" w:cs="Times New Roman"/>
          <w:sz w:val="24"/>
          <w:szCs w:val="24"/>
        </w:rPr>
      </w:pPr>
      <w:r w:rsidRPr="00BF752C">
        <w:rPr>
          <w:rFonts w:ascii="Times New Roman" w:hAnsi="Times New Roman" w:cs="Times New Roman"/>
          <w:sz w:val="24"/>
          <w:szCs w:val="24"/>
        </w:rPr>
        <w:t>Pacek, A., &amp; Radcliff, B. (1995). Turnout and the vote for left-of-centre parties: a cross-national analysis. British Journal of Political Science, 25(01), 137-143.</w:t>
      </w:r>
      <w:r w:rsidR="00C22AA2">
        <w:rPr>
          <w:rFonts w:ascii="Times New Roman" w:hAnsi="Times New Roman" w:cs="Times New Roman"/>
          <w:sz w:val="24"/>
          <w:szCs w:val="24"/>
        </w:rPr>
        <w:t xml:space="preserve"> </w:t>
      </w:r>
    </w:p>
    <w:p w:rsidR="001A4BB9" w:rsidRPr="001A2EFA" w:rsidRDefault="001A4BB9" w:rsidP="001A4BB9">
      <w:pPr>
        <w:spacing w:line="360" w:lineRule="auto"/>
        <w:ind w:left="426" w:hanging="426"/>
        <w:rPr>
          <w:rFonts w:ascii="Times New Roman" w:hAnsi="Times New Roman" w:cs="Times New Roman"/>
          <w:sz w:val="24"/>
          <w:szCs w:val="24"/>
        </w:rPr>
      </w:pPr>
      <w:r w:rsidRPr="001A2EFA">
        <w:rPr>
          <w:rFonts w:ascii="Times New Roman" w:hAnsi="Times New Roman" w:cs="Times New Roman"/>
          <w:sz w:val="24"/>
          <w:szCs w:val="24"/>
        </w:rPr>
        <w:t xml:space="preserve">Pintor, R.L. and Gratschew, M. (2004). Voter Turnout in Western Europe since 1945: A Regional Report. Retrieved from International Institute for Democracy and Electoral Assistance: </w:t>
      </w:r>
      <w:hyperlink r:id="rId11" w:history="1">
        <w:r w:rsidRPr="001A2EFA">
          <w:rPr>
            <w:rStyle w:val="Hyperlink"/>
            <w:rFonts w:ascii="Times New Roman" w:hAnsi="Times New Roman" w:cs="Times New Roman"/>
            <w:sz w:val="24"/>
            <w:szCs w:val="24"/>
          </w:rPr>
          <w:t>http://www.idea.int/publications/voter_turnout_weurope/index.cfm</w:t>
        </w:r>
      </w:hyperlink>
    </w:p>
    <w:p w:rsidR="001A4BB9" w:rsidRDefault="001A4BB9" w:rsidP="001A4BB9">
      <w:pPr>
        <w:spacing w:line="360" w:lineRule="auto"/>
        <w:ind w:left="426" w:hanging="426"/>
        <w:rPr>
          <w:rStyle w:val="Hyperlink"/>
          <w:rFonts w:ascii="Times New Roman" w:hAnsi="Times New Roman" w:cs="Times New Roman"/>
          <w:sz w:val="24"/>
          <w:szCs w:val="24"/>
        </w:rPr>
      </w:pPr>
      <w:r w:rsidRPr="001A2EFA">
        <w:rPr>
          <w:rFonts w:ascii="Times New Roman" w:hAnsi="Times New Roman" w:cs="Times New Roman"/>
          <w:sz w:val="24"/>
          <w:szCs w:val="24"/>
        </w:rPr>
        <w:t xml:space="preserve">Rosenstone, S. J. (1982). Economic Adversity and Voter Turnout. American Journal of Political Science, 26(1), 25–46. </w:t>
      </w:r>
      <w:hyperlink r:id="rId12" w:history="1">
        <w:r w:rsidRPr="001A2EFA">
          <w:rPr>
            <w:rStyle w:val="Hyperlink"/>
            <w:rFonts w:ascii="Times New Roman" w:hAnsi="Times New Roman" w:cs="Times New Roman"/>
            <w:sz w:val="24"/>
            <w:szCs w:val="24"/>
          </w:rPr>
          <w:t>http://doi.org/10.2307/2110837</w:t>
        </w:r>
      </w:hyperlink>
      <w:r>
        <w:rPr>
          <w:rStyle w:val="Hyperlink"/>
          <w:rFonts w:ascii="Times New Roman" w:hAnsi="Times New Roman" w:cs="Times New Roman"/>
          <w:sz w:val="24"/>
          <w:szCs w:val="24"/>
        </w:rPr>
        <w:t>.</w:t>
      </w:r>
    </w:p>
    <w:p w:rsidR="001A4BB9" w:rsidRDefault="001A4BB9" w:rsidP="001A4BB9">
      <w:pPr>
        <w:spacing w:line="360" w:lineRule="auto"/>
        <w:ind w:left="426" w:hanging="426"/>
        <w:rPr>
          <w:rFonts w:ascii="Times New Roman" w:hAnsi="Times New Roman" w:cs="Times New Roman"/>
          <w:sz w:val="24"/>
          <w:szCs w:val="24"/>
        </w:rPr>
      </w:pPr>
      <w:r w:rsidRPr="001A2EFA">
        <w:rPr>
          <w:rFonts w:ascii="Times New Roman" w:hAnsi="Times New Roman" w:cs="Times New Roman"/>
          <w:sz w:val="24"/>
          <w:szCs w:val="24"/>
        </w:rPr>
        <w:t>Shineman, V. (2012). Isolating the Effect of Compulsory Voting Laws on Political Sophistication: Exploiting Intra-National Variation in Mandatory Voting Laws Between the Austrian Provinces. Available at SSRN 2147871.</w:t>
      </w:r>
    </w:p>
    <w:p w:rsidR="00933BCD" w:rsidRDefault="00933BCD" w:rsidP="00933BCD">
      <w:pPr>
        <w:spacing w:line="360" w:lineRule="auto"/>
        <w:ind w:left="426"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Stigler, G. J. (1972). Economic competition and political competition. </w:t>
      </w:r>
      <w:r>
        <w:rPr>
          <w:rFonts w:ascii="Times New Roman" w:eastAsia="Times New Roman" w:hAnsi="Times New Roman" w:cs="Times New Roman"/>
          <w:i/>
          <w:sz w:val="24"/>
          <w:szCs w:val="24"/>
          <w:highlight w:val="white"/>
        </w:rPr>
        <w:t>Public Choice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13</w:t>
      </w:r>
      <w:r>
        <w:rPr>
          <w:rFonts w:ascii="Times New Roman" w:eastAsia="Times New Roman" w:hAnsi="Times New Roman" w:cs="Times New Roman"/>
          <w:sz w:val="24"/>
          <w:szCs w:val="24"/>
          <w:highlight w:val="white"/>
        </w:rPr>
        <w:t>(1), 91-106.</w:t>
      </w:r>
    </w:p>
    <w:p w:rsidR="00B110AC" w:rsidRDefault="00B110AC" w:rsidP="00933BCD">
      <w:pPr>
        <w:spacing w:line="360" w:lineRule="auto"/>
        <w:ind w:left="426" w:hanging="420"/>
        <w:jc w:val="both"/>
      </w:pPr>
      <w:r>
        <w:rPr>
          <w:rFonts w:ascii="Times New Roman" w:eastAsia="Times New Roman" w:hAnsi="Times New Roman" w:cs="Times New Roman"/>
          <w:sz w:val="24"/>
          <w:szCs w:val="24"/>
        </w:rPr>
        <w:t>“World Factbook: Suffrage”. Central Intelligence Agency. Retrieved 16</w:t>
      </w:r>
      <w:r w:rsidRPr="00B110A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August 2013 at </w:t>
      </w:r>
      <w:r w:rsidRPr="00B110AC">
        <w:rPr>
          <w:rFonts w:ascii="Times New Roman" w:eastAsia="Times New Roman" w:hAnsi="Times New Roman" w:cs="Times New Roman"/>
          <w:sz w:val="24"/>
          <w:szCs w:val="24"/>
        </w:rPr>
        <w:t>https://www.cia.gov/library/publications/the-world-f</w:t>
      </w:r>
      <w:r>
        <w:rPr>
          <w:rFonts w:ascii="Times New Roman" w:eastAsia="Times New Roman" w:hAnsi="Times New Roman" w:cs="Times New Roman"/>
          <w:sz w:val="24"/>
          <w:szCs w:val="24"/>
        </w:rPr>
        <w:t>actbook/fields/2123.html</w:t>
      </w:r>
    </w:p>
    <w:p w:rsidR="00723A1C" w:rsidRPr="00563E0B" w:rsidRDefault="0075054A" w:rsidP="001A4BB9">
      <w:pPr>
        <w:ind w:left="426" w:hanging="426"/>
        <w:rPr>
          <w:rFonts w:ascii="Times New Roman" w:hAnsi="Times New Roman" w:cs="Times New Roman"/>
          <w:b/>
          <w:sz w:val="28"/>
        </w:rPr>
      </w:pPr>
      <w:r w:rsidRPr="00563E0B">
        <w:rPr>
          <w:rFonts w:ascii="Times New Roman" w:hAnsi="Times New Roman" w:cs="Times New Roman"/>
          <w:b/>
          <w:sz w:val="28"/>
        </w:rPr>
        <w:t xml:space="preserve">Appendix </w:t>
      </w:r>
    </w:p>
    <w:p w:rsidR="0075054A" w:rsidRPr="00F60175" w:rsidRDefault="00F60175" w:rsidP="00F60175">
      <w:pPr>
        <w:rPr>
          <w:rFonts w:ascii="Times New Roman" w:eastAsia="Times New Roman" w:hAnsi="Times New Roman" w:cs="Times New Roman"/>
          <w:sz w:val="24"/>
          <w:szCs w:val="24"/>
        </w:rPr>
      </w:pPr>
      <w:r w:rsidRPr="00F60175">
        <w:rPr>
          <w:rFonts w:ascii="Times New Roman" w:eastAsia="Times New Roman" w:hAnsi="Times New Roman" w:cs="Times New Roman"/>
          <w:b/>
          <w:sz w:val="24"/>
          <w:szCs w:val="24"/>
          <w:highlight w:val="white"/>
          <w:u w:val="single"/>
        </w:rPr>
        <w:t xml:space="preserve">Table </w:t>
      </w:r>
      <w:r w:rsidR="00EE4241">
        <w:rPr>
          <w:rFonts w:ascii="Times New Roman" w:eastAsia="Times New Roman" w:hAnsi="Times New Roman" w:cs="Times New Roman"/>
          <w:b/>
          <w:sz w:val="24"/>
          <w:szCs w:val="24"/>
          <w:highlight w:val="white"/>
          <w:u w:val="single"/>
        </w:rPr>
        <w:t>A</w:t>
      </w:r>
      <w:r w:rsidR="009E3C2B">
        <w:rPr>
          <w:rFonts w:ascii="Times New Roman" w:eastAsia="Times New Roman" w:hAnsi="Times New Roman" w:cs="Times New Roman"/>
          <w:b/>
          <w:sz w:val="24"/>
          <w:szCs w:val="24"/>
          <w:highlight w:val="white"/>
          <w:u w:val="single"/>
        </w:rPr>
        <w:t>.</w:t>
      </w:r>
      <w:r w:rsidR="00EE4241" w:rsidRPr="00F60175">
        <w:rPr>
          <w:rFonts w:ascii="Times New Roman" w:eastAsia="Times New Roman" w:hAnsi="Times New Roman" w:cs="Times New Roman"/>
          <w:b/>
          <w:sz w:val="24"/>
          <w:szCs w:val="24"/>
          <w:highlight w:val="white"/>
          <w:u w:val="single"/>
        </w:rPr>
        <w:t>1</w:t>
      </w:r>
      <w:r w:rsidR="00EE4241">
        <w:rPr>
          <w:rFonts w:ascii="Times New Roman" w:eastAsia="Times New Roman" w:hAnsi="Times New Roman" w:cs="Times New Roman"/>
          <w:b/>
          <w:sz w:val="24"/>
          <w:szCs w:val="24"/>
          <w:highlight w:val="white"/>
          <w:u w:val="single"/>
        </w:rPr>
        <w:t>.1:</w:t>
      </w:r>
      <w:r>
        <w:rPr>
          <w:rFonts w:ascii="Times New Roman" w:eastAsia="Times New Roman" w:hAnsi="Times New Roman" w:cs="Times New Roman"/>
          <w:sz w:val="24"/>
          <w:szCs w:val="24"/>
          <w:highlight w:val="white"/>
        </w:rPr>
        <w:t xml:space="preserve"> </w:t>
      </w:r>
      <w:r w:rsidR="00933BCD" w:rsidRPr="00F60175">
        <w:rPr>
          <w:rFonts w:ascii="Times New Roman" w:eastAsia="Times New Roman" w:hAnsi="Times New Roman" w:cs="Times New Roman"/>
          <w:sz w:val="24"/>
          <w:szCs w:val="24"/>
          <w:highlight w:val="white"/>
        </w:rPr>
        <w:t xml:space="preserve">Doxiadis, C. A. (1968) – adapted </w:t>
      </w:r>
      <w:r w:rsidR="00933BCD" w:rsidRPr="00F60175">
        <w:rPr>
          <w:rFonts w:ascii="Times New Roman" w:eastAsia="Times New Roman" w:hAnsi="Times New Roman" w:cs="Times New Roman"/>
          <w:sz w:val="24"/>
          <w:szCs w:val="24"/>
        </w:rPr>
        <w:t>settlement hierarchy for modern standards:</w:t>
      </w:r>
    </w:p>
    <w:tbl>
      <w:tblPr>
        <w:tblW w:w="4950" w:type="dxa"/>
        <w:jc w:val="center"/>
        <w:tblLook w:val="04A0" w:firstRow="1" w:lastRow="0" w:firstColumn="1" w:lastColumn="0" w:noHBand="0" w:noVBand="1"/>
      </w:tblPr>
      <w:tblGrid>
        <w:gridCol w:w="1140"/>
        <w:gridCol w:w="437"/>
        <w:gridCol w:w="1831"/>
        <w:gridCol w:w="1542"/>
      </w:tblGrid>
      <w:tr w:rsidR="00933BCD" w:rsidRPr="00A65E68" w:rsidTr="00CC3FE9">
        <w:trPr>
          <w:trHeight w:val="700"/>
          <w:jc w:val="center"/>
        </w:trPr>
        <w:tc>
          <w:tcPr>
            <w:tcW w:w="1140" w:type="dxa"/>
            <w:tcBorders>
              <w:top w:val="single" w:sz="4" w:space="0" w:color="4F81BD"/>
              <w:left w:val="nil"/>
              <w:bottom w:val="single" w:sz="4" w:space="0" w:color="4F81BD"/>
              <w:right w:val="nil"/>
            </w:tcBorders>
            <w:shd w:val="clear" w:color="000000" w:fill="FFFFFF"/>
            <w:noWrap/>
            <w:vAlign w:val="center"/>
            <w:hideMark/>
          </w:tcPr>
          <w:p w:rsidR="00933BCD" w:rsidRPr="00A65E68" w:rsidRDefault="00933BCD" w:rsidP="00933BCD">
            <w:pPr>
              <w:spacing w:after="0" w:line="240" w:lineRule="auto"/>
              <w:jc w:val="center"/>
              <w:rPr>
                <w:rFonts w:ascii="Calibri" w:eastAsia="Times New Roman" w:hAnsi="Calibri" w:cs="Times New Roman"/>
                <w:b/>
                <w:bCs/>
                <w:color w:val="0D0D0D" w:themeColor="text1" w:themeTint="F2"/>
                <w:sz w:val="20"/>
                <w:lang w:eastAsia="en-GB"/>
              </w:rPr>
            </w:pPr>
            <w:r>
              <w:rPr>
                <w:rFonts w:ascii="Calibri" w:eastAsia="Times New Roman" w:hAnsi="Calibri" w:cs="Times New Roman"/>
                <w:b/>
                <w:bCs/>
                <w:color w:val="0D0D0D" w:themeColor="text1" w:themeTint="F2"/>
                <w:sz w:val="20"/>
                <w:lang w:eastAsia="en-GB"/>
              </w:rPr>
              <w:t>Settlement Type</w:t>
            </w:r>
          </w:p>
        </w:tc>
        <w:tc>
          <w:tcPr>
            <w:tcW w:w="2268" w:type="dxa"/>
            <w:gridSpan w:val="2"/>
            <w:tcBorders>
              <w:top w:val="single" w:sz="4" w:space="0" w:color="4F81BD"/>
              <w:left w:val="nil"/>
              <w:bottom w:val="single" w:sz="4" w:space="0" w:color="4F81BD"/>
              <w:right w:val="nil"/>
            </w:tcBorders>
            <w:shd w:val="clear" w:color="000000" w:fill="FFFFFF"/>
            <w:noWrap/>
            <w:vAlign w:val="center"/>
            <w:hideMark/>
          </w:tcPr>
          <w:p w:rsidR="00933BCD" w:rsidRPr="00A65E68" w:rsidRDefault="00933BCD" w:rsidP="00650667">
            <w:pPr>
              <w:spacing w:after="0" w:line="240" w:lineRule="auto"/>
              <w:jc w:val="center"/>
              <w:rPr>
                <w:rFonts w:ascii="Calibri" w:eastAsia="Times New Roman" w:hAnsi="Calibri" w:cs="Times New Roman"/>
                <w:b/>
                <w:bCs/>
                <w:color w:val="0D0D0D" w:themeColor="text1" w:themeTint="F2"/>
                <w:sz w:val="20"/>
                <w:lang w:eastAsia="en-GB"/>
              </w:rPr>
            </w:pPr>
            <w:r>
              <w:rPr>
                <w:rFonts w:ascii="Calibri" w:eastAsia="Times New Roman" w:hAnsi="Calibri" w:cs="Times New Roman"/>
                <w:b/>
                <w:bCs/>
                <w:color w:val="0D0D0D" w:themeColor="text1" w:themeTint="F2"/>
                <w:sz w:val="20"/>
                <w:lang w:eastAsia="en-GB"/>
              </w:rPr>
              <w:t>Code</w:t>
            </w:r>
          </w:p>
        </w:tc>
        <w:tc>
          <w:tcPr>
            <w:tcW w:w="1542" w:type="dxa"/>
            <w:tcBorders>
              <w:top w:val="single" w:sz="4" w:space="0" w:color="4F81BD"/>
              <w:left w:val="nil"/>
              <w:bottom w:val="single" w:sz="4" w:space="0" w:color="4F81BD"/>
              <w:right w:val="nil"/>
            </w:tcBorders>
            <w:shd w:val="clear" w:color="000000" w:fill="FFFFFF"/>
            <w:vAlign w:val="center"/>
          </w:tcPr>
          <w:p w:rsidR="00933BCD" w:rsidRPr="00A65E68" w:rsidRDefault="00933BCD" w:rsidP="00650667">
            <w:pPr>
              <w:spacing w:after="0" w:line="240" w:lineRule="auto"/>
              <w:jc w:val="center"/>
              <w:rPr>
                <w:rFonts w:ascii="Calibri" w:eastAsia="Times New Roman" w:hAnsi="Calibri" w:cs="Times New Roman"/>
                <w:b/>
                <w:bCs/>
                <w:color w:val="0D0D0D" w:themeColor="text1" w:themeTint="F2"/>
                <w:sz w:val="20"/>
                <w:lang w:eastAsia="en-GB"/>
              </w:rPr>
            </w:pPr>
            <w:r>
              <w:rPr>
                <w:rFonts w:ascii="Calibri" w:eastAsia="Times New Roman" w:hAnsi="Calibri" w:cs="Times New Roman"/>
                <w:b/>
                <w:bCs/>
                <w:color w:val="0D0D0D" w:themeColor="text1" w:themeTint="F2"/>
                <w:sz w:val="20"/>
                <w:lang w:eastAsia="en-GB"/>
              </w:rPr>
              <w:t>Number of People</w:t>
            </w:r>
          </w:p>
        </w:tc>
      </w:tr>
      <w:tr w:rsidR="00933BCD" w:rsidRPr="00A65E68" w:rsidTr="00CC3FE9">
        <w:trPr>
          <w:trHeight w:val="300"/>
          <w:jc w:val="center"/>
        </w:trPr>
        <w:tc>
          <w:tcPr>
            <w:tcW w:w="1577" w:type="dxa"/>
            <w:gridSpan w:val="2"/>
            <w:tcBorders>
              <w:top w:val="nil"/>
              <w:left w:val="nil"/>
              <w:bottom w:val="nil"/>
              <w:right w:val="nil"/>
            </w:tcBorders>
            <w:shd w:val="clear" w:color="000000" w:fill="FFFFFF"/>
            <w:noWrap/>
            <w:vAlign w:val="bottom"/>
          </w:tcPr>
          <w:p w:rsidR="00933BCD" w:rsidRPr="001A0F5F" w:rsidRDefault="001A0F5F" w:rsidP="00650667">
            <w:pPr>
              <w:spacing w:after="0" w:line="240" w:lineRule="auto"/>
              <w:rPr>
                <w:rFonts w:ascii="Calibri" w:eastAsia="Times New Roman" w:hAnsi="Calibri" w:cs="Times New Roman"/>
                <w:iCs/>
                <w:color w:val="0D0D0D" w:themeColor="text1" w:themeTint="F2"/>
                <w:lang w:eastAsia="en-GB"/>
              </w:rPr>
            </w:pPr>
            <w:r w:rsidRPr="001A0F5F">
              <w:rPr>
                <w:rFonts w:ascii="Calibri" w:eastAsia="Times New Roman" w:hAnsi="Calibri" w:cs="Times New Roman"/>
                <w:iCs/>
                <w:color w:val="0D0D0D" w:themeColor="text1" w:themeTint="F2"/>
                <w:lang w:eastAsia="en-GB"/>
              </w:rPr>
              <w:t>Hamlet</w:t>
            </w:r>
          </w:p>
        </w:tc>
        <w:tc>
          <w:tcPr>
            <w:tcW w:w="1831" w:type="dxa"/>
            <w:tcBorders>
              <w:top w:val="nil"/>
              <w:left w:val="nil"/>
              <w:bottom w:val="nil"/>
              <w:right w:val="nil"/>
            </w:tcBorders>
            <w:shd w:val="clear" w:color="000000" w:fill="FFFFFF"/>
            <w:noWrap/>
            <w:vAlign w:val="bottom"/>
          </w:tcPr>
          <w:p w:rsidR="00933BCD" w:rsidRPr="001A0F5F" w:rsidRDefault="001A0F5F" w:rsidP="00650667">
            <w:pPr>
              <w:spacing w:after="0" w:line="240" w:lineRule="auto"/>
              <w:jc w:val="right"/>
              <w:rPr>
                <w:rFonts w:ascii="Calibri" w:eastAsia="Times New Roman" w:hAnsi="Calibri" w:cs="Times New Roman"/>
                <w:i/>
                <w:color w:val="0D0D0D" w:themeColor="text1" w:themeTint="F2"/>
                <w:lang w:eastAsia="en-GB"/>
              </w:rPr>
            </w:pPr>
            <w:r w:rsidRPr="001A0F5F">
              <w:rPr>
                <w:rFonts w:ascii="Calibri" w:eastAsia="Times New Roman" w:hAnsi="Calibri" w:cs="Times New Roman"/>
                <w:i/>
                <w:color w:val="0D0D0D" w:themeColor="text1" w:themeTint="F2"/>
                <w:lang w:eastAsia="en-GB"/>
              </w:rPr>
              <w:t>HA</w:t>
            </w:r>
          </w:p>
        </w:tc>
        <w:tc>
          <w:tcPr>
            <w:tcW w:w="1542" w:type="dxa"/>
            <w:tcBorders>
              <w:top w:val="nil"/>
              <w:left w:val="nil"/>
              <w:bottom w:val="nil"/>
              <w:right w:val="nil"/>
            </w:tcBorders>
            <w:shd w:val="clear" w:color="000000" w:fill="FFFFFF"/>
          </w:tcPr>
          <w:p w:rsidR="00933BCD" w:rsidRPr="00A65E68" w:rsidRDefault="001A0F5F" w:rsidP="0065066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&lt; 100</w:t>
            </w:r>
          </w:p>
        </w:tc>
      </w:tr>
      <w:tr w:rsidR="00933BCD" w:rsidRPr="00A65E68" w:rsidTr="00CC3FE9">
        <w:trPr>
          <w:trHeight w:val="300"/>
          <w:jc w:val="center"/>
        </w:trPr>
        <w:tc>
          <w:tcPr>
            <w:tcW w:w="1577" w:type="dxa"/>
            <w:gridSpan w:val="2"/>
            <w:tcBorders>
              <w:top w:val="nil"/>
              <w:left w:val="nil"/>
              <w:bottom w:val="nil"/>
              <w:right w:val="nil"/>
            </w:tcBorders>
            <w:shd w:val="clear" w:color="000000" w:fill="FFFFFF"/>
            <w:noWrap/>
            <w:vAlign w:val="bottom"/>
          </w:tcPr>
          <w:p w:rsidR="00933BCD" w:rsidRPr="001A0F5F" w:rsidRDefault="001A0F5F" w:rsidP="00650667">
            <w:pPr>
              <w:spacing w:after="0" w:line="240" w:lineRule="auto"/>
              <w:rPr>
                <w:rFonts w:ascii="Calibri" w:eastAsia="Times New Roman" w:hAnsi="Calibri" w:cs="Times New Roman"/>
                <w:iCs/>
                <w:color w:val="0D0D0D" w:themeColor="text1" w:themeTint="F2"/>
                <w:lang w:eastAsia="en-GB"/>
              </w:rPr>
            </w:pPr>
            <w:r w:rsidRPr="001A0F5F">
              <w:rPr>
                <w:rFonts w:ascii="Calibri" w:eastAsia="Times New Roman" w:hAnsi="Calibri" w:cs="Times New Roman"/>
                <w:iCs/>
                <w:color w:val="0D0D0D" w:themeColor="text1" w:themeTint="F2"/>
                <w:lang w:eastAsia="en-GB"/>
              </w:rPr>
              <w:t>Village</w:t>
            </w:r>
          </w:p>
        </w:tc>
        <w:tc>
          <w:tcPr>
            <w:tcW w:w="1831" w:type="dxa"/>
            <w:tcBorders>
              <w:top w:val="nil"/>
              <w:left w:val="nil"/>
              <w:bottom w:val="nil"/>
              <w:right w:val="nil"/>
            </w:tcBorders>
            <w:shd w:val="clear" w:color="000000" w:fill="FFFFFF"/>
            <w:noWrap/>
            <w:vAlign w:val="bottom"/>
          </w:tcPr>
          <w:p w:rsidR="00933BCD" w:rsidRPr="001A0F5F" w:rsidRDefault="001A0F5F" w:rsidP="00650667">
            <w:pPr>
              <w:spacing w:after="0" w:line="240" w:lineRule="auto"/>
              <w:jc w:val="right"/>
              <w:rPr>
                <w:rFonts w:ascii="Calibri" w:eastAsia="Times New Roman" w:hAnsi="Calibri" w:cs="Times New Roman"/>
                <w:i/>
                <w:color w:val="0D0D0D" w:themeColor="text1" w:themeTint="F2"/>
                <w:lang w:eastAsia="en-GB"/>
              </w:rPr>
            </w:pPr>
            <w:r w:rsidRPr="001A0F5F">
              <w:rPr>
                <w:rFonts w:ascii="Calibri" w:eastAsia="Times New Roman" w:hAnsi="Calibri" w:cs="Times New Roman"/>
                <w:i/>
                <w:color w:val="0D0D0D" w:themeColor="text1" w:themeTint="F2"/>
                <w:lang w:eastAsia="en-GB"/>
              </w:rPr>
              <w:t>VI</w:t>
            </w:r>
          </w:p>
        </w:tc>
        <w:tc>
          <w:tcPr>
            <w:tcW w:w="1542" w:type="dxa"/>
            <w:tcBorders>
              <w:top w:val="nil"/>
              <w:left w:val="nil"/>
              <w:bottom w:val="nil"/>
              <w:right w:val="nil"/>
            </w:tcBorders>
            <w:shd w:val="clear" w:color="000000" w:fill="FFFFFF"/>
          </w:tcPr>
          <w:p w:rsidR="00933BCD" w:rsidRPr="00A65E68" w:rsidRDefault="001A0F5F" w:rsidP="0065066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&lt; 1,000</w:t>
            </w:r>
          </w:p>
        </w:tc>
      </w:tr>
      <w:tr w:rsidR="001A0F5F" w:rsidRPr="00A65E68" w:rsidTr="00CC3FE9">
        <w:trPr>
          <w:trHeight w:val="300"/>
          <w:jc w:val="center"/>
        </w:trPr>
        <w:tc>
          <w:tcPr>
            <w:tcW w:w="1577" w:type="dxa"/>
            <w:gridSpan w:val="2"/>
            <w:tcBorders>
              <w:top w:val="nil"/>
              <w:left w:val="nil"/>
              <w:bottom w:val="nil"/>
              <w:right w:val="nil"/>
            </w:tcBorders>
            <w:shd w:val="clear" w:color="000000" w:fill="FFFFFF"/>
            <w:noWrap/>
            <w:vAlign w:val="bottom"/>
          </w:tcPr>
          <w:p w:rsidR="001A0F5F" w:rsidRPr="001A0F5F" w:rsidRDefault="001A0F5F" w:rsidP="00650667">
            <w:pPr>
              <w:spacing w:after="0" w:line="240" w:lineRule="auto"/>
              <w:rPr>
                <w:rFonts w:ascii="Calibri" w:eastAsia="Times New Roman" w:hAnsi="Calibri" w:cs="Times New Roman"/>
                <w:iCs/>
                <w:color w:val="0D0D0D" w:themeColor="text1" w:themeTint="F2"/>
                <w:lang w:eastAsia="en-GB"/>
              </w:rPr>
            </w:pPr>
            <w:r w:rsidRPr="001A0F5F">
              <w:rPr>
                <w:rFonts w:ascii="Calibri" w:eastAsia="Times New Roman" w:hAnsi="Calibri" w:cs="Times New Roman"/>
                <w:iCs/>
                <w:color w:val="0D0D0D" w:themeColor="text1" w:themeTint="F2"/>
                <w:lang w:eastAsia="en-GB"/>
              </w:rPr>
              <w:t>Town</w:t>
            </w:r>
          </w:p>
        </w:tc>
        <w:tc>
          <w:tcPr>
            <w:tcW w:w="1831" w:type="dxa"/>
            <w:tcBorders>
              <w:top w:val="nil"/>
              <w:left w:val="nil"/>
              <w:bottom w:val="nil"/>
              <w:right w:val="nil"/>
            </w:tcBorders>
            <w:shd w:val="clear" w:color="000000" w:fill="FFFFFF"/>
            <w:noWrap/>
            <w:vAlign w:val="bottom"/>
          </w:tcPr>
          <w:p w:rsidR="001A0F5F" w:rsidRPr="001A0F5F" w:rsidRDefault="001A0F5F" w:rsidP="00650667">
            <w:pPr>
              <w:spacing w:after="0" w:line="240" w:lineRule="auto"/>
              <w:jc w:val="right"/>
              <w:rPr>
                <w:rFonts w:ascii="Calibri" w:eastAsia="Times New Roman" w:hAnsi="Calibri" w:cs="Times New Roman"/>
                <w:i/>
                <w:color w:val="0D0D0D" w:themeColor="text1" w:themeTint="F2"/>
                <w:lang w:eastAsia="en-GB"/>
              </w:rPr>
            </w:pPr>
            <w:r w:rsidRPr="001A0F5F">
              <w:rPr>
                <w:rFonts w:ascii="Calibri" w:eastAsia="Times New Roman" w:hAnsi="Calibri" w:cs="Times New Roman"/>
                <w:i/>
                <w:color w:val="0D0D0D" w:themeColor="text1" w:themeTint="F2"/>
                <w:lang w:eastAsia="en-GB"/>
              </w:rPr>
              <w:t>TO</w:t>
            </w:r>
          </w:p>
        </w:tc>
        <w:tc>
          <w:tcPr>
            <w:tcW w:w="1542" w:type="dxa"/>
            <w:tcBorders>
              <w:top w:val="nil"/>
              <w:left w:val="nil"/>
              <w:bottom w:val="nil"/>
              <w:right w:val="nil"/>
            </w:tcBorders>
            <w:shd w:val="clear" w:color="000000" w:fill="FFFFFF"/>
          </w:tcPr>
          <w:p w:rsidR="001A0F5F" w:rsidRPr="00A65E68" w:rsidRDefault="001A0F5F" w:rsidP="0065066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&lt; 20,000</w:t>
            </w:r>
          </w:p>
        </w:tc>
      </w:tr>
      <w:tr w:rsidR="001A0F5F" w:rsidRPr="00A65E68" w:rsidTr="00CC3FE9">
        <w:trPr>
          <w:trHeight w:val="300"/>
          <w:jc w:val="center"/>
        </w:trPr>
        <w:tc>
          <w:tcPr>
            <w:tcW w:w="1577" w:type="dxa"/>
            <w:gridSpan w:val="2"/>
            <w:tcBorders>
              <w:top w:val="nil"/>
              <w:left w:val="nil"/>
              <w:bottom w:val="nil"/>
              <w:right w:val="nil"/>
            </w:tcBorders>
            <w:shd w:val="clear" w:color="000000" w:fill="FFFFFF"/>
            <w:noWrap/>
            <w:vAlign w:val="bottom"/>
          </w:tcPr>
          <w:p w:rsidR="001A0F5F" w:rsidRPr="001A0F5F" w:rsidRDefault="001A0F5F" w:rsidP="00650667">
            <w:pPr>
              <w:spacing w:after="0" w:line="240" w:lineRule="auto"/>
              <w:rPr>
                <w:rFonts w:ascii="Calibri" w:eastAsia="Times New Roman" w:hAnsi="Calibri" w:cs="Times New Roman"/>
                <w:iCs/>
                <w:color w:val="0D0D0D" w:themeColor="text1" w:themeTint="F2"/>
                <w:lang w:eastAsia="en-GB"/>
              </w:rPr>
            </w:pPr>
            <w:r w:rsidRPr="001A0F5F">
              <w:rPr>
                <w:rFonts w:ascii="Calibri" w:eastAsia="Times New Roman" w:hAnsi="Calibri" w:cs="Times New Roman"/>
                <w:iCs/>
                <w:color w:val="0D0D0D" w:themeColor="text1" w:themeTint="F2"/>
                <w:lang w:eastAsia="en-GB"/>
              </w:rPr>
              <w:t>Large Town</w:t>
            </w:r>
          </w:p>
        </w:tc>
        <w:tc>
          <w:tcPr>
            <w:tcW w:w="1831" w:type="dxa"/>
            <w:tcBorders>
              <w:top w:val="nil"/>
              <w:left w:val="nil"/>
              <w:bottom w:val="nil"/>
              <w:right w:val="nil"/>
            </w:tcBorders>
            <w:shd w:val="clear" w:color="000000" w:fill="FFFFFF"/>
            <w:noWrap/>
            <w:vAlign w:val="bottom"/>
          </w:tcPr>
          <w:p w:rsidR="001A0F5F" w:rsidRPr="001A0F5F" w:rsidRDefault="001A0F5F" w:rsidP="00650667">
            <w:pPr>
              <w:spacing w:after="0" w:line="240" w:lineRule="auto"/>
              <w:jc w:val="right"/>
              <w:rPr>
                <w:rFonts w:ascii="Calibri" w:eastAsia="Times New Roman" w:hAnsi="Calibri" w:cs="Times New Roman"/>
                <w:i/>
                <w:color w:val="0D0D0D" w:themeColor="text1" w:themeTint="F2"/>
                <w:lang w:eastAsia="en-GB"/>
              </w:rPr>
            </w:pPr>
            <w:r w:rsidRPr="001A0F5F">
              <w:rPr>
                <w:rFonts w:ascii="Calibri" w:eastAsia="Times New Roman" w:hAnsi="Calibri" w:cs="Times New Roman"/>
                <w:i/>
                <w:color w:val="0D0D0D" w:themeColor="text1" w:themeTint="F2"/>
                <w:lang w:eastAsia="en-GB"/>
              </w:rPr>
              <w:t>LT</w:t>
            </w:r>
          </w:p>
        </w:tc>
        <w:tc>
          <w:tcPr>
            <w:tcW w:w="1542" w:type="dxa"/>
            <w:tcBorders>
              <w:top w:val="nil"/>
              <w:left w:val="nil"/>
              <w:bottom w:val="nil"/>
              <w:right w:val="nil"/>
            </w:tcBorders>
            <w:shd w:val="clear" w:color="000000" w:fill="FFFFFF"/>
          </w:tcPr>
          <w:p w:rsidR="001A0F5F" w:rsidRDefault="001A0F5F" w:rsidP="0065066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&lt; 100,000</w:t>
            </w:r>
          </w:p>
        </w:tc>
      </w:tr>
      <w:tr w:rsidR="001A0F5F" w:rsidRPr="00A65E68" w:rsidTr="00CC3FE9">
        <w:trPr>
          <w:trHeight w:val="300"/>
          <w:jc w:val="center"/>
        </w:trPr>
        <w:tc>
          <w:tcPr>
            <w:tcW w:w="1577" w:type="dxa"/>
            <w:gridSpan w:val="2"/>
            <w:tcBorders>
              <w:top w:val="nil"/>
              <w:left w:val="nil"/>
              <w:bottom w:val="nil"/>
              <w:right w:val="nil"/>
            </w:tcBorders>
            <w:shd w:val="clear" w:color="000000" w:fill="FFFFFF"/>
            <w:noWrap/>
            <w:vAlign w:val="bottom"/>
          </w:tcPr>
          <w:p w:rsidR="001A0F5F" w:rsidRPr="001A0F5F" w:rsidRDefault="001A0F5F" w:rsidP="00650667">
            <w:pPr>
              <w:spacing w:after="0" w:line="240" w:lineRule="auto"/>
              <w:rPr>
                <w:rFonts w:ascii="Calibri" w:eastAsia="Times New Roman" w:hAnsi="Calibri" w:cs="Times New Roman"/>
                <w:iCs/>
                <w:color w:val="0D0D0D" w:themeColor="text1" w:themeTint="F2"/>
                <w:lang w:eastAsia="en-GB"/>
              </w:rPr>
            </w:pPr>
            <w:r w:rsidRPr="001A0F5F">
              <w:rPr>
                <w:rFonts w:ascii="Calibri" w:eastAsia="Times New Roman" w:hAnsi="Calibri" w:cs="Times New Roman"/>
                <w:iCs/>
                <w:color w:val="0D0D0D" w:themeColor="text1" w:themeTint="F2"/>
                <w:lang w:eastAsia="en-GB"/>
              </w:rPr>
              <w:t>City</w:t>
            </w:r>
          </w:p>
        </w:tc>
        <w:tc>
          <w:tcPr>
            <w:tcW w:w="1831" w:type="dxa"/>
            <w:tcBorders>
              <w:top w:val="nil"/>
              <w:left w:val="nil"/>
              <w:bottom w:val="nil"/>
              <w:right w:val="nil"/>
            </w:tcBorders>
            <w:shd w:val="clear" w:color="000000" w:fill="FFFFFF"/>
            <w:noWrap/>
            <w:vAlign w:val="bottom"/>
          </w:tcPr>
          <w:p w:rsidR="001A0F5F" w:rsidRPr="001A0F5F" w:rsidRDefault="001A0F5F" w:rsidP="00650667">
            <w:pPr>
              <w:spacing w:after="0" w:line="240" w:lineRule="auto"/>
              <w:jc w:val="right"/>
              <w:rPr>
                <w:rFonts w:ascii="Calibri" w:eastAsia="Times New Roman" w:hAnsi="Calibri" w:cs="Times New Roman"/>
                <w:i/>
                <w:color w:val="0D0D0D" w:themeColor="text1" w:themeTint="F2"/>
                <w:lang w:eastAsia="en-GB"/>
              </w:rPr>
            </w:pPr>
            <w:r w:rsidRPr="001A0F5F">
              <w:rPr>
                <w:rFonts w:ascii="Calibri" w:eastAsia="Times New Roman" w:hAnsi="Calibri" w:cs="Times New Roman"/>
                <w:i/>
                <w:color w:val="0D0D0D" w:themeColor="text1" w:themeTint="F2"/>
                <w:lang w:eastAsia="en-GB"/>
              </w:rPr>
              <w:t>CI</w:t>
            </w:r>
          </w:p>
        </w:tc>
        <w:tc>
          <w:tcPr>
            <w:tcW w:w="1542" w:type="dxa"/>
            <w:tcBorders>
              <w:top w:val="nil"/>
              <w:left w:val="nil"/>
              <w:bottom w:val="nil"/>
              <w:right w:val="nil"/>
            </w:tcBorders>
            <w:shd w:val="clear" w:color="000000" w:fill="FFFFFF"/>
          </w:tcPr>
          <w:p w:rsidR="001A0F5F" w:rsidRDefault="001A0F5F" w:rsidP="0065066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&lt; 300,000</w:t>
            </w:r>
          </w:p>
        </w:tc>
      </w:tr>
      <w:tr w:rsidR="001A0F5F" w:rsidRPr="00A65E68" w:rsidTr="00CC3FE9">
        <w:trPr>
          <w:trHeight w:val="300"/>
          <w:jc w:val="center"/>
        </w:trPr>
        <w:tc>
          <w:tcPr>
            <w:tcW w:w="1577" w:type="dxa"/>
            <w:gridSpan w:val="2"/>
            <w:tcBorders>
              <w:top w:val="nil"/>
              <w:left w:val="nil"/>
              <w:bottom w:val="nil"/>
              <w:right w:val="nil"/>
            </w:tcBorders>
            <w:shd w:val="clear" w:color="000000" w:fill="FFFFFF"/>
            <w:noWrap/>
            <w:vAlign w:val="bottom"/>
          </w:tcPr>
          <w:p w:rsidR="001A0F5F" w:rsidRPr="001A0F5F" w:rsidRDefault="001A0F5F" w:rsidP="00650667">
            <w:pPr>
              <w:spacing w:after="0" w:line="240" w:lineRule="auto"/>
              <w:rPr>
                <w:rFonts w:ascii="Calibri" w:eastAsia="Times New Roman" w:hAnsi="Calibri" w:cs="Times New Roman"/>
                <w:iCs/>
                <w:color w:val="0D0D0D" w:themeColor="text1" w:themeTint="F2"/>
                <w:lang w:eastAsia="en-GB"/>
              </w:rPr>
            </w:pPr>
            <w:r w:rsidRPr="001A0F5F">
              <w:rPr>
                <w:rFonts w:ascii="Calibri" w:eastAsia="Times New Roman" w:hAnsi="Calibri" w:cs="Times New Roman"/>
                <w:iCs/>
                <w:color w:val="0D0D0D" w:themeColor="text1" w:themeTint="F2"/>
                <w:lang w:eastAsia="en-GB"/>
              </w:rPr>
              <w:t>Large City</w:t>
            </w:r>
          </w:p>
        </w:tc>
        <w:tc>
          <w:tcPr>
            <w:tcW w:w="1831" w:type="dxa"/>
            <w:tcBorders>
              <w:top w:val="nil"/>
              <w:left w:val="nil"/>
              <w:bottom w:val="nil"/>
              <w:right w:val="nil"/>
            </w:tcBorders>
            <w:shd w:val="clear" w:color="000000" w:fill="FFFFFF"/>
            <w:noWrap/>
            <w:vAlign w:val="bottom"/>
          </w:tcPr>
          <w:p w:rsidR="001A0F5F" w:rsidRPr="001A0F5F" w:rsidRDefault="001A0F5F" w:rsidP="00650667">
            <w:pPr>
              <w:spacing w:after="0" w:line="240" w:lineRule="auto"/>
              <w:jc w:val="right"/>
              <w:rPr>
                <w:rFonts w:ascii="Calibri" w:eastAsia="Times New Roman" w:hAnsi="Calibri" w:cs="Times New Roman"/>
                <w:i/>
                <w:color w:val="0D0D0D" w:themeColor="text1" w:themeTint="F2"/>
                <w:lang w:eastAsia="en-GB"/>
              </w:rPr>
            </w:pPr>
            <w:r w:rsidRPr="001A0F5F">
              <w:rPr>
                <w:rFonts w:ascii="Calibri" w:eastAsia="Times New Roman" w:hAnsi="Calibri" w:cs="Times New Roman"/>
                <w:i/>
                <w:color w:val="0D0D0D" w:themeColor="text1" w:themeTint="F2"/>
                <w:lang w:eastAsia="en-GB"/>
              </w:rPr>
              <w:t>LC</w:t>
            </w:r>
          </w:p>
        </w:tc>
        <w:tc>
          <w:tcPr>
            <w:tcW w:w="1542" w:type="dxa"/>
            <w:tcBorders>
              <w:top w:val="nil"/>
              <w:left w:val="nil"/>
              <w:bottom w:val="nil"/>
              <w:right w:val="nil"/>
            </w:tcBorders>
            <w:shd w:val="clear" w:color="000000" w:fill="FFFFFF"/>
          </w:tcPr>
          <w:p w:rsidR="001A0F5F" w:rsidRDefault="001A0F5F" w:rsidP="0065066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&lt; 1,000,000</w:t>
            </w:r>
          </w:p>
        </w:tc>
      </w:tr>
    </w:tbl>
    <w:p w:rsidR="00530D8C" w:rsidRDefault="00530D8C" w:rsidP="00F60175">
      <w:pPr>
        <w:rPr>
          <w:rFonts w:ascii="Times New Roman" w:hAnsi="Times New Roman" w:cs="Times New Roman"/>
          <w:b/>
          <w:sz w:val="24"/>
          <w:u w:val="single"/>
        </w:rPr>
      </w:pPr>
    </w:p>
    <w:p w:rsidR="00DB071E" w:rsidRDefault="00DB071E">
      <w:pPr>
        <w:rPr>
          <w:rFonts w:ascii="Times New Roman" w:hAnsi="Times New Roman" w:cs="Times New Roman"/>
          <w:b/>
          <w:sz w:val="24"/>
          <w:u w:val="single"/>
        </w:rPr>
      </w:pPr>
      <w:r>
        <w:rPr>
          <w:rFonts w:ascii="Times New Roman" w:hAnsi="Times New Roman" w:cs="Times New Roman"/>
          <w:b/>
          <w:sz w:val="24"/>
          <w:u w:val="single"/>
        </w:rPr>
        <w:br w:type="page"/>
      </w:r>
    </w:p>
    <w:p w:rsidR="00563E0B" w:rsidRDefault="00EE4241" w:rsidP="00F60175">
      <w:pPr>
        <w:rPr>
          <w:rFonts w:ascii="Times New Roman" w:hAnsi="Times New Roman" w:cs="Times New Roman"/>
          <w:sz w:val="24"/>
        </w:rPr>
      </w:pPr>
      <w:r>
        <w:rPr>
          <w:rFonts w:ascii="Times New Roman" w:hAnsi="Times New Roman" w:cs="Times New Roman"/>
          <w:b/>
          <w:sz w:val="24"/>
          <w:u w:val="single"/>
        </w:rPr>
        <w:lastRenderedPageBreak/>
        <w:t>Table A</w:t>
      </w:r>
      <w:r w:rsidR="009E3C2B">
        <w:rPr>
          <w:rFonts w:ascii="Times New Roman" w:hAnsi="Times New Roman" w:cs="Times New Roman"/>
          <w:b/>
          <w:sz w:val="24"/>
          <w:u w:val="single"/>
        </w:rPr>
        <w:t>.</w:t>
      </w:r>
      <w:r>
        <w:rPr>
          <w:rFonts w:ascii="Times New Roman" w:hAnsi="Times New Roman" w:cs="Times New Roman"/>
          <w:b/>
          <w:sz w:val="24"/>
          <w:u w:val="single"/>
        </w:rPr>
        <w:t>1.2</w:t>
      </w:r>
      <w:r>
        <w:rPr>
          <w:rFonts w:ascii="Times New Roman" w:hAnsi="Times New Roman" w:cs="Times New Roman"/>
          <w:sz w:val="24"/>
        </w:rPr>
        <w:t xml:space="preserve">: Index of coded variables: </w:t>
      </w:r>
    </w:p>
    <w:tbl>
      <w:tblPr>
        <w:tblW w:w="8884" w:type="dxa"/>
        <w:jc w:val="center"/>
        <w:tblLook w:val="04A0" w:firstRow="1" w:lastRow="0" w:firstColumn="1" w:lastColumn="0" w:noHBand="0" w:noVBand="1"/>
      </w:tblPr>
      <w:tblGrid>
        <w:gridCol w:w="7371"/>
        <w:gridCol w:w="1513"/>
      </w:tblGrid>
      <w:tr w:rsidR="00EE4241" w:rsidRPr="00563E0B" w:rsidTr="00EE4241">
        <w:trPr>
          <w:trHeight w:val="300"/>
          <w:jc w:val="center"/>
        </w:trPr>
        <w:tc>
          <w:tcPr>
            <w:tcW w:w="7371" w:type="dxa"/>
            <w:tcBorders>
              <w:top w:val="single" w:sz="4" w:space="0" w:color="4F81BD"/>
              <w:left w:val="nil"/>
              <w:bottom w:val="single" w:sz="4" w:space="0" w:color="4F81BD"/>
              <w:right w:val="nil"/>
            </w:tcBorders>
            <w:shd w:val="clear" w:color="auto" w:fill="auto"/>
            <w:noWrap/>
            <w:vAlign w:val="bottom"/>
            <w:hideMark/>
          </w:tcPr>
          <w:p w:rsidR="00EE4241" w:rsidRPr="00563E0B" w:rsidRDefault="00EE4241" w:rsidP="00EE4241">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Variable</w:t>
            </w:r>
            <w:r>
              <w:rPr>
                <w:rFonts w:eastAsia="Times New Roman" w:cs="Times New Roman"/>
                <w:b/>
                <w:bCs/>
                <w:color w:val="262626"/>
                <w:lang w:eastAsia="en-GB"/>
              </w:rPr>
              <w:t xml:space="preserve"> &amp; Description</w:t>
            </w:r>
          </w:p>
        </w:tc>
        <w:tc>
          <w:tcPr>
            <w:tcW w:w="1513" w:type="dxa"/>
            <w:tcBorders>
              <w:top w:val="single" w:sz="4" w:space="0" w:color="4F81BD"/>
              <w:left w:val="nil"/>
              <w:bottom w:val="single" w:sz="4" w:space="0" w:color="4F81BD"/>
              <w:right w:val="nil"/>
            </w:tcBorders>
            <w:shd w:val="clear" w:color="auto" w:fill="auto"/>
            <w:noWrap/>
            <w:vAlign w:val="bottom"/>
            <w:hideMark/>
          </w:tcPr>
          <w:p w:rsidR="00EE4241" w:rsidRPr="00563E0B" w:rsidRDefault="00EE4241" w:rsidP="00EE4241">
            <w:pPr>
              <w:spacing w:after="0" w:line="240" w:lineRule="auto"/>
              <w:jc w:val="center"/>
              <w:rPr>
                <w:rFonts w:eastAsia="Times New Roman" w:cs="Times New Roman"/>
                <w:b/>
                <w:bCs/>
                <w:color w:val="262626"/>
                <w:lang w:eastAsia="en-GB"/>
              </w:rPr>
            </w:pPr>
            <w:r>
              <w:rPr>
                <w:rFonts w:eastAsia="Times New Roman" w:cs="Times New Roman"/>
                <w:b/>
                <w:bCs/>
                <w:color w:val="262626"/>
                <w:lang w:eastAsia="en-GB"/>
              </w:rPr>
              <w:t>“Code”</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Herfindahl index of parties’ vote shares (sum of squares).</w:t>
            </w:r>
          </w:p>
        </w:tc>
        <w:tc>
          <w:tcPr>
            <w:tcW w:w="1513"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Herfindahl</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The number of Parties that received more than a 10% vote share in an election.</w:t>
            </w:r>
          </w:p>
        </w:tc>
        <w:tc>
          <w:tcPr>
            <w:tcW w:w="1513"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LT10VS</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Turnout rate, i.e. ratio of total votes to registered electorate</w:t>
            </w:r>
          </w:p>
        </w:tc>
        <w:tc>
          <w:tcPr>
            <w:tcW w:w="1513" w:type="dxa"/>
            <w:tcBorders>
              <w:top w:val="nil"/>
              <w:left w:val="nil"/>
              <w:bottom w:val="nil"/>
              <w:right w:val="nil"/>
            </w:tcBorders>
            <w:shd w:val="clear" w:color="000000" w:fill="FFFFFF"/>
            <w:noWrap/>
            <w:vAlign w:val="bottom"/>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Turnout</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tcPr>
          <w:p w:rsidR="00EE4241" w:rsidRPr="00530D8C" w:rsidRDefault="00EE4241" w:rsidP="00EE4241">
            <w:pPr>
              <w:spacing w:after="0" w:line="240" w:lineRule="auto"/>
              <w:rPr>
                <w:rFonts w:eastAsia="Times New Roman" w:cs="Times New Roman"/>
                <w:color w:val="262626"/>
                <w:lang w:eastAsia="en-GB"/>
              </w:rPr>
            </w:pPr>
            <w:r w:rsidRPr="00530D8C">
              <w:rPr>
                <w:rFonts w:eastAsia="Times New Roman" w:cs="Times New Roman"/>
                <w:color w:val="262626"/>
                <w:lang w:eastAsia="en-GB"/>
              </w:rPr>
              <w:t>Ratio of Valid votes to registered electorate</w:t>
            </w:r>
          </w:p>
        </w:tc>
        <w:tc>
          <w:tcPr>
            <w:tcW w:w="1513" w:type="dxa"/>
            <w:tcBorders>
              <w:top w:val="nil"/>
              <w:left w:val="nil"/>
              <w:bottom w:val="nil"/>
              <w:right w:val="nil"/>
            </w:tcBorders>
            <w:shd w:val="clear" w:color="000000" w:fill="FFFFFF"/>
            <w:noWrap/>
            <w:vAlign w:val="bottom"/>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ValidTurnout</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Ratio of Blank/Invalid votes to Valid votes in an election.</w:t>
            </w:r>
          </w:p>
        </w:tc>
        <w:tc>
          <w:tcPr>
            <w:tcW w:w="1513"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INBL</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Size of a municipality’s registered electorate</w:t>
            </w:r>
          </w:p>
        </w:tc>
        <w:tc>
          <w:tcPr>
            <w:tcW w:w="1513"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Electorate</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Provincial “Simple Code”, i.e. first two letters of province name.</w:t>
            </w:r>
          </w:p>
        </w:tc>
        <w:tc>
          <w:tcPr>
            <w:tcW w:w="1513"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ProvSC</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Municipal CBS code, i.e. issued by “Centraal Bureau voor de Statistiek”</w:t>
            </w:r>
          </w:p>
        </w:tc>
        <w:tc>
          <w:tcPr>
            <w:tcW w:w="1513" w:type="dxa"/>
            <w:tcBorders>
              <w:top w:val="nil"/>
              <w:left w:val="nil"/>
              <w:bottom w:val="nil"/>
              <w:right w:val="nil"/>
            </w:tcBorders>
            <w:shd w:val="clear" w:color="000000" w:fill="FFFFFF"/>
            <w:noWrap/>
            <w:vAlign w:val="bottom"/>
            <w:hideMark/>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CBS</w:t>
            </w:r>
          </w:p>
        </w:tc>
      </w:tr>
      <w:tr w:rsidR="00EE4241" w:rsidRPr="00563E0B" w:rsidTr="00EE4241">
        <w:trPr>
          <w:trHeight w:val="300"/>
          <w:jc w:val="center"/>
        </w:trPr>
        <w:tc>
          <w:tcPr>
            <w:tcW w:w="7371" w:type="dxa"/>
            <w:tcBorders>
              <w:top w:val="nil"/>
              <w:left w:val="nil"/>
              <w:bottom w:val="nil"/>
              <w:right w:val="nil"/>
            </w:tcBorders>
            <w:shd w:val="clear" w:color="000000" w:fill="FFFFFF"/>
            <w:noWrap/>
            <w:vAlign w:val="bottom"/>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Municipal “Amsterdamse code”</w:t>
            </w:r>
          </w:p>
        </w:tc>
        <w:tc>
          <w:tcPr>
            <w:tcW w:w="1513" w:type="dxa"/>
            <w:tcBorders>
              <w:top w:val="nil"/>
              <w:left w:val="nil"/>
              <w:bottom w:val="nil"/>
              <w:right w:val="nil"/>
            </w:tcBorders>
            <w:shd w:val="clear" w:color="000000" w:fill="FFFFFF"/>
            <w:noWrap/>
            <w:vAlign w:val="bottom"/>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AC</w:t>
            </w:r>
          </w:p>
        </w:tc>
      </w:tr>
      <w:tr w:rsidR="00EE4241" w:rsidRPr="00563E0B" w:rsidTr="00EE4241">
        <w:trPr>
          <w:trHeight w:val="300"/>
          <w:jc w:val="center"/>
        </w:trPr>
        <w:tc>
          <w:tcPr>
            <w:tcW w:w="7371" w:type="dxa"/>
            <w:tcBorders>
              <w:top w:val="nil"/>
              <w:left w:val="nil"/>
              <w:bottom w:val="single" w:sz="4" w:space="0" w:color="4F81BD"/>
              <w:right w:val="nil"/>
            </w:tcBorders>
            <w:shd w:val="clear" w:color="000000" w:fill="FFFFFF"/>
            <w:noWrap/>
            <w:vAlign w:val="bottom"/>
          </w:tcPr>
          <w:p w:rsidR="00EE4241" w:rsidRPr="00530D8C" w:rsidRDefault="00EE4241" w:rsidP="00D07D9E">
            <w:pPr>
              <w:spacing w:after="0" w:line="240" w:lineRule="auto"/>
              <w:rPr>
                <w:rFonts w:eastAsia="Times New Roman" w:cs="Times New Roman"/>
                <w:color w:val="262626"/>
                <w:lang w:eastAsia="en-GB"/>
              </w:rPr>
            </w:pPr>
            <w:r w:rsidRPr="00530D8C">
              <w:rPr>
                <w:rFonts w:eastAsia="Times New Roman" w:cs="Times New Roman"/>
                <w:color w:val="262626"/>
                <w:lang w:eastAsia="en-GB"/>
              </w:rPr>
              <w:t>Size of municipality (based on registered electorate)</w:t>
            </w:r>
          </w:p>
        </w:tc>
        <w:tc>
          <w:tcPr>
            <w:tcW w:w="1513" w:type="dxa"/>
            <w:tcBorders>
              <w:top w:val="nil"/>
              <w:left w:val="nil"/>
              <w:bottom w:val="single" w:sz="4" w:space="0" w:color="4F81BD"/>
              <w:right w:val="nil"/>
            </w:tcBorders>
            <w:shd w:val="clear" w:color="000000" w:fill="FFFFFF"/>
            <w:noWrap/>
            <w:vAlign w:val="bottom"/>
          </w:tcPr>
          <w:p w:rsidR="00EE4241" w:rsidRPr="00530D8C" w:rsidRDefault="00EE4241" w:rsidP="00D07D9E">
            <w:pPr>
              <w:spacing w:after="0" w:line="240" w:lineRule="auto"/>
              <w:jc w:val="right"/>
              <w:rPr>
                <w:rFonts w:eastAsia="Times New Roman" w:cs="Times New Roman"/>
                <w:i/>
                <w:color w:val="262626"/>
                <w:lang w:eastAsia="en-GB"/>
              </w:rPr>
            </w:pPr>
            <w:r w:rsidRPr="00530D8C">
              <w:rPr>
                <w:rFonts w:eastAsia="Times New Roman" w:cs="Times New Roman"/>
                <w:i/>
                <w:color w:val="262626"/>
                <w:lang w:eastAsia="en-GB"/>
              </w:rPr>
              <w:t>Size</w:t>
            </w:r>
          </w:p>
        </w:tc>
      </w:tr>
    </w:tbl>
    <w:p w:rsidR="00EE4241" w:rsidRPr="00EE4241" w:rsidRDefault="00EE4241" w:rsidP="00F60175">
      <w:pPr>
        <w:rPr>
          <w:rFonts w:ascii="Times New Roman" w:hAnsi="Times New Roman" w:cs="Times New Roman"/>
          <w:sz w:val="24"/>
        </w:rPr>
      </w:pPr>
    </w:p>
    <w:p w:rsidR="001A0F5F" w:rsidRDefault="00F60175" w:rsidP="00F60175">
      <w:pPr>
        <w:rPr>
          <w:rFonts w:ascii="Times New Roman" w:hAnsi="Times New Roman" w:cs="Times New Roman"/>
          <w:sz w:val="24"/>
        </w:rPr>
      </w:pPr>
      <w:r>
        <w:rPr>
          <w:rFonts w:ascii="Times New Roman" w:hAnsi="Times New Roman" w:cs="Times New Roman"/>
          <w:b/>
          <w:sz w:val="24"/>
          <w:u w:val="single"/>
        </w:rPr>
        <w:t xml:space="preserve">Table </w:t>
      </w:r>
      <w:r w:rsidR="00563E0B">
        <w:rPr>
          <w:rFonts w:ascii="Times New Roman" w:hAnsi="Times New Roman" w:cs="Times New Roman"/>
          <w:b/>
          <w:sz w:val="24"/>
          <w:u w:val="single"/>
        </w:rPr>
        <w:t>A</w:t>
      </w:r>
      <w:r w:rsidR="009E3C2B">
        <w:rPr>
          <w:rFonts w:ascii="Times New Roman" w:hAnsi="Times New Roman" w:cs="Times New Roman"/>
          <w:b/>
          <w:sz w:val="24"/>
          <w:u w:val="single"/>
        </w:rPr>
        <w:t>.</w:t>
      </w:r>
      <w:r w:rsidR="00563E0B">
        <w:rPr>
          <w:rFonts w:ascii="Times New Roman" w:hAnsi="Times New Roman" w:cs="Times New Roman"/>
          <w:b/>
          <w:sz w:val="24"/>
          <w:u w:val="single"/>
        </w:rPr>
        <w:t>2</w:t>
      </w:r>
      <w:r>
        <w:rPr>
          <w:rFonts w:ascii="Times New Roman" w:hAnsi="Times New Roman" w:cs="Times New Roman"/>
          <w:sz w:val="24"/>
        </w:rPr>
        <w:t xml:space="preserve">: </w:t>
      </w:r>
      <w:r w:rsidR="00563E0B">
        <w:rPr>
          <w:rFonts w:ascii="Times New Roman" w:hAnsi="Times New Roman" w:cs="Times New Roman"/>
          <w:sz w:val="24"/>
        </w:rPr>
        <w:t>Summary Statistics Table</w:t>
      </w:r>
    </w:p>
    <w:tbl>
      <w:tblPr>
        <w:tblW w:w="8444" w:type="dxa"/>
        <w:jc w:val="center"/>
        <w:tblLook w:val="04A0" w:firstRow="1" w:lastRow="0" w:firstColumn="1" w:lastColumn="0" w:noHBand="0" w:noVBand="1"/>
      </w:tblPr>
      <w:tblGrid>
        <w:gridCol w:w="1160"/>
        <w:gridCol w:w="1164"/>
        <w:gridCol w:w="1164"/>
        <w:gridCol w:w="1387"/>
        <w:gridCol w:w="1053"/>
        <w:gridCol w:w="1276"/>
        <w:gridCol w:w="1240"/>
      </w:tblGrid>
      <w:tr w:rsidR="00563E0B" w:rsidRPr="00563E0B" w:rsidTr="00CC3FE9">
        <w:trPr>
          <w:trHeight w:val="300"/>
          <w:jc w:val="center"/>
        </w:trPr>
        <w:tc>
          <w:tcPr>
            <w:tcW w:w="1160"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Variable </w:t>
            </w:r>
          </w:p>
        </w:tc>
        <w:tc>
          <w:tcPr>
            <w:tcW w:w="1164"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Mean </w:t>
            </w:r>
          </w:p>
        </w:tc>
        <w:tc>
          <w:tcPr>
            <w:tcW w:w="1164"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Median </w:t>
            </w:r>
          </w:p>
        </w:tc>
        <w:tc>
          <w:tcPr>
            <w:tcW w:w="1387"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Max </w:t>
            </w:r>
          </w:p>
        </w:tc>
        <w:tc>
          <w:tcPr>
            <w:tcW w:w="1053"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Min </w:t>
            </w:r>
          </w:p>
        </w:tc>
        <w:tc>
          <w:tcPr>
            <w:tcW w:w="1276"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Std. Dev. </w:t>
            </w:r>
          </w:p>
        </w:tc>
        <w:tc>
          <w:tcPr>
            <w:tcW w:w="1240"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Skewness</w:t>
            </w:r>
          </w:p>
        </w:tc>
      </w:tr>
      <w:tr w:rsidR="00563E0B" w:rsidRPr="00563E0B" w:rsidTr="00CC3FE9">
        <w:trPr>
          <w:trHeight w:val="300"/>
          <w:jc w:val="center"/>
        </w:trPr>
        <w:tc>
          <w:tcPr>
            <w:tcW w:w="116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rPr>
                <w:rFonts w:eastAsia="Times New Roman" w:cs="Times New Roman"/>
                <w:i/>
                <w:color w:val="262626"/>
                <w:lang w:eastAsia="en-GB"/>
              </w:rPr>
            </w:pPr>
            <w:r w:rsidRPr="00563E0B">
              <w:rPr>
                <w:rFonts w:eastAsia="Times New Roman" w:cs="Times New Roman"/>
                <w:i/>
                <w:color w:val="262626"/>
                <w:lang w:eastAsia="en-GB"/>
              </w:rPr>
              <w:t>Herfindahl</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0.3726</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0.2882</w:t>
            </w:r>
          </w:p>
        </w:tc>
        <w:tc>
          <w:tcPr>
            <w:tcW w:w="1387"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0.9932</w:t>
            </w:r>
          </w:p>
        </w:tc>
        <w:tc>
          <w:tcPr>
            <w:tcW w:w="1053"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0.1282</w:t>
            </w:r>
          </w:p>
        </w:tc>
        <w:tc>
          <w:tcPr>
            <w:tcW w:w="1276"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0.2092</w:t>
            </w:r>
          </w:p>
        </w:tc>
        <w:tc>
          <w:tcPr>
            <w:tcW w:w="124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1.3333</w:t>
            </w:r>
          </w:p>
        </w:tc>
      </w:tr>
      <w:tr w:rsidR="00563E0B" w:rsidRPr="00563E0B" w:rsidTr="00CC3FE9">
        <w:trPr>
          <w:trHeight w:val="300"/>
          <w:jc w:val="center"/>
        </w:trPr>
        <w:tc>
          <w:tcPr>
            <w:tcW w:w="116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rPr>
                <w:rFonts w:eastAsia="Times New Roman" w:cs="Times New Roman"/>
                <w:i/>
                <w:color w:val="262626"/>
                <w:lang w:eastAsia="en-GB"/>
              </w:rPr>
            </w:pPr>
            <w:r w:rsidRPr="00563E0B">
              <w:rPr>
                <w:rFonts w:eastAsia="Times New Roman" w:cs="Times New Roman"/>
                <w:i/>
                <w:color w:val="262626"/>
                <w:lang w:eastAsia="en-GB"/>
              </w:rPr>
              <w:t>LT10VS</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2.8489</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3.0000</w:t>
            </w:r>
          </w:p>
        </w:tc>
        <w:tc>
          <w:tcPr>
            <w:tcW w:w="1387"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7.0000</w:t>
            </w:r>
          </w:p>
        </w:tc>
        <w:tc>
          <w:tcPr>
            <w:tcW w:w="1053"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1.0000</w:t>
            </w:r>
          </w:p>
        </w:tc>
        <w:tc>
          <w:tcPr>
            <w:tcW w:w="1276"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1.1582</w:t>
            </w:r>
          </w:p>
        </w:tc>
        <w:tc>
          <w:tcPr>
            <w:tcW w:w="124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-0.0457</w:t>
            </w:r>
          </w:p>
        </w:tc>
      </w:tr>
      <w:tr w:rsidR="00563E0B" w:rsidRPr="00563E0B" w:rsidTr="00CC3FE9">
        <w:trPr>
          <w:trHeight w:val="300"/>
          <w:jc w:val="center"/>
        </w:trPr>
        <w:tc>
          <w:tcPr>
            <w:tcW w:w="116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rPr>
                <w:rFonts w:eastAsia="Times New Roman" w:cs="Times New Roman"/>
                <w:i/>
                <w:color w:val="262626"/>
                <w:lang w:eastAsia="en-GB"/>
              </w:rPr>
            </w:pPr>
            <w:r w:rsidRPr="00563E0B">
              <w:rPr>
                <w:rFonts w:eastAsia="Times New Roman" w:cs="Times New Roman"/>
                <w:i/>
                <w:color w:val="262626"/>
                <w:lang w:eastAsia="en-GB"/>
              </w:rPr>
              <w:t>INBL</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0.0166</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0.0129</w:t>
            </w:r>
          </w:p>
        </w:tc>
        <w:tc>
          <w:tcPr>
            <w:tcW w:w="1387"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0.1174</w:t>
            </w:r>
          </w:p>
        </w:tc>
        <w:tc>
          <w:tcPr>
            <w:tcW w:w="1053"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0.0000</w:t>
            </w:r>
          </w:p>
        </w:tc>
        <w:tc>
          <w:tcPr>
            <w:tcW w:w="1276"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0.0131</w:t>
            </w:r>
          </w:p>
        </w:tc>
        <w:tc>
          <w:tcPr>
            <w:tcW w:w="124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1.7614</w:t>
            </w:r>
          </w:p>
        </w:tc>
      </w:tr>
      <w:tr w:rsidR="00563E0B" w:rsidRPr="00563E0B" w:rsidTr="00CC3FE9">
        <w:trPr>
          <w:trHeight w:val="300"/>
          <w:jc w:val="center"/>
        </w:trPr>
        <w:tc>
          <w:tcPr>
            <w:tcW w:w="116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rPr>
                <w:rFonts w:eastAsia="Times New Roman" w:cs="Times New Roman"/>
                <w:i/>
                <w:color w:val="262626"/>
                <w:lang w:eastAsia="en-GB"/>
              </w:rPr>
            </w:pPr>
            <w:r w:rsidRPr="00563E0B">
              <w:rPr>
                <w:rFonts w:eastAsia="Times New Roman" w:cs="Times New Roman"/>
                <w:i/>
                <w:color w:val="262626"/>
                <w:lang w:eastAsia="en-GB"/>
              </w:rPr>
              <w:t>Electorate</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9313.2980</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3567.5000</w:t>
            </w:r>
          </w:p>
        </w:tc>
        <w:tc>
          <w:tcPr>
            <w:tcW w:w="1387"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573505.0000</w:t>
            </w:r>
          </w:p>
        </w:tc>
        <w:tc>
          <w:tcPr>
            <w:tcW w:w="1053"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143.0000</w:t>
            </w:r>
          </w:p>
        </w:tc>
        <w:tc>
          <w:tcPr>
            <w:tcW w:w="1276"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31420.3000</w:t>
            </w:r>
          </w:p>
        </w:tc>
        <w:tc>
          <w:tcPr>
            <w:tcW w:w="124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12.6806</w:t>
            </w:r>
          </w:p>
        </w:tc>
      </w:tr>
      <w:tr w:rsidR="00563E0B" w:rsidRPr="00563E0B" w:rsidTr="00CC3FE9">
        <w:trPr>
          <w:trHeight w:val="300"/>
          <w:jc w:val="center"/>
        </w:trPr>
        <w:tc>
          <w:tcPr>
            <w:tcW w:w="116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rPr>
                <w:rFonts w:eastAsia="Times New Roman" w:cs="Times New Roman"/>
                <w:i/>
                <w:color w:val="262626"/>
                <w:lang w:eastAsia="en-GB"/>
              </w:rPr>
            </w:pPr>
            <w:r w:rsidRPr="00563E0B">
              <w:rPr>
                <w:rFonts w:eastAsia="Times New Roman" w:cs="Times New Roman"/>
                <w:i/>
                <w:color w:val="262626"/>
                <w:lang w:eastAsia="en-GB"/>
              </w:rPr>
              <w:t xml:space="preserve">Turnout </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0.8636</w:t>
            </w:r>
          </w:p>
        </w:tc>
        <w:tc>
          <w:tcPr>
            <w:tcW w:w="1164"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0.8933</w:t>
            </w:r>
          </w:p>
        </w:tc>
        <w:tc>
          <w:tcPr>
            <w:tcW w:w="1387"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1.0227</w:t>
            </w:r>
          </w:p>
        </w:tc>
        <w:tc>
          <w:tcPr>
            <w:tcW w:w="1053"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0.2870</w:t>
            </w:r>
          </w:p>
        </w:tc>
        <w:tc>
          <w:tcPr>
            <w:tcW w:w="1276"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0.1013</w:t>
            </w:r>
          </w:p>
        </w:tc>
        <w:tc>
          <w:tcPr>
            <w:tcW w:w="124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-0.7415</w:t>
            </w:r>
          </w:p>
        </w:tc>
      </w:tr>
      <w:tr w:rsidR="00563E0B" w:rsidRPr="00563E0B" w:rsidTr="00CC3FE9">
        <w:trPr>
          <w:trHeight w:val="300"/>
          <w:jc w:val="center"/>
        </w:trPr>
        <w:tc>
          <w:tcPr>
            <w:tcW w:w="1160" w:type="dxa"/>
            <w:tcBorders>
              <w:top w:val="nil"/>
              <w:left w:val="nil"/>
              <w:bottom w:val="single" w:sz="4" w:space="0" w:color="4F81BD"/>
              <w:right w:val="nil"/>
            </w:tcBorders>
            <w:shd w:val="clear" w:color="000000" w:fill="FFFFFF"/>
            <w:noWrap/>
            <w:vAlign w:val="bottom"/>
            <w:hideMark/>
          </w:tcPr>
          <w:p w:rsidR="00563E0B" w:rsidRPr="00563E0B" w:rsidRDefault="00563E0B" w:rsidP="004822BF">
            <w:pPr>
              <w:spacing w:after="0" w:line="240" w:lineRule="auto"/>
              <w:rPr>
                <w:rFonts w:eastAsia="Times New Roman" w:cs="Times New Roman"/>
                <w:i/>
                <w:color w:val="262626"/>
                <w:lang w:eastAsia="en-GB"/>
              </w:rPr>
            </w:pPr>
            <w:r w:rsidRPr="00563E0B">
              <w:rPr>
                <w:rFonts w:eastAsia="Times New Roman" w:cs="Times New Roman"/>
                <w:i/>
                <w:color w:val="262626"/>
                <w:lang w:eastAsia="en-GB"/>
              </w:rPr>
              <w:t xml:space="preserve">Treatment </w:t>
            </w:r>
          </w:p>
        </w:tc>
        <w:tc>
          <w:tcPr>
            <w:tcW w:w="1164" w:type="dxa"/>
            <w:tcBorders>
              <w:top w:val="nil"/>
              <w:left w:val="nil"/>
              <w:bottom w:val="single" w:sz="4" w:space="0" w:color="4F81BD"/>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0.5000</w:t>
            </w:r>
          </w:p>
        </w:tc>
        <w:tc>
          <w:tcPr>
            <w:tcW w:w="1164" w:type="dxa"/>
            <w:tcBorders>
              <w:top w:val="nil"/>
              <w:left w:val="nil"/>
              <w:bottom w:val="single" w:sz="4" w:space="0" w:color="4F81BD"/>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0.5000</w:t>
            </w:r>
          </w:p>
        </w:tc>
        <w:tc>
          <w:tcPr>
            <w:tcW w:w="1387" w:type="dxa"/>
            <w:tcBorders>
              <w:top w:val="nil"/>
              <w:left w:val="nil"/>
              <w:bottom w:val="single" w:sz="4" w:space="0" w:color="4F81BD"/>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1.0000</w:t>
            </w:r>
          </w:p>
        </w:tc>
        <w:tc>
          <w:tcPr>
            <w:tcW w:w="1053" w:type="dxa"/>
            <w:tcBorders>
              <w:top w:val="nil"/>
              <w:left w:val="nil"/>
              <w:bottom w:val="single" w:sz="4" w:space="0" w:color="4F81BD"/>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0.0000</w:t>
            </w:r>
          </w:p>
        </w:tc>
        <w:tc>
          <w:tcPr>
            <w:tcW w:w="1276" w:type="dxa"/>
            <w:tcBorders>
              <w:top w:val="nil"/>
              <w:left w:val="nil"/>
              <w:bottom w:val="single" w:sz="4" w:space="0" w:color="4F81BD"/>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0.5000</w:t>
            </w:r>
          </w:p>
        </w:tc>
        <w:tc>
          <w:tcPr>
            <w:tcW w:w="1240" w:type="dxa"/>
            <w:tcBorders>
              <w:top w:val="nil"/>
              <w:left w:val="nil"/>
              <w:bottom w:val="single" w:sz="4" w:space="0" w:color="4F81BD"/>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0.0000</w:t>
            </w:r>
          </w:p>
        </w:tc>
      </w:tr>
    </w:tbl>
    <w:p w:rsidR="00563E0B" w:rsidRDefault="00563E0B" w:rsidP="00F60175">
      <w:pPr>
        <w:rPr>
          <w:rFonts w:ascii="Times New Roman" w:hAnsi="Times New Roman" w:cs="Times New Roman"/>
          <w:sz w:val="24"/>
        </w:rPr>
      </w:pPr>
    </w:p>
    <w:p w:rsidR="00563E0B" w:rsidRDefault="00563E0B" w:rsidP="00F60175">
      <w:pPr>
        <w:rPr>
          <w:rFonts w:ascii="Times New Roman" w:hAnsi="Times New Roman" w:cs="Times New Roman"/>
          <w:sz w:val="24"/>
        </w:rPr>
      </w:pPr>
      <w:r>
        <w:rPr>
          <w:rFonts w:ascii="Times New Roman" w:hAnsi="Times New Roman" w:cs="Times New Roman"/>
          <w:b/>
          <w:sz w:val="24"/>
          <w:u w:val="single"/>
        </w:rPr>
        <w:t>Table A</w:t>
      </w:r>
      <w:r w:rsidR="009E3C2B">
        <w:rPr>
          <w:rFonts w:ascii="Times New Roman" w:hAnsi="Times New Roman" w:cs="Times New Roman"/>
          <w:b/>
          <w:sz w:val="24"/>
          <w:u w:val="single"/>
        </w:rPr>
        <w:t>.</w:t>
      </w:r>
      <w:r>
        <w:rPr>
          <w:rFonts w:ascii="Times New Roman" w:hAnsi="Times New Roman" w:cs="Times New Roman"/>
          <w:b/>
          <w:sz w:val="24"/>
          <w:u w:val="single"/>
        </w:rPr>
        <w:t>3</w:t>
      </w:r>
      <w:r>
        <w:rPr>
          <w:rFonts w:ascii="Times New Roman" w:hAnsi="Times New Roman" w:cs="Times New Roman"/>
          <w:sz w:val="24"/>
        </w:rPr>
        <w:t>: Skewness transformation results</w:t>
      </w:r>
    </w:p>
    <w:tbl>
      <w:tblPr>
        <w:tblW w:w="8533" w:type="dxa"/>
        <w:jc w:val="center"/>
        <w:tblLook w:val="04A0" w:firstRow="1" w:lastRow="0" w:firstColumn="1" w:lastColumn="0" w:noHBand="0" w:noVBand="1"/>
      </w:tblPr>
      <w:tblGrid>
        <w:gridCol w:w="1813"/>
        <w:gridCol w:w="1000"/>
        <w:gridCol w:w="1120"/>
        <w:gridCol w:w="1220"/>
        <w:gridCol w:w="900"/>
        <w:gridCol w:w="1220"/>
        <w:gridCol w:w="1260"/>
      </w:tblGrid>
      <w:tr w:rsidR="00563E0B" w:rsidRPr="00A12148" w:rsidTr="004822BF">
        <w:trPr>
          <w:trHeight w:val="300"/>
          <w:jc w:val="center"/>
        </w:trPr>
        <w:tc>
          <w:tcPr>
            <w:tcW w:w="1813"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Variable </w:t>
            </w:r>
          </w:p>
        </w:tc>
        <w:tc>
          <w:tcPr>
            <w:tcW w:w="1000"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Mean </w:t>
            </w:r>
          </w:p>
        </w:tc>
        <w:tc>
          <w:tcPr>
            <w:tcW w:w="1120"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Median </w:t>
            </w:r>
          </w:p>
        </w:tc>
        <w:tc>
          <w:tcPr>
            <w:tcW w:w="1220"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Max </w:t>
            </w:r>
          </w:p>
        </w:tc>
        <w:tc>
          <w:tcPr>
            <w:tcW w:w="900"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Min </w:t>
            </w:r>
          </w:p>
        </w:tc>
        <w:tc>
          <w:tcPr>
            <w:tcW w:w="1220"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 xml:space="preserve">Std. Dev. </w:t>
            </w:r>
          </w:p>
        </w:tc>
        <w:tc>
          <w:tcPr>
            <w:tcW w:w="1260" w:type="dxa"/>
            <w:tcBorders>
              <w:top w:val="single" w:sz="4" w:space="0" w:color="4F81BD"/>
              <w:left w:val="nil"/>
              <w:bottom w:val="single" w:sz="4" w:space="0" w:color="4F81BD"/>
              <w:right w:val="nil"/>
            </w:tcBorders>
            <w:shd w:val="clear" w:color="auto" w:fill="auto"/>
            <w:noWrap/>
            <w:vAlign w:val="bottom"/>
            <w:hideMark/>
          </w:tcPr>
          <w:p w:rsidR="00563E0B" w:rsidRPr="00563E0B" w:rsidRDefault="00563E0B" w:rsidP="004822BF">
            <w:pPr>
              <w:spacing w:after="0" w:line="240" w:lineRule="auto"/>
              <w:rPr>
                <w:rFonts w:eastAsia="Times New Roman" w:cs="Times New Roman"/>
                <w:b/>
                <w:bCs/>
                <w:color w:val="262626"/>
                <w:lang w:eastAsia="en-GB"/>
              </w:rPr>
            </w:pPr>
            <w:r w:rsidRPr="00563E0B">
              <w:rPr>
                <w:rFonts w:eastAsia="Times New Roman" w:cs="Times New Roman"/>
                <w:b/>
                <w:bCs/>
                <w:color w:val="262626"/>
                <w:lang w:eastAsia="en-GB"/>
              </w:rPr>
              <w:t>Skewness</w:t>
            </w:r>
          </w:p>
        </w:tc>
      </w:tr>
      <w:tr w:rsidR="00563E0B" w:rsidRPr="00A12148" w:rsidTr="004822BF">
        <w:trPr>
          <w:trHeight w:val="300"/>
          <w:jc w:val="center"/>
        </w:trPr>
        <w:tc>
          <w:tcPr>
            <w:tcW w:w="1813"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rPr>
                <w:rFonts w:eastAsia="Times New Roman" w:cs="Times New Roman"/>
                <w:i/>
                <w:iCs/>
                <w:color w:val="262626"/>
                <w:lang w:eastAsia="en-GB"/>
              </w:rPr>
            </w:pPr>
            <w:r w:rsidRPr="00563E0B">
              <w:rPr>
                <w:rFonts w:eastAsia="Times New Roman" w:cs="Times New Roman"/>
                <w:i/>
                <w:iCs/>
                <w:color w:val="262626"/>
                <w:lang w:eastAsia="en-GB"/>
              </w:rPr>
              <w:t>ElevenElectorate</w:t>
            </w:r>
          </w:p>
        </w:tc>
        <w:tc>
          <w:tcPr>
            <w:tcW w:w="100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2.1300</w:t>
            </w:r>
          </w:p>
        </w:tc>
        <w:tc>
          <w:tcPr>
            <w:tcW w:w="112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2.1035</w:t>
            </w:r>
          </w:p>
        </w:tc>
        <w:tc>
          <w:tcPr>
            <w:tcW w:w="122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3.3381</w:t>
            </w:r>
          </w:p>
        </w:tc>
        <w:tc>
          <w:tcPr>
            <w:tcW w:w="90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1.5701</w:t>
            </w:r>
          </w:p>
        </w:tc>
        <w:tc>
          <w:tcPr>
            <w:tcW w:w="122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0.2292</w:t>
            </w:r>
          </w:p>
        </w:tc>
        <w:tc>
          <w:tcPr>
            <w:tcW w:w="1260" w:type="dxa"/>
            <w:tcBorders>
              <w:top w:val="nil"/>
              <w:left w:val="nil"/>
              <w:bottom w:val="nil"/>
              <w:right w:val="nil"/>
            </w:tcBorders>
            <w:shd w:val="clear" w:color="000000" w:fill="FFFFFF"/>
            <w:noWrap/>
            <w:vAlign w:val="bottom"/>
            <w:hideMark/>
          </w:tcPr>
          <w:p w:rsidR="00563E0B" w:rsidRPr="00563E0B" w:rsidRDefault="00563E0B" w:rsidP="004822BF">
            <w:pPr>
              <w:spacing w:after="0" w:line="240" w:lineRule="auto"/>
              <w:jc w:val="right"/>
              <w:rPr>
                <w:rFonts w:eastAsia="Times New Roman" w:cs="Times New Roman"/>
                <w:color w:val="262626"/>
                <w:lang w:eastAsia="en-GB"/>
              </w:rPr>
            </w:pPr>
            <w:r w:rsidRPr="00563E0B">
              <w:rPr>
                <w:rFonts w:eastAsia="Times New Roman" w:cs="Times New Roman"/>
                <w:color w:val="262626"/>
                <w:lang w:eastAsia="en-GB"/>
              </w:rPr>
              <w:t>0.9990</w:t>
            </w:r>
          </w:p>
        </w:tc>
      </w:tr>
    </w:tbl>
    <w:p w:rsidR="00563E0B" w:rsidRDefault="00563E0B" w:rsidP="00F60175">
      <w:pPr>
        <w:rPr>
          <w:rFonts w:ascii="Times New Roman" w:hAnsi="Times New Roman" w:cs="Times New Roman"/>
          <w:sz w:val="24"/>
        </w:rPr>
      </w:pPr>
    </w:p>
    <w:p w:rsidR="00563E0B" w:rsidRDefault="00563E0B" w:rsidP="00F60175">
      <w:pPr>
        <w:rPr>
          <w:rFonts w:ascii="Times New Roman" w:hAnsi="Times New Roman" w:cs="Times New Roman"/>
          <w:sz w:val="24"/>
        </w:rPr>
      </w:pPr>
      <w:r>
        <w:rPr>
          <w:rFonts w:ascii="Times New Roman" w:hAnsi="Times New Roman" w:cs="Times New Roman"/>
          <w:b/>
          <w:sz w:val="24"/>
          <w:u w:val="single"/>
        </w:rPr>
        <w:t>Table A</w:t>
      </w:r>
      <w:r w:rsidR="009E3C2B">
        <w:rPr>
          <w:rFonts w:ascii="Times New Roman" w:hAnsi="Times New Roman" w:cs="Times New Roman"/>
          <w:b/>
          <w:sz w:val="24"/>
          <w:u w:val="single"/>
        </w:rPr>
        <w:t>.</w:t>
      </w:r>
      <w:r>
        <w:rPr>
          <w:rFonts w:ascii="Times New Roman" w:hAnsi="Times New Roman" w:cs="Times New Roman"/>
          <w:b/>
          <w:sz w:val="24"/>
          <w:u w:val="single"/>
        </w:rPr>
        <w:t>4</w:t>
      </w:r>
      <w:r>
        <w:rPr>
          <w:rFonts w:ascii="Times New Roman" w:hAnsi="Times New Roman" w:cs="Times New Roman"/>
          <w:sz w:val="24"/>
        </w:rPr>
        <w:t>: Mean of variables by Treatment</w:t>
      </w:r>
    </w:p>
    <w:tbl>
      <w:tblPr>
        <w:tblW w:w="4700" w:type="dxa"/>
        <w:jc w:val="center"/>
        <w:tblLook w:val="04A0" w:firstRow="1" w:lastRow="0" w:firstColumn="1" w:lastColumn="0" w:noHBand="0" w:noVBand="1"/>
      </w:tblPr>
      <w:tblGrid>
        <w:gridCol w:w="1300"/>
        <w:gridCol w:w="1360"/>
        <w:gridCol w:w="980"/>
        <w:gridCol w:w="1060"/>
      </w:tblGrid>
      <w:tr w:rsidR="00563E0B" w:rsidRPr="00CB37B9" w:rsidTr="004822BF">
        <w:trPr>
          <w:trHeight w:val="300"/>
          <w:jc w:val="center"/>
        </w:trPr>
        <w:tc>
          <w:tcPr>
            <w:tcW w:w="1300" w:type="dxa"/>
            <w:tcBorders>
              <w:top w:val="single" w:sz="4" w:space="0" w:color="4F81BD"/>
              <w:left w:val="nil"/>
              <w:bottom w:val="single" w:sz="4" w:space="0" w:color="4F81BD"/>
              <w:right w:val="nil"/>
            </w:tcBorders>
            <w:shd w:val="clear" w:color="auto" w:fill="auto"/>
            <w:noWrap/>
            <w:vAlign w:val="bottom"/>
            <w:hideMark/>
          </w:tcPr>
          <w:p w:rsidR="00563E0B" w:rsidRPr="00CB37B9" w:rsidRDefault="00563E0B" w:rsidP="004822BF">
            <w:pPr>
              <w:spacing w:after="0" w:line="240" w:lineRule="auto"/>
              <w:jc w:val="center"/>
              <w:rPr>
                <w:rFonts w:ascii="Calibri" w:eastAsia="Times New Roman" w:hAnsi="Calibri" w:cs="Times New Roman"/>
                <w:b/>
                <w:bCs/>
                <w:color w:val="262626"/>
                <w:lang w:eastAsia="en-GB"/>
              </w:rPr>
            </w:pPr>
            <w:r w:rsidRPr="00CB37B9">
              <w:rPr>
                <w:rFonts w:ascii="Calibri" w:eastAsia="Times New Roman" w:hAnsi="Calibri" w:cs="Times New Roman"/>
                <w:b/>
                <w:bCs/>
                <w:color w:val="262626"/>
                <w:lang w:eastAsia="en-GB"/>
              </w:rPr>
              <w:t>Treatment</w:t>
            </w:r>
          </w:p>
        </w:tc>
        <w:tc>
          <w:tcPr>
            <w:tcW w:w="1360" w:type="dxa"/>
            <w:tcBorders>
              <w:top w:val="single" w:sz="4" w:space="0" w:color="4F81BD"/>
              <w:left w:val="nil"/>
              <w:bottom w:val="single" w:sz="4" w:space="0" w:color="4F81BD"/>
              <w:right w:val="nil"/>
            </w:tcBorders>
            <w:shd w:val="clear" w:color="auto" w:fill="auto"/>
            <w:noWrap/>
            <w:vAlign w:val="bottom"/>
            <w:hideMark/>
          </w:tcPr>
          <w:p w:rsidR="00563E0B" w:rsidRPr="00CB37B9" w:rsidRDefault="00563E0B" w:rsidP="004822BF">
            <w:pPr>
              <w:spacing w:after="0" w:line="240" w:lineRule="auto"/>
              <w:jc w:val="center"/>
              <w:rPr>
                <w:rFonts w:ascii="Calibri" w:eastAsia="Times New Roman" w:hAnsi="Calibri" w:cs="Times New Roman"/>
                <w:b/>
                <w:bCs/>
                <w:color w:val="262626"/>
                <w:lang w:eastAsia="en-GB"/>
              </w:rPr>
            </w:pPr>
            <w:r w:rsidRPr="00CB37B9">
              <w:rPr>
                <w:rFonts w:ascii="Calibri" w:eastAsia="Times New Roman" w:hAnsi="Calibri" w:cs="Times New Roman"/>
                <w:b/>
                <w:bCs/>
                <w:color w:val="262626"/>
                <w:lang w:eastAsia="en-GB"/>
              </w:rPr>
              <w:t xml:space="preserve">Herfindahl </w:t>
            </w:r>
          </w:p>
        </w:tc>
        <w:tc>
          <w:tcPr>
            <w:tcW w:w="980" w:type="dxa"/>
            <w:tcBorders>
              <w:top w:val="single" w:sz="4" w:space="0" w:color="4F81BD"/>
              <w:left w:val="nil"/>
              <w:bottom w:val="single" w:sz="4" w:space="0" w:color="4F81BD"/>
              <w:right w:val="nil"/>
            </w:tcBorders>
            <w:shd w:val="clear" w:color="auto" w:fill="auto"/>
            <w:noWrap/>
            <w:vAlign w:val="bottom"/>
            <w:hideMark/>
          </w:tcPr>
          <w:p w:rsidR="00563E0B" w:rsidRPr="00CB37B9" w:rsidRDefault="00563E0B" w:rsidP="004822BF">
            <w:pPr>
              <w:spacing w:after="0" w:line="240" w:lineRule="auto"/>
              <w:jc w:val="center"/>
              <w:rPr>
                <w:rFonts w:ascii="Calibri" w:eastAsia="Times New Roman" w:hAnsi="Calibri" w:cs="Times New Roman"/>
                <w:b/>
                <w:bCs/>
                <w:color w:val="262626"/>
                <w:lang w:eastAsia="en-GB"/>
              </w:rPr>
            </w:pPr>
            <w:r w:rsidRPr="00CB37B9">
              <w:rPr>
                <w:rFonts w:ascii="Calibri" w:eastAsia="Times New Roman" w:hAnsi="Calibri" w:cs="Times New Roman"/>
                <w:b/>
                <w:bCs/>
                <w:color w:val="262626"/>
                <w:lang w:eastAsia="en-GB"/>
              </w:rPr>
              <w:t>LT10VS</w:t>
            </w:r>
          </w:p>
        </w:tc>
        <w:tc>
          <w:tcPr>
            <w:tcW w:w="1060" w:type="dxa"/>
            <w:tcBorders>
              <w:top w:val="single" w:sz="4" w:space="0" w:color="4F81BD"/>
              <w:left w:val="nil"/>
              <w:bottom w:val="single" w:sz="4" w:space="0" w:color="4F81BD"/>
              <w:right w:val="nil"/>
            </w:tcBorders>
            <w:shd w:val="clear" w:color="auto" w:fill="auto"/>
            <w:noWrap/>
            <w:vAlign w:val="bottom"/>
            <w:hideMark/>
          </w:tcPr>
          <w:p w:rsidR="00563E0B" w:rsidRPr="00CB37B9" w:rsidRDefault="00563E0B" w:rsidP="004822BF">
            <w:pPr>
              <w:spacing w:after="0" w:line="240" w:lineRule="auto"/>
              <w:jc w:val="center"/>
              <w:rPr>
                <w:rFonts w:ascii="Calibri" w:eastAsia="Times New Roman" w:hAnsi="Calibri" w:cs="Times New Roman"/>
                <w:b/>
                <w:bCs/>
                <w:color w:val="262626"/>
                <w:lang w:eastAsia="en-GB"/>
              </w:rPr>
            </w:pPr>
            <w:r w:rsidRPr="00CB37B9">
              <w:rPr>
                <w:rFonts w:ascii="Calibri" w:eastAsia="Times New Roman" w:hAnsi="Calibri" w:cs="Times New Roman"/>
                <w:b/>
                <w:bCs/>
                <w:color w:val="262626"/>
                <w:lang w:eastAsia="en-GB"/>
              </w:rPr>
              <w:t>Turnout</w:t>
            </w:r>
          </w:p>
        </w:tc>
      </w:tr>
      <w:tr w:rsidR="00563E0B" w:rsidRPr="00CB37B9" w:rsidTr="004822BF">
        <w:trPr>
          <w:trHeight w:val="300"/>
          <w:jc w:val="center"/>
        </w:trPr>
        <w:tc>
          <w:tcPr>
            <w:tcW w:w="1300" w:type="dxa"/>
            <w:tcBorders>
              <w:top w:val="nil"/>
              <w:left w:val="nil"/>
              <w:bottom w:val="nil"/>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0</w:t>
            </w:r>
          </w:p>
        </w:tc>
        <w:tc>
          <w:tcPr>
            <w:tcW w:w="1360" w:type="dxa"/>
            <w:tcBorders>
              <w:top w:val="nil"/>
              <w:left w:val="nil"/>
              <w:bottom w:val="nil"/>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0.4301</w:t>
            </w:r>
          </w:p>
        </w:tc>
        <w:tc>
          <w:tcPr>
            <w:tcW w:w="980" w:type="dxa"/>
            <w:tcBorders>
              <w:top w:val="nil"/>
              <w:left w:val="nil"/>
              <w:bottom w:val="nil"/>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2.7398</w:t>
            </w:r>
          </w:p>
        </w:tc>
        <w:tc>
          <w:tcPr>
            <w:tcW w:w="1060" w:type="dxa"/>
            <w:tcBorders>
              <w:top w:val="nil"/>
              <w:left w:val="nil"/>
              <w:bottom w:val="nil"/>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0.9476</w:t>
            </w:r>
          </w:p>
        </w:tc>
      </w:tr>
      <w:tr w:rsidR="00563E0B" w:rsidRPr="00CB37B9" w:rsidTr="004822BF">
        <w:trPr>
          <w:trHeight w:val="300"/>
          <w:jc w:val="center"/>
        </w:trPr>
        <w:tc>
          <w:tcPr>
            <w:tcW w:w="1300" w:type="dxa"/>
            <w:tcBorders>
              <w:top w:val="nil"/>
              <w:left w:val="nil"/>
              <w:bottom w:val="nil"/>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1</w:t>
            </w:r>
          </w:p>
        </w:tc>
        <w:tc>
          <w:tcPr>
            <w:tcW w:w="1360" w:type="dxa"/>
            <w:tcBorders>
              <w:top w:val="nil"/>
              <w:left w:val="nil"/>
              <w:bottom w:val="nil"/>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0.3150</w:t>
            </w:r>
          </w:p>
        </w:tc>
        <w:tc>
          <w:tcPr>
            <w:tcW w:w="980" w:type="dxa"/>
            <w:tcBorders>
              <w:top w:val="nil"/>
              <w:left w:val="nil"/>
              <w:bottom w:val="nil"/>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2.9580</w:t>
            </w:r>
          </w:p>
        </w:tc>
        <w:tc>
          <w:tcPr>
            <w:tcW w:w="1060" w:type="dxa"/>
            <w:tcBorders>
              <w:top w:val="nil"/>
              <w:left w:val="nil"/>
              <w:bottom w:val="nil"/>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0.7795</w:t>
            </w:r>
          </w:p>
        </w:tc>
      </w:tr>
      <w:tr w:rsidR="00563E0B" w:rsidRPr="00CB37B9" w:rsidTr="004822BF">
        <w:trPr>
          <w:trHeight w:val="300"/>
          <w:jc w:val="center"/>
        </w:trPr>
        <w:tc>
          <w:tcPr>
            <w:tcW w:w="1300" w:type="dxa"/>
            <w:tcBorders>
              <w:top w:val="nil"/>
              <w:left w:val="nil"/>
              <w:bottom w:val="single" w:sz="4" w:space="0" w:color="4F81BD"/>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All</w:t>
            </w:r>
          </w:p>
        </w:tc>
        <w:tc>
          <w:tcPr>
            <w:tcW w:w="1360" w:type="dxa"/>
            <w:tcBorders>
              <w:top w:val="nil"/>
              <w:left w:val="nil"/>
              <w:bottom w:val="single" w:sz="4" w:space="0" w:color="4F81BD"/>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0.3726</w:t>
            </w:r>
          </w:p>
        </w:tc>
        <w:tc>
          <w:tcPr>
            <w:tcW w:w="980" w:type="dxa"/>
            <w:tcBorders>
              <w:top w:val="nil"/>
              <w:left w:val="nil"/>
              <w:bottom w:val="single" w:sz="4" w:space="0" w:color="4F81BD"/>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2.8489</w:t>
            </w:r>
          </w:p>
        </w:tc>
        <w:tc>
          <w:tcPr>
            <w:tcW w:w="1060" w:type="dxa"/>
            <w:tcBorders>
              <w:top w:val="nil"/>
              <w:left w:val="nil"/>
              <w:bottom w:val="single" w:sz="4" w:space="0" w:color="4F81BD"/>
              <w:right w:val="nil"/>
            </w:tcBorders>
            <w:shd w:val="clear" w:color="000000" w:fill="FFFFFF"/>
            <w:noWrap/>
            <w:vAlign w:val="bottom"/>
            <w:hideMark/>
          </w:tcPr>
          <w:p w:rsidR="00563E0B" w:rsidRPr="00CB37B9" w:rsidRDefault="00563E0B" w:rsidP="004822BF">
            <w:pPr>
              <w:spacing w:after="0" w:line="240" w:lineRule="auto"/>
              <w:jc w:val="right"/>
              <w:rPr>
                <w:rFonts w:ascii="Calibri" w:eastAsia="Times New Roman" w:hAnsi="Calibri" w:cs="Times New Roman"/>
                <w:color w:val="262626"/>
                <w:lang w:eastAsia="en-GB"/>
              </w:rPr>
            </w:pPr>
            <w:r w:rsidRPr="00CB37B9">
              <w:rPr>
                <w:rFonts w:ascii="Calibri" w:eastAsia="Times New Roman" w:hAnsi="Calibri" w:cs="Times New Roman"/>
                <w:color w:val="262626"/>
                <w:lang w:eastAsia="en-GB"/>
              </w:rPr>
              <w:t>0.8636</w:t>
            </w:r>
          </w:p>
        </w:tc>
      </w:tr>
    </w:tbl>
    <w:p w:rsidR="00227BA9" w:rsidRDefault="00CC3FE9" w:rsidP="004822B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br/>
      </w:r>
    </w:p>
    <w:p w:rsidR="00227BA9" w:rsidRDefault="00227BA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B071E" w:rsidRDefault="00DB071E" w:rsidP="00ED7E6D">
      <w:pPr>
        <w:spacing w:line="360" w:lineRule="auto"/>
        <w:rPr>
          <w:rFonts w:ascii="Times New Roman" w:hAnsi="Times New Roman" w:cs="Times New Roman"/>
          <w:b/>
          <w:sz w:val="24"/>
          <w:szCs w:val="24"/>
          <w:u w:val="single"/>
        </w:rPr>
      </w:pPr>
    </w:p>
    <w:p w:rsidR="00DB071E" w:rsidRPr="00227BA9" w:rsidRDefault="00DB071E" w:rsidP="00DB071E">
      <w:pPr>
        <w:rPr>
          <w:rFonts w:ascii="Times New Roman" w:hAnsi="Times New Roman" w:cs="Times New Roman"/>
          <w:b/>
          <w:sz w:val="24"/>
          <w:szCs w:val="24"/>
          <w:u w:val="single"/>
        </w:rPr>
      </w:pPr>
      <w:r>
        <w:rPr>
          <w:rFonts w:ascii="Times New Roman" w:hAnsi="Times New Roman" w:cs="Times New Roman"/>
          <w:b/>
          <w:sz w:val="24"/>
          <w:szCs w:val="24"/>
          <w:u w:val="single"/>
        </w:rPr>
        <w:t>Table A.</w:t>
      </w:r>
      <w:r w:rsidR="009E3C2B">
        <w:rPr>
          <w:rFonts w:ascii="Times New Roman" w:hAnsi="Times New Roman" w:cs="Times New Roman"/>
          <w:b/>
          <w:sz w:val="24"/>
          <w:szCs w:val="24"/>
          <w:u w:val="single"/>
        </w:rPr>
        <w:t>5.</w:t>
      </w:r>
      <w:r>
        <w:rPr>
          <w:rFonts w:ascii="Times New Roman" w:hAnsi="Times New Roman" w:cs="Times New Roman"/>
          <w:sz w:val="24"/>
          <w:szCs w:val="24"/>
        </w:rPr>
        <w:t>: OLS and Fixed Effect models.</w:t>
      </w:r>
    </w:p>
    <w:tbl>
      <w:tblPr>
        <w:tblW w:w="9026" w:type="dxa"/>
        <w:jc w:val="center"/>
        <w:tblLook w:val="04A0" w:firstRow="1" w:lastRow="0" w:firstColumn="1" w:lastColumn="0" w:noHBand="0" w:noVBand="1"/>
      </w:tblPr>
      <w:tblGrid>
        <w:gridCol w:w="2552"/>
        <w:gridCol w:w="710"/>
        <w:gridCol w:w="424"/>
        <w:gridCol w:w="710"/>
        <w:gridCol w:w="203"/>
        <w:gridCol w:w="504"/>
        <w:gridCol w:w="1405"/>
        <w:gridCol w:w="965"/>
        <w:gridCol w:w="193"/>
        <w:gridCol w:w="1360"/>
      </w:tblGrid>
      <w:tr w:rsidR="00DB071E" w:rsidRPr="00CE6BD2" w:rsidTr="00DB071E">
        <w:trPr>
          <w:gridAfter w:val="2"/>
          <w:wAfter w:w="1553" w:type="dxa"/>
          <w:trHeight w:val="300"/>
          <w:jc w:val="center"/>
        </w:trPr>
        <w:tc>
          <w:tcPr>
            <w:tcW w:w="4396" w:type="dxa"/>
            <w:gridSpan w:val="4"/>
            <w:tcBorders>
              <w:top w:val="nil"/>
              <w:left w:val="nil"/>
              <w:bottom w:val="nil"/>
              <w:right w:val="nil"/>
            </w:tcBorders>
            <w:shd w:val="clear" w:color="auto" w:fill="auto"/>
            <w:noWrap/>
            <w:vAlign w:val="bottom"/>
            <w:hideMark/>
          </w:tcPr>
          <w:p w:rsidR="00DB071E" w:rsidRPr="00CE6BD2" w:rsidRDefault="00DB071E" w:rsidP="009D0EE5">
            <w:pPr>
              <w:spacing w:after="0" w:line="240" w:lineRule="auto"/>
              <w:jc w:val="both"/>
              <w:rPr>
                <w:rFonts w:ascii="Calibri" w:eastAsia="Times New Roman" w:hAnsi="Calibri" w:cs="Times New Roman"/>
                <w:color w:val="000000"/>
                <w:lang w:eastAsia="en-GB"/>
              </w:rPr>
            </w:pPr>
            <w:r w:rsidRPr="00CE6BD2">
              <w:rPr>
                <w:rFonts w:ascii="Calibri" w:eastAsia="Times New Roman" w:hAnsi="Calibri" w:cs="Times New Roman"/>
                <w:b/>
                <w:bCs/>
                <w:i/>
                <w:iCs/>
                <w:color w:val="000000"/>
                <w:lang w:eastAsia="en-GB"/>
              </w:rPr>
              <w:t>Methodology</w:t>
            </w:r>
            <w:r w:rsidRPr="00CE6BD2">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Fixed Effects</w:t>
            </w:r>
          </w:p>
        </w:tc>
        <w:tc>
          <w:tcPr>
            <w:tcW w:w="707" w:type="dxa"/>
            <w:gridSpan w:val="2"/>
            <w:tcBorders>
              <w:top w:val="nil"/>
              <w:left w:val="nil"/>
              <w:bottom w:val="nil"/>
              <w:right w:val="nil"/>
            </w:tcBorders>
          </w:tcPr>
          <w:p w:rsidR="00DB071E" w:rsidRPr="00CE6BD2" w:rsidRDefault="00DB071E" w:rsidP="009D0EE5">
            <w:pPr>
              <w:spacing w:after="0" w:line="240" w:lineRule="auto"/>
              <w:rPr>
                <w:rFonts w:ascii="Calibri" w:eastAsia="Times New Roman" w:hAnsi="Calibri" w:cs="Times New Roman"/>
                <w:color w:val="000000"/>
                <w:lang w:eastAsia="en-GB"/>
              </w:rPr>
            </w:pPr>
          </w:p>
        </w:tc>
        <w:tc>
          <w:tcPr>
            <w:tcW w:w="1405" w:type="dxa"/>
            <w:tcBorders>
              <w:top w:val="nil"/>
              <w:left w:val="nil"/>
              <w:bottom w:val="nil"/>
              <w:right w:val="nil"/>
            </w:tcBorders>
          </w:tcPr>
          <w:p w:rsidR="00DB071E" w:rsidRPr="00CE6BD2" w:rsidRDefault="00DB071E" w:rsidP="009D0EE5">
            <w:pPr>
              <w:spacing w:after="0" w:line="240" w:lineRule="auto"/>
              <w:rPr>
                <w:rFonts w:ascii="Calibri" w:eastAsia="Times New Roman" w:hAnsi="Calibri" w:cs="Times New Roman"/>
                <w:color w:val="000000"/>
                <w:lang w:eastAsia="en-GB"/>
              </w:rPr>
            </w:pPr>
          </w:p>
        </w:tc>
        <w:tc>
          <w:tcPr>
            <w:tcW w:w="965" w:type="dxa"/>
            <w:tcBorders>
              <w:top w:val="nil"/>
              <w:left w:val="nil"/>
              <w:bottom w:val="nil"/>
              <w:right w:val="nil"/>
            </w:tcBorders>
            <w:shd w:val="clear" w:color="auto" w:fill="auto"/>
            <w:noWrap/>
            <w:vAlign w:val="bottom"/>
            <w:hideMark/>
          </w:tcPr>
          <w:p w:rsidR="00DB071E" w:rsidRPr="00CE6BD2" w:rsidRDefault="00DB071E" w:rsidP="009D0EE5">
            <w:pPr>
              <w:spacing w:after="0" w:line="240" w:lineRule="auto"/>
              <w:rPr>
                <w:rFonts w:ascii="Calibri" w:eastAsia="Times New Roman" w:hAnsi="Calibri" w:cs="Times New Roman"/>
                <w:color w:val="000000"/>
                <w:lang w:eastAsia="en-GB"/>
              </w:rPr>
            </w:pPr>
          </w:p>
        </w:tc>
      </w:tr>
      <w:tr w:rsidR="00DB071E" w:rsidRPr="00CE6BD2" w:rsidTr="00DB071E">
        <w:trPr>
          <w:gridAfter w:val="4"/>
          <w:wAfter w:w="3923" w:type="dxa"/>
          <w:trHeight w:val="300"/>
          <w:jc w:val="center"/>
        </w:trPr>
        <w:tc>
          <w:tcPr>
            <w:tcW w:w="3262" w:type="dxa"/>
            <w:gridSpan w:val="2"/>
            <w:tcBorders>
              <w:top w:val="nil"/>
              <w:left w:val="nil"/>
              <w:bottom w:val="nil"/>
              <w:right w:val="nil"/>
            </w:tcBorders>
          </w:tcPr>
          <w:p w:rsidR="00DB071E" w:rsidRPr="00CE6BD2" w:rsidRDefault="00DB071E" w:rsidP="009D0EE5">
            <w:pPr>
              <w:spacing w:after="0" w:line="240" w:lineRule="auto"/>
              <w:jc w:val="both"/>
              <w:rPr>
                <w:rFonts w:ascii="Calibri" w:eastAsia="Times New Roman" w:hAnsi="Calibri" w:cs="Times New Roman"/>
                <w:b/>
                <w:bCs/>
                <w:i/>
                <w:iCs/>
                <w:color w:val="000000"/>
                <w:lang w:eastAsia="en-GB"/>
              </w:rPr>
            </w:pPr>
            <w:r w:rsidRPr="00CE6BD2">
              <w:rPr>
                <w:rFonts w:ascii="Calibri" w:eastAsia="Times New Roman" w:hAnsi="Calibri" w:cs="Times New Roman"/>
                <w:b/>
                <w:bCs/>
                <w:i/>
                <w:iCs/>
                <w:color w:val="000000"/>
                <w:lang w:eastAsia="en-GB"/>
              </w:rPr>
              <w:t>Dependent Variable:</w:t>
            </w:r>
            <w:r w:rsidRPr="00CE6BD2">
              <w:rPr>
                <w:rFonts w:ascii="Calibri" w:eastAsia="Times New Roman" w:hAnsi="Calibri" w:cs="Times New Roman"/>
                <w:color w:val="000000"/>
                <w:lang w:eastAsia="en-GB"/>
              </w:rPr>
              <w:t xml:space="preserve"> Herfindahl</w:t>
            </w:r>
          </w:p>
        </w:tc>
        <w:tc>
          <w:tcPr>
            <w:tcW w:w="1337" w:type="dxa"/>
            <w:gridSpan w:val="3"/>
            <w:tcBorders>
              <w:top w:val="nil"/>
              <w:left w:val="nil"/>
              <w:bottom w:val="nil"/>
              <w:right w:val="nil"/>
            </w:tcBorders>
          </w:tcPr>
          <w:p w:rsidR="00DB071E" w:rsidRPr="00CE6BD2" w:rsidRDefault="00DB071E" w:rsidP="009D0EE5">
            <w:pPr>
              <w:spacing w:after="0" w:line="240" w:lineRule="auto"/>
              <w:jc w:val="both"/>
              <w:rPr>
                <w:rFonts w:ascii="Calibri" w:eastAsia="Times New Roman" w:hAnsi="Calibri" w:cs="Times New Roman"/>
                <w:b/>
                <w:bCs/>
                <w:i/>
                <w:iCs/>
                <w:color w:val="000000"/>
                <w:lang w:eastAsia="en-GB"/>
              </w:rPr>
            </w:pPr>
          </w:p>
        </w:tc>
        <w:tc>
          <w:tcPr>
            <w:tcW w:w="504" w:type="dxa"/>
            <w:tcBorders>
              <w:top w:val="nil"/>
              <w:left w:val="nil"/>
              <w:bottom w:val="nil"/>
              <w:right w:val="nil"/>
            </w:tcBorders>
          </w:tcPr>
          <w:p w:rsidR="00DB071E" w:rsidRPr="00CE6BD2" w:rsidRDefault="00DB071E" w:rsidP="009D0EE5">
            <w:pPr>
              <w:spacing w:after="0" w:line="240" w:lineRule="auto"/>
              <w:jc w:val="both"/>
              <w:rPr>
                <w:rFonts w:ascii="Calibri" w:eastAsia="Times New Roman" w:hAnsi="Calibri" w:cs="Times New Roman"/>
                <w:b/>
                <w:bCs/>
                <w:i/>
                <w:iCs/>
                <w:color w:val="000000"/>
                <w:lang w:eastAsia="en-GB"/>
              </w:rPr>
            </w:pPr>
          </w:p>
        </w:tc>
      </w:tr>
      <w:tr w:rsidR="00DB071E" w:rsidRPr="00CE6BD2" w:rsidTr="003B1C1F">
        <w:trPr>
          <w:trHeight w:val="300"/>
          <w:jc w:val="center"/>
        </w:trPr>
        <w:tc>
          <w:tcPr>
            <w:tcW w:w="2552" w:type="dxa"/>
            <w:tcBorders>
              <w:top w:val="single" w:sz="4" w:space="0" w:color="4F81BD"/>
              <w:left w:val="nil"/>
              <w:bottom w:val="single" w:sz="4" w:space="0" w:color="4F81BD"/>
              <w:right w:val="nil"/>
            </w:tcBorders>
            <w:shd w:val="clear" w:color="auto" w:fill="auto"/>
            <w:noWrap/>
            <w:vAlign w:val="center"/>
            <w:hideMark/>
          </w:tcPr>
          <w:p w:rsidR="00DB071E" w:rsidRPr="00CE6BD2" w:rsidRDefault="00DB071E" w:rsidP="009D0EE5">
            <w:pPr>
              <w:spacing w:after="0" w:line="240" w:lineRule="auto"/>
              <w:rPr>
                <w:rFonts w:ascii="Calibri" w:eastAsia="Times New Roman" w:hAnsi="Calibri" w:cs="Times New Roman"/>
                <w:b/>
                <w:bCs/>
                <w:color w:val="262626"/>
                <w:lang w:eastAsia="en-GB"/>
              </w:rPr>
            </w:pPr>
            <w:r w:rsidRPr="00CE6BD2">
              <w:rPr>
                <w:rFonts w:ascii="Calibri" w:eastAsia="Times New Roman" w:hAnsi="Calibri" w:cs="Times New Roman"/>
                <w:b/>
                <w:bCs/>
                <w:color w:val="262626"/>
                <w:lang w:eastAsia="en-GB"/>
              </w:rPr>
              <w:t>Variable</w:t>
            </w:r>
          </w:p>
        </w:tc>
        <w:tc>
          <w:tcPr>
            <w:tcW w:w="1134" w:type="dxa"/>
            <w:gridSpan w:val="2"/>
            <w:tcBorders>
              <w:top w:val="single" w:sz="4" w:space="0" w:color="4F81BD"/>
              <w:left w:val="nil"/>
              <w:bottom w:val="single" w:sz="4" w:space="0" w:color="4F81BD"/>
              <w:right w:val="nil"/>
            </w:tcBorders>
            <w:vAlign w:val="center"/>
          </w:tcPr>
          <w:p w:rsidR="00DB071E" w:rsidRDefault="00DB071E" w:rsidP="009D0EE5">
            <w:pPr>
              <w:spacing w:after="0" w:line="240" w:lineRule="auto"/>
              <w:jc w:val="center"/>
              <w:rPr>
                <w:rFonts w:ascii="Calibri" w:eastAsia="Times New Roman" w:hAnsi="Calibri" w:cs="Times New Roman"/>
                <w:b/>
                <w:bCs/>
                <w:color w:val="262626"/>
                <w:lang w:eastAsia="en-GB"/>
              </w:rPr>
            </w:pPr>
            <w:r>
              <w:rPr>
                <w:rFonts w:ascii="Calibri" w:eastAsia="Times New Roman" w:hAnsi="Calibri" w:cs="Times New Roman"/>
                <w:b/>
                <w:bCs/>
                <w:color w:val="262626"/>
                <w:lang w:eastAsia="en-GB"/>
              </w:rPr>
              <w:t>Model I</w:t>
            </w:r>
          </w:p>
        </w:tc>
        <w:tc>
          <w:tcPr>
            <w:tcW w:w="1417" w:type="dxa"/>
            <w:gridSpan w:val="3"/>
            <w:tcBorders>
              <w:top w:val="single" w:sz="4" w:space="0" w:color="4F81BD"/>
              <w:left w:val="nil"/>
              <w:bottom w:val="single" w:sz="4" w:space="0" w:color="4F81BD"/>
              <w:right w:val="nil"/>
            </w:tcBorders>
            <w:vAlign w:val="center"/>
          </w:tcPr>
          <w:p w:rsidR="00DB071E" w:rsidRDefault="00DB071E" w:rsidP="009D0EE5">
            <w:pPr>
              <w:spacing w:after="0" w:line="240" w:lineRule="auto"/>
              <w:jc w:val="center"/>
              <w:rPr>
                <w:rFonts w:ascii="Calibri" w:eastAsia="Times New Roman" w:hAnsi="Calibri" w:cs="Times New Roman"/>
                <w:b/>
                <w:bCs/>
                <w:color w:val="262626"/>
                <w:lang w:eastAsia="en-GB"/>
              </w:rPr>
            </w:pPr>
            <w:r>
              <w:rPr>
                <w:rFonts w:ascii="Calibri" w:eastAsia="Times New Roman" w:hAnsi="Calibri" w:cs="Times New Roman"/>
                <w:b/>
                <w:bCs/>
                <w:color w:val="262626"/>
                <w:lang w:eastAsia="en-GB"/>
              </w:rPr>
              <w:t>Model II</w:t>
            </w:r>
          </w:p>
        </w:tc>
        <w:tc>
          <w:tcPr>
            <w:tcW w:w="1405" w:type="dxa"/>
            <w:tcBorders>
              <w:top w:val="single" w:sz="4" w:space="0" w:color="4F81BD"/>
              <w:left w:val="nil"/>
              <w:bottom w:val="single" w:sz="4" w:space="0" w:color="4F81BD"/>
              <w:right w:val="nil"/>
            </w:tcBorders>
            <w:vAlign w:val="center"/>
          </w:tcPr>
          <w:p w:rsidR="00DB071E" w:rsidRDefault="00DB071E" w:rsidP="009D0EE5">
            <w:pPr>
              <w:spacing w:after="0" w:line="240" w:lineRule="auto"/>
              <w:jc w:val="center"/>
              <w:rPr>
                <w:rFonts w:ascii="Calibri" w:eastAsia="Times New Roman" w:hAnsi="Calibri" w:cs="Times New Roman"/>
                <w:b/>
                <w:bCs/>
                <w:color w:val="262626"/>
                <w:lang w:eastAsia="en-GB"/>
              </w:rPr>
            </w:pPr>
            <w:r>
              <w:rPr>
                <w:rFonts w:ascii="Calibri" w:eastAsia="Times New Roman" w:hAnsi="Calibri" w:cs="Times New Roman"/>
                <w:b/>
                <w:bCs/>
                <w:color w:val="262626"/>
                <w:lang w:eastAsia="en-GB"/>
              </w:rPr>
              <w:t>Model III</w:t>
            </w:r>
          </w:p>
        </w:tc>
        <w:tc>
          <w:tcPr>
            <w:tcW w:w="1158" w:type="dxa"/>
            <w:gridSpan w:val="2"/>
            <w:tcBorders>
              <w:top w:val="single" w:sz="4" w:space="0" w:color="4F81BD"/>
              <w:left w:val="nil"/>
              <w:bottom w:val="single" w:sz="4" w:space="0" w:color="4F81BD"/>
              <w:right w:val="nil"/>
            </w:tcBorders>
            <w:shd w:val="clear" w:color="auto" w:fill="auto"/>
            <w:noWrap/>
            <w:vAlign w:val="center"/>
          </w:tcPr>
          <w:p w:rsidR="00DB071E" w:rsidRPr="00CE6BD2" w:rsidRDefault="00DB071E" w:rsidP="009D0EE5">
            <w:pPr>
              <w:spacing w:after="0" w:line="240" w:lineRule="auto"/>
              <w:jc w:val="center"/>
              <w:rPr>
                <w:rFonts w:ascii="Calibri" w:eastAsia="Times New Roman" w:hAnsi="Calibri" w:cs="Times New Roman"/>
                <w:b/>
                <w:bCs/>
                <w:color w:val="262626"/>
                <w:lang w:eastAsia="en-GB"/>
              </w:rPr>
            </w:pPr>
            <w:r>
              <w:rPr>
                <w:rFonts w:ascii="Calibri" w:eastAsia="Times New Roman" w:hAnsi="Calibri" w:cs="Times New Roman"/>
                <w:b/>
                <w:bCs/>
                <w:color w:val="262626"/>
                <w:lang w:eastAsia="en-GB"/>
              </w:rPr>
              <w:t>Model IV</w:t>
            </w:r>
          </w:p>
        </w:tc>
        <w:tc>
          <w:tcPr>
            <w:tcW w:w="1360" w:type="dxa"/>
            <w:tcBorders>
              <w:top w:val="single" w:sz="4" w:space="0" w:color="4F81BD"/>
              <w:left w:val="nil"/>
              <w:bottom w:val="single" w:sz="4" w:space="0" w:color="4F81BD"/>
              <w:right w:val="nil"/>
            </w:tcBorders>
            <w:vAlign w:val="center"/>
          </w:tcPr>
          <w:p w:rsidR="00DB071E" w:rsidRPr="00CE6BD2" w:rsidRDefault="00DB071E" w:rsidP="009D0EE5">
            <w:pPr>
              <w:spacing w:after="0" w:line="240" w:lineRule="auto"/>
              <w:jc w:val="center"/>
              <w:rPr>
                <w:rFonts w:ascii="Calibri" w:eastAsia="Times New Roman" w:hAnsi="Calibri" w:cs="Times New Roman"/>
                <w:b/>
                <w:bCs/>
                <w:color w:val="262626"/>
                <w:lang w:eastAsia="en-GB"/>
              </w:rPr>
            </w:pPr>
            <w:r>
              <w:rPr>
                <w:rFonts w:ascii="Calibri" w:eastAsia="Times New Roman" w:hAnsi="Calibri" w:cs="Times New Roman"/>
                <w:b/>
                <w:bCs/>
                <w:color w:val="262626"/>
                <w:lang w:eastAsia="en-GB"/>
              </w:rPr>
              <w:t>Model V</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hideMark/>
          </w:tcPr>
          <w:p w:rsidR="00DB071E" w:rsidRPr="00CE6BD2" w:rsidRDefault="00DB071E" w:rsidP="009D0EE5">
            <w:pPr>
              <w:spacing w:after="0" w:line="240" w:lineRule="auto"/>
              <w:rPr>
                <w:rFonts w:ascii="Calibri" w:eastAsia="Times New Roman" w:hAnsi="Calibri" w:cs="Times New Roman"/>
                <w:i/>
                <w:iCs/>
                <w:color w:val="262626"/>
                <w:lang w:eastAsia="en-GB"/>
              </w:rPr>
            </w:pPr>
            <w:r w:rsidRPr="00CE6BD2">
              <w:rPr>
                <w:rFonts w:ascii="Calibri" w:eastAsia="Times New Roman" w:hAnsi="Calibri" w:cs="Times New Roman"/>
                <w:i/>
                <w:iCs/>
                <w:color w:val="262626"/>
                <w:lang w:eastAsia="en-GB"/>
              </w:rPr>
              <w:t>Constant</w:t>
            </w:r>
          </w:p>
        </w:tc>
        <w:tc>
          <w:tcPr>
            <w:tcW w:w="1134" w:type="dxa"/>
            <w:gridSpan w:val="2"/>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-0.0676</w:t>
            </w:r>
          </w:p>
        </w:tc>
        <w:tc>
          <w:tcPr>
            <w:tcW w:w="1417" w:type="dxa"/>
            <w:gridSpan w:val="3"/>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0.3620*</w:t>
            </w:r>
          </w:p>
        </w:tc>
        <w:tc>
          <w:tcPr>
            <w:tcW w:w="1405" w:type="dxa"/>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0.1721</w:t>
            </w: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-0.2421</w:t>
            </w: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-0.8060***</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hideMark/>
          </w:tcPr>
          <w:p w:rsidR="00DB071E" w:rsidRPr="00CE6BD2" w:rsidRDefault="00DB071E" w:rsidP="009D0EE5">
            <w:pPr>
              <w:spacing w:after="0" w:line="240" w:lineRule="auto"/>
              <w:rPr>
                <w:rFonts w:ascii="Calibri" w:eastAsia="Times New Roman" w:hAnsi="Calibri" w:cs="Times New Roman"/>
                <w:i/>
                <w:iCs/>
                <w:color w:val="262626"/>
                <w:lang w:eastAsia="en-GB"/>
              </w:rPr>
            </w:pPr>
            <w:r>
              <w:rPr>
                <w:rFonts w:ascii="Calibri" w:eastAsia="Times New Roman" w:hAnsi="Calibri" w:cs="Times New Roman"/>
                <w:i/>
                <w:iCs/>
                <w:color w:val="262626"/>
                <w:lang w:eastAsia="en-GB"/>
              </w:rPr>
              <w:t>Turnout</w:t>
            </w:r>
          </w:p>
        </w:tc>
        <w:tc>
          <w:tcPr>
            <w:tcW w:w="1134" w:type="dxa"/>
            <w:gridSpan w:val="2"/>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0.5097**</w:t>
            </w:r>
          </w:p>
        </w:tc>
        <w:tc>
          <w:tcPr>
            <w:tcW w:w="1417" w:type="dxa"/>
            <w:gridSpan w:val="3"/>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0.4227**</w:t>
            </w:r>
          </w:p>
        </w:tc>
        <w:tc>
          <w:tcPr>
            <w:tcW w:w="1405" w:type="dxa"/>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0.6365***</w:t>
            </w: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0.7118***</w:t>
            </w: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1.3648***</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hideMark/>
          </w:tcPr>
          <w:p w:rsidR="00DB071E" w:rsidRPr="00CE6BD2" w:rsidRDefault="00DB071E" w:rsidP="009D0EE5">
            <w:pPr>
              <w:spacing w:after="0" w:line="240" w:lineRule="auto"/>
              <w:rPr>
                <w:rFonts w:ascii="Calibri" w:eastAsia="Times New Roman" w:hAnsi="Calibri" w:cs="Times New Roman"/>
                <w:i/>
                <w:iCs/>
                <w:color w:val="262626"/>
                <w:lang w:eastAsia="en-GB"/>
              </w:rPr>
            </w:pPr>
            <w:r>
              <w:rPr>
                <w:rFonts w:ascii="Calibri" w:eastAsia="Times New Roman" w:hAnsi="Calibri" w:cs="Times New Roman"/>
                <w:i/>
                <w:iCs/>
                <w:color w:val="262626"/>
                <w:lang w:eastAsia="en-GB"/>
              </w:rPr>
              <w:t>ElevenElectorate</w:t>
            </w:r>
          </w:p>
        </w:tc>
        <w:tc>
          <w:tcPr>
            <w:tcW w:w="1134" w:type="dxa"/>
            <w:gridSpan w:val="2"/>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17" w:type="dxa"/>
            <w:gridSpan w:val="3"/>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-0.1664***</w:t>
            </w:r>
          </w:p>
        </w:tc>
        <w:tc>
          <w:tcPr>
            <w:tcW w:w="1405"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-0.1771***</w:t>
            </w: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tcPr>
          <w:p w:rsidR="00DB071E" w:rsidRPr="00CE6BD2" w:rsidRDefault="00DB071E" w:rsidP="009D0EE5">
            <w:pPr>
              <w:spacing w:after="0" w:line="240" w:lineRule="auto"/>
              <w:rPr>
                <w:rFonts w:ascii="Calibri" w:eastAsia="Times New Roman" w:hAnsi="Calibri" w:cs="Times New Roman"/>
                <w:i/>
                <w:iCs/>
                <w:color w:val="262626"/>
                <w:lang w:eastAsia="en-GB"/>
              </w:rPr>
            </w:pPr>
          </w:p>
        </w:tc>
        <w:tc>
          <w:tcPr>
            <w:tcW w:w="1134" w:type="dxa"/>
            <w:gridSpan w:val="2"/>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p>
        </w:tc>
        <w:tc>
          <w:tcPr>
            <w:tcW w:w="1417" w:type="dxa"/>
            <w:gridSpan w:val="3"/>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p>
        </w:tc>
        <w:tc>
          <w:tcPr>
            <w:tcW w:w="1405"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tcPr>
          <w:p w:rsidR="00DB071E" w:rsidRDefault="00DB071E" w:rsidP="009D0EE5">
            <w:pPr>
              <w:spacing w:after="0" w:line="240" w:lineRule="auto"/>
              <w:rPr>
                <w:rFonts w:ascii="Calibri" w:eastAsia="Times New Roman" w:hAnsi="Calibri" w:cs="Times New Roman"/>
                <w:i/>
                <w:iCs/>
                <w:color w:val="262626"/>
                <w:lang w:eastAsia="en-GB"/>
              </w:rPr>
            </w:pPr>
            <w:r>
              <w:rPr>
                <w:rFonts w:ascii="Calibri" w:eastAsia="Times New Roman" w:hAnsi="Calibri" w:cs="Times New Roman"/>
                <w:i/>
                <w:iCs/>
                <w:color w:val="262626"/>
                <w:lang w:eastAsia="en-GB"/>
              </w:rPr>
              <w:t>Provincial Controls</w:t>
            </w:r>
          </w:p>
        </w:tc>
        <w:tc>
          <w:tcPr>
            <w:tcW w:w="1134" w:type="dxa"/>
            <w:gridSpan w:val="2"/>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17" w:type="dxa"/>
            <w:gridSpan w:val="3"/>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05" w:type="dxa"/>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X</w:t>
            </w:r>
          </w:p>
        </w:tc>
        <w:tc>
          <w:tcPr>
            <w:tcW w:w="1158" w:type="dxa"/>
            <w:gridSpan w:val="2"/>
            <w:tcBorders>
              <w:top w:val="nil"/>
              <w:left w:val="nil"/>
              <w:bottom w:val="nil"/>
              <w:right w:val="nil"/>
            </w:tcBorders>
            <w:shd w:val="clear" w:color="000000" w:fill="FFFFFF"/>
            <w:noWrap/>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360" w:type="dxa"/>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tcPr>
          <w:p w:rsidR="00DB071E" w:rsidRDefault="00DB071E" w:rsidP="009D0EE5">
            <w:pPr>
              <w:spacing w:after="0" w:line="240" w:lineRule="auto"/>
              <w:rPr>
                <w:rFonts w:ascii="Calibri" w:eastAsia="Times New Roman" w:hAnsi="Calibri" w:cs="Times New Roman"/>
                <w:i/>
                <w:iCs/>
                <w:color w:val="262626"/>
                <w:lang w:eastAsia="en-GB"/>
              </w:rPr>
            </w:pPr>
            <w:r>
              <w:rPr>
                <w:rFonts w:ascii="Calibri" w:eastAsia="Times New Roman" w:hAnsi="Calibri" w:cs="Times New Roman"/>
                <w:i/>
                <w:iCs/>
                <w:color w:val="262626"/>
                <w:lang w:eastAsia="en-GB"/>
              </w:rPr>
              <w:t>Municipal Size Controls</w:t>
            </w:r>
          </w:p>
        </w:tc>
        <w:tc>
          <w:tcPr>
            <w:tcW w:w="1134" w:type="dxa"/>
            <w:gridSpan w:val="2"/>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17" w:type="dxa"/>
            <w:gridSpan w:val="3"/>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05" w:type="dxa"/>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X</w:t>
            </w:r>
          </w:p>
        </w:tc>
        <w:tc>
          <w:tcPr>
            <w:tcW w:w="1158" w:type="dxa"/>
            <w:gridSpan w:val="2"/>
            <w:tcBorders>
              <w:top w:val="nil"/>
              <w:left w:val="nil"/>
              <w:bottom w:val="nil"/>
              <w:right w:val="nil"/>
            </w:tcBorders>
            <w:shd w:val="clear" w:color="000000" w:fill="FFFFFF"/>
            <w:noWrap/>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360" w:type="dxa"/>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tcPr>
          <w:p w:rsidR="00DB071E" w:rsidRPr="00CE6BD2" w:rsidRDefault="00DB071E" w:rsidP="009D0EE5">
            <w:pPr>
              <w:spacing w:after="0" w:line="240" w:lineRule="auto"/>
              <w:rPr>
                <w:rFonts w:ascii="Calibri" w:eastAsia="Times New Roman" w:hAnsi="Calibri" w:cs="Times New Roman"/>
                <w:i/>
                <w:iCs/>
                <w:color w:val="262626"/>
                <w:lang w:eastAsia="en-GB"/>
              </w:rPr>
            </w:pPr>
            <w:r>
              <w:rPr>
                <w:rFonts w:ascii="Calibri" w:eastAsia="Times New Roman" w:hAnsi="Calibri" w:cs="Times New Roman"/>
                <w:i/>
                <w:iCs/>
                <w:color w:val="262626"/>
                <w:lang w:eastAsia="en-GB"/>
              </w:rPr>
              <w:t>Cross-section FEs</w:t>
            </w:r>
          </w:p>
        </w:tc>
        <w:tc>
          <w:tcPr>
            <w:tcW w:w="1134" w:type="dxa"/>
            <w:gridSpan w:val="2"/>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17" w:type="dxa"/>
            <w:gridSpan w:val="3"/>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05" w:type="dxa"/>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X</w:t>
            </w: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X</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tcPr>
          <w:p w:rsidR="00DB071E" w:rsidRPr="00CE6BD2" w:rsidRDefault="00DB071E" w:rsidP="009D0EE5">
            <w:pPr>
              <w:spacing w:after="0" w:line="240" w:lineRule="auto"/>
              <w:rPr>
                <w:rFonts w:ascii="Calibri" w:eastAsia="Times New Roman" w:hAnsi="Calibri" w:cs="Times New Roman"/>
                <w:i/>
                <w:iCs/>
                <w:color w:val="262626"/>
                <w:lang w:eastAsia="en-GB"/>
              </w:rPr>
            </w:pPr>
            <w:r>
              <w:rPr>
                <w:rFonts w:ascii="Calibri" w:eastAsia="Times New Roman" w:hAnsi="Calibri" w:cs="Times New Roman"/>
                <w:i/>
                <w:iCs/>
                <w:color w:val="262626"/>
                <w:lang w:eastAsia="en-GB"/>
              </w:rPr>
              <w:t>Period Fes</w:t>
            </w:r>
          </w:p>
        </w:tc>
        <w:tc>
          <w:tcPr>
            <w:tcW w:w="1134" w:type="dxa"/>
            <w:gridSpan w:val="2"/>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17" w:type="dxa"/>
            <w:gridSpan w:val="3"/>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405" w:type="dxa"/>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w:t>
            </w: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X</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tcPr>
          <w:p w:rsidR="00DB071E" w:rsidRPr="00CE6BD2" w:rsidRDefault="00DB071E" w:rsidP="009D0EE5">
            <w:pPr>
              <w:spacing w:after="0" w:line="240" w:lineRule="auto"/>
              <w:rPr>
                <w:rFonts w:ascii="Calibri" w:eastAsia="Times New Roman" w:hAnsi="Calibri" w:cs="Times New Roman"/>
                <w:i/>
                <w:iCs/>
                <w:color w:val="262626"/>
                <w:lang w:eastAsia="en-GB"/>
              </w:rPr>
            </w:pPr>
          </w:p>
        </w:tc>
        <w:tc>
          <w:tcPr>
            <w:tcW w:w="1134" w:type="dxa"/>
            <w:gridSpan w:val="2"/>
            <w:tcBorders>
              <w:top w:val="nil"/>
              <w:left w:val="nil"/>
              <w:bottom w:val="nil"/>
              <w:right w:val="nil"/>
            </w:tcBorders>
            <w:shd w:val="clear" w:color="000000" w:fill="FFFFFF"/>
            <w:vAlign w:val="center"/>
          </w:tcPr>
          <w:p w:rsidR="00DB071E" w:rsidRPr="00CE6BD2" w:rsidRDefault="00DB071E" w:rsidP="009D0EE5">
            <w:pPr>
              <w:spacing w:after="0" w:line="240" w:lineRule="auto"/>
              <w:jc w:val="center"/>
              <w:rPr>
                <w:rFonts w:ascii="Calibri" w:eastAsia="Times New Roman" w:hAnsi="Calibri" w:cs="Times New Roman"/>
                <w:color w:val="262626"/>
                <w:lang w:eastAsia="en-GB"/>
              </w:rPr>
            </w:pPr>
          </w:p>
        </w:tc>
        <w:tc>
          <w:tcPr>
            <w:tcW w:w="1417" w:type="dxa"/>
            <w:gridSpan w:val="3"/>
            <w:tcBorders>
              <w:top w:val="nil"/>
              <w:left w:val="nil"/>
              <w:bottom w:val="nil"/>
              <w:right w:val="nil"/>
            </w:tcBorders>
            <w:shd w:val="clear" w:color="000000" w:fill="FFFFFF"/>
            <w:vAlign w:val="center"/>
          </w:tcPr>
          <w:p w:rsidR="00DB071E" w:rsidRPr="00CE6BD2" w:rsidRDefault="00DB071E" w:rsidP="009D0EE5">
            <w:pPr>
              <w:spacing w:after="0" w:line="240" w:lineRule="auto"/>
              <w:jc w:val="center"/>
              <w:rPr>
                <w:rFonts w:ascii="Calibri" w:eastAsia="Times New Roman" w:hAnsi="Calibri" w:cs="Times New Roman"/>
                <w:color w:val="262626"/>
                <w:lang w:eastAsia="en-GB"/>
              </w:rPr>
            </w:pPr>
          </w:p>
        </w:tc>
        <w:tc>
          <w:tcPr>
            <w:tcW w:w="1405"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center"/>
              <w:rPr>
                <w:rFonts w:ascii="Calibri" w:eastAsia="Times New Roman" w:hAnsi="Calibri" w:cs="Times New Roman"/>
                <w:color w:val="262626"/>
                <w:lang w:eastAsia="en-GB"/>
              </w:rPr>
            </w:pP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center"/>
              <w:rPr>
                <w:rFonts w:ascii="Calibri" w:eastAsia="Times New Roman" w:hAnsi="Calibri" w:cs="Times New Roman"/>
                <w:color w:val="262626"/>
                <w:lang w:eastAsia="en-GB"/>
              </w:rPr>
            </w:pP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hideMark/>
          </w:tcPr>
          <w:p w:rsidR="00DB071E" w:rsidRPr="00CE6BD2" w:rsidRDefault="00DB071E" w:rsidP="009D0EE5">
            <w:pPr>
              <w:spacing w:after="0" w:line="240" w:lineRule="auto"/>
              <w:rPr>
                <w:rFonts w:ascii="Calibri" w:eastAsia="Times New Roman" w:hAnsi="Calibri" w:cs="Times New Roman"/>
                <w:i/>
                <w:iCs/>
                <w:color w:val="262626"/>
                <w:lang w:eastAsia="en-GB"/>
              </w:rPr>
            </w:pPr>
            <w:r w:rsidRPr="00CE6BD2">
              <w:rPr>
                <w:rFonts w:ascii="Calibri" w:eastAsia="Times New Roman" w:hAnsi="Calibri" w:cs="Times New Roman"/>
                <w:i/>
                <w:iCs/>
                <w:color w:val="262626"/>
                <w:lang w:eastAsia="en-GB"/>
              </w:rPr>
              <w:t>R-squared</w:t>
            </w:r>
          </w:p>
        </w:tc>
        <w:tc>
          <w:tcPr>
            <w:tcW w:w="1134" w:type="dxa"/>
            <w:gridSpan w:val="2"/>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0.0609</w:t>
            </w:r>
          </w:p>
        </w:tc>
        <w:tc>
          <w:tcPr>
            <w:tcW w:w="1417" w:type="dxa"/>
            <w:gridSpan w:val="3"/>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0.0924</w:t>
            </w:r>
          </w:p>
        </w:tc>
        <w:tc>
          <w:tcPr>
            <w:tcW w:w="1405" w:type="dxa"/>
            <w:tcBorders>
              <w:top w:val="nil"/>
              <w:left w:val="nil"/>
              <w:bottom w:val="nil"/>
              <w:right w:val="nil"/>
            </w:tcBorders>
            <w:shd w:val="clear" w:color="000000" w:fill="FFFFFF"/>
            <w:vAlign w:val="center"/>
          </w:tcPr>
          <w:p w:rsidR="00DB071E" w:rsidRDefault="003B1C1F"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0.6018</w:t>
            </w: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0.8098</w:t>
            </w: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0.8622</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hideMark/>
          </w:tcPr>
          <w:p w:rsidR="00DB071E" w:rsidRPr="00CE6BD2" w:rsidRDefault="00DB071E" w:rsidP="009D0EE5">
            <w:pPr>
              <w:spacing w:after="0" w:line="240" w:lineRule="auto"/>
              <w:rPr>
                <w:rFonts w:ascii="Calibri" w:eastAsia="Times New Roman" w:hAnsi="Calibri" w:cs="Times New Roman"/>
                <w:i/>
                <w:iCs/>
                <w:color w:val="262626"/>
                <w:lang w:eastAsia="en-GB"/>
              </w:rPr>
            </w:pPr>
            <w:r w:rsidRPr="00CE6BD2">
              <w:rPr>
                <w:rFonts w:ascii="Calibri" w:eastAsia="Times New Roman" w:hAnsi="Calibri" w:cs="Times New Roman"/>
                <w:i/>
                <w:iCs/>
                <w:color w:val="262626"/>
                <w:lang w:eastAsia="en-GB"/>
              </w:rPr>
              <w:t>Adjusted R-squared</w:t>
            </w:r>
          </w:p>
        </w:tc>
        <w:tc>
          <w:tcPr>
            <w:tcW w:w="1134" w:type="dxa"/>
            <w:gridSpan w:val="2"/>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0.0607</w:t>
            </w:r>
          </w:p>
        </w:tc>
        <w:tc>
          <w:tcPr>
            <w:tcW w:w="1417" w:type="dxa"/>
            <w:gridSpan w:val="3"/>
            <w:tcBorders>
              <w:top w:val="nil"/>
              <w:left w:val="nil"/>
              <w:bottom w:val="nil"/>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0.0920</w:t>
            </w:r>
          </w:p>
        </w:tc>
        <w:tc>
          <w:tcPr>
            <w:tcW w:w="1405" w:type="dxa"/>
            <w:tcBorders>
              <w:top w:val="nil"/>
              <w:left w:val="nil"/>
              <w:bottom w:val="nil"/>
              <w:right w:val="nil"/>
            </w:tcBorders>
            <w:shd w:val="clear" w:color="000000" w:fill="FFFFFF"/>
            <w:vAlign w:val="center"/>
          </w:tcPr>
          <w:p w:rsidR="00DB071E" w:rsidRDefault="003B1C1F" w:rsidP="003B1C1F">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0.6004</w:t>
            </w:r>
          </w:p>
        </w:tc>
        <w:tc>
          <w:tcPr>
            <w:tcW w:w="1158" w:type="dxa"/>
            <w:gridSpan w:val="2"/>
            <w:tcBorders>
              <w:top w:val="nil"/>
              <w:left w:val="nil"/>
              <w:bottom w:val="nil"/>
              <w:right w:val="nil"/>
            </w:tcBorders>
            <w:shd w:val="clear" w:color="000000" w:fill="FFFFFF"/>
            <w:noWrap/>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0.7718</w:t>
            </w: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0.8345</w:t>
            </w:r>
          </w:p>
        </w:tc>
      </w:tr>
      <w:tr w:rsidR="00DB071E" w:rsidRPr="00CE6BD2" w:rsidTr="003B1C1F">
        <w:trPr>
          <w:trHeight w:val="300"/>
          <w:jc w:val="center"/>
        </w:trPr>
        <w:tc>
          <w:tcPr>
            <w:tcW w:w="2552" w:type="dxa"/>
            <w:tcBorders>
              <w:top w:val="nil"/>
              <w:left w:val="nil"/>
              <w:bottom w:val="nil"/>
              <w:right w:val="nil"/>
            </w:tcBorders>
            <w:shd w:val="clear" w:color="000000" w:fill="FFFFFF"/>
            <w:noWrap/>
            <w:vAlign w:val="center"/>
            <w:hideMark/>
          </w:tcPr>
          <w:p w:rsidR="00DB071E" w:rsidRPr="00CE6BD2" w:rsidRDefault="00DB071E" w:rsidP="009D0EE5">
            <w:pPr>
              <w:spacing w:after="0" w:line="240" w:lineRule="auto"/>
              <w:rPr>
                <w:rFonts w:ascii="Calibri" w:eastAsia="Times New Roman" w:hAnsi="Calibri" w:cs="Times New Roman"/>
                <w:i/>
                <w:iCs/>
                <w:color w:val="262626"/>
                <w:lang w:eastAsia="en-GB"/>
              </w:rPr>
            </w:pPr>
            <w:r w:rsidRPr="00CE6BD2">
              <w:rPr>
                <w:rFonts w:ascii="Calibri" w:eastAsia="Times New Roman" w:hAnsi="Calibri" w:cs="Times New Roman"/>
                <w:i/>
                <w:iCs/>
                <w:color w:val="262626"/>
                <w:lang w:eastAsia="en-GB"/>
              </w:rPr>
              <w:t>Observations</w:t>
            </w:r>
          </w:p>
        </w:tc>
        <w:tc>
          <w:tcPr>
            <w:tcW w:w="1134" w:type="dxa"/>
            <w:gridSpan w:val="2"/>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802 x 6</w:t>
            </w:r>
          </w:p>
        </w:tc>
        <w:tc>
          <w:tcPr>
            <w:tcW w:w="1417" w:type="dxa"/>
            <w:gridSpan w:val="3"/>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802 x 6</w:t>
            </w:r>
          </w:p>
        </w:tc>
        <w:tc>
          <w:tcPr>
            <w:tcW w:w="1405"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802 x 6</w:t>
            </w:r>
          </w:p>
        </w:tc>
        <w:tc>
          <w:tcPr>
            <w:tcW w:w="1158" w:type="dxa"/>
            <w:gridSpan w:val="2"/>
            <w:tcBorders>
              <w:top w:val="nil"/>
              <w:left w:val="nil"/>
              <w:bottom w:val="nil"/>
              <w:right w:val="nil"/>
            </w:tcBorders>
            <w:shd w:val="clear" w:color="000000" w:fill="FFFFFF"/>
            <w:noWrap/>
            <w:vAlign w:val="center"/>
            <w:hideMark/>
          </w:tcPr>
          <w:p w:rsidR="00DB071E" w:rsidRPr="00CE6BD2" w:rsidRDefault="00DB071E" w:rsidP="009D0EE5">
            <w:pPr>
              <w:spacing w:after="0" w:line="240" w:lineRule="auto"/>
              <w:jc w:val="right"/>
              <w:rPr>
                <w:rFonts w:ascii="Calibri" w:eastAsia="Times New Roman" w:hAnsi="Calibri" w:cs="Times New Roman"/>
                <w:color w:val="262626"/>
                <w:lang w:eastAsia="en-GB"/>
              </w:rPr>
            </w:pPr>
            <w:r w:rsidRPr="00CE6BD2">
              <w:rPr>
                <w:rFonts w:ascii="Calibri" w:eastAsia="Times New Roman" w:hAnsi="Calibri" w:cs="Times New Roman"/>
                <w:color w:val="262626"/>
                <w:lang w:eastAsia="en-GB"/>
              </w:rPr>
              <w:t>802 x 6</w:t>
            </w:r>
          </w:p>
        </w:tc>
        <w:tc>
          <w:tcPr>
            <w:tcW w:w="1360" w:type="dxa"/>
            <w:tcBorders>
              <w:top w:val="nil"/>
              <w:left w:val="nil"/>
              <w:bottom w:val="nil"/>
              <w:right w:val="nil"/>
            </w:tcBorders>
            <w:shd w:val="clear" w:color="000000" w:fill="FFFFFF"/>
            <w:vAlign w:val="center"/>
          </w:tcPr>
          <w:p w:rsidR="00DB071E" w:rsidRPr="00CE6BD2" w:rsidRDefault="00DB071E" w:rsidP="009D0EE5">
            <w:pPr>
              <w:spacing w:after="0" w:line="240" w:lineRule="auto"/>
              <w:jc w:val="right"/>
              <w:rPr>
                <w:rFonts w:ascii="Calibri" w:eastAsia="Times New Roman" w:hAnsi="Calibri" w:cs="Times New Roman"/>
                <w:color w:val="262626"/>
                <w:lang w:eastAsia="en-GB"/>
              </w:rPr>
            </w:pPr>
            <w:r>
              <w:rPr>
                <w:rFonts w:ascii="Calibri" w:eastAsia="Times New Roman" w:hAnsi="Calibri" w:cs="Times New Roman"/>
                <w:color w:val="262626"/>
                <w:lang w:eastAsia="en-GB"/>
              </w:rPr>
              <w:t>802 x6</w:t>
            </w:r>
          </w:p>
        </w:tc>
      </w:tr>
      <w:tr w:rsidR="00DB071E" w:rsidRPr="00CE6BD2" w:rsidTr="003B1C1F">
        <w:trPr>
          <w:trHeight w:val="87"/>
          <w:jc w:val="center"/>
        </w:trPr>
        <w:tc>
          <w:tcPr>
            <w:tcW w:w="2552" w:type="dxa"/>
            <w:tcBorders>
              <w:top w:val="nil"/>
              <w:left w:val="nil"/>
              <w:bottom w:val="single" w:sz="4" w:space="0" w:color="4F81BD"/>
              <w:right w:val="nil"/>
            </w:tcBorders>
            <w:shd w:val="clear" w:color="000000" w:fill="FFFFFF"/>
            <w:noWrap/>
            <w:vAlign w:val="center"/>
          </w:tcPr>
          <w:p w:rsidR="00DB071E" w:rsidRPr="00CE6BD2" w:rsidRDefault="00DB071E" w:rsidP="009D0EE5">
            <w:pPr>
              <w:spacing w:after="0" w:line="240" w:lineRule="auto"/>
              <w:rPr>
                <w:rFonts w:ascii="Calibri" w:eastAsia="Times New Roman" w:hAnsi="Calibri" w:cs="Times New Roman"/>
                <w:i/>
                <w:iCs/>
                <w:color w:val="262626"/>
                <w:lang w:eastAsia="en-GB"/>
              </w:rPr>
            </w:pPr>
          </w:p>
        </w:tc>
        <w:tc>
          <w:tcPr>
            <w:tcW w:w="1134" w:type="dxa"/>
            <w:gridSpan w:val="2"/>
            <w:tcBorders>
              <w:top w:val="nil"/>
              <w:left w:val="nil"/>
              <w:bottom w:val="single" w:sz="4" w:space="0" w:color="4F81BD"/>
              <w:right w:val="nil"/>
            </w:tcBorders>
            <w:shd w:val="clear" w:color="000000" w:fill="FFFFFF"/>
            <w:vAlign w:val="center"/>
          </w:tcPr>
          <w:p w:rsidR="00DB071E" w:rsidRPr="00CE6BD2" w:rsidRDefault="00DB071E" w:rsidP="009D0EE5">
            <w:pPr>
              <w:spacing w:after="0" w:line="240" w:lineRule="auto"/>
              <w:jc w:val="center"/>
              <w:rPr>
                <w:rFonts w:ascii="Calibri" w:eastAsia="Times New Roman" w:hAnsi="Calibri" w:cs="Times New Roman"/>
                <w:color w:val="262626"/>
                <w:lang w:eastAsia="en-GB"/>
              </w:rPr>
            </w:pPr>
          </w:p>
        </w:tc>
        <w:tc>
          <w:tcPr>
            <w:tcW w:w="1417" w:type="dxa"/>
            <w:gridSpan w:val="3"/>
            <w:tcBorders>
              <w:top w:val="nil"/>
              <w:left w:val="nil"/>
              <w:bottom w:val="single" w:sz="4" w:space="0" w:color="4F81BD"/>
              <w:right w:val="nil"/>
            </w:tcBorders>
            <w:shd w:val="clear" w:color="000000" w:fill="FFFFFF"/>
            <w:vAlign w:val="center"/>
          </w:tcPr>
          <w:p w:rsidR="00DB071E" w:rsidRPr="00CE6BD2" w:rsidRDefault="00DB071E" w:rsidP="009D0EE5">
            <w:pPr>
              <w:spacing w:after="0" w:line="240" w:lineRule="auto"/>
              <w:jc w:val="center"/>
              <w:rPr>
                <w:rFonts w:ascii="Calibri" w:eastAsia="Times New Roman" w:hAnsi="Calibri" w:cs="Times New Roman"/>
                <w:color w:val="262626"/>
                <w:lang w:eastAsia="en-GB"/>
              </w:rPr>
            </w:pPr>
          </w:p>
        </w:tc>
        <w:tc>
          <w:tcPr>
            <w:tcW w:w="1405" w:type="dxa"/>
            <w:tcBorders>
              <w:top w:val="nil"/>
              <w:left w:val="nil"/>
              <w:bottom w:val="single" w:sz="4" w:space="0" w:color="4F81BD"/>
              <w:right w:val="nil"/>
            </w:tcBorders>
            <w:shd w:val="clear" w:color="000000" w:fill="FFFFFF"/>
            <w:vAlign w:val="center"/>
          </w:tcPr>
          <w:p w:rsidR="00DB071E" w:rsidRPr="00CE6BD2" w:rsidRDefault="00DB071E" w:rsidP="009D0EE5">
            <w:pPr>
              <w:spacing w:after="0" w:line="240" w:lineRule="auto"/>
              <w:jc w:val="center"/>
              <w:rPr>
                <w:rFonts w:ascii="Calibri" w:eastAsia="Times New Roman" w:hAnsi="Calibri" w:cs="Times New Roman"/>
                <w:color w:val="262626"/>
                <w:lang w:eastAsia="en-GB"/>
              </w:rPr>
            </w:pPr>
          </w:p>
        </w:tc>
        <w:tc>
          <w:tcPr>
            <w:tcW w:w="1158" w:type="dxa"/>
            <w:gridSpan w:val="2"/>
            <w:tcBorders>
              <w:top w:val="nil"/>
              <w:left w:val="nil"/>
              <w:bottom w:val="single" w:sz="4" w:space="0" w:color="4F81BD"/>
              <w:right w:val="nil"/>
            </w:tcBorders>
            <w:shd w:val="clear" w:color="000000" w:fill="FFFFFF"/>
            <w:noWrap/>
            <w:vAlign w:val="center"/>
          </w:tcPr>
          <w:p w:rsidR="00DB071E" w:rsidRPr="00CE6BD2" w:rsidRDefault="00DB071E" w:rsidP="009D0EE5">
            <w:pPr>
              <w:spacing w:after="0" w:line="240" w:lineRule="auto"/>
              <w:jc w:val="center"/>
              <w:rPr>
                <w:rFonts w:ascii="Calibri" w:eastAsia="Times New Roman" w:hAnsi="Calibri" w:cs="Times New Roman"/>
                <w:color w:val="262626"/>
                <w:lang w:eastAsia="en-GB"/>
              </w:rPr>
            </w:pPr>
          </w:p>
        </w:tc>
        <w:tc>
          <w:tcPr>
            <w:tcW w:w="1360" w:type="dxa"/>
            <w:tcBorders>
              <w:top w:val="nil"/>
              <w:left w:val="nil"/>
              <w:bottom w:val="single" w:sz="4" w:space="0" w:color="4F81BD"/>
              <w:right w:val="nil"/>
            </w:tcBorders>
            <w:shd w:val="clear" w:color="000000" w:fill="FFFFFF"/>
            <w:vAlign w:val="center"/>
          </w:tcPr>
          <w:p w:rsidR="00DB071E" w:rsidRDefault="00DB071E" w:rsidP="009D0EE5">
            <w:pPr>
              <w:spacing w:after="0" w:line="240" w:lineRule="auto"/>
              <w:jc w:val="right"/>
              <w:rPr>
                <w:rFonts w:ascii="Calibri" w:eastAsia="Times New Roman" w:hAnsi="Calibri" w:cs="Times New Roman"/>
                <w:color w:val="262626"/>
                <w:lang w:eastAsia="en-GB"/>
              </w:rPr>
            </w:pPr>
          </w:p>
        </w:tc>
      </w:tr>
    </w:tbl>
    <w:p w:rsidR="00DB071E" w:rsidRDefault="00DB071E" w:rsidP="00DB071E">
      <w:pPr>
        <w:spacing w:line="360" w:lineRule="auto"/>
        <w:rPr>
          <w:rFonts w:ascii="Times New Roman" w:hAnsi="Times New Roman" w:cs="Times New Roman"/>
          <w:sz w:val="24"/>
          <w:szCs w:val="24"/>
        </w:rPr>
      </w:pPr>
    </w:p>
    <w:p w:rsidR="00DB071E" w:rsidRPr="00CE6BD2" w:rsidRDefault="00DB071E" w:rsidP="00DB071E">
      <w:pPr>
        <w:spacing w:line="360" w:lineRule="auto"/>
        <w:jc w:val="center"/>
        <w:rPr>
          <w:rFonts w:ascii="Times New Roman" w:hAnsi="Times New Roman" w:cs="Times New Roman"/>
          <w:sz w:val="24"/>
          <w:szCs w:val="24"/>
        </w:rPr>
      </w:pPr>
      <w:r w:rsidRPr="0062397D">
        <w:rPr>
          <w:rFonts w:ascii="Times New Roman" w:hAnsi="Times New Roman" w:cs="Times New Roman"/>
          <w:i/>
          <w:sz w:val="18"/>
          <w:szCs w:val="24"/>
        </w:rPr>
        <w:t>Where */**/*** imply a significance level of 10%, 5% and 1% respectively</w:t>
      </w:r>
      <w:r>
        <w:rPr>
          <w:rFonts w:ascii="Times New Roman" w:hAnsi="Times New Roman" w:cs="Times New Roman"/>
          <w:i/>
          <w:sz w:val="18"/>
          <w:szCs w:val="24"/>
        </w:rPr>
        <w:br/>
        <w:t>White cross-section std. errors &amp; covariance (d.f. corrected) – clustered at the individual (AC) level</w:t>
      </w:r>
    </w:p>
    <w:p w:rsidR="004956EE" w:rsidRPr="00DB071E" w:rsidRDefault="004956EE" w:rsidP="00DB071E">
      <w:pPr>
        <w:rPr>
          <w:rFonts w:ascii="Times New Roman" w:hAnsi="Times New Roman" w:cs="Times New Roman"/>
          <w:b/>
          <w:sz w:val="24"/>
          <w:szCs w:val="24"/>
          <w:u w:val="single"/>
        </w:rPr>
      </w:pPr>
      <w:r>
        <w:rPr>
          <w:rFonts w:ascii="Times New Roman" w:hAnsi="Times New Roman" w:cs="Times New Roman"/>
          <w:b/>
          <w:sz w:val="24"/>
          <w:szCs w:val="24"/>
          <w:u w:val="single"/>
        </w:rPr>
        <w:t>Table A</w:t>
      </w:r>
      <w:r w:rsidR="007D5509">
        <w:rPr>
          <w:rFonts w:ascii="Times New Roman" w:hAnsi="Times New Roman" w:cs="Times New Roman"/>
          <w:b/>
          <w:sz w:val="24"/>
          <w:szCs w:val="24"/>
          <w:u w:val="single"/>
        </w:rPr>
        <w:t>.</w:t>
      </w:r>
      <w:r w:rsidR="009E3C2B">
        <w:rPr>
          <w:rFonts w:ascii="Times New Roman" w:hAnsi="Times New Roman" w:cs="Times New Roman"/>
          <w:b/>
          <w:sz w:val="24"/>
          <w:szCs w:val="24"/>
          <w:u w:val="single"/>
        </w:rPr>
        <w:t>6</w:t>
      </w:r>
      <w:r>
        <w:rPr>
          <w:rFonts w:ascii="Times New Roman" w:hAnsi="Times New Roman" w:cs="Times New Roman"/>
          <w:sz w:val="24"/>
          <w:szCs w:val="24"/>
        </w:rPr>
        <w:t>:</w:t>
      </w:r>
      <w:r w:rsidR="00D9767B">
        <w:rPr>
          <w:rFonts w:ascii="Times New Roman" w:hAnsi="Times New Roman" w:cs="Times New Roman"/>
          <w:sz w:val="24"/>
          <w:szCs w:val="24"/>
        </w:rPr>
        <w:t xml:space="preserve"> TSLS model </w:t>
      </w:r>
      <w:r w:rsidR="00EE4241">
        <w:rPr>
          <w:rFonts w:ascii="Times New Roman" w:hAnsi="Times New Roman" w:cs="Times New Roman"/>
          <w:sz w:val="24"/>
          <w:szCs w:val="24"/>
        </w:rPr>
        <w:t>– primary result.</w:t>
      </w:r>
    </w:p>
    <w:tbl>
      <w:tblPr>
        <w:tblW w:w="3119" w:type="dxa"/>
        <w:jc w:val="center"/>
        <w:tblLook w:val="04A0" w:firstRow="1" w:lastRow="0" w:firstColumn="1" w:lastColumn="0" w:noHBand="0" w:noVBand="1"/>
      </w:tblPr>
      <w:tblGrid>
        <w:gridCol w:w="1387"/>
        <w:gridCol w:w="1831"/>
      </w:tblGrid>
      <w:tr w:rsidR="004956EE" w:rsidRPr="004D3F4F" w:rsidTr="00D9767B">
        <w:trPr>
          <w:trHeight w:val="300"/>
          <w:jc w:val="center"/>
        </w:trPr>
        <w:tc>
          <w:tcPr>
            <w:tcW w:w="3119" w:type="dxa"/>
            <w:gridSpan w:val="2"/>
            <w:tcBorders>
              <w:top w:val="nil"/>
              <w:left w:val="nil"/>
              <w:bottom w:val="nil"/>
              <w:right w:val="nil"/>
            </w:tcBorders>
            <w:shd w:val="clear" w:color="auto" w:fill="auto"/>
            <w:noWrap/>
            <w:vAlign w:val="bottom"/>
            <w:hideMark/>
          </w:tcPr>
          <w:p w:rsidR="004956EE" w:rsidRPr="004D3F4F" w:rsidRDefault="004956EE" w:rsidP="00D9767B">
            <w:pPr>
              <w:spacing w:after="0" w:line="240" w:lineRule="auto"/>
              <w:rPr>
                <w:rFonts w:ascii="Calibri" w:eastAsia="Times New Roman" w:hAnsi="Calibri" w:cs="Times New Roman"/>
                <w:i/>
                <w:iCs/>
                <w:color w:val="000000"/>
                <w:lang w:eastAsia="en-GB"/>
              </w:rPr>
            </w:pPr>
            <w:r>
              <w:rPr>
                <w:rFonts w:ascii="Calibri" w:eastAsia="Times New Roman" w:hAnsi="Calibri" w:cs="Times New Roman"/>
                <w:b/>
                <w:bCs/>
                <w:color w:val="000000"/>
                <w:lang w:eastAsia="en-GB"/>
              </w:rPr>
              <w:t>Dependent Variable</w:t>
            </w:r>
            <w:r>
              <w:rPr>
                <w:rFonts w:ascii="Calibri" w:eastAsia="Times New Roman" w:hAnsi="Calibri" w:cs="Times New Roman"/>
                <w:bCs/>
                <w:color w:val="000000"/>
                <w:lang w:eastAsia="en-GB"/>
              </w:rPr>
              <w:t xml:space="preserve">: </w:t>
            </w:r>
            <w:r>
              <w:rPr>
                <w:rFonts w:ascii="Calibri" w:eastAsia="Times New Roman" w:hAnsi="Calibri" w:cs="Times New Roman"/>
                <w:bCs/>
                <w:i/>
                <w:color w:val="000000"/>
                <w:lang w:eastAsia="en-GB"/>
              </w:rPr>
              <w:t>Herfindahl</w:t>
            </w:r>
            <w:r>
              <w:rPr>
                <w:rFonts w:ascii="Calibri" w:eastAsia="Times New Roman" w:hAnsi="Calibri" w:cs="Times New Roman"/>
                <w:b/>
                <w:bCs/>
                <w:color w:val="000000"/>
                <w:lang w:eastAsia="en-GB"/>
              </w:rPr>
              <w:br/>
            </w:r>
            <w:r w:rsidRPr="004D3F4F">
              <w:rPr>
                <w:rFonts w:ascii="Calibri" w:eastAsia="Times New Roman" w:hAnsi="Calibri" w:cs="Times New Roman"/>
                <w:b/>
                <w:bCs/>
                <w:color w:val="000000"/>
                <w:lang w:eastAsia="en-GB"/>
              </w:rPr>
              <w:t>Instrument</w:t>
            </w:r>
            <w:r w:rsidRPr="004D3F4F">
              <w:rPr>
                <w:rFonts w:ascii="Calibri" w:eastAsia="Times New Roman" w:hAnsi="Calibri" w:cs="Times New Roman"/>
                <w:color w:val="000000"/>
                <w:lang w:eastAsia="en-GB"/>
              </w:rPr>
              <w:t xml:space="preserve">: </w:t>
            </w:r>
            <w:r w:rsidR="00CA60D9">
              <w:rPr>
                <w:rFonts w:ascii="Calibri" w:eastAsia="Times New Roman" w:hAnsi="Calibri" w:cs="Times New Roman"/>
                <w:color w:val="000000"/>
                <w:lang w:eastAsia="en-GB"/>
              </w:rPr>
              <w:t xml:space="preserve">C </w:t>
            </w:r>
            <w:r w:rsidRPr="004D3F4F">
              <w:rPr>
                <w:rFonts w:ascii="Calibri" w:eastAsia="Times New Roman" w:hAnsi="Calibri" w:cs="Times New Roman"/>
                <w:i/>
                <w:iCs/>
                <w:color w:val="000000"/>
                <w:lang w:eastAsia="en-GB"/>
              </w:rPr>
              <w:t>Treatment</w:t>
            </w:r>
          </w:p>
        </w:tc>
      </w:tr>
      <w:tr w:rsidR="004956EE" w:rsidRPr="004D3F4F" w:rsidTr="00D9767B">
        <w:trPr>
          <w:trHeight w:val="300"/>
          <w:jc w:val="center"/>
        </w:trPr>
        <w:tc>
          <w:tcPr>
            <w:tcW w:w="1288" w:type="dxa"/>
            <w:tcBorders>
              <w:top w:val="single" w:sz="4" w:space="0" w:color="4F81BD"/>
              <w:left w:val="nil"/>
              <w:bottom w:val="single" w:sz="4" w:space="0" w:color="4F81BD"/>
              <w:right w:val="nil"/>
            </w:tcBorders>
            <w:shd w:val="clear" w:color="000000" w:fill="FFFFFF"/>
            <w:noWrap/>
            <w:vAlign w:val="bottom"/>
            <w:hideMark/>
          </w:tcPr>
          <w:p w:rsidR="004956EE" w:rsidRPr="00A65E68" w:rsidRDefault="004956EE" w:rsidP="00D9767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Variable</w:t>
            </w:r>
          </w:p>
        </w:tc>
        <w:tc>
          <w:tcPr>
            <w:tcW w:w="1831" w:type="dxa"/>
            <w:tcBorders>
              <w:top w:val="single" w:sz="4" w:space="0" w:color="4F81BD"/>
              <w:left w:val="nil"/>
              <w:bottom w:val="single" w:sz="4" w:space="0" w:color="4F81BD"/>
              <w:right w:val="nil"/>
            </w:tcBorders>
            <w:shd w:val="clear" w:color="000000" w:fill="FFFFFF"/>
            <w:noWrap/>
            <w:vAlign w:val="bottom"/>
            <w:hideMark/>
          </w:tcPr>
          <w:p w:rsidR="004956EE" w:rsidRPr="00A65E68" w:rsidRDefault="004956EE" w:rsidP="00D9767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Coefficient</w:t>
            </w:r>
          </w:p>
        </w:tc>
      </w:tr>
      <w:tr w:rsidR="004956EE" w:rsidRPr="004D3F4F" w:rsidTr="00D9767B">
        <w:trPr>
          <w:trHeight w:val="300"/>
          <w:jc w:val="center"/>
        </w:trPr>
        <w:tc>
          <w:tcPr>
            <w:tcW w:w="1288" w:type="dxa"/>
            <w:tcBorders>
              <w:top w:val="nil"/>
              <w:left w:val="nil"/>
              <w:bottom w:val="nil"/>
              <w:right w:val="nil"/>
            </w:tcBorders>
            <w:shd w:val="clear" w:color="000000" w:fill="FFFFFF"/>
            <w:noWrap/>
            <w:vAlign w:val="bottom"/>
            <w:hideMark/>
          </w:tcPr>
          <w:p w:rsidR="004956EE" w:rsidRPr="00A65E68" w:rsidRDefault="004956EE" w:rsidP="00D9767B">
            <w:pPr>
              <w:spacing w:after="0" w:line="240" w:lineRule="auto"/>
              <w:rPr>
                <w:rFonts w:ascii="Calibri" w:eastAsia="Times New Roman" w:hAnsi="Calibri" w:cs="Times New Roman"/>
                <w:i/>
                <w:iCs/>
                <w:color w:val="0D0D0D" w:themeColor="text1" w:themeTint="F2"/>
                <w:lang w:eastAsia="en-GB"/>
              </w:rPr>
            </w:pPr>
            <w:r w:rsidRPr="00A65E68">
              <w:rPr>
                <w:rFonts w:ascii="Calibri" w:eastAsia="Times New Roman" w:hAnsi="Calibri" w:cs="Times New Roman"/>
                <w:i/>
                <w:iCs/>
                <w:color w:val="0D0D0D" w:themeColor="text1" w:themeTint="F2"/>
                <w:lang w:eastAsia="en-GB"/>
              </w:rPr>
              <w:t>C</w:t>
            </w:r>
          </w:p>
        </w:tc>
        <w:tc>
          <w:tcPr>
            <w:tcW w:w="1831" w:type="dxa"/>
            <w:tcBorders>
              <w:top w:val="nil"/>
              <w:left w:val="nil"/>
              <w:bottom w:val="nil"/>
              <w:right w:val="nil"/>
            </w:tcBorders>
            <w:shd w:val="clear" w:color="000000" w:fill="FFFFFF"/>
            <w:noWrap/>
            <w:vAlign w:val="bottom"/>
            <w:hideMark/>
          </w:tcPr>
          <w:p w:rsidR="004956EE" w:rsidRPr="00A65E68" w:rsidRDefault="004956EE" w:rsidP="00D9767B">
            <w:pPr>
              <w:spacing w:after="0" w:line="240" w:lineRule="auto"/>
              <w:jc w:val="right"/>
              <w:rPr>
                <w:rFonts w:ascii="Calibri" w:eastAsia="Times New Roman" w:hAnsi="Calibri" w:cs="Times New Roman"/>
                <w:color w:val="0D0D0D" w:themeColor="text1" w:themeTint="F2"/>
                <w:lang w:eastAsia="en-GB"/>
              </w:rPr>
            </w:pPr>
            <w:r w:rsidRPr="00A65E68">
              <w:rPr>
                <w:rFonts w:ascii="Calibri" w:eastAsia="Times New Roman" w:hAnsi="Calibri" w:cs="Times New Roman"/>
                <w:color w:val="0D0D0D" w:themeColor="text1" w:themeTint="F2"/>
                <w:lang w:eastAsia="en-GB"/>
              </w:rPr>
              <w:t>-0.21861</w:t>
            </w:r>
          </w:p>
        </w:tc>
      </w:tr>
      <w:tr w:rsidR="004956EE" w:rsidRPr="004D3F4F" w:rsidTr="00D9767B">
        <w:trPr>
          <w:trHeight w:val="300"/>
          <w:jc w:val="center"/>
        </w:trPr>
        <w:tc>
          <w:tcPr>
            <w:tcW w:w="1288" w:type="dxa"/>
            <w:tcBorders>
              <w:top w:val="nil"/>
              <w:left w:val="nil"/>
              <w:bottom w:val="single" w:sz="4" w:space="0" w:color="4F81BD"/>
              <w:right w:val="nil"/>
            </w:tcBorders>
            <w:shd w:val="clear" w:color="000000" w:fill="FFFFFF"/>
            <w:noWrap/>
            <w:vAlign w:val="bottom"/>
            <w:hideMark/>
          </w:tcPr>
          <w:p w:rsidR="004956EE" w:rsidRPr="00A65E68" w:rsidRDefault="004C1757" w:rsidP="004C1757">
            <w:pPr>
              <w:spacing w:after="0" w:line="240" w:lineRule="auto"/>
              <w:rPr>
                <w:rFonts w:ascii="Calibri" w:eastAsia="Times New Roman" w:hAnsi="Calibri" w:cs="Times New Roman"/>
                <w:i/>
                <w:iCs/>
                <w:color w:val="0D0D0D" w:themeColor="text1" w:themeTint="F2"/>
                <w:lang w:eastAsia="en-GB"/>
              </w:rPr>
            </w:pPr>
            <w:r>
              <w:rPr>
                <w:rFonts w:ascii="Calibri" w:eastAsia="Times New Roman" w:hAnsi="Calibri" w:cs="Times New Roman"/>
                <w:i/>
                <w:iCs/>
                <w:color w:val="0D0D0D" w:themeColor="text1" w:themeTint="F2"/>
                <w:lang w:eastAsia="en-GB"/>
              </w:rPr>
              <w:t>Turnout</w:t>
            </w:r>
          </w:p>
        </w:tc>
        <w:tc>
          <w:tcPr>
            <w:tcW w:w="1831" w:type="dxa"/>
            <w:tcBorders>
              <w:top w:val="nil"/>
              <w:left w:val="nil"/>
              <w:bottom w:val="single" w:sz="4" w:space="0" w:color="4F81BD"/>
              <w:right w:val="nil"/>
            </w:tcBorders>
            <w:shd w:val="clear" w:color="000000" w:fill="FFFFFF"/>
            <w:noWrap/>
            <w:vAlign w:val="bottom"/>
            <w:hideMark/>
          </w:tcPr>
          <w:p w:rsidR="004956EE" w:rsidRPr="00A65E68" w:rsidRDefault="004956EE" w:rsidP="00D9767B">
            <w:pPr>
              <w:spacing w:after="0" w:line="240" w:lineRule="auto"/>
              <w:jc w:val="right"/>
              <w:rPr>
                <w:rFonts w:ascii="Calibri" w:eastAsia="Times New Roman" w:hAnsi="Calibri" w:cs="Times New Roman"/>
                <w:color w:val="0D0D0D" w:themeColor="text1" w:themeTint="F2"/>
                <w:lang w:eastAsia="en-GB"/>
              </w:rPr>
            </w:pPr>
            <w:r w:rsidRPr="00A65E68">
              <w:rPr>
                <w:rFonts w:ascii="Calibri" w:eastAsia="Times New Roman" w:hAnsi="Calibri" w:cs="Times New Roman"/>
                <w:color w:val="0D0D0D" w:themeColor="text1" w:themeTint="F2"/>
                <w:lang w:eastAsia="en-GB"/>
              </w:rPr>
              <w:t>0.68460***</w:t>
            </w:r>
          </w:p>
        </w:tc>
      </w:tr>
      <w:tr w:rsidR="004956EE" w:rsidRPr="001D02CF" w:rsidTr="004956EE">
        <w:trPr>
          <w:trHeight w:val="300"/>
          <w:jc w:val="center"/>
        </w:trPr>
        <w:tc>
          <w:tcPr>
            <w:tcW w:w="1288" w:type="dxa"/>
            <w:tcBorders>
              <w:top w:val="nil"/>
              <w:left w:val="nil"/>
              <w:bottom w:val="single" w:sz="4" w:space="0" w:color="4F81BD"/>
              <w:right w:val="nil"/>
            </w:tcBorders>
            <w:shd w:val="clear" w:color="000000" w:fill="FFFFFF"/>
            <w:noWrap/>
            <w:vAlign w:val="bottom"/>
            <w:hideMark/>
          </w:tcPr>
          <w:p w:rsidR="004956EE" w:rsidRPr="004956EE" w:rsidRDefault="004956EE" w:rsidP="00D9767B">
            <w:pPr>
              <w:spacing w:after="0" w:line="240" w:lineRule="auto"/>
              <w:rPr>
                <w:rFonts w:ascii="Calibri" w:eastAsia="Times New Roman" w:hAnsi="Calibri" w:cs="Times New Roman"/>
                <w:i/>
                <w:iCs/>
                <w:color w:val="0D0D0D" w:themeColor="text1" w:themeTint="F2"/>
                <w:vertAlign w:val="superscript"/>
                <w:lang w:eastAsia="en-GB"/>
              </w:rPr>
            </w:pPr>
            <w:r w:rsidRPr="004956EE">
              <w:rPr>
                <w:rFonts w:ascii="Calibri" w:eastAsia="Times New Roman" w:hAnsi="Calibri" w:cs="Times New Roman"/>
                <w:i/>
                <w:iCs/>
                <w:color w:val="0D0D0D" w:themeColor="text1" w:themeTint="F2"/>
                <w:lang w:eastAsia="en-GB"/>
              </w:rPr>
              <w:t>R</w:t>
            </w:r>
            <w:r>
              <w:rPr>
                <w:rFonts w:ascii="Calibri" w:eastAsia="Times New Roman" w:hAnsi="Calibri" w:cs="Times New Roman"/>
                <w:i/>
                <w:iCs/>
                <w:color w:val="0D0D0D" w:themeColor="text1" w:themeTint="F2"/>
                <w:vertAlign w:val="superscript"/>
                <w:lang w:eastAsia="en-GB"/>
              </w:rPr>
              <w:t>2</w:t>
            </w:r>
          </w:p>
        </w:tc>
        <w:tc>
          <w:tcPr>
            <w:tcW w:w="1831" w:type="dxa"/>
            <w:tcBorders>
              <w:top w:val="nil"/>
              <w:left w:val="nil"/>
              <w:bottom w:val="single" w:sz="4" w:space="0" w:color="4F81BD"/>
              <w:right w:val="nil"/>
            </w:tcBorders>
            <w:shd w:val="clear" w:color="000000" w:fill="FFFFFF"/>
            <w:noWrap/>
            <w:vAlign w:val="bottom"/>
            <w:hideMark/>
          </w:tcPr>
          <w:p w:rsidR="004956EE" w:rsidRPr="001D02CF" w:rsidRDefault="004956EE"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0.0537</w:t>
            </w:r>
          </w:p>
        </w:tc>
      </w:tr>
      <w:tr w:rsidR="004956EE" w:rsidRPr="001D02CF" w:rsidTr="004956EE">
        <w:trPr>
          <w:trHeight w:val="300"/>
          <w:jc w:val="center"/>
        </w:trPr>
        <w:tc>
          <w:tcPr>
            <w:tcW w:w="1288" w:type="dxa"/>
            <w:tcBorders>
              <w:top w:val="nil"/>
              <w:left w:val="nil"/>
              <w:bottom w:val="single" w:sz="4" w:space="0" w:color="4F81BD"/>
              <w:right w:val="nil"/>
            </w:tcBorders>
            <w:shd w:val="clear" w:color="000000" w:fill="FFFFFF"/>
            <w:noWrap/>
            <w:vAlign w:val="bottom"/>
            <w:hideMark/>
          </w:tcPr>
          <w:p w:rsidR="004956EE" w:rsidRPr="004956EE" w:rsidRDefault="004956EE" w:rsidP="00D9767B">
            <w:pPr>
              <w:spacing w:after="0" w:line="240" w:lineRule="auto"/>
              <w:rPr>
                <w:rFonts w:ascii="Calibri" w:eastAsia="Times New Roman" w:hAnsi="Calibri" w:cs="Times New Roman"/>
                <w:i/>
                <w:iCs/>
                <w:color w:val="0D0D0D" w:themeColor="text1" w:themeTint="F2"/>
                <w:lang w:eastAsia="en-GB"/>
              </w:rPr>
            </w:pPr>
            <w:r w:rsidRPr="004956EE">
              <w:rPr>
                <w:rFonts w:ascii="Calibri" w:eastAsia="Times New Roman" w:hAnsi="Calibri" w:cs="Times New Roman"/>
                <w:i/>
                <w:iCs/>
                <w:color w:val="0D0D0D" w:themeColor="text1" w:themeTint="F2"/>
                <w:lang w:eastAsia="en-GB"/>
              </w:rPr>
              <w:t>Observations</w:t>
            </w:r>
          </w:p>
        </w:tc>
        <w:tc>
          <w:tcPr>
            <w:tcW w:w="1831" w:type="dxa"/>
            <w:tcBorders>
              <w:top w:val="nil"/>
              <w:left w:val="nil"/>
              <w:bottom w:val="single" w:sz="4" w:space="0" w:color="4F81BD"/>
              <w:right w:val="nil"/>
            </w:tcBorders>
            <w:shd w:val="clear" w:color="000000" w:fill="FFFFFF"/>
            <w:noWrap/>
            <w:vAlign w:val="bottom"/>
            <w:hideMark/>
          </w:tcPr>
          <w:p w:rsidR="004956EE" w:rsidRPr="001D02CF" w:rsidRDefault="004956EE" w:rsidP="00A832F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 xml:space="preserve">802 x </w:t>
            </w:r>
            <w:r w:rsidR="00A832F7">
              <w:rPr>
                <w:rFonts w:ascii="Calibri" w:eastAsia="Times New Roman" w:hAnsi="Calibri" w:cs="Times New Roman"/>
                <w:color w:val="0D0D0D" w:themeColor="text1" w:themeTint="F2"/>
                <w:lang w:eastAsia="en-GB"/>
              </w:rPr>
              <w:t>6</w:t>
            </w:r>
          </w:p>
        </w:tc>
      </w:tr>
    </w:tbl>
    <w:p w:rsidR="00B535E9" w:rsidRDefault="004956EE" w:rsidP="004956EE">
      <w:pPr>
        <w:spacing w:line="360" w:lineRule="auto"/>
        <w:jc w:val="center"/>
        <w:rPr>
          <w:rFonts w:ascii="Times New Roman" w:hAnsi="Times New Roman" w:cs="Times New Roman"/>
          <w:i/>
          <w:sz w:val="18"/>
          <w:szCs w:val="24"/>
        </w:rPr>
      </w:pPr>
      <w:r>
        <w:rPr>
          <w:rFonts w:ascii="Times New Roman" w:hAnsi="Times New Roman" w:cs="Times New Roman"/>
          <w:i/>
          <w:sz w:val="18"/>
          <w:szCs w:val="24"/>
        </w:rPr>
        <w:br/>
      </w:r>
      <w:r w:rsidRPr="0062397D">
        <w:rPr>
          <w:rFonts w:ascii="Times New Roman" w:hAnsi="Times New Roman" w:cs="Times New Roman"/>
          <w:i/>
          <w:sz w:val="18"/>
          <w:szCs w:val="24"/>
        </w:rPr>
        <w:t>Where */**/*** imply a significance level of 10%, 5% and 1% respectively</w:t>
      </w:r>
      <w:r>
        <w:rPr>
          <w:rFonts w:ascii="Times New Roman" w:hAnsi="Times New Roman" w:cs="Times New Roman"/>
          <w:i/>
          <w:sz w:val="18"/>
          <w:szCs w:val="24"/>
        </w:rPr>
        <w:br/>
        <w:t>White cross-section std. errors &amp; covariance (d.f. corrected)</w:t>
      </w:r>
      <w:r w:rsidRPr="00CD5FCA">
        <w:rPr>
          <w:rFonts w:ascii="Times New Roman" w:hAnsi="Times New Roman" w:cs="Times New Roman"/>
          <w:i/>
          <w:sz w:val="18"/>
          <w:szCs w:val="24"/>
        </w:rPr>
        <w:t xml:space="preserve"> </w:t>
      </w:r>
      <w:r>
        <w:rPr>
          <w:rFonts w:ascii="Times New Roman" w:hAnsi="Times New Roman" w:cs="Times New Roman"/>
          <w:i/>
          <w:sz w:val="18"/>
          <w:szCs w:val="24"/>
        </w:rPr>
        <w:t>– clustered at the individual (AC) level</w:t>
      </w:r>
    </w:p>
    <w:p w:rsidR="004956EE" w:rsidRPr="004956EE" w:rsidRDefault="009E3C2B" w:rsidP="004956EE">
      <w:pPr>
        <w:spacing w:line="360" w:lineRule="auto"/>
        <w:rPr>
          <w:rFonts w:ascii="Times New Roman" w:hAnsi="Times New Roman" w:cs="Times New Roman"/>
          <w:sz w:val="24"/>
          <w:szCs w:val="24"/>
        </w:rPr>
      </w:pPr>
      <w:r>
        <w:rPr>
          <w:rFonts w:ascii="Times New Roman" w:hAnsi="Times New Roman" w:cs="Times New Roman"/>
          <w:b/>
          <w:sz w:val="24"/>
          <w:szCs w:val="24"/>
          <w:u w:val="single"/>
        </w:rPr>
        <w:t>Table A.7</w:t>
      </w:r>
      <w:r w:rsidR="004956EE">
        <w:rPr>
          <w:rFonts w:ascii="Times New Roman" w:hAnsi="Times New Roman" w:cs="Times New Roman"/>
          <w:sz w:val="24"/>
          <w:szCs w:val="24"/>
        </w:rPr>
        <w:t>:</w:t>
      </w:r>
      <w:r w:rsidR="00EE4241">
        <w:rPr>
          <w:rFonts w:ascii="Times New Roman" w:hAnsi="Times New Roman" w:cs="Times New Roman"/>
          <w:sz w:val="24"/>
          <w:szCs w:val="24"/>
        </w:rPr>
        <w:t xml:space="preserve"> TSLS model – secondary result.</w:t>
      </w:r>
    </w:p>
    <w:tbl>
      <w:tblPr>
        <w:tblW w:w="3544" w:type="dxa"/>
        <w:jc w:val="center"/>
        <w:tblLook w:val="04A0" w:firstRow="1" w:lastRow="0" w:firstColumn="1" w:lastColumn="0" w:noHBand="0" w:noVBand="1"/>
      </w:tblPr>
      <w:tblGrid>
        <w:gridCol w:w="1387"/>
        <w:gridCol w:w="1831"/>
        <w:gridCol w:w="326"/>
      </w:tblGrid>
      <w:tr w:rsidR="004956EE" w:rsidRPr="004D3F4F" w:rsidTr="00B25B1E">
        <w:trPr>
          <w:trHeight w:val="300"/>
          <w:jc w:val="center"/>
        </w:trPr>
        <w:tc>
          <w:tcPr>
            <w:tcW w:w="3544" w:type="dxa"/>
            <w:gridSpan w:val="3"/>
            <w:tcBorders>
              <w:top w:val="nil"/>
              <w:left w:val="nil"/>
              <w:bottom w:val="nil"/>
              <w:right w:val="nil"/>
            </w:tcBorders>
            <w:shd w:val="clear" w:color="auto" w:fill="auto"/>
            <w:noWrap/>
            <w:vAlign w:val="bottom"/>
            <w:hideMark/>
          </w:tcPr>
          <w:p w:rsidR="004956EE" w:rsidRPr="004D3F4F" w:rsidRDefault="004956EE" w:rsidP="00390A48">
            <w:pPr>
              <w:spacing w:after="0" w:line="240" w:lineRule="auto"/>
              <w:rPr>
                <w:rFonts w:ascii="Calibri" w:eastAsia="Times New Roman" w:hAnsi="Calibri" w:cs="Times New Roman"/>
                <w:i/>
                <w:iCs/>
                <w:color w:val="000000"/>
                <w:lang w:eastAsia="en-GB"/>
              </w:rPr>
            </w:pPr>
            <w:r>
              <w:rPr>
                <w:rFonts w:ascii="Calibri" w:eastAsia="Times New Roman" w:hAnsi="Calibri" w:cs="Times New Roman"/>
                <w:b/>
                <w:bCs/>
                <w:color w:val="000000"/>
                <w:lang w:eastAsia="en-GB"/>
              </w:rPr>
              <w:t>Dependent Variable</w:t>
            </w:r>
            <w:r>
              <w:rPr>
                <w:rFonts w:ascii="Calibri" w:eastAsia="Times New Roman" w:hAnsi="Calibri" w:cs="Times New Roman"/>
                <w:bCs/>
                <w:color w:val="000000"/>
                <w:lang w:eastAsia="en-GB"/>
              </w:rPr>
              <w:t xml:space="preserve">: </w:t>
            </w:r>
            <w:r>
              <w:rPr>
                <w:rFonts w:ascii="Calibri" w:eastAsia="Times New Roman" w:hAnsi="Calibri" w:cs="Times New Roman"/>
                <w:bCs/>
                <w:i/>
                <w:color w:val="000000"/>
                <w:lang w:eastAsia="en-GB"/>
              </w:rPr>
              <w:t>LT10VS</w:t>
            </w:r>
            <w:r>
              <w:rPr>
                <w:rFonts w:ascii="Calibri" w:eastAsia="Times New Roman" w:hAnsi="Calibri" w:cs="Times New Roman"/>
                <w:b/>
                <w:bCs/>
                <w:color w:val="000000"/>
                <w:lang w:eastAsia="en-GB"/>
              </w:rPr>
              <w:br/>
            </w:r>
            <w:r w:rsidRPr="004D3F4F">
              <w:rPr>
                <w:rFonts w:ascii="Calibri" w:eastAsia="Times New Roman" w:hAnsi="Calibri" w:cs="Times New Roman"/>
                <w:b/>
                <w:bCs/>
                <w:color w:val="000000"/>
                <w:lang w:eastAsia="en-GB"/>
              </w:rPr>
              <w:t>Instrument</w:t>
            </w:r>
            <w:r w:rsidRPr="004D3F4F">
              <w:rPr>
                <w:rFonts w:ascii="Calibri" w:eastAsia="Times New Roman" w:hAnsi="Calibri" w:cs="Times New Roman"/>
                <w:color w:val="000000"/>
                <w:lang w:eastAsia="en-GB"/>
              </w:rPr>
              <w:t xml:space="preserve">: </w:t>
            </w:r>
            <w:r w:rsidR="00B25B1E">
              <w:rPr>
                <w:rFonts w:ascii="Calibri" w:eastAsia="Times New Roman" w:hAnsi="Calibri" w:cs="Times New Roman"/>
                <w:color w:val="000000"/>
                <w:lang w:eastAsia="en-GB"/>
              </w:rPr>
              <w:t xml:space="preserve">C </w:t>
            </w:r>
            <w:r w:rsidRPr="004D3F4F">
              <w:rPr>
                <w:rFonts w:ascii="Calibri" w:eastAsia="Times New Roman" w:hAnsi="Calibri" w:cs="Times New Roman"/>
                <w:i/>
                <w:iCs/>
                <w:color w:val="000000"/>
                <w:lang w:eastAsia="en-GB"/>
              </w:rPr>
              <w:t>Treatment</w:t>
            </w:r>
            <w:r w:rsidR="00B25B1E">
              <w:rPr>
                <w:rFonts w:ascii="Calibri" w:eastAsia="Times New Roman" w:hAnsi="Calibri" w:cs="Times New Roman"/>
                <w:i/>
                <w:iCs/>
                <w:color w:val="000000"/>
                <w:lang w:eastAsia="en-GB"/>
              </w:rPr>
              <w:t xml:space="preserve"> </w:t>
            </w:r>
          </w:p>
        </w:tc>
      </w:tr>
      <w:tr w:rsidR="004956EE" w:rsidRPr="004D3F4F" w:rsidTr="00B25B1E">
        <w:trPr>
          <w:gridAfter w:val="1"/>
          <w:wAfter w:w="326" w:type="dxa"/>
          <w:trHeight w:val="300"/>
          <w:jc w:val="center"/>
        </w:trPr>
        <w:tc>
          <w:tcPr>
            <w:tcW w:w="1387" w:type="dxa"/>
            <w:tcBorders>
              <w:top w:val="single" w:sz="4" w:space="0" w:color="4F81BD"/>
              <w:left w:val="nil"/>
              <w:bottom w:val="single" w:sz="4" w:space="0" w:color="4F81BD"/>
              <w:right w:val="nil"/>
            </w:tcBorders>
            <w:shd w:val="clear" w:color="000000" w:fill="FFFFFF"/>
            <w:noWrap/>
            <w:vAlign w:val="bottom"/>
            <w:hideMark/>
          </w:tcPr>
          <w:p w:rsidR="004956EE" w:rsidRPr="00A65E68" w:rsidRDefault="004956EE" w:rsidP="00D9767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Variable</w:t>
            </w:r>
          </w:p>
        </w:tc>
        <w:tc>
          <w:tcPr>
            <w:tcW w:w="1831" w:type="dxa"/>
            <w:tcBorders>
              <w:top w:val="single" w:sz="4" w:space="0" w:color="4F81BD"/>
              <w:left w:val="nil"/>
              <w:bottom w:val="single" w:sz="4" w:space="0" w:color="4F81BD"/>
              <w:right w:val="nil"/>
            </w:tcBorders>
            <w:shd w:val="clear" w:color="000000" w:fill="FFFFFF"/>
            <w:noWrap/>
            <w:vAlign w:val="bottom"/>
            <w:hideMark/>
          </w:tcPr>
          <w:p w:rsidR="004956EE" w:rsidRPr="00A65E68" w:rsidRDefault="004956EE" w:rsidP="00D9767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Coefficient</w:t>
            </w:r>
          </w:p>
        </w:tc>
      </w:tr>
      <w:tr w:rsidR="004956EE" w:rsidRPr="004D3F4F" w:rsidTr="00B25B1E">
        <w:trPr>
          <w:gridAfter w:val="1"/>
          <w:wAfter w:w="326" w:type="dxa"/>
          <w:trHeight w:val="300"/>
          <w:jc w:val="center"/>
        </w:trPr>
        <w:tc>
          <w:tcPr>
            <w:tcW w:w="1387" w:type="dxa"/>
            <w:tcBorders>
              <w:top w:val="nil"/>
              <w:left w:val="nil"/>
              <w:bottom w:val="nil"/>
              <w:right w:val="nil"/>
            </w:tcBorders>
            <w:shd w:val="clear" w:color="000000" w:fill="FFFFFF"/>
            <w:noWrap/>
            <w:vAlign w:val="bottom"/>
            <w:hideMark/>
          </w:tcPr>
          <w:p w:rsidR="004956EE" w:rsidRPr="00A65E68" w:rsidRDefault="004956EE" w:rsidP="004956EE">
            <w:pPr>
              <w:spacing w:after="0" w:line="240" w:lineRule="auto"/>
              <w:rPr>
                <w:rFonts w:ascii="Calibri" w:eastAsia="Times New Roman" w:hAnsi="Calibri" w:cs="Times New Roman"/>
                <w:i/>
                <w:iCs/>
                <w:color w:val="0D0D0D" w:themeColor="text1" w:themeTint="F2"/>
                <w:lang w:eastAsia="en-GB"/>
              </w:rPr>
            </w:pPr>
            <w:r w:rsidRPr="00A65E68">
              <w:rPr>
                <w:rFonts w:ascii="Calibri" w:eastAsia="Times New Roman" w:hAnsi="Calibri" w:cs="Times New Roman"/>
                <w:i/>
                <w:iCs/>
                <w:color w:val="0D0D0D" w:themeColor="text1" w:themeTint="F2"/>
                <w:lang w:eastAsia="en-GB"/>
              </w:rPr>
              <w:t>C</w:t>
            </w:r>
          </w:p>
        </w:tc>
        <w:tc>
          <w:tcPr>
            <w:tcW w:w="1831" w:type="dxa"/>
            <w:tcBorders>
              <w:top w:val="nil"/>
              <w:left w:val="nil"/>
              <w:bottom w:val="nil"/>
              <w:right w:val="nil"/>
            </w:tcBorders>
            <w:shd w:val="clear" w:color="000000" w:fill="FFFFFF"/>
            <w:noWrap/>
            <w:vAlign w:val="bottom"/>
          </w:tcPr>
          <w:p w:rsidR="004956EE" w:rsidRPr="00A65E68" w:rsidRDefault="00284BC8"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3.9697***</w:t>
            </w:r>
          </w:p>
        </w:tc>
      </w:tr>
      <w:tr w:rsidR="004956EE" w:rsidRPr="004D3F4F" w:rsidTr="00B25B1E">
        <w:trPr>
          <w:gridAfter w:val="1"/>
          <w:wAfter w:w="326" w:type="dxa"/>
          <w:trHeight w:val="300"/>
          <w:jc w:val="center"/>
        </w:trPr>
        <w:tc>
          <w:tcPr>
            <w:tcW w:w="1387" w:type="dxa"/>
            <w:tcBorders>
              <w:top w:val="nil"/>
              <w:left w:val="nil"/>
              <w:bottom w:val="single" w:sz="4" w:space="0" w:color="4F81BD"/>
              <w:right w:val="nil"/>
            </w:tcBorders>
            <w:shd w:val="clear" w:color="000000" w:fill="FFFFFF"/>
            <w:noWrap/>
            <w:vAlign w:val="bottom"/>
            <w:hideMark/>
          </w:tcPr>
          <w:p w:rsidR="004956EE" w:rsidRPr="00A65E68" w:rsidRDefault="004C1757" w:rsidP="004C1757">
            <w:pPr>
              <w:spacing w:after="0" w:line="240" w:lineRule="auto"/>
              <w:rPr>
                <w:rFonts w:ascii="Calibri" w:eastAsia="Times New Roman" w:hAnsi="Calibri" w:cs="Times New Roman"/>
                <w:i/>
                <w:iCs/>
                <w:color w:val="0D0D0D" w:themeColor="text1" w:themeTint="F2"/>
                <w:lang w:eastAsia="en-GB"/>
              </w:rPr>
            </w:pPr>
            <w:r>
              <w:rPr>
                <w:rFonts w:ascii="Calibri" w:eastAsia="Times New Roman" w:hAnsi="Calibri" w:cs="Times New Roman"/>
                <w:i/>
                <w:iCs/>
                <w:color w:val="0D0D0D" w:themeColor="text1" w:themeTint="F2"/>
                <w:lang w:eastAsia="en-GB"/>
              </w:rPr>
              <w:t>Turnout</w:t>
            </w:r>
          </w:p>
        </w:tc>
        <w:tc>
          <w:tcPr>
            <w:tcW w:w="1831" w:type="dxa"/>
            <w:tcBorders>
              <w:top w:val="nil"/>
              <w:left w:val="nil"/>
              <w:bottom w:val="single" w:sz="4" w:space="0" w:color="4F81BD"/>
              <w:right w:val="nil"/>
            </w:tcBorders>
            <w:shd w:val="clear" w:color="000000" w:fill="FFFFFF"/>
            <w:noWrap/>
            <w:vAlign w:val="bottom"/>
          </w:tcPr>
          <w:p w:rsidR="004956EE" w:rsidRPr="00A65E68" w:rsidRDefault="00284BC8"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-1.2978**</w:t>
            </w:r>
          </w:p>
        </w:tc>
      </w:tr>
      <w:tr w:rsidR="004956EE" w:rsidRPr="001D02CF" w:rsidTr="00284BC8">
        <w:trPr>
          <w:gridAfter w:val="1"/>
          <w:wAfter w:w="326" w:type="dxa"/>
          <w:trHeight w:val="300"/>
          <w:jc w:val="center"/>
        </w:trPr>
        <w:tc>
          <w:tcPr>
            <w:tcW w:w="1387" w:type="dxa"/>
            <w:tcBorders>
              <w:top w:val="nil"/>
              <w:left w:val="nil"/>
              <w:bottom w:val="single" w:sz="4" w:space="0" w:color="4F81BD"/>
              <w:right w:val="nil"/>
            </w:tcBorders>
            <w:shd w:val="clear" w:color="000000" w:fill="FFFFFF"/>
            <w:noWrap/>
            <w:vAlign w:val="bottom"/>
            <w:hideMark/>
          </w:tcPr>
          <w:p w:rsidR="004956EE" w:rsidRPr="004956EE" w:rsidRDefault="004956EE" w:rsidP="004956EE">
            <w:pPr>
              <w:spacing w:after="0" w:line="240" w:lineRule="auto"/>
              <w:rPr>
                <w:rFonts w:ascii="Calibri" w:eastAsia="Times New Roman" w:hAnsi="Calibri" w:cs="Times New Roman"/>
                <w:i/>
                <w:iCs/>
                <w:color w:val="0D0D0D" w:themeColor="text1" w:themeTint="F2"/>
                <w:vertAlign w:val="superscript"/>
                <w:lang w:eastAsia="en-GB"/>
              </w:rPr>
            </w:pPr>
            <w:r w:rsidRPr="004956EE">
              <w:rPr>
                <w:rFonts w:ascii="Calibri" w:eastAsia="Times New Roman" w:hAnsi="Calibri" w:cs="Times New Roman"/>
                <w:i/>
                <w:iCs/>
                <w:color w:val="0D0D0D" w:themeColor="text1" w:themeTint="F2"/>
                <w:lang w:eastAsia="en-GB"/>
              </w:rPr>
              <w:t>R</w:t>
            </w:r>
            <w:r>
              <w:rPr>
                <w:rFonts w:ascii="Calibri" w:eastAsia="Times New Roman" w:hAnsi="Calibri" w:cs="Times New Roman"/>
                <w:i/>
                <w:iCs/>
                <w:color w:val="0D0D0D" w:themeColor="text1" w:themeTint="F2"/>
                <w:vertAlign w:val="superscript"/>
                <w:lang w:eastAsia="en-GB"/>
              </w:rPr>
              <w:t>2</w:t>
            </w:r>
          </w:p>
        </w:tc>
        <w:tc>
          <w:tcPr>
            <w:tcW w:w="1831" w:type="dxa"/>
            <w:tcBorders>
              <w:top w:val="nil"/>
              <w:left w:val="nil"/>
              <w:bottom w:val="single" w:sz="4" w:space="0" w:color="4F81BD"/>
              <w:right w:val="nil"/>
            </w:tcBorders>
            <w:shd w:val="clear" w:color="000000" w:fill="FFFFFF"/>
            <w:noWrap/>
            <w:vAlign w:val="bottom"/>
          </w:tcPr>
          <w:p w:rsidR="004956EE" w:rsidRPr="001D02CF" w:rsidRDefault="00284BC8" w:rsidP="00B25B1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0.0029</w:t>
            </w:r>
          </w:p>
        </w:tc>
      </w:tr>
      <w:tr w:rsidR="004956EE" w:rsidRPr="001D02CF" w:rsidTr="00B25B1E">
        <w:trPr>
          <w:gridAfter w:val="1"/>
          <w:wAfter w:w="326" w:type="dxa"/>
          <w:trHeight w:val="300"/>
          <w:jc w:val="center"/>
        </w:trPr>
        <w:tc>
          <w:tcPr>
            <w:tcW w:w="1387" w:type="dxa"/>
            <w:tcBorders>
              <w:top w:val="nil"/>
              <w:left w:val="nil"/>
              <w:bottom w:val="single" w:sz="4" w:space="0" w:color="4F81BD"/>
              <w:right w:val="nil"/>
            </w:tcBorders>
            <w:shd w:val="clear" w:color="000000" w:fill="FFFFFF"/>
            <w:noWrap/>
            <w:vAlign w:val="bottom"/>
            <w:hideMark/>
          </w:tcPr>
          <w:p w:rsidR="004956EE" w:rsidRPr="004956EE" w:rsidRDefault="004956EE" w:rsidP="004956EE">
            <w:pPr>
              <w:spacing w:after="0" w:line="240" w:lineRule="auto"/>
              <w:rPr>
                <w:rFonts w:ascii="Calibri" w:eastAsia="Times New Roman" w:hAnsi="Calibri" w:cs="Times New Roman"/>
                <w:i/>
                <w:iCs/>
                <w:color w:val="0D0D0D" w:themeColor="text1" w:themeTint="F2"/>
                <w:lang w:eastAsia="en-GB"/>
              </w:rPr>
            </w:pPr>
            <w:r w:rsidRPr="004956EE">
              <w:rPr>
                <w:rFonts w:ascii="Calibri" w:eastAsia="Times New Roman" w:hAnsi="Calibri" w:cs="Times New Roman"/>
                <w:i/>
                <w:iCs/>
                <w:color w:val="0D0D0D" w:themeColor="text1" w:themeTint="F2"/>
                <w:lang w:eastAsia="en-GB"/>
              </w:rPr>
              <w:t>Observations</w:t>
            </w:r>
          </w:p>
        </w:tc>
        <w:tc>
          <w:tcPr>
            <w:tcW w:w="1831" w:type="dxa"/>
            <w:tcBorders>
              <w:top w:val="nil"/>
              <w:left w:val="nil"/>
              <w:bottom w:val="single" w:sz="4" w:space="0" w:color="4F81BD"/>
              <w:right w:val="nil"/>
            </w:tcBorders>
            <w:shd w:val="clear" w:color="000000" w:fill="FFFFFF"/>
            <w:noWrap/>
            <w:vAlign w:val="bottom"/>
            <w:hideMark/>
          </w:tcPr>
          <w:p w:rsidR="004956EE" w:rsidRPr="001D02CF" w:rsidRDefault="00A832F7" w:rsidP="00A832F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802 x 6</w:t>
            </w:r>
          </w:p>
        </w:tc>
      </w:tr>
    </w:tbl>
    <w:p w:rsidR="004956EE" w:rsidRDefault="004956EE" w:rsidP="004956EE">
      <w:pPr>
        <w:spacing w:line="360" w:lineRule="auto"/>
        <w:jc w:val="center"/>
        <w:rPr>
          <w:rFonts w:ascii="Times New Roman" w:hAnsi="Times New Roman" w:cs="Times New Roman"/>
          <w:i/>
          <w:sz w:val="18"/>
          <w:szCs w:val="24"/>
        </w:rPr>
      </w:pPr>
      <w:r>
        <w:rPr>
          <w:rFonts w:ascii="Times New Roman" w:hAnsi="Times New Roman" w:cs="Times New Roman"/>
          <w:i/>
          <w:sz w:val="18"/>
          <w:szCs w:val="24"/>
        </w:rPr>
        <w:lastRenderedPageBreak/>
        <w:br/>
      </w:r>
      <w:r w:rsidRPr="0062397D">
        <w:rPr>
          <w:rFonts w:ascii="Times New Roman" w:hAnsi="Times New Roman" w:cs="Times New Roman"/>
          <w:i/>
          <w:sz w:val="18"/>
          <w:szCs w:val="24"/>
        </w:rPr>
        <w:t>Where */**/*** imply a significance level of 10%, 5% and 1% respectively</w:t>
      </w:r>
      <w:r>
        <w:rPr>
          <w:rFonts w:ascii="Times New Roman" w:hAnsi="Times New Roman" w:cs="Times New Roman"/>
          <w:i/>
          <w:sz w:val="18"/>
          <w:szCs w:val="24"/>
        </w:rPr>
        <w:br/>
        <w:t>White cross-section std. errors &amp; covariance (d.f. corrected)</w:t>
      </w:r>
      <w:r w:rsidRPr="00CD5FCA">
        <w:rPr>
          <w:rFonts w:ascii="Times New Roman" w:hAnsi="Times New Roman" w:cs="Times New Roman"/>
          <w:i/>
          <w:sz w:val="18"/>
          <w:szCs w:val="24"/>
        </w:rPr>
        <w:t xml:space="preserve"> </w:t>
      </w:r>
      <w:r>
        <w:rPr>
          <w:rFonts w:ascii="Times New Roman" w:hAnsi="Times New Roman" w:cs="Times New Roman"/>
          <w:i/>
          <w:sz w:val="18"/>
          <w:szCs w:val="24"/>
        </w:rPr>
        <w:t>– clustered at the individual (AC) level</w:t>
      </w:r>
    </w:p>
    <w:p w:rsidR="00563E0B" w:rsidRPr="00DB071E" w:rsidRDefault="004956EE" w:rsidP="00F60175">
      <w:pPr>
        <w:rPr>
          <w:rFonts w:ascii="Times New Roman" w:hAnsi="Times New Roman" w:cs="Times New Roman"/>
          <w:b/>
          <w:sz w:val="24"/>
          <w:u w:val="single"/>
        </w:rPr>
      </w:pPr>
      <w:r>
        <w:rPr>
          <w:rFonts w:ascii="Times New Roman" w:hAnsi="Times New Roman" w:cs="Times New Roman"/>
          <w:b/>
          <w:sz w:val="24"/>
          <w:u w:val="single"/>
        </w:rPr>
        <w:t>Table A</w:t>
      </w:r>
      <w:r w:rsidR="009E3C2B">
        <w:rPr>
          <w:rFonts w:ascii="Times New Roman" w:hAnsi="Times New Roman" w:cs="Times New Roman"/>
          <w:b/>
          <w:sz w:val="24"/>
          <w:u w:val="single"/>
        </w:rPr>
        <w:t>.8</w:t>
      </w:r>
      <w:r>
        <w:rPr>
          <w:rFonts w:ascii="Times New Roman" w:hAnsi="Times New Roman" w:cs="Times New Roman"/>
          <w:sz w:val="24"/>
        </w:rPr>
        <w:t>:</w:t>
      </w:r>
      <w:r w:rsidR="00EE4241">
        <w:rPr>
          <w:rFonts w:ascii="Times New Roman" w:hAnsi="Times New Roman" w:cs="Times New Roman"/>
          <w:sz w:val="24"/>
        </w:rPr>
        <w:t xml:space="preserve"> TSLS model – adjusted primary result.</w:t>
      </w:r>
    </w:p>
    <w:tbl>
      <w:tblPr>
        <w:tblW w:w="5975" w:type="dxa"/>
        <w:jc w:val="center"/>
        <w:tblLook w:val="04A0" w:firstRow="1" w:lastRow="0" w:firstColumn="1" w:lastColumn="0" w:noHBand="0" w:noVBand="1"/>
      </w:tblPr>
      <w:tblGrid>
        <w:gridCol w:w="1397"/>
        <w:gridCol w:w="2289"/>
        <w:gridCol w:w="2289"/>
      </w:tblGrid>
      <w:tr w:rsidR="004C1757" w:rsidRPr="004D3F4F" w:rsidTr="004C1757">
        <w:trPr>
          <w:trHeight w:val="300"/>
          <w:jc w:val="center"/>
        </w:trPr>
        <w:tc>
          <w:tcPr>
            <w:tcW w:w="3686" w:type="dxa"/>
            <w:gridSpan w:val="2"/>
            <w:tcBorders>
              <w:top w:val="nil"/>
              <w:left w:val="nil"/>
              <w:bottom w:val="nil"/>
              <w:right w:val="nil"/>
            </w:tcBorders>
            <w:shd w:val="clear" w:color="auto" w:fill="auto"/>
            <w:noWrap/>
            <w:vAlign w:val="bottom"/>
            <w:hideMark/>
          </w:tcPr>
          <w:p w:rsidR="004C1757" w:rsidRPr="004D3F4F" w:rsidRDefault="004C1757" w:rsidP="00390A48">
            <w:pPr>
              <w:spacing w:after="0" w:line="240" w:lineRule="auto"/>
              <w:rPr>
                <w:rFonts w:ascii="Calibri" w:eastAsia="Times New Roman" w:hAnsi="Calibri" w:cs="Times New Roman"/>
                <w:i/>
                <w:iCs/>
                <w:color w:val="000000"/>
                <w:lang w:eastAsia="en-GB"/>
              </w:rPr>
            </w:pPr>
            <w:r>
              <w:rPr>
                <w:rFonts w:ascii="Calibri" w:eastAsia="Times New Roman" w:hAnsi="Calibri" w:cs="Times New Roman"/>
                <w:b/>
                <w:bCs/>
                <w:color w:val="000000"/>
                <w:lang w:eastAsia="en-GB"/>
              </w:rPr>
              <w:t>Dependent Variable</w:t>
            </w:r>
            <w:r>
              <w:rPr>
                <w:rFonts w:ascii="Calibri" w:eastAsia="Times New Roman" w:hAnsi="Calibri" w:cs="Times New Roman"/>
                <w:bCs/>
                <w:color w:val="000000"/>
                <w:lang w:eastAsia="en-GB"/>
              </w:rPr>
              <w:t xml:space="preserve">: </w:t>
            </w:r>
            <w:r>
              <w:rPr>
                <w:rFonts w:ascii="Calibri" w:eastAsia="Times New Roman" w:hAnsi="Calibri" w:cs="Times New Roman"/>
                <w:bCs/>
                <w:i/>
                <w:color w:val="000000"/>
                <w:lang w:eastAsia="en-GB"/>
              </w:rPr>
              <w:t>Herfindahl</w:t>
            </w:r>
            <w:r>
              <w:rPr>
                <w:rFonts w:ascii="Calibri" w:eastAsia="Times New Roman" w:hAnsi="Calibri" w:cs="Times New Roman"/>
                <w:b/>
                <w:bCs/>
                <w:color w:val="000000"/>
                <w:lang w:eastAsia="en-GB"/>
              </w:rPr>
              <w:br/>
            </w:r>
            <w:r w:rsidRPr="004D3F4F">
              <w:rPr>
                <w:rFonts w:ascii="Calibri" w:eastAsia="Times New Roman" w:hAnsi="Calibri" w:cs="Times New Roman"/>
                <w:b/>
                <w:bCs/>
                <w:color w:val="000000"/>
                <w:lang w:eastAsia="en-GB"/>
              </w:rPr>
              <w:t>Instrument</w:t>
            </w:r>
            <w:r w:rsidRPr="004D3F4F">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C </w:t>
            </w:r>
            <w:r>
              <w:rPr>
                <w:rFonts w:ascii="Calibri" w:eastAsia="Times New Roman" w:hAnsi="Calibri" w:cs="Times New Roman"/>
                <w:i/>
                <w:iCs/>
                <w:color w:val="000000"/>
                <w:lang w:eastAsia="en-GB"/>
              </w:rPr>
              <w:t xml:space="preserve">Treatment </w:t>
            </w:r>
          </w:p>
        </w:tc>
        <w:tc>
          <w:tcPr>
            <w:tcW w:w="2289" w:type="dxa"/>
            <w:tcBorders>
              <w:top w:val="nil"/>
              <w:left w:val="nil"/>
              <w:bottom w:val="nil"/>
              <w:right w:val="nil"/>
            </w:tcBorders>
          </w:tcPr>
          <w:p w:rsidR="004C1757" w:rsidRDefault="004C1757" w:rsidP="008434D1">
            <w:pPr>
              <w:spacing w:after="0" w:line="240" w:lineRule="auto"/>
              <w:rPr>
                <w:rFonts w:ascii="Calibri" w:eastAsia="Times New Roman" w:hAnsi="Calibri" w:cs="Times New Roman"/>
                <w:b/>
                <w:bCs/>
                <w:color w:val="000000"/>
                <w:lang w:eastAsia="en-GB"/>
              </w:rPr>
            </w:pPr>
          </w:p>
        </w:tc>
      </w:tr>
      <w:tr w:rsidR="004C1757" w:rsidRPr="004D3F4F" w:rsidTr="004C1757">
        <w:trPr>
          <w:trHeight w:val="300"/>
          <w:jc w:val="center"/>
        </w:trPr>
        <w:tc>
          <w:tcPr>
            <w:tcW w:w="1397" w:type="dxa"/>
            <w:tcBorders>
              <w:top w:val="single" w:sz="4" w:space="0" w:color="4F81BD"/>
              <w:left w:val="nil"/>
              <w:bottom w:val="single" w:sz="4" w:space="0" w:color="4F81BD"/>
              <w:right w:val="nil"/>
            </w:tcBorders>
            <w:shd w:val="clear" w:color="000000" w:fill="FFFFFF"/>
            <w:noWrap/>
            <w:vAlign w:val="center"/>
            <w:hideMark/>
          </w:tcPr>
          <w:p w:rsidR="004C1757" w:rsidRPr="00A65E68" w:rsidRDefault="004C1757" w:rsidP="00D9767B">
            <w:pPr>
              <w:spacing w:after="0" w:line="240" w:lineRule="auto"/>
              <w:jc w:val="center"/>
              <w:rPr>
                <w:rFonts w:ascii="Calibri" w:eastAsia="Times New Roman" w:hAnsi="Calibri" w:cs="Times New Roman"/>
                <w:b/>
                <w:bCs/>
                <w:color w:val="0D0D0D" w:themeColor="text1" w:themeTint="F2"/>
                <w:sz w:val="20"/>
                <w:lang w:eastAsia="en-GB"/>
              </w:rPr>
            </w:pPr>
            <w:r w:rsidRPr="00A65E68">
              <w:rPr>
                <w:rFonts w:ascii="Calibri" w:eastAsia="Times New Roman" w:hAnsi="Calibri" w:cs="Times New Roman"/>
                <w:b/>
                <w:bCs/>
                <w:color w:val="0D0D0D" w:themeColor="text1" w:themeTint="F2"/>
                <w:sz w:val="20"/>
                <w:lang w:eastAsia="en-GB"/>
              </w:rPr>
              <w:t>Variable</w:t>
            </w:r>
          </w:p>
        </w:tc>
        <w:tc>
          <w:tcPr>
            <w:tcW w:w="2289" w:type="dxa"/>
            <w:tcBorders>
              <w:top w:val="single" w:sz="4" w:space="0" w:color="4F81BD"/>
              <w:left w:val="nil"/>
              <w:bottom w:val="single" w:sz="4" w:space="0" w:color="4F81BD"/>
              <w:right w:val="nil"/>
            </w:tcBorders>
            <w:shd w:val="clear" w:color="000000" w:fill="FFFFFF"/>
            <w:noWrap/>
            <w:vAlign w:val="center"/>
            <w:hideMark/>
          </w:tcPr>
          <w:p w:rsidR="004C1757" w:rsidRPr="00A65E68" w:rsidRDefault="004C1757" w:rsidP="00D9767B">
            <w:pPr>
              <w:spacing w:after="0" w:line="240" w:lineRule="auto"/>
              <w:jc w:val="center"/>
              <w:rPr>
                <w:rFonts w:ascii="Calibri" w:eastAsia="Times New Roman" w:hAnsi="Calibri" w:cs="Times New Roman"/>
                <w:b/>
                <w:bCs/>
                <w:color w:val="0D0D0D" w:themeColor="text1" w:themeTint="F2"/>
                <w:sz w:val="20"/>
                <w:lang w:eastAsia="en-GB"/>
              </w:rPr>
            </w:pPr>
            <w:r>
              <w:rPr>
                <w:rFonts w:ascii="Calibri" w:eastAsia="Times New Roman" w:hAnsi="Calibri" w:cs="Times New Roman"/>
                <w:b/>
                <w:bCs/>
                <w:color w:val="0D0D0D" w:themeColor="text1" w:themeTint="F2"/>
                <w:sz w:val="20"/>
                <w:lang w:eastAsia="en-GB"/>
              </w:rPr>
              <w:t xml:space="preserve">Model I </w:t>
            </w:r>
          </w:p>
        </w:tc>
        <w:tc>
          <w:tcPr>
            <w:tcW w:w="2289" w:type="dxa"/>
            <w:tcBorders>
              <w:top w:val="single" w:sz="4" w:space="0" w:color="4F81BD"/>
              <w:left w:val="nil"/>
              <w:bottom w:val="single" w:sz="4" w:space="0" w:color="4F81BD"/>
              <w:right w:val="nil"/>
            </w:tcBorders>
            <w:shd w:val="clear" w:color="000000" w:fill="FFFFFF"/>
            <w:vAlign w:val="center"/>
          </w:tcPr>
          <w:p w:rsidR="004C1757" w:rsidRPr="00A65E68" w:rsidRDefault="004C1757" w:rsidP="00D9767B">
            <w:pPr>
              <w:spacing w:after="0" w:line="240" w:lineRule="auto"/>
              <w:jc w:val="center"/>
              <w:rPr>
                <w:rFonts w:ascii="Calibri" w:eastAsia="Times New Roman" w:hAnsi="Calibri" w:cs="Times New Roman"/>
                <w:b/>
                <w:bCs/>
                <w:color w:val="0D0D0D" w:themeColor="text1" w:themeTint="F2"/>
                <w:sz w:val="20"/>
                <w:lang w:eastAsia="en-GB"/>
              </w:rPr>
            </w:pPr>
            <w:r>
              <w:rPr>
                <w:rFonts w:ascii="Calibri" w:eastAsia="Times New Roman" w:hAnsi="Calibri" w:cs="Times New Roman"/>
                <w:b/>
                <w:bCs/>
                <w:color w:val="0D0D0D" w:themeColor="text1" w:themeTint="F2"/>
                <w:sz w:val="20"/>
                <w:lang w:eastAsia="en-GB"/>
              </w:rPr>
              <w:t>Model II</w:t>
            </w:r>
          </w:p>
        </w:tc>
      </w:tr>
      <w:tr w:rsidR="004C1757" w:rsidRPr="004D3F4F" w:rsidTr="004C1757">
        <w:trPr>
          <w:trHeight w:val="300"/>
          <w:jc w:val="center"/>
        </w:trPr>
        <w:tc>
          <w:tcPr>
            <w:tcW w:w="1397" w:type="dxa"/>
            <w:tcBorders>
              <w:top w:val="nil"/>
              <w:left w:val="nil"/>
              <w:bottom w:val="nil"/>
              <w:right w:val="nil"/>
            </w:tcBorders>
            <w:shd w:val="clear" w:color="000000" w:fill="FFFFFF"/>
            <w:noWrap/>
            <w:vAlign w:val="center"/>
            <w:hideMark/>
          </w:tcPr>
          <w:p w:rsidR="004C1757" w:rsidRPr="004956EE" w:rsidRDefault="004C1757" w:rsidP="004956EE">
            <w:pPr>
              <w:spacing w:after="0" w:line="240" w:lineRule="auto"/>
              <w:rPr>
                <w:rFonts w:ascii="Calibri" w:eastAsia="Times New Roman" w:hAnsi="Calibri" w:cs="Times New Roman"/>
                <w:i/>
                <w:iCs/>
                <w:color w:val="0D0D0D" w:themeColor="text1" w:themeTint="F2"/>
                <w:lang w:eastAsia="en-GB"/>
              </w:rPr>
            </w:pPr>
            <w:r w:rsidRPr="004956EE">
              <w:rPr>
                <w:rFonts w:ascii="Calibri" w:eastAsia="Times New Roman" w:hAnsi="Calibri" w:cs="Times New Roman"/>
                <w:i/>
                <w:iCs/>
                <w:color w:val="0D0D0D" w:themeColor="text1" w:themeTint="F2"/>
                <w:lang w:eastAsia="en-GB"/>
              </w:rPr>
              <w:t>C</w:t>
            </w:r>
          </w:p>
        </w:tc>
        <w:tc>
          <w:tcPr>
            <w:tcW w:w="2289" w:type="dxa"/>
            <w:tcBorders>
              <w:top w:val="nil"/>
              <w:left w:val="nil"/>
              <w:bottom w:val="nil"/>
              <w:right w:val="nil"/>
            </w:tcBorders>
            <w:shd w:val="clear" w:color="000000" w:fill="FFFFFF"/>
            <w:noWrap/>
            <w:vAlign w:val="center"/>
          </w:tcPr>
          <w:p w:rsidR="004C1757" w:rsidRPr="00A65E68" w:rsidRDefault="004C1757"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-0.2680</w:t>
            </w:r>
          </w:p>
        </w:tc>
        <w:tc>
          <w:tcPr>
            <w:tcW w:w="2289" w:type="dxa"/>
            <w:tcBorders>
              <w:top w:val="nil"/>
              <w:left w:val="nil"/>
              <w:bottom w:val="nil"/>
              <w:right w:val="nil"/>
            </w:tcBorders>
            <w:shd w:val="clear" w:color="000000" w:fill="FFFFFF"/>
            <w:vAlign w:val="center"/>
          </w:tcPr>
          <w:p w:rsidR="004C1757" w:rsidRDefault="004C1757"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-0.2064***</w:t>
            </w:r>
          </w:p>
        </w:tc>
      </w:tr>
      <w:tr w:rsidR="004C1757" w:rsidRPr="004D3F4F" w:rsidTr="004C1757">
        <w:trPr>
          <w:trHeight w:val="279"/>
          <w:jc w:val="center"/>
        </w:trPr>
        <w:tc>
          <w:tcPr>
            <w:tcW w:w="1397" w:type="dxa"/>
            <w:tcBorders>
              <w:top w:val="nil"/>
              <w:left w:val="nil"/>
              <w:bottom w:val="single" w:sz="4" w:space="0" w:color="4F81BD"/>
              <w:right w:val="nil"/>
            </w:tcBorders>
            <w:shd w:val="clear" w:color="000000" w:fill="FFFFFF"/>
            <w:noWrap/>
            <w:vAlign w:val="center"/>
            <w:hideMark/>
          </w:tcPr>
          <w:p w:rsidR="004C1757" w:rsidRPr="004956EE" w:rsidRDefault="004C1757" w:rsidP="004956EE">
            <w:pPr>
              <w:spacing w:after="0" w:line="240" w:lineRule="auto"/>
              <w:rPr>
                <w:rFonts w:ascii="Calibri" w:eastAsia="Times New Roman" w:hAnsi="Calibri" w:cs="Times New Roman"/>
                <w:i/>
                <w:iCs/>
                <w:color w:val="0D0D0D" w:themeColor="text1" w:themeTint="F2"/>
                <w:lang w:eastAsia="en-GB"/>
              </w:rPr>
            </w:pPr>
            <w:r w:rsidRPr="004956EE">
              <w:rPr>
                <w:rFonts w:ascii="Calibri" w:eastAsia="Times New Roman" w:hAnsi="Calibri" w:cs="Times New Roman"/>
                <w:i/>
                <w:iCs/>
                <w:color w:val="0D0D0D" w:themeColor="text1" w:themeTint="F2"/>
                <w:lang w:eastAsia="en-GB"/>
              </w:rPr>
              <w:t>ValidTurnout</w:t>
            </w:r>
          </w:p>
        </w:tc>
        <w:tc>
          <w:tcPr>
            <w:tcW w:w="2289" w:type="dxa"/>
            <w:tcBorders>
              <w:top w:val="nil"/>
              <w:left w:val="nil"/>
              <w:bottom w:val="single" w:sz="4" w:space="0" w:color="4F81BD"/>
              <w:right w:val="nil"/>
            </w:tcBorders>
            <w:shd w:val="clear" w:color="000000" w:fill="FFFFFF"/>
            <w:noWrap/>
            <w:vAlign w:val="center"/>
          </w:tcPr>
          <w:p w:rsidR="004C1757" w:rsidRPr="00A65E68" w:rsidRDefault="004C1757"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0.7544***</w:t>
            </w:r>
          </w:p>
        </w:tc>
        <w:tc>
          <w:tcPr>
            <w:tcW w:w="2289" w:type="dxa"/>
            <w:tcBorders>
              <w:top w:val="nil"/>
              <w:left w:val="nil"/>
              <w:bottom w:val="single" w:sz="4" w:space="0" w:color="4F81BD"/>
              <w:right w:val="nil"/>
            </w:tcBorders>
            <w:shd w:val="clear" w:color="000000" w:fill="FFFFFF"/>
            <w:vAlign w:val="center"/>
          </w:tcPr>
          <w:p w:rsidR="004C1757" w:rsidRDefault="004C1757"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0.1740***</w:t>
            </w:r>
          </w:p>
        </w:tc>
      </w:tr>
      <w:tr w:rsidR="004C1757" w:rsidRPr="001D02CF" w:rsidTr="004C1757">
        <w:trPr>
          <w:trHeight w:val="300"/>
          <w:jc w:val="center"/>
        </w:trPr>
        <w:tc>
          <w:tcPr>
            <w:tcW w:w="1397" w:type="dxa"/>
            <w:tcBorders>
              <w:top w:val="nil"/>
              <w:left w:val="nil"/>
              <w:bottom w:val="single" w:sz="4" w:space="0" w:color="4F81BD"/>
              <w:right w:val="nil"/>
            </w:tcBorders>
            <w:shd w:val="clear" w:color="000000" w:fill="FFFFFF"/>
            <w:noWrap/>
            <w:vAlign w:val="center"/>
          </w:tcPr>
          <w:p w:rsidR="004C1757" w:rsidRPr="004956EE" w:rsidRDefault="004C1757" w:rsidP="004956EE">
            <w:pPr>
              <w:spacing w:after="0" w:line="240" w:lineRule="auto"/>
              <w:rPr>
                <w:rFonts w:ascii="Calibri" w:eastAsia="Times New Roman" w:hAnsi="Calibri" w:cs="Times New Roman"/>
                <w:i/>
                <w:iCs/>
                <w:color w:val="0D0D0D" w:themeColor="text1" w:themeTint="F2"/>
                <w:vertAlign w:val="superscript"/>
                <w:lang w:eastAsia="en-GB"/>
              </w:rPr>
            </w:pPr>
            <w:r w:rsidRPr="004956EE">
              <w:rPr>
                <w:rFonts w:ascii="Calibri" w:eastAsia="Times New Roman" w:hAnsi="Calibri" w:cs="Times New Roman"/>
                <w:i/>
                <w:iCs/>
                <w:color w:val="0D0D0D" w:themeColor="text1" w:themeTint="F2"/>
                <w:lang w:eastAsia="en-GB"/>
              </w:rPr>
              <w:t>R</w:t>
            </w:r>
            <w:r w:rsidRPr="004956EE">
              <w:rPr>
                <w:rFonts w:ascii="Calibri" w:eastAsia="Times New Roman" w:hAnsi="Calibri" w:cs="Times New Roman"/>
                <w:i/>
                <w:iCs/>
                <w:color w:val="0D0D0D" w:themeColor="text1" w:themeTint="F2"/>
                <w:vertAlign w:val="superscript"/>
                <w:lang w:eastAsia="en-GB"/>
              </w:rPr>
              <w:t>2</w:t>
            </w:r>
          </w:p>
        </w:tc>
        <w:tc>
          <w:tcPr>
            <w:tcW w:w="2289" w:type="dxa"/>
            <w:tcBorders>
              <w:top w:val="nil"/>
              <w:left w:val="nil"/>
              <w:bottom w:val="single" w:sz="4" w:space="0" w:color="4F81BD"/>
              <w:right w:val="nil"/>
            </w:tcBorders>
            <w:shd w:val="clear" w:color="000000" w:fill="FFFFFF"/>
            <w:noWrap/>
            <w:vAlign w:val="center"/>
          </w:tcPr>
          <w:p w:rsidR="004C1757" w:rsidRPr="001D02CF" w:rsidRDefault="004C1757"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0.0356</w:t>
            </w:r>
          </w:p>
        </w:tc>
        <w:tc>
          <w:tcPr>
            <w:tcW w:w="2289" w:type="dxa"/>
            <w:tcBorders>
              <w:top w:val="nil"/>
              <w:left w:val="nil"/>
              <w:bottom w:val="single" w:sz="4" w:space="0" w:color="4F81BD"/>
              <w:right w:val="nil"/>
            </w:tcBorders>
            <w:shd w:val="clear" w:color="000000" w:fill="FFFFFF"/>
            <w:vAlign w:val="center"/>
          </w:tcPr>
          <w:p w:rsidR="004C1757" w:rsidRDefault="004C1757" w:rsidP="004956EE">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0.0008</w:t>
            </w:r>
          </w:p>
        </w:tc>
      </w:tr>
      <w:tr w:rsidR="004C1757" w:rsidRPr="001D02CF" w:rsidTr="004C1757">
        <w:trPr>
          <w:trHeight w:val="300"/>
          <w:jc w:val="center"/>
        </w:trPr>
        <w:tc>
          <w:tcPr>
            <w:tcW w:w="1397" w:type="dxa"/>
            <w:tcBorders>
              <w:top w:val="nil"/>
              <w:left w:val="nil"/>
              <w:bottom w:val="single" w:sz="4" w:space="0" w:color="4F81BD"/>
              <w:right w:val="nil"/>
            </w:tcBorders>
            <w:shd w:val="clear" w:color="000000" w:fill="FFFFFF"/>
            <w:noWrap/>
            <w:vAlign w:val="center"/>
          </w:tcPr>
          <w:p w:rsidR="004C1757" w:rsidRPr="004956EE" w:rsidRDefault="004C1757" w:rsidP="004956EE">
            <w:pPr>
              <w:spacing w:after="0" w:line="240" w:lineRule="auto"/>
              <w:rPr>
                <w:rFonts w:ascii="Calibri" w:eastAsia="Times New Roman" w:hAnsi="Calibri" w:cs="Times New Roman"/>
                <w:i/>
                <w:iCs/>
                <w:color w:val="0D0D0D" w:themeColor="text1" w:themeTint="F2"/>
                <w:lang w:eastAsia="en-GB"/>
              </w:rPr>
            </w:pPr>
            <w:r w:rsidRPr="004956EE">
              <w:rPr>
                <w:rFonts w:ascii="Calibri" w:eastAsia="Times New Roman" w:hAnsi="Calibri" w:cs="Times New Roman"/>
                <w:i/>
                <w:iCs/>
                <w:color w:val="0D0D0D" w:themeColor="text1" w:themeTint="F2"/>
                <w:lang w:eastAsia="en-GB"/>
              </w:rPr>
              <w:t>Observations</w:t>
            </w:r>
          </w:p>
        </w:tc>
        <w:tc>
          <w:tcPr>
            <w:tcW w:w="2289" w:type="dxa"/>
            <w:tcBorders>
              <w:top w:val="nil"/>
              <w:left w:val="nil"/>
              <w:bottom w:val="single" w:sz="4" w:space="0" w:color="4F81BD"/>
              <w:right w:val="nil"/>
            </w:tcBorders>
            <w:shd w:val="clear" w:color="000000" w:fill="FFFFFF"/>
            <w:noWrap/>
            <w:vAlign w:val="center"/>
          </w:tcPr>
          <w:p w:rsidR="004C1757" w:rsidRPr="001D02CF" w:rsidRDefault="004C1757" w:rsidP="00A832F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 xml:space="preserve">802 x 6 </w:t>
            </w:r>
          </w:p>
        </w:tc>
        <w:tc>
          <w:tcPr>
            <w:tcW w:w="2289" w:type="dxa"/>
            <w:tcBorders>
              <w:top w:val="nil"/>
              <w:left w:val="nil"/>
              <w:bottom w:val="single" w:sz="4" w:space="0" w:color="4F81BD"/>
              <w:right w:val="nil"/>
            </w:tcBorders>
            <w:shd w:val="clear" w:color="000000" w:fill="FFFFFF"/>
            <w:vAlign w:val="center"/>
          </w:tcPr>
          <w:p w:rsidR="004C1757" w:rsidRDefault="004C1757" w:rsidP="00A832F7">
            <w:pPr>
              <w:spacing w:after="0" w:line="240" w:lineRule="auto"/>
              <w:jc w:val="right"/>
              <w:rPr>
                <w:rFonts w:ascii="Calibri" w:eastAsia="Times New Roman" w:hAnsi="Calibri" w:cs="Times New Roman"/>
                <w:color w:val="0D0D0D" w:themeColor="text1" w:themeTint="F2"/>
                <w:lang w:eastAsia="en-GB"/>
              </w:rPr>
            </w:pPr>
            <w:r>
              <w:rPr>
                <w:rFonts w:ascii="Calibri" w:eastAsia="Times New Roman" w:hAnsi="Calibri" w:cs="Times New Roman"/>
                <w:color w:val="0D0D0D" w:themeColor="text1" w:themeTint="F2"/>
                <w:lang w:eastAsia="en-GB"/>
              </w:rPr>
              <w:t>802 x 2</w:t>
            </w:r>
          </w:p>
        </w:tc>
      </w:tr>
    </w:tbl>
    <w:p w:rsidR="004956EE" w:rsidRDefault="004956EE" w:rsidP="004956EE">
      <w:pPr>
        <w:spacing w:line="360" w:lineRule="auto"/>
        <w:jc w:val="center"/>
        <w:rPr>
          <w:rFonts w:ascii="Times New Roman" w:hAnsi="Times New Roman" w:cs="Times New Roman"/>
          <w:sz w:val="24"/>
          <w:szCs w:val="24"/>
        </w:rPr>
      </w:pPr>
      <w:r>
        <w:rPr>
          <w:rFonts w:ascii="Times New Roman" w:hAnsi="Times New Roman" w:cs="Times New Roman"/>
          <w:i/>
          <w:sz w:val="18"/>
          <w:szCs w:val="24"/>
        </w:rPr>
        <w:br/>
      </w:r>
      <w:r w:rsidRPr="0062397D">
        <w:rPr>
          <w:rFonts w:ascii="Times New Roman" w:hAnsi="Times New Roman" w:cs="Times New Roman"/>
          <w:i/>
          <w:sz w:val="18"/>
          <w:szCs w:val="24"/>
        </w:rPr>
        <w:t>Where */**/*** imply a significance level of 10%, 5% and 1% respectively</w:t>
      </w:r>
      <w:r>
        <w:rPr>
          <w:rFonts w:ascii="Times New Roman" w:hAnsi="Times New Roman" w:cs="Times New Roman"/>
          <w:i/>
          <w:sz w:val="18"/>
          <w:szCs w:val="24"/>
        </w:rPr>
        <w:br/>
        <w:t>White cross-section std. errors &amp; covariance (d.f. corrected)</w:t>
      </w:r>
      <w:r w:rsidRPr="00CD5FCA">
        <w:rPr>
          <w:rFonts w:ascii="Times New Roman" w:hAnsi="Times New Roman" w:cs="Times New Roman"/>
          <w:i/>
          <w:sz w:val="18"/>
          <w:szCs w:val="24"/>
        </w:rPr>
        <w:t xml:space="preserve"> </w:t>
      </w:r>
      <w:r>
        <w:rPr>
          <w:rFonts w:ascii="Times New Roman" w:hAnsi="Times New Roman" w:cs="Times New Roman"/>
          <w:i/>
          <w:sz w:val="18"/>
          <w:szCs w:val="24"/>
        </w:rPr>
        <w:t>– clustered at the individual (AC) level</w:t>
      </w:r>
    </w:p>
    <w:p w:rsidR="004956EE" w:rsidRPr="004956EE" w:rsidRDefault="004956EE" w:rsidP="00F60175">
      <w:pPr>
        <w:rPr>
          <w:rFonts w:ascii="Times New Roman" w:hAnsi="Times New Roman" w:cs="Times New Roman"/>
          <w:sz w:val="24"/>
        </w:rPr>
      </w:pPr>
    </w:p>
    <w:sectPr w:rsidR="004956EE" w:rsidRPr="004956EE" w:rsidSect="00F41D1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9B9" w:rsidRDefault="002039B9" w:rsidP="009D0EE5">
      <w:pPr>
        <w:spacing w:after="0" w:line="240" w:lineRule="auto"/>
      </w:pPr>
      <w:r>
        <w:separator/>
      </w:r>
    </w:p>
  </w:endnote>
  <w:endnote w:type="continuationSeparator" w:id="0">
    <w:p w:rsidR="002039B9" w:rsidRDefault="002039B9" w:rsidP="009D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33267064"/>
      <w:docPartObj>
        <w:docPartGallery w:val="Page Numbers (Bottom of Page)"/>
        <w:docPartUnique/>
      </w:docPartObj>
    </w:sdtPr>
    <w:sdtEndPr>
      <w:rPr>
        <w:noProof/>
      </w:rPr>
    </w:sdtEndPr>
    <w:sdtContent>
      <w:p w:rsidR="001375A9" w:rsidRPr="009D0EE5" w:rsidRDefault="001375A9">
        <w:pPr>
          <w:pStyle w:val="Footer"/>
          <w:jc w:val="center"/>
          <w:rPr>
            <w:rFonts w:ascii="Times New Roman" w:hAnsi="Times New Roman" w:cs="Times New Roman"/>
          </w:rPr>
        </w:pPr>
        <w:r w:rsidRPr="009D0EE5">
          <w:rPr>
            <w:rFonts w:ascii="Times New Roman" w:hAnsi="Times New Roman" w:cs="Times New Roman"/>
          </w:rPr>
          <w:fldChar w:fldCharType="begin"/>
        </w:r>
        <w:r w:rsidRPr="009D0EE5">
          <w:rPr>
            <w:rFonts w:ascii="Times New Roman" w:hAnsi="Times New Roman" w:cs="Times New Roman"/>
          </w:rPr>
          <w:instrText xml:space="preserve"> PAGE   \* MERGEFORMAT </w:instrText>
        </w:r>
        <w:r w:rsidRPr="009D0EE5">
          <w:rPr>
            <w:rFonts w:ascii="Times New Roman" w:hAnsi="Times New Roman" w:cs="Times New Roman"/>
          </w:rPr>
          <w:fldChar w:fldCharType="separate"/>
        </w:r>
        <w:r w:rsidR="00673C5D">
          <w:rPr>
            <w:rFonts w:ascii="Times New Roman" w:hAnsi="Times New Roman" w:cs="Times New Roman"/>
            <w:noProof/>
          </w:rPr>
          <w:t>2</w:t>
        </w:r>
        <w:r w:rsidRPr="009D0EE5">
          <w:rPr>
            <w:rFonts w:ascii="Times New Roman" w:hAnsi="Times New Roman" w:cs="Times New Roman"/>
            <w:noProof/>
          </w:rPr>
          <w:fldChar w:fldCharType="end"/>
        </w:r>
      </w:p>
    </w:sdtContent>
  </w:sdt>
  <w:p w:rsidR="001375A9" w:rsidRDefault="00137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9B9" w:rsidRDefault="002039B9" w:rsidP="009D0EE5">
      <w:pPr>
        <w:spacing w:after="0" w:line="240" w:lineRule="auto"/>
      </w:pPr>
      <w:r>
        <w:separator/>
      </w:r>
    </w:p>
  </w:footnote>
  <w:footnote w:type="continuationSeparator" w:id="0">
    <w:p w:rsidR="002039B9" w:rsidRDefault="002039B9" w:rsidP="009D0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4864"/>
    <w:multiLevelType w:val="hybridMultilevel"/>
    <w:tmpl w:val="E47604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73931"/>
    <w:multiLevelType w:val="hybridMultilevel"/>
    <w:tmpl w:val="F1AAA5BC"/>
    <w:lvl w:ilvl="0" w:tplc="3D68510E">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154EB"/>
    <w:multiLevelType w:val="hybridMultilevel"/>
    <w:tmpl w:val="209ED81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55351D82"/>
    <w:multiLevelType w:val="hybridMultilevel"/>
    <w:tmpl w:val="2782F94A"/>
    <w:lvl w:ilvl="0" w:tplc="08090001">
      <w:start w:val="1"/>
      <w:numFmt w:val="bullet"/>
      <w:lvlText w:val=""/>
      <w:lvlJc w:val="left"/>
      <w:pPr>
        <w:ind w:left="3600" w:hanging="360"/>
      </w:pPr>
      <w:rPr>
        <w:rFonts w:ascii="Symbol" w:hAnsi="Symbol" w:hint="default"/>
        <w:sz w:val="24"/>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58C6705C"/>
    <w:multiLevelType w:val="hybridMultilevel"/>
    <w:tmpl w:val="6DAE2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AA1A17"/>
    <w:multiLevelType w:val="hybridMultilevel"/>
    <w:tmpl w:val="8B06F55E"/>
    <w:lvl w:ilvl="0" w:tplc="F35234F2">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9E"/>
    <w:rsid w:val="000006D7"/>
    <w:rsid w:val="00001713"/>
    <w:rsid w:val="00005FBA"/>
    <w:rsid w:val="00011E2D"/>
    <w:rsid w:val="00013EBD"/>
    <w:rsid w:val="000164FB"/>
    <w:rsid w:val="00017960"/>
    <w:rsid w:val="000205A3"/>
    <w:rsid w:val="00021898"/>
    <w:rsid w:val="00023397"/>
    <w:rsid w:val="00026520"/>
    <w:rsid w:val="00030B28"/>
    <w:rsid w:val="000354CF"/>
    <w:rsid w:val="0003565F"/>
    <w:rsid w:val="00037004"/>
    <w:rsid w:val="00056707"/>
    <w:rsid w:val="000762E6"/>
    <w:rsid w:val="00082D19"/>
    <w:rsid w:val="00095493"/>
    <w:rsid w:val="00097A1A"/>
    <w:rsid w:val="000A28DC"/>
    <w:rsid w:val="000A371B"/>
    <w:rsid w:val="000B2EAC"/>
    <w:rsid w:val="000D3053"/>
    <w:rsid w:val="000D7622"/>
    <w:rsid w:val="000E7E7A"/>
    <w:rsid w:val="000F0F42"/>
    <w:rsid w:val="000F4088"/>
    <w:rsid w:val="00100B49"/>
    <w:rsid w:val="00123876"/>
    <w:rsid w:val="0012560A"/>
    <w:rsid w:val="0012769B"/>
    <w:rsid w:val="001341AD"/>
    <w:rsid w:val="00136F67"/>
    <w:rsid w:val="001375A9"/>
    <w:rsid w:val="00137806"/>
    <w:rsid w:val="0014352D"/>
    <w:rsid w:val="00150EFC"/>
    <w:rsid w:val="00151087"/>
    <w:rsid w:val="00151CCF"/>
    <w:rsid w:val="0016030F"/>
    <w:rsid w:val="00177213"/>
    <w:rsid w:val="00182833"/>
    <w:rsid w:val="00185A95"/>
    <w:rsid w:val="001A0F5F"/>
    <w:rsid w:val="001A4BB9"/>
    <w:rsid w:val="001C490E"/>
    <w:rsid w:val="001D02CF"/>
    <w:rsid w:val="001D0BF0"/>
    <w:rsid w:val="001D1AD9"/>
    <w:rsid w:val="001D2803"/>
    <w:rsid w:val="001D30BD"/>
    <w:rsid w:val="001E0EB3"/>
    <w:rsid w:val="001F3570"/>
    <w:rsid w:val="001F7657"/>
    <w:rsid w:val="001F775D"/>
    <w:rsid w:val="002039B9"/>
    <w:rsid w:val="0020751A"/>
    <w:rsid w:val="0021297F"/>
    <w:rsid w:val="00214748"/>
    <w:rsid w:val="0022263A"/>
    <w:rsid w:val="002249A2"/>
    <w:rsid w:val="00224FC9"/>
    <w:rsid w:val="00227AB3"/>
    <w:rsid w:val="00227BA9"/>
    <w:rsid w:val="002357C9"/>
    <w:rsid w:val="00241244"/>
    <w:rsid w:val="0024697A"/>
    <w:rsid w:val="002515B1"/>
    <w:rsid w:val="0025507E"/>
    <w:rsid w:val="00267246"/>
    <w:rsid w:val="00267452"/>
    <w:rsid w:val="00271276"/>
    <w:rsid w:val="0027278B"/>
    <w:rsid w:val="00272BF2"/>
    <w:rsid w:val="00281F08"/>
    <w:rsid w:val="00284BC8"/>
    <w:rsid w:val="00291BB0"/>
    <w:rsid w:val="00291E0B"/>
    <w:rsid w:val="00293CCB"/>
    <w:rsid w:val="00294AF3"/>
    <w:rsid w:val="00297537"/>
    <w:rsid w:val="002B62EE"/>
    <w:rsid w:val="002E3FD1"/>
    <w:rsid w:val="002E6A4C"/>
    <w:rsid w:val="002E6D6D"/>
    <w:rsid w:val="002E7455"/>
    <w:rsid w:val="002F2386"/>
    <w:rsid w:val="002F2C87"/>
    <w:rsid w:val="002F487C"/>
    <w:rsid w:val="002F5F4A"/>
    <w:rsid w:val="002F6372"/>
    <w:rsid w:val="00304061"/>
    <w:rsid w:val="0031085A"/>
    <w:rsid w:val="003320A6"/>
    <w:rsid w:val="00333639"/>
    <w:rsid w:val="00334E62"/>
    <w:rsid w:val="00340DA9"/>
    <w:rsid w:val="003636C1"/>
    <w:rsid w:val="00367DEC"/>
    <w:rsid w:val="0037547D"/>
    <w:rsid w:val="0037612B"/>
    <w:rsid w:val="00386449"/>
    <w:rsid w:val="0038665B"/>
    <w:rsid w:val="00390A48"/>
    <w:rsid w:val="003A482B"/>
    <w:rsid w:val="003B1928"/>
    <w:rsid w:val="003B1C1F"/>
    <w:rsid w:val="003B623D"/>
    <w:rsid w:val="003C00DD"/>
    <w:rsid w:val="003C1ABA"/>
    <w:rsid w:val="003C7BFF"/>
    <w:rsid w:val="003D289D"/>
    <w:rsid w:val="003D7D9A"/>
    <w:rsid w:val="003E2215"/>
    <w:rsid w:val="003E6945"/>
    <w:rsid w:val="003E7BA8"/>
    <w:rsid w:val="003F6466"/>
    <w:rsid w:val="0040048B"/>
    <w:rsid w:val="00417250"/>
    <w:rsid w:val="00423696"/>
    <w:rsid w:val="00425545"/>
    <w:rsid w:val="00432A67"/>
    <w:rsid w:val="004456B5"/>
    <w:rsid w:val="00447CA1"/>
    <w:rsid w:val="00453776"/>
    <w:rsid w:val="004751CB"/>
    <w:rsid w:val="004822BF"/>
    <w:rsid w:val="00483656"/>
    <w:rsid w:val="004956EE"/>
    <w:rsid w:val="004A10B8"/>
    <w:rsid w:val="004A15AF"/>
    <w:rsid w:val="004A1AB8"/>
    <w:rsid w:val="004A5EE8"/>
    <w:rsid w:val="004A7F24"/>
    <w:rsid w:val="004B0866"/>
    <w:rsid w:val="004B7418"/>
    <w:rsid w:val="004C1757"/>
    <w:rsid w:val="004C21AB"/>
    <w:rsid w:val="004C2345"/>
    <w:rsid w:val="004C3D5A"/>
    <w:rsid w:val="004D1C30"/>
    <w:rsid w:val="004D5C0B"/>
    <w:rsid w:val="004D5E6F"/>
    <w:rsid w:val="004D6DA9"/>
    <w:rsid w:val="004E1BBD"/>
    <w:rsid w:val="004E205D"/>
    <w:rsid w:val="004E3068"/>
    <w:rsid w:val="004E6182"/>
    <w:rsid w:val="004F083D"/>
    <w:rsid w:val="004F3B8D"/>
    <w:rsid w:val="004F415D"/>
    <w:rsid w:val="004F4E2E"/>
    <w:rsid w:val="00501A22"/>
    <w:rsid w:val="00510782"/>
    <w:rsid w:val="005116A4"/>
    <w:rsid w:val="00530D8C"/>
    <w:rsid w:val="00530E80"/>
    <w:rsid w:val="00531BC3"/>
    <w:rsid w:val="00533FA8"/>
    <w:rsid w:val="00535BD0"/>
    <w:rsid w:val="005403A7"/>
    <w:rsid w:val="005449EE"/>
    <w:rsid w:val="005464E0"/>
    <w:rsid w:val="0055713D"/>
    <w:rsid w:val="005574E8"/>
    <w:rsid w:val="0056103F"/>
    <w:rsid w:val="00563E0B"/>
    <w:rsid w:val="005721E3"/>
    <w:rsid w:val="00572CD6"/>
    <w:rsid w:val="005767D3"/>
    <w:rsid w:val="00593391"/>
    <w:rsid w:val="00595CBE"/>
    <w:rsid w:val="00597643"/>
    <w:rsid w:val="005A081B"/>
    <w:rsid w:val="005B0380"/>
    <w:rsid w:val="005B5B43"/>
    <w:rsid w:val="005B6ADD"/>
    <w:rsid w:val="005C0BA8"/>
    <w:rsid w:val="005C4C0B"/>
    <w:rsid w:val="005D16C8"/>
    <w:rsid w:val="005E119D"/>
    <w:rsid w:val="005F2BAE"/>
    <w:rsid w:val="005F42A5"/>
    <w:rsid w:val="00600B16"/>
    <w:rsid w:val="00603806"/>
    <w:rsid w:val="00603C35"/>
    <w:rsid w:val="0060573A"/>
    <w:rsid w:val="006072A8"/>
    <w:rsid w:val="00610E51"/>
    <w:rsid w:val="00621347"/>
    <w:rsid w:val="006217EC"/>
    <w:rsid w:val="00625FDB"/>
    <w:rsid w:val="00631461"/>
    <w:rsid w:val="00634FAD"/>
    <w:rsid w:val="00650667"/>
    <w:rsid w:val="006538D2"/>
    <w:rsid w:val="00661DA7"/>
    <w:rsid w:val="00662E58"/>
    <w:rsid w:val="00665314"/>
    <w:rsid w:val="00672E11"/>
    <w:rsid w:val="006732B0"/>
    <w:rsid w:val="00673C5D"/>
    <w:rsid w:val="0069063D"/>
    <w:rsid w:val="006A0B9B"/>
    <w:rsid w:val="006A4084"/>
    <w:rsid w:val="006A5D7E"/>
    <w:rsid w:val="006B4466"/>
    <w:rsid w:val="006B4958"/>
    <w:rsid w:val="006C2F4C"/>
    <w:rsid w:val="006D346E"/>
    <w:rsid w:val="006E041B"/>
    <w:rsid w:val="006F0812"/>
    <w:rsid w:val="006F13D8"/>
    <w:rsid w:val="00702082"/>
    <w:rsid w:val="007064B5"/>
    <w:rsid w:val="00722064"/>
    <w:rsid w:val="00723A1C"/>
    <w:rsid w:val="007275F8"/>
    <w:rsid w:val="00734DA4"/>
    <w:rsid w:val="0074791A"/>
    <w:rsid w:val="0075054A"/>
    <w:rsid w:val="007665CE"/>
    <w:rsid w:val="00777496"/>
    <w:rsid w:val="007779A3"/>
    <w:rsid w:val="00783BE6"/>
    <w:rsid w:val="00784863"/>
    <w:rsid w:val="007A369A"/>
    <w:rsid w:val="007A747E"/>
    <w:rsid w:val="007B25C3"/>
    <w:rsid w:val="007C0202"/>
    <w:rsid w:val="007C233E"/>
    <w:rsid w:val="007C3185"/>
    <w:rsid w:val="007D5509"/>
    <w:rsid w:val="007E2496"/>
    <w:rsid w:val="007E7A54"/>
    <w:rsid w:val="007F43A0"/>
    <w:rsid w:val="00802002"/>
    <w:rsid w:val="00802C9A"/>
    <w:rsid w:val="00807481"/>
    <w:rsid w:val="00807733"/>
    <w:rsid w:val="00807900"/>
    <w:rsid w:val="00817E49"/>
    <w:rsid w:val="008250F1"/>
    <w:rsid w:val="0083430F"/>
    <w:rsid w:val="00837BD4"/>
    <w:rsid w:val="008413FD"/>
    <w:rsid w:val="008434D1"/>
    <w:rsid w:val="00860FC4"/>
    <w:rsid w:val="0086141E"/>
    <w:rsid w:val="0087023E"/>
    <w:rsid w:val="008737D1"/>
    <w:rsid w:val="0087487B"/>
    <w:rsid w:val="0087574C"/>
    <w:rsid w:val="00875963"/>
    <w:rsid w:val="00877261"/>
    <w:rsid w:val="00883835"/>
    <w:rsid w:val="008860E8"/>
    <w:rsid w:val="0089323A"/>
    <w:rsid w:val="00895DB0"/>
    <w:rsid w:val="00895DDD"/>
    <w:rsid w:val="008A2430"/>
    <w:rsid w:val="008A6CE0"/>
    <w:rsid w:val="008A6D4B"/>
    <w:rsid w:val="008B0094"/>
    <w:rsid w:val="008B39EF"/>
    <w:rsid w:val="008B4677"/>
    <w:rsid w:val="008B6589"/>
    <w:rsid w:val="008C0BFF"/>
    <w:rsid w:val="008C49BE"/>
    <w:rsid w:val="008D57B7"/>
    <w:rsid w:val="008D5883"/>
    <w:rsid w:val="008D5E30"/>
    <w:rsid w:val="008E0672"/>
    <w:rsid w:val="008E4EA5"/>
    <w:rsid w:val="008E6A48"/>
    <w:rsid w:val="008F6721"/>
    <w:rsid w:val="009007BD"/>
    <w:rsid w:val="00901DEB"/>
    <w:rsid w:val="00914B54"/>
    <w:rsid w:val="00927419"/>
    <w:rsid w:val="00930CAC"/>
    <w:rsid w:val="00933BCD"/>
    <w:rsid w:val="00941F8B"/>
    <w:rsid w:val="00955D79"/>
    <w:rsid w:val="00956656"/>
    <w:rsid w:val="009660D6"/>
    <w:rsid w:val="0097012F"/>
    <w:rsid w:val="0097196B"/>
    <w:rsid w:val="009851AC"/>
    <w:rsid w:val="00985352"/>
    <w:rsid w:val="00993509"/>
    <w:rsid w:val="009942AE"/>
    <w:rsid w:val="00994C1E"/>
    <w:rsid w:val="00996A81"/>
    <w:rsid w:val="009A049D"/>
    <w:rsid w:val="009A6CA5"/>
    <w:rsid w:val="009D0EE5"/>
    <w:rsid w:val="009E347F"/>
    <w:rsid w:val="009E3C2B"/>
    <w:rsid w:val="009E6F6C"/>
    <w:rsid w:val="009F01B8"/>
    <w:rsid w:val="009F4CC0"/>
    <w:rsid w:val="00A13FC6"/>
    <w:rsid w:val="00A15779"/>
    <w:rsid w:val="00A17190"/>
    <w:rsid w:val="00A20FD8"/>
    <w:rsid w:val="00A27FE9"/>
    <w:rsid w:val="00A32AA6"/>
    <w:rsid w:val="00A33292"/>
    <w:rsid w:val="00A354D9"/>
    <w:rsid w:val="00A41595"/>
    <w:rsid w:val="00A4428C"/>
    <w:rsid w:val="00A47AD4"/>
    <w:rsid w:val="00A5013D"/>
    <w:rsid w:val="00A53CCF"/>
    <w:rsid w:val="00A6533D"/>
    <w:rsid w:val="00A65E68"/>
    <w:rsid w:val="00A677A2"/>
    <w:rsid w:val="00A81D32"/>
    <w:rsid w:val="00A832F7"/>
    <w:rsid w:val="00A838EF"/>
    <w:rsid w:val="00A84339"/>
    <w:rsid w:val="00A95E0B"/>
    <w:rsid w:val="00A97EC7"/>
    <w:rsid w:val="00AA252E"/>
    <w:rsid w:val="00AB6A4B"/>
    <w:rsid w:val="00AD040F"/>
    <w:rsid w:val="00AD22A5"/>
    <w:rsid w:val="00AD4CC1"/>
    <w:rsid w:val="00AD75AE"/>
    <w:rsid w:val="00AE360A"/>
    <w:rsid w:val="00AE3E99"/>
    <w:rsid w:val="00AF3B84"/>
    <w:rsid w:val="00AF74AF"/>
    <w:rsid w:val="00AF7DE7"/>
    <w:rsid w:val="00B047F8"/>
    <w:rsid w:val="00B07297"/>
    <w:rsid w:val="00B110AC"/>
    <w:rsid w:val="00B12DCA"/>
    <w:rsid w:val="00B147F3"/>
    <w:rsid w:val="00B1490B"/>
    <w:rsid w:val="00B25B1E"/>
    <w:rsid w:val="00B27F4D"/>
    <w:rsid w:val="00B27FC4"/>
    <w:rsid w:val="00B3084D"/>
    <w:rsid w:val="00B31684"/>
    <w:rsid w:val="00B339A2"/>
    <w:rsid w:val="00B401D9"/>
    <w:rsid w:val="00B4032D"/>
    <w:rsid w:val="00B46F2A"/>
    <w:rsid w:val="00B51583"/>
    <w:rsid w:val="00B535E9"/>
    <w:rsid w:val="00B6132C"/>
    <w:rsid w:val="00B666C3"/>
    <w:rsid w:val="00B73363"/>
    <w:rsid w:val="00B81AD7"/>
    <w:rsid w:val="00B81E61"/>
    <w:rsid w:val="00B83A4C"/>
    <w:rsid w:val="00B850FA"/>
    <w:rsid w:val="00BA659B"/>
    <w:rsid w:val="00BB163B"/>
    <w:rsid w:val="00BD6489"/>
    <w:rsid w:val="00BD687E"/>
    <w:rsid w:val="00BD71FE"/>
    <w:rsid w:val="00BF55C8"/>
    <w:rsid w:val="00C00E36"/>
    <w:rsid w:val="00C05ED9"/>
    <w:rsid w:val="00C07623"/>
    <w:rsid w:val="00C07C9B"/>
    <w:rsid w:val="00C11F24"/>
    <w:rsid w:val="00C11F3D"/>
    <w:rsid w:val="00C14B15"/>
    <w:rsid w:val="00C15524"/>
    <w:rsid w:val="00C17DC0"/>
    <w:rsid w:val="00C22AA2"/>
    <w:rsid w:val="00C2301C"/>
    <w:rsid w:val="00C455D2"/>
    <w:rsid w:val="00C46D62"/>
    <w:rsid w:val="00C5213E"/>
    <w:rsid w:val="00C5725B"/>
    <w:rsid w:val="00C6265D"/>
    <w:rsid w:val="00C6465D"/>
    <w:rsid w:val="00C64C6A"/>
    <w:rsid w:val="00C72CF3"/>
    <w:rsid w:val="00C74060"/>
    <w:rsid w:val="00C90DCF"/>
    <w:rsid w:val="00CA212F"/>
    <w:rsid w:val="00CA41D8"/>
    <w:rsid w:val="00CA60D9"/>
    <w:rsid w:val="00CB37B9"/>
    <w:rsid w:val="00CB3CF6"/>
    <w:rsid w:val="00CB7A71"/>
    <w:rsid w:val="00CC0B43"/>
    <w:rsid w:val="00CC3FE9"/>
    <w:rsid w:val="00CC728B"/>
    <w:rsid w:val="00CD142B"/>
    <w:rsid w:val="00CD41CB"/>
    <w:rsid w:val="00CD44CD"/>
    <w:rsid w:val="00CE2B64"/>
    <w:rsid w:val="00CE2E9F"/>
    <w:rsid w:val="00CE3030"/>
    <w:rsid w:val="00CE6BD2"/>
    <w:rsid w:val="00CE74B6"/>
    <w:rsid w:val="00CF00C3"/>
    <w:rsid w:val="00D003A0"/>
    <w:rsid w:val="00D01237"/>
    <w:rsid w:val="00D01243"/>
    <w:rsid w:val="00D0524A"/>
    <w:rsid w:val="00D07D9E"/>
    <w:rsid w:val="00D11EDF"/>
    <w:rsid w:val="00D15F58"/>
    <w:rsid w:val="00D252E1"/>
    <w:rsid w:val="00D27CD3"/>
    <w:rsid w:val="00D312AB"/>
    <w:rsid w:val="00D3355B"/>
    <w:rsid w:val="00D3631C"/>
    <w:rsid w:val="00D455CE"/>
    <w:rsid w:val="00D51EC2"/>
    <w:rsid w:val="00D73397"/>
    <w:rsid w:val="00D83ACD"/>
    <w:rsid w:val="00D9767B"/>
    <w:rsid w:val="00DA1EFD"/>
    <w:rsid w:val="00DA3EC8"/>
    <w:rsid w:val="00DA4556"/>
    <w:rsid w:val="00DB02A3"/>
    <w:rsid w:val="00DB071E"/>
    <w:rsid w:val="00DB43D7"/>
    <w:rsid w:val="00DB7895"/>
    <w:rsid w:val="00DE2F6F"/>
    <w:rsid w:val="00DE30FC"/>
    <w:rsid w:val="00DF2173"/>
    <w:rsid w:val="00DF26A1"/>
    <w:rsid w:val="00DF33E5"/>
    <w:rsid w:val="00E07579"/>
    <w:rsid w:val="00E144BA"/>
    <w:rsid w:val="00E14ED1"/>
    <w:rsid w:val="00E2233E"/>
    <w:rsid w:val="00E223A4"/>
    <w:rsid w:val="00E2366F"/>
    <w:rsid w:val="00E31BED"/>
    <w:rsid w:val="00E6202D"/>
    <w:rsid w:val="00E62901"/>
    <w:rsid w:val="00E631E7"/>
    <w:rsid w:val="00E633EB"/>
    <w:rsid w:val="00E661E1"/>
    <w:rsid w:val="00E80FF1"/>
    <w:rsid w:val="00E81244"/>
    <w:rsid w:val="00E87B3C"/>
    <w:rsid w:val="00E912D8"/>
    <w:rsid w:val="00EA79D6"/>
    <w:rsid w:val="00EA7B63"/>
    <w:rsid w:val="00EB0A65"/>
    <w:rsid w:val="00EB27F4"/>
    <w:rsid w:val="00EB6420"/>
    <w:rsid w:val="00EB6F2F"/>
    <w:rsid w:val="00EC0129"/>
    <w:rsid w:val="00EC1304"/>
    <w:rsid w:val="00EC72DF"/>
    <w:rsid w:val="00ED2CC0"/>
    <w:rsid w:val="00ED57D2"/>
    <w:rsid w:val="00ED6998"/>
    <w:rsid w:val="00ED7E6D"/>
    <w:rsid w:val="00ED7FB5"/>
    <w:rsid w:val="00EE08F6"/>
    <w:rsid w:val="00EE32F8"/>
    <w:rsid w:val="00EE4241"/>
    <w:rsid w:val="00EF5F54"/>
    <w:rsid w:val="00EF6009"/>
    <w:rsid w:val="00EF6BAC"/>
    <w:rsid w:val="00EF7191"/>
    <w:rsid w:val="00F02F00"/>
    <w:rsid w:val="00F25D44"/>
    <w:rsid w:val="00F3218B"/>
    <w:rsid w:val="00F41D1C"/>
    <w:rsid w:val="00F44D98"/>
    <w:rsid w:val="00F47E9E"/>
    <w:rsid w:val="00F5016A"/>
    <w:rsid w:val="00F53168"/>
    <w:rsid w:val="00F54099"/>
    <w:rsid w:val="00F57BD3"/>
    <w:rsid w:val="00F60175"/>
    <w:rsid w:val="00F65B19"/>
    <w:rsid w:val="00F712BE"/>
    <w:rsid w:val="00F845D6"/>
    <w:rsid w:val="00F859E4"/>
    <w:rsid w:val="00F90E69"/>
    <w:rsid w:val="00F9207E"/>
    <w:rsid w:val="00F93733"/>
    <w:rsid w:val="00F9734A"/>
    <w:rsid w:val="00FB4D40"/>
    <w:rsid w:val="00FB6F0F"/>
    <w:rsid w:val="00FC07F7"/>
    <w:rsid w:val="00FC1C6A"/>
    <w:rsid w:val="00FD1DD4"/>
    <w:rsid w:val="00FD3433"/>
    <w:rsid w:val="00FE1319"/>
    <w:rsid w:val="00FE1C97"/>
    <w:rsid w:val="00FE3B7A"/>
    <w:rsid w:val="00FF3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C3ECB-0FAB-4AEB-A2D8-791D327E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BB9"/>
    <w:rPr>
      <w:color w:val="0563C1" w:themeColor="hyperlink"/>
      <w:u w:val="single"/>
    </w:rPr>
  </w:style>
  <w:style w:type="character" w:styleId="PlaceholderText">
    <w:name w:val="Placeholder Text"/>
    <w:basedOn w:val="DefaultParagraphFont"/>
    <w:uiPriority w:val="99"/>
    <w:semiHidden/>
    <w:rsid w:val="00802002"/>
    <w:rPr>
      <w:color w:val="808080"/>
    </w:rPr>
  </w:style>
  <w:style w:type="paragraph" w:styleId="ListParagraph">
    <w:name w:val="List Paragraph"/>
    <w:basedOn w:val="Normal"/>
    <w:uiPriority w:val="34"/>
    <w:qFormat/>
    <w:rsid w:val="005B0380"/>
    <w:pPr>
      <w:ind w:left="720"/>
      <w:contextualSpacing/>
    </w:pPr>
  </w:style>
  <w:style w:type="paragraph" w:styleId="Header">
    <w:name w:val="header"/>
    <w:basedOn w:val="Normal"/>
    <w:link w:val="HeaderChar"/>
    <w:uiPriority w:val="99"/>
    <w:unhideWhenUsed/>
    <w:rsid w:val="009D0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EE5"/>
  </w:style>
  <w:style w:type="paragraph" w:styleId="Footer">
    <w:name w:val="footer"/>
    <w:basedOn w:val="Normal"/>
    <w:link w:val="FooterChar"/>
    <w:uiPriority w:val="99"/>
    <w:unhideWhenUsed/>
    <w:rsid w:val="009D0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5549">
      <w:bodyDiv w:val="1"/>
      <w:marLeft w:val="0"/>
      <w:marRight w:val="0"/>
      <w:marTop w:val="0"/>
      <w:marBottom w:val="0"/>
      <w:divBdr>
        <w:top w:val="none" w:sz="0" w:space="0" w:color="auto"/>
        <w:left w:val="none" w:sz="0" w:space="0" w:color="auto"/>
        <w:bottom w:val="none" w:sz="0" w:space="0" w:color="auto"/>
        <w:right w:val="none" w:sz="0" w:space="0" w:color="auto"/>
      </w:divBdr>
    </w:div>
    <w:div w:id="337579022">
      <w:bodyDiv w:val="1"/>
      <w:marLeft w:val="0"/>
      <w:marRight w:val="0"/>
      <w:marTop w:val="0"/>
      <w:marBottom w:val="0"/>
      <w:divBdr>
        <w:top w:val="none" w:sz="0" w:space="0" w:color="auto"/>
        <w:left w:val="none" w:sz="0" w:space="0" w:color="auto"/>
        <w:bottom w:val="none" w:sz="0" w:space="0" w:color="auto"/>
        <w:right w:val="none" w:sz="0" w:space="0" w:color="auto"/>
      </w:divBdr>
    </w:div>
    <w:div w:id="351566916">
      <w:bodyDiv w:val="1"/>
      <w:marLeft w:val="0"/>
      <w:marRight w:val="0"/>
      <w:marTop w:val="0"/>
      <w:marBottom w:val="0"/>
      <w:divBdr>
        <w:top w:val="none" w:sz="0" w:space="0" w:color="auto"/>
        <w:left w:val="none" w:sz="0" w:space="0" w:color="auto"/>
        <w:bottom w:val="none" w:sz="0" w:space="0" w:color="auto"/>
        <w:right w:val="none" w:sz="0" w:space="0" w:color="auto"/>
      </w:divBdr>
    </w:div>
    <w:div w:id="657808353">
      <w:bodyDiv w:val="1"/>
      <w:marLeft w:val="0"/>
      <w:marRight w:val="0"/>
      <w:marTop w:val="0"/>
      <w:marBottom w:val="0"/>
      <w:divBdr>
        <w:top w:val="none" w:sz="0" w:space="0" w:color="auto"/>
        <w:left w:val="none" w:sz="0" w:space="0" w:color="auto"/>
        <w:bottom w:val="none" w:sz="0" w:space="0" w:color="auto"/>
        <w:right w:val="none" w:sz="0" w:space="0" w:color="auto"/>
      </w:divBdr>
    </w:div>
    <w:div w:id="1197086174">
      <w:bodyDiv w:val="1"/>
      <w:marLeft w:val="0"/>
      <w:marRight w:val="0"/>
      <w:marTop w:val="0"/>
      <w:marBottom w:val="0"/>
      <w:divBdr>
        <w:top w:val="none" w:sz="0" w:space="0" w:color="auto"/>
        <w:left w:val="none" w:sz="0" w:space="0" w:color="auto"/>
        <w:bottom w:val="none" w:sz="0" w:space="0" w:color="auto"/>
        <w:right w:val="none" w:sz="0" w:space="0" w:color="auto"/>
      </w:divBdr>
    </w:div>
    <w:div w:id="1254164540">
      <w:bodyDiv w:val="1"/>
      <w:marLeft w:val="0"/>
      <w:marRight w:val="0"/>
      <w:marTop w:val="0"/>
      <w:marBottom w:val="0"/>
      <w:divBdr>
        <w:top w:val="none" w:sz="0" w:space="0" w:color="auto"/>
        <w:left w:val="none" w:sz="0" w:space="0" w:color="auto"/>
        <w:bottom w:val="none" w:sz="0" w:space="0" w:color="auto"/>
        <w:right w:val="none" w:sz="0" w:space="0" w:color="auto"/>
      </w:divBdr>
    </w:div>
    <w:div w:id="1295140901">
      <w:bodyDiv w:val="1"/>
      <w:marLeft w:val="0"/>
      <w:marRight w:val="0"/>
      <w:marTop w:val="0"/>
      <w:marBottom w:val="0"/>
      <w:divBdr>
        <w:top w:val="none" w:sz="0" w:space="0" w:color="auto"/>
        <w:left w:val="none" w:sz="0" w:space="0" w:color="auto"/>
        <w:bottom w:val="none" w:sz="0" w:space="0" w:color="auto"/>
        <w:right w:val="none" w:sz="0" w:space="0" w:color="auto"/>
      </w:divBdr>
    </w:div>
    <w:div w:id="1572277590">
      <w:bodyDiv w:val="1"/>
      <w:marLeft w:val="0"/>
      <w:marRight w:val="0"/>
      <w:marTop w:val="0"/>
      <w:marBottom w:val="0"/>
      <w:divBdr>
        <w:top w:val="none" w:sz="0" w:space="0" w:color="auto"/>
        <w:left w:val="none" w:sz="0" w:space="0" w:color="auto"/>
        <w:bottom w:val="none" w:sz="0" w:space="0" w:color="auto"/>
        <w:right w:val="none" w:sz="0" w:space="0" w:color="auto"/>
      </w:divBdr>
    </w:div>
    <w:div w:id="1574586796">
      <w:bodyDiv w:val="1"/>
      <w:marLeft w:val="0"/>
      <w:marRight w:val="0"/>
      <w:marTop w:val="0"/>
      <w:marBottom w:val="0"/>
      <w:divBdr>
        <w:top w:val="none" w:sz="0" w:space="0" w:color="auto"/>
        <w:left w:val="none" w:sz="0" w:space="0" w:color="auto"/>
        <w:bottom w:val="none" w:sz="0" w:space="0" w:color="auto"/>
        <w:right w:val="none" w:sz="0" w:space="0" w:color="auto"/>
      </w:divBdr>
    </w:div>
    <w:div w:id="16351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tuan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2307/21108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ea.int/publications/voter_turnout_weurope/index.cfm" TargetMode="External"/><Relationship Id="rId5" Type="http://schemas.openxmlformats.org/officeDocument/2006/relationships/webSettings" Target="webSettings.xml"/><Relationship Id="rId10" Type="http://schemas.openxmlformats.org/officeDocument/2006/relationships/hyperlink" Target="http://nimd.org/wp-content/uploads/2015/02/Dutch-Political-System.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5A337-4A78-43E5-B7DD-6011FBAD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11162</Words>
  <Characters>61393</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Tuano</dc:creator>
  <cp:keywords/>
  <dc:description/>
  <cp:lastModifiedBy>M.M. Viola Gonzalez</cp:lastModifiedBy>
  <cp:revision>2</cp:revision>
  <dcterms:created xsi:type="dcterms:W3CDTF">2016-08-04T07:18:00Z</dcterms:created>
  <dcterms:modified xsi:type="dcterms:W3CDTF">2016-08-04T07:18:00Z</dcterms:modified>
</cp:coreProperties>
</file>